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84BA1" w14:textId="4F74C965" w:rsidR="00CF67E7" w:rsidRDefault="00CF67E7"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bookmarkStart w:id="0" w:name="_GoBack"/>
      <w:bookmarkEnd w:id="0"/>
      <w:r w:rsidRPr="009C797A">
        <w:rPr>
          <w:rFonts w:ascii="Helvetica" w:hAnsi="Helvetica"/>
          <w:b/>
          <w:sz w:val="24"/>
        </w:rPr>
        <w:t>Supporting Statement for Paperwork Reduction Act Submissions</w:t>
      </w:r>
    </w:p>
    <w:p w14:paraId="31902679" w14:textId="2A03B7C4" w:rsidR="007335C9" w:rsidRDefault="007335C9"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Public Housing Annual Contributions Contract and Inventory Removal Application</w:t>
      </w:r>
    </w:p>
    <w:p w14:paraId="6BADB2FE" w14:textId="1A06670B" w:rsidR="007335C9" w:rsidRPr="009C797A" w:rsidRDefault="007335C9"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(2577-0075)</w:t>
      </w:r>
    </w:p>
    <w:p w14:paraId="4E8A4AB6" w14:textId="77777777" w:rsidR="00CF67E7" w:rsidRPr="009C797A" w:rsidRDefault="00CF67E7" w:rsidP="00CF67E7">
      <w:pPr>
        <w:pStyle w:val="OmniPage2"/>
        <w:tabs>
          <w:tab w:val="left" w:pos="9990"/>
        </w:tabs>
        <w:ind w:hanging="720"/>
        <w:jc w:val="center"/>
        <w:rPr>
          <w:b/>
          <w:sz w:val="24"/>
        </w:rPr>
      </w:pPr>
    </w:p>
    <w:p w14:paraId="2A60FF43" w14:textId="77777777" w:rsidR="00CF67E7" w:rsidRPr="009C797A" w:rsidRDefault="00CF67E7" w:rsidP="00CF67E7">
      <w:pPr>
        <w:pBdr>
          <w:top w:val="single" w:sz="4" w:space="1" w:color="auto"/>
        </w:pBdr>
        <w:tabs>
          <w:tab w:val="left" w:pos="480"/>
          <w:tab w:val="left" w:pos="9990"/>
        </w:tabs>
        <w:ind w:left="480" w:hanging="480"/>
        <w:rPr>
          <w:b/>
          <w:bCs/>
          <w:sz w:val="24"/>
        </w:rPr>
      </w:pPr>
      <w:r w:rsidRPr="009C797A">
        <w:rPr>
          <w:b/>
          <w:bCs/>
          <w:sz w:val="24"/>
        </w:rPr>
        <w:t>A.</w:t>
      </w:r>
      <w:r w:rsidRPr="009C797A">
        <w:rPr>
          <w:b/>
          <w:bCs/>
          <w:sz w:val="24"/>
        </w:rPr>
        <w:tab/>
        <w:t>Justification:</w:t>
      </w:r>
    </w:p>
    <w:p w14:paraId="662D6A54" w14:textId="77777777" w:rsidR="00CF67E7" w:rsidRPr="009C797A" w:rsidRDefault="00CF67E7" w:rsidP="00CF67E7">
      <w:pPr>
        <w:tabs>
          <w:tab w:val="left" w:pos="480"/>
          <w:tab w:val="left" w:pos="9990"/>
        </w:tabs>
        <w:ind w:left="480" w:hanging="480"/>
        <w:rPr>
          <w:b/>
          <w:bCs/>
          <w:sz w:val="22"/>
        </w:rPr>
      </w:pPr>
    </w:p>
    <w:p w14:paraId="7755132C" w14:textId="77777777" w:rsidR="00CF67E7" w:rsidRPr="009C797A" w:rsidRDefault="00CF67E7" w:rsidP="009F4D6F">
      <w:pPr>
        <w:pStyle w:val="BodyText"/>
        <w:keepNext/>
        <w:numPr>
          <w:ilvl w:val="0"/>
          <w:numId w:val="14"/>
        </w:numPr>
        <w:tabs>
          <w:tab w:val="clear" w:pos="360"/>
          <w:tab w:val="num" w:pos="450"/>
          <w:tab w:val="left" w:pos="480"/>
          <w:tab w:val="left" w:pos="9990"/>
        </w:tabs>
        <w:ind w:left="450" w:hanging="450"/>
        <w:rPr>
          <w:sz w:val="22"/>
          <w:szCs w:val="22"/>
        </w:rPr>
      </w:pPr>
      <w:r w:rsidRPr="009C797A">
        <w:rPr>
          <w:b/>
          <w:bCs/>
          <w:sz w:val="22"/>
        </w:rPr>
        <w:t xml:space="preserve">Why is this information necessary? </w:t>
      </w:r>
      <w:r w:rsidRPr="009C797A">
        <w:rPr>
          <w:b/>
          <w:bCs/>
          <w:sz w:val="22"/>
          <w:szCs w:val="22"/>
        </w:rPr>
        <w:t xml:space="preserve"> </w:t>
      </w:r>
    </w:p>
    <w:p w14:paraId="15CD6617" w14:textId="77777777" w:rsidR="00F617EA" w:rsidRPr="009C797A" w:rsidRDefault="00F617EA" w:rsidP="00F617EA">
      <w:pPr>
        <w:pStyle w:val="BodyText2"/>
        <w:tabs>
          <w:tab w:val="num" w:pos="450"/>
        </w:tabs>
        <w:ind w:left="450"/>
        <w:outlineLvl w:val="8"/>
        <w:rPr>
          <w:rFonts w:ascii="Times New Roman" w:hAnsi="Times New Roman"/>
          <w:sz w:val="22"/>
          <w:szCs w:val="22"/>
        </w:rPr>
      </w:pPr>
    </w:p>
    <w:p w14:paraId="03D23170" w14:textId="77777777" w:rsidR="004B2283" w:rsidRPr="009C797A" w:rsidRDefault="00563DD1" w:rsidP="005E0CE4">
      <w:pPr>
        <w:pStyle w:val="BodyText2"/>
        <w:ind w:left="450"/>
        <w:outlineLvl w:val="8"/>
        <w:rPr>
          <w:rFonts w:ascii="Times New Roman" w:hAnsi="Times New Roman"/>
          <w:sz w:val="22"/>
          <w:szCs w:val="22"/>
        </w:rPr>
      </w:pPr>
      <w:r w:rsidRPr="009C797A">
        <w:rPr>
          <w:rFonts w:ascii="Times New Roman" w:hAnsi="Times New Roman"/>
          <w:sz w:val="22"/>
          <w:szCs w:val="22"/>
        </w:rPr>
        <w:t xml:space="preserve">Section </w:t>
      </w:r>
      <w:r w:rsidR="00794E65" w:rsidRPr="009C797A">
        <w:rPr>
          <w:rFonts w:ascii="Times New Roman" w:hAnsi="Times New Roman"/>
          <w:sz w:val="22"/>
          <w:szCs w:val="22"/>
        </w:rPr>
        <w:t xml:space="preserve">9 </w:t>
      </w:r>
      <w:r w:rsidR="003F7C7B" w:rsidRPr="009C797A">
        <w:rPr>
          <w:rFonts w:ascii="Times New Roman" w:hAnsi="Times New Roman"/>
          <w:sz w:val="22"/>
          <w:szCs w:val="22"/>
        </w:rPr>
        <w:t>of the United States Housing Act of 1937</w:t>
      </w:r>
      <w:r w:rsidR="00794E65" w:rsidRPr="009C797A">
        <w:rPr>
          <w:rFonts w:ascii="Times New Roman" w:hAnsi="Times New Roman"/>
          <w:sz w:val="22"/>
          <w:szCs w:val="22"/>
        </w:rPr>
        <w:t xml:space="preserve"> (42 U.S.C. 1437g) (“1937 Act”) </w:t>
      </w:r>
      <w:r w:rsidR="00DD4D55" w:rsidRPr="009C797A">
        <w:rPr>
          <w:rFonts w:ascii="Times New Roman" w:hAnsi="Times New Roman"/>
          <w:color w:val="000000"/>
          <w:sz w:val="22"/>
          <w:szCs w:val="22"/>
        </w:rPr>
        <w:t>p</w:t>
      </w:r>
      <w:r w:rsidR="003F7C7B" w:rsidRPr="009C797A">
        <w:rPr>
          <w:rFonts w:ascii="Times New Roman" w:hAnsi="Times New Roman"/>
          <w:color w:val="000000"/>
          <w:sz w:val="22"/>
          <w:szCs w:val="22"/>
        </w:rPr>
        <w:t xml:space="preserve">ermits the Secretary of </w:t>
      </w:r>
      <w:r w:rsidR="006B496A" w:rsidRPr="009C797A">
        <w:rPr>
          <w:rFonts w:ascii="Times New Roman" w:hAnsi="Times New Roman"/>
          <w:color w:val="000000"/>
          <w:sz w:val="22"/>
          <w:szCs w:val="22"/>
        </w:rPr>
        <w:t>H</w:t>
      </w:r>
      <w:r w:rsidR="003F7C7B" w:rsidRPr="009C797A">
        <w:rPr>
          <w:rFonts w:ascii="Times New Roman" w:hAnsi="Times New Roman"/>
          <w:color w:val="000000"/>
          <w:sz w:val="22"/>
          <w:szCs w:val="22"/>
        </w:rPr>
        <w:t xml:space="preserve">UD to make annual contributions to </w:t>
      </w:r>
      <w:r w:rsidR="006B496A" w:rsidRPr="009C797A">
        <w:rPr>
          <w:rFonts w:ascii="Times New Roman" w:hAnsi="Times New Roman"/>
          <w:color w:val="000000"/>
          <w:sz w:val="22"/>
          <w:szCs w:val="22"/>
        </w:rPr>
        <w:t>PHAs to achieve and maintain</w:t>
      </w:r>
      <w:r w:rsidR="003F7C7B" w:rsidRPr="009C797A">
        <w:rPr>
          <w:rFonts w:ascii="Times New Roman" w:hAnsi="Times New Roman"/>
          <w:color w:val="000000"/>
          <w:sz w:val="22"/>
          <w:szCs w:val="22"/>
        </w:rPr>
        <w:t xml:space="preserve"> the </w:t>
      </w:r>
      <w:r w:rsidR="006B496A" w:rsidRPr="009C797A">
        <w:rPr>
          <w:rFonts w:ascii="Times New Roman" w:hAnsi="Times New Roman"/>
          <w:color w:val="000000"/>
          <w:sz w:val="22"/>
          <w:szCs w:val="22"/>
        </w:rPr>
        <w:t>low</w:t>
      </w:r>
      <w:r w:rsidR="002D3915" w:rsidRPr="009C797A">
        <w:rPr>
          <w:rFonts w:ascii="Times New Roman" w:hAnsi="Times New Roman"/>
          <w:color w:val="000000"/>
          <w:sz w:val="22"/>
          <w:szCs w:val="22"/>
        </w:rPr>
        <w:t>-</w:t>
      </w:r>
      <w:r w:rsidR="006B496A" w:rsidRPr="009C797A">
        <w:rPr>
          <w:rFonts w:ascii="Times New Roman" w:hAnsi="Times New Roman"/>
          <w:color w:val="000000"/>
          <w:sz w:val="22"/>
          <w:szCs w:val="22"/>
        </w:rPr>
        <w:t xml:space="preserve"> income character of public housing </w:t>
      </w:r>
      <w:r w:rsidR="003F7C7B" w:rsidRPr="009C797A">
        <w:rPr>
          <w:rFonts w:ascii="Times New Roman" w:hAnsi="Times New Roman"/>
          <w:color w:val="000000"/>
          <w:sz w:val="22"/>
          <w:szCs w:val="22"/>
        </w:rPr>
        <w:t>projects.  The Secretary is required to embody the provisions for such annual contributions in a contract guaranteeing payment.</w:t>
      </w:r>
      <w:r w:rsidR="006B496A" w:rsidRPr="009C797A">
        <w:rPr>
          <w:rFonts w:ascii="Times New Roman" w:hAnsi="Times New Roman"/>
          <w:color w:val="000000"/>
          <w:sz w:val="22"/>
          <w:szCs w:val="22"/>
        </w:rPr>
        <w:t xml:space="preserve"> </w:t>
      </w:r>
      <w:r w:rsidR="00257A76" w:rsidRPr="009C797A">
        <w:rPr>
          <w:rFonts w:ascii="Times New Roman" w:hAnsi="Times New Roman"/>
          <w:color w:val="000000"/>
          <w:sz w:val="22"/>
          <w:szCs w:val="22"/>
        </w:rPr>
        <w:t xml:space="preserve"> </w:t>
      </w:r>
      <w:r w:rsidR="004874EA" w:rsidRPr="009C797A">
        <w:rPr>
          <w:rFonts w:ascii="Times New Roman" w:hAnsi="Times New Roman"/>
          <w:color w:val="000000"/>
          <w:sz w:val="22"/>
          <w:szCs w:val="22"/>
        </w:rPr>
        <w:t>Governing</w:t>
      </w:r>
      <w:r w:rsidR="00257A76" w:rsidRPr="009C797A">
        <w:rPr>
          <w:rFonts w:ascii="Times New Roman" w:hAnsi="Times New Roman"/>
          <w:color w:val="000000"/>
          <w:sz w:val="22"/>
          <w:szCs w:val="22"/>
        </w:rPr>
        <w:t xml:space="preserve"> r</w:t>
      </w:r>
      <w:r w:rsidR="006B496A" w:rsidRPr="009C797A">
        <w:rPr>
          <w:rFonts w:ascii="Times New Roman" w:hAnsi="Times New Roman"/>
          <w:color w:val="000000"/>
          <w:sz w:val="22"/>
          <w:szCs w:val="22"/>
        </w:rPr>
        <w:t xml:space="preserve">egulations </w:t>
      </w:r>
      <w:r w:rsidR="00257A76" w:rsidRPr="009C797A">
        <w:rPr>
          <w:rFonts w:ascii="Times New Roman" w:hAnsi="Times New Roman"/>
          <w:color w:val="000000"/>
          <w:sz w:val="22"/>
          <w:szCs w:val="22"/>
        </w:rPr>
        <w:t>are 24 CFR</w:t>
      </w:r>
      <w:r w:rsidR="00794E65" w:rsidRPr="009C797A">
        <w:rPr>
          <w:rFonts w:ascii="Times New Roman" w:hAnsi="Times New Roman"/>
          <w:color w:val="000000"/>
          <w:sz w:val="22"/>
          <w:szCs w:val="22"/>
        </w:rPr>
        <w:t xml:space="preserve"> </w:t>
      </w:r>
      <w:r w:rsidR="00E21FF6">
        <w:rPr>
          <w:rFonts w:ascii="Times New Roman" w:hAnsi="Times New Roman"/>
          <w:color w:val="000000"/>
          <w:sz w:val="22"/>
          <w:szCs w:val="22"/>
        </w:rPr>
        <w:t xml:space="preserve">part </w:t>
      </w:r>
      <w:r w:rsidR="00F333D0" w:rsidRPr="009C797A">
        <w:rPr>
          <w:rFonts w:ascii="Times New Roman" w:hAnsi="Times New Roman"/>
          <w:color w:val="000000"/>
          <w:sz w:val="22"/>
          <w:szCs w:val="22"/>
        </w:rPr>
        <w:t xml:space="preserve">905 </w:t>
      </w:r>
      <w:r w:rsidR="00BD60BD" w:rsidRPr="009C797A">
        <w:rPr>
          <w:rFonts w:ascii="Times New Roman" w:hAnsi="Times New Roman"/>
          <w:color w:val="000000"/>
          <w:sz w:val="22"/>
          <w:szCs w:val="22"/>
        </w:rPr>
        <w:t>for public housing development and</w:t>
      </w:r>
      <w:r w:rsidR="00257A76" w:rsidRPr="009C797A">
        <w:rPr>
          <w:rFonts w:ascii="Times New Roman" w:hAnsi="Times New Roman"/>
          <w:color w:val="000000"/>
          <w:sz w:val="22"/>
          <w:szCs w:val="22"/>
        </w:rPr>
        <w:t xml:space="preserve"> 24 CFR </w:t>
      </w:r>
      <w:r w:rsidR="00E21FF6">
        <w:rPr>
          <w:rFonts w:ascii="Times New Roman" w:hAnsi="Times New Roman"/>
          <w:color w:val="000000"/>
          <w:sz w:val="22"/>
          <w:szCs w:val="22"/>
        </w:rPr>
        <w:t xml:space="preserve">part </w:t>
      </w:r>
      <w:r w:rsidR="00794E65" w:rsidRPr="009C797A">
        <w:rPr>
          <w:rFonts w:ascii="Times New Roman" w:hAnsi="Times New Roman"/>
          <w:color w:val="000000"/>
          <w:sz w:val="22"/>
          <w:szCs w:val="22"/>
        </w:rPr>
        <w:t xml:space="preserve">990 </w:t>
      </w:r>
      <w:r w:rsidR="006B496A" w:rsidRPr="009C797A">
        <w:rPr>
          <w:rFonts w:ascii="Times New Roman" w:hAnsi="Times New Roman"/>
          <w:color w:val="000000"/>
          <w:sz w:val="22"/>
          <w:szCs w:val="22"/>
        </w:rPr>
        <w:t>for continued operation of low-income housing after completion of debt service</w:t>
      </w:r>
      <w:r w:rsidR="00257A76" w:rsidRPr="009C797A">
        <w:rPr>
          <w:rFonts w:ascii="Times New Roman" w:hAnsi="Times New Roman"/>
          <w:color w:val="000000"/>
          <w:sz w:val="22"/>
          <w:szCs w:val="22"/>
        </w:rPr>
        <w:t>.</w:t>
      </w:r>
      <w:r w:rsidR="004B2283" w:rsidRPr="009C797A">
        <w:rPr>
          <w:rFonts w:ascii="Times New Roman" w:hAnsi="Times New Roman"/>
          <w:color w:val="000000"/>
          <w:sz w:val="22"/>
          <w:szCs w:val="22"/>
        </w:rPr>
        <w:t xml:space="preserve">   </w:t>
      </w:r>
    </w:p>
    <w:p w14:paraId="31BF4831" w14:textId="77777777" w:rsidR="004B2283" w:rsidRPr="009C797A" w:rsidRDefault="00864CC4" w:rsidP="005E0CE4">
      <w:pPr>
        <w:pStyle w:val="BodyText"/>
        <w:tabs>
          <w:tab w:val="left" w:pos="480"/>
        </w:tabs>
        <w:ind w:left="450"/>
        <w:rPr>
          <w:rFonts w:ascii="Helvetica" w:hAnsi="Helvetica"/>
          <w:sz w:val="22"/>
          <w:szCs w:val="22"/>
        </w:rPr>
      </w:pPr>
      <w:r w:rsidRPr="009C797A">
        <w:rPr>
          <w:rFonts w:ascii="Helvetica" w:hAnsi="Helvetica"/>
          <w:sz w:val="22"/>
          <w:szCs w:val="22"/>
        </w:rPr>
        <w:tab/>
      </w:r>
    </w:p>
    <w:p w14:paraId="1241439D" w14:textId="77777777" w:rsidR="007D0865" w:rsidRPr="009C797A" w:rsidRDefault="00F333D0" w:rsidP="005E0CE4">
      <w:pPr>
        <w:pStyle w:val="BodyText"/>
        <w:tabs>
          <w:tab w:val="left" w:pos="480"/>
        </w:tabs>
        <w:ind w:left="450"/>
        <w:rPr>
          <w:sz w:val="22"/>
          <w:szCs w:val="22"/>
        </w:rPr>
      </w:pPr>
      <w:r w:rsidRPr="009C797A">
        <w:rPr>
          <w:sz w:val="22"/>
          <w:szCs w:val="22"/>
        </w:rPr>
        <w:tab/>
      </w:r>
      <w:r w:rsidR="00E1322A" w:rsidRPr="009C797A">
        <w:rPr>
          <w:sz w:val="22"/>
          <w:szCs w:val="22"/>
        </w:rPr>
        <w:t>Pursuant to S</w:t>
      </w:r>
      <w:r w:rsidRPr="009C797A">
        <w:rPr>
          <w:sz w:val="22"/>
          <w:szCs w:val="22"/>
        </w:rPr>
        <w:t>ection 9 of the 1937</w:t>
      </w:r>
      <w:r w:rsidR="00794E65" w:rsidRPr="009C797A">
        <w:rPr>
          <w:sz w:val="22"/>
          <w:szCs w:val="22"/>
        </w:rPr>
        <w:t xml:space="preserve"> Act</w:t>
      </w:r>
      <w:r w:rsidRPr="009C797A">
        <w:rPr>
          <w:sz w:val="22"/>
          <w:szCs w:val="22"/>
        </w:rPr>
        <w:t xml:space="preserve">, PHAs must enter into a </w:t>
      </w:r>
      <w:r w:rsidR="00E1322A" w:rsidRPr="009C797A">
        <w:rPr>
          <w:sz w:val="22"/>
          <w:szCs w:val="22"/>
        </w:rPr>
        <w:t xml:space="preserve">written </w:t>
      </w:r>
      <w:r w:rsidRPr="009C797A">
        <w:rPr>
          <w:sz w:val="22"/>
          <w:szCs w:val="22"/>
        </w:rPr>
        <w:t>contract with HUD governing the terms and conditions of their public housing.</w:t>
      </w:r>
      <w:r w:rsidR="00EA6A23" w:rsidRPr="009C797A">
        <w:rPr>
          <w:sz w:val="22"/>
          <w:szCs w:val="22"/>
        </w:rPr>
        <w:t xml:space="preserve">  </w:t>
      </w:r>
      <w:r w:rsidR="00E1322A" w:rsidRPr="009C797A">
        <w:rPr>
          <w:sz w:val="22"/>
          <w:szCs w:val="22"/>
        </w:rPr>
        <w:t xml:space="preserve">HUD calls this contract an Annual Contributions Contract (ACC).  Under the contract, HUD agrees to provide funding to the PHA to support its program and the PHA agrees to administer the program in accordance with HUD regulations and requirements and the terms of the contract.  </w:t>
      </w:r>
      <w:r w:rsidRPr="009C797A">
        <w:rPr>
          <w:sz w:val="22"/>
          <w:szCs w:val="22"/>
        </w:rPr>
        <w:t xml:space="preserve">HUD created forms HUD-53012 </w:t>
      </w:r>
      <w:r w:rsidR="007546EC">
        <w:rPr>
          <w:sz w:val="22"/>
          <w:szCs w:val="22"/>
        </w:rPr>
        <w:t>(ACC</w:t>
      </w:r>
      <w:r w:rsidRPr="009C797A">
        <w:rPr>
          <w:sz w:val="22"/>
          <w:szCs w:val="22"/>
        </w:rPr>
        <w:t>) to fulfill this</w:t>
      </w:r>
      <w:r w:rsidR="00E1322A" w:rsidRPr="009C797A">
        <w:rPr>
          <w:sz w:val="22"/>
          <w:szCs w:val="22"/>
        </w:rPr>
        <w:t xml:space="preserve"> contractual written requirement</w:t>
      </w:r>
      <w:r w:rsidRPr="009C797A">
        <w:rPr>
          <w:sz w:val="22"/>
          <w:szCs w:val="22"/>
        </w:rPr>
        <w:t xml:space="preserve">.  All PHAs must have an executed ACC on file with HUD.  </w:t>
      </w:r>
      <w:r w:rsidR="007546EC">
        <w:rPr>
          <w:sz w:val="22"/>
          <w:szCs w:val="22"/>
        </w:rPr>
        <w:t>This PRA collection amends the current ACC form.</w:t>
      </w:r>
    </w:p>
    <w:p w14:paraId="6CCBA045" w14:textId="77777777" w:rsidR="007D0865" w:rsidRPr="009C797A" w:rsidRDefault="007D0865" w:rsidP="005E0CE4">
      <w:pPr>
        <w:pStyle w:val="BodyText"/>
        <w:tabs>
          <w:tab w:val="left" w:pos="480"/>
        </w:tabs>
        <w:ind w:left="450"/>
        <w:rPr>
          <w:sz w:val="22"/>
          <w:szCs w:val="22"/>
        </w:rPr>
      </w:pPr>
    </w:p>
    <w:p w14:paraId="5AD066C8" w14:textId="77777777" w:rsidR="00E1322A" w:rsidRPr="009C797A" w:rsidRDefault="00E1322A" w:rsidP="005E0CE4">
      <w:pPr>
        <w:pStyle w:val="BodyText"/>
        <w:tabs>
          <w:tab w:val="left" w:pos="480"/>
        </w:tabs>
        <w:ind w:left="450"/>
        <w:rPr>
          <w:sz w:val="22"/>
          <w:szCs w:val="22"/>
        </w:rPr>
      </w:pPr>
      <w:r w:rsidRPr="009C797A">
        <w:rPr>
          <w:sz w:val="22"/>
          <w:szCs w:val="22"/>
        </w:rPr>
        <w:t>HUD also requires PHAs that receive Capital Fund grants to maintain, improve, and develop their public housing under Section 9 of the 1937 Act to enter into a contractual agreement known as HUD-52840-A (Capital Fund ACC amendment).</w:t>
      </w:r>
    </w:p>
    <w:p w14:paraId="08040045" w14:textId="77777777" w:rsidR="00E1322A" w:rsidRPr="009C797A" w:rsidRDefault="00E1322A" w:rsidP="005E0CE4">
      <w:pPr>
        <w:pStyle w:val="BodyText"/>
        <w:tabs>
          <w:tab w:val="left" w:pos="480"/>
        </w:tabs>
        <w:ind w:left="450"/>
        <w:rPr>
          <w:sz w:val="22"/>
          <w:szCs w:val="22"/>
        </w:rPr>
      </w:pPr>
    </w:p>
    <w:p w14:paraId="1C8B02FA" w14:textId="77777777" w:rsidR="007546EC" w:rsidRPr="009C797A" w:rsidRDefault="00E1322A" w:rsidP="007546EC">
      <w:pPr>
        <w:pStyle w:val="BodyText"/>
        <w:tabs>
          <w:tab w:val="left" w:pos="480"/>
        </w:tabs>
        <w:ind w:left="450"/>
        <w:rPr>
          <w:sz w:val="22"/>
          <w:szCs w:val="22"/>
        </w:rPr>
      </w:pPr>
      <w:r w:rsidRPr="009C797A">
        <w:rPr>
          <w:sz w:val="22"/>
          <w:szCs w:val="22"/>
        </w:rPr>
        <w:t xml:space="preserve">Section 9 of the U.S. Housing Act of 1937, as amended, requires that public housing properties that are receiving funding under the 1937 Act be operated as public housing for a set amount of time based on the type and use of assistance that the PHA receives.  PHAs that receive HUD assistance are required to maintain a </w:t>
      </w:r>
      <w:r w:rsidR="00EA6A23" w:rsidRPr="009C797A">
        <w:rPr>
          <w:sz w:val="22"/>
          <w:szCs w:val="22"/>
        </w:rPr>
        <w:t>Declaration of Trust (</w:t>
      </w:r>
      <w:r w:rsidRPr="009C797A">
        <w:rPr>
          <w:sz w:val="22"/>
          <w:szCs w:val="22"/>
        </w:rPr>
        <w:t>DOT</w:t>
      </w:r>
      <w:r w:rsidR="007546EC">
        <w:rPr>
          <w:sz w:val="22"/>
          <w:szCs w:val="22"/>
        </w:rPr>
        <w:t>) o</w:t>
      </w:r>
      <w:r w:rsidR="00EA6A23" w:rsidRPr="009C797A">
        <w:rPr>
          <w:sz w:val="22"/>
          <w:szCs w:val="22"/>
        </w:rPr>
        <w:t>r Declaration of Restrictive Covenants (DoRC)</w:t>
      </w:r>
      <w:r w:rsidRPr="009C797A">
        <w:rPr>
          <w:sz w:val="22"/>
          <w:szCs w:val="22"/>
        </w:rPr>
        <w:t xml:space="preserve"> </w:t>
      </w:r>
      <w:r w:rsidR="00EA6A23" w:rsidRPr="009C797A">
        <w:rPr>
          <w:sz w:val="22"/>
          <w:szCs w:val="22"/>
        </w:rPr>
        <w:t>in the case of mixed-fin</w:t>
      </w:r>
      <w:r w:rsidR="007546EC">
        <w:rPr>
          <w:sz w:val="22"/>
          <w:szCs w:val="22"/>
        </w:rPr>
        <w:t>ance public housing development</w:t>
      </w:r>
      <w:r w:rsidR="00EA6A23" w:rsidRPr="009C797A">
        <w:rPr>
          <w:sz w:val="22"/>
          <w:szCs w:val="22"/>
        </w:rPr>
        <w:t xml:space="preserve"> </w:t>
      </w:r>
      <w:r w:rsidRPr="009C797A">
        <w:rPr>
          <w:sz w:val="22"/>
          <w:szCs w:val="22"/>
        </w:rPr>
        <w:t>against all property in each project that benefits from assistance.  A DOT</w:t>
      </w:r>
      <w:r w:rsidR="007546EC">
        <w:rPr>
          <w:sz w:val="22"/>
          <w:szCs w:val="22"/>
        </w:rPr>
        <w:t>/DoRC</w:t>
      </w:r>
      <w:r w:rsidRPr="009C797A">
        <w:rPr>
          <w:sz w:val="22"/>
          <w:szCs w:val="22"/>
        </w:rPr>
        <w:t xml:space="preserve"> is a legal instrument which provides public notice that the property was developed, maintained, or operated with Federal assistance and is, therefore, held in trust by the PHA for the benefit of HUD.  The DOT</w:t>
      </w:r>
      <w:r w:rsidR="007546EC">
        <w:rPr>
          <w:sz w:val="22"/>
          <w:szCs w:val="22"/>
        </w:rPr>
        <w:t>/DoRC</w:t>
      </w:r>
      <w:r w:rsidRPr="009C797A">
        <w:rPr>
          <w:sz w:val="22"/>
          <w:szCs w:val="22"/>
        </w:rPr>
        <w:t xml:space="preserve"> establishes that the </w:t>
      </w:r>
      <w:r w:rsidR="0070447E" w:rsidRPr="009C797A">
        <w:rPr>
          <w:sz w:val="22"/>
          <w:szCs w:val="22"/>
        </w:rPr>
        <w:t xml:space="preserve">property </w:t>
      </w:r>
      <w:r w:rsidRPr="009C797A">
        <w:rPr>
          <w:sz w:val="22"/>
          <w:szCs w:val="22"/>
        </w:rPr>
        <w:t>is t</w:t>
      </w:r>
      <w:r w:rsidR="0070447E" w:rsidRPr="009C797A">
        <w:rPr>
          <w:sz w:val="22"/>
          <w:szCs w:val="22"/>
        </w:rPr>
        <w:t>o</w:t>
      </w:r>
      <w:r w:rsidRPr="009C797A">
        <w:rPr>
          <w:sz w:val="22"/>
          <w:szCs w:val="22"/>
        </w:rPr>
        <w:t xml:space="preserve"> be operated as public housing in accordance </w:t>
      </w:r>
      <w:r w:rsidR="0070447E" w:rsidRPr="009C797A">
        <w:rPr>
          <w:sz w:val="22"/>
          <w:szCs w:val="22"/>
        </w:rPr>
        <w:t xml:space="preserve">with </w:t>
      </w:r>
      <w:r w:rsidRPr="009C797A">
        <w:rPr>
          <w:sz w:val="22"/>
          <w:szCs w:val="22"/>
        </w:rPr>
        <w:t>the terms and conditions of the ACC and restricts the PHA from transferring, conveying, assigning, leasing, mortgaging, pledging or otherwise encumbering the property without the expressed permis</w:t>
      </w:r>
      <w:r w:rsidR="007546EC">
        <w:rPr>
          <w:sz w:val="22"/>
          <w:szCs w:val="22"/>
        </w:rPr>
        <w:t xml:space="preserve">sion of HUD.  HUD created form </w:t>
      </w:r>
      <w:r w:rsidR="00F333D0" w:rsidRPr="009C797A">
        <w:rPr>
          <w:sz w:val="22"/>
          <w:szCs w:val="22"/>
        </w:rPr>
        <w:t>52</w:t>
      </w:r>
      <w:r w:rsidR="007546EC">
        <w:rPr>
          <w:sz w:val="22"/>
          <w:szCs w:val="22"/>
        </w:rPr>
        <w:t>190</w:t>
      </w:r>
      <w:r w:rsidR="00F333D0" w:rsidRPr="009C797A">
        <w:rPr>
          <w:sz w:val="22"/>
          <w:szCs w:val="22"/>
        </w:rPr>
        <w:t xml:space="preserve"> (Declaration of Trust</w:t>
      </w:r>
      <w:r w:rsidR="007546EC">
        <w:rPr>
          <w:sz w:val="22"/>
          <w:szCs w:val="22"/>
        </w:rPr>
        <w:t>/Declaration of Restrictive Covenants</w:t>
      </w:r>
      <w:r w:rsidR="00F333D0" w:rsidRPr="009C797A">
        <w:rPr>
          <w:sz w:val="22"/>
          <w:szCs w:val="22"/>
        </w:rPr>
        <w:t>)</w:t>
      </w:r>
      <w:r w:rsidRPr="009C797A">
        <w:rPr>
          <w:sz w:val="22"/>
          <w:szCs w:val="22"/>
        </w:rPr>
        <w:t xml:space="preserve"> to meet these requirements for certain funding.</w:t>
      </w:r>
      <w:r w:rsidR="007546EC" w:rsidRPr="007546EC">
        <w:rPr>
          <w:sz w:val="22"/>
          <w:szCs w:val="22"/>
        </w:rPr>
        <w:t xml:space="preserve"> </w:t>
      </w:r>
      <w:r w:rsidR="007546EC">
        <w:rPr>
          <w:sz w:val="22"/>
          <w:szCs w:val="22"/>
        </w:rPr>
        <w:t>This PRA collection amends the DOT/DoRC form.</w:t>
      </w:r>
    </w:p>
    <w:p w14:paraId="1BFDF53B" w14:textId="77777777" w:rsidR="00E1322A" w:rsidRPr="009C797A" w:rsidRDefault="00E1322A" w:rsidP="007546EC">
      <w:pPr>
        <w:pStyle w:val="BodyText"/>
        <w:tabs>
          <w:tab w:val="left" w:pos="480"/>
        </w:tabs>
        <w:rPr>
          <w:sz w:val="22"/>
          <w:szCs w:val="22"/>
        </w:rPr>
      </w:pPr>
    </w:p>
    <w:p w14:paraId="78B5AC0D" w14:textId="77777777" w:rsidR="00F333D0" w:rsidRPr="009C797A" w:rsidRDefault="00E1322A" w:rsidP="005E0CE4">
      <w:pPr>
        <w:pStyle w:val="BodyText"/>
        <w:tabs>
          <w:tab w:val="left" w:pos="480"/>
        </w:tabs>
        <w:ind w:left="450"/>
        <w:rPr>
          <w:sz w:val="22"/>
          <w:szCs w:val="22"/>
        </w:rPr>
      </w:pPr>
      <w:r w:rsidRPr="009C797A">
        <w:rPr>
          <w:sz w:val="22"/>
          <w:szCs w:val="22"/>
        </w:rPr>
        <w:tab/>
        <w:t>HUD also requires some PHAs to enter into a HUD-51999 (General Depository Agreement) in order to govern the treatment of depositories, monies and other financial assistance that HUD has provided to the PHA</w:t>
      </w:r>
    </w:p>
    <w:p w14:paraId="6C9663D5" w14:textId="77777777" w:rsidR="00F333D0" w:rsidRPr="009C797A" w:rsidRDefault="00F333D0" w:rsidP="00E027E6">
      <w:pPr>
        <w:pStyle w:val="BodyText"/>
        <w:tabs>
          <w:tab w:val="left" w:pos="480"/>
        </w:tabs>
        <w:ind w:left="630" w:hanging="480"/>
        <w:rPr>
          <w:rFonts w:ascii="Helvetica" w:hAnsi="Helvetica"/>
          <w:sz w:val="22"/>
          <w:szCs w:val="22"/>
        </w:rPr>
      </w:pPr>
    </w:p>
    <w:p w14:paraId="6080DEFC" w14:textId="77777777" w:rsidR="007D0865" w:rsidRPr="009C797A" w:rsidRDefault="007D0865" w:rsidP="005E0CE4">
      <w:pPr>
        <w:pStyle w:val="BodyText"/>
        <w:tabs>
          <w:tab w:val="left" w:pos="480"/>
        </w:tabs>
        <w:ind w:left="450"/>
        <w:rPr>
          <w:sz w:val="22"/>
          <w:szCs w:val="22"/>
        </w:rPr>
      </w:pPr>
      <w:r w:rsidRPr="009C797A">
        <w:rPr>
          <w:sz w:val="22"/>
          <w:szCs w:val="22"/>
        </w:rPr>
        <w:t>When a PHA submit</w:t>
      </w:r>
      <w:r w:rsidR="0070447E" w:rsidRPr="009C797A">
        <w:rPr>
          <w:sz w:val="22"/>
          <w:szCs w:val="22"/>
        </w:rPr>
        <w:t>s</w:t>
      </w:r>
      <w:r w:rsidRPr="009C797A">
        <w:rPr>
          <w:sz w:val="22"/>
          <w:szCs w:val="22"/>
        </w:rPr>
        <w:t xml:space="preserve"> a voluntary application to HUD that indicates it intends to remove all of its public housing dwelling units from its inventory, HUD requires that the PHA indicate, in writing, its future plans for either termination of the public housing ACC or developing new public housing dwelling units.  If the PHA plans to terminate its public housing program, HUD will </w:t>
      </w:r>
      <w:r w:rsidR="005E0CE4" w:rsidRPr="009C797A">
        <w:rPr>
          <w:sz w:val="22"/>
          <w:szCs w:val="22"/>
        </w:rPr>
        <w:t>ensure that all ACC personal and real property is removed</w:t>
      </w:r>
      <w:r w:rsidR="006C0865" w:rsidRPr="009C797A">
        <w:rPr>
          <w:sz w:val="22"/>
          <w:szCs w:val="22"/>
        </w:rPr>
        <w:t>, in accordance with 2 CFR §§ 200.310 – 200.316,</w:t>
      </w:r>
      <w:r w:rsidR="005E0CE4" w:rsidRPr="009C797A">
        <w:rPr>
          <w:sz w:val="22"/>
          <w:szCs w:val="22"/>
        </w:rPr>
        <w:t xml:space="preserve"> and all remaining grant closeout procedures are complied with</w:t>
      </w:r>
      <w:r w:rsidR="00EE3D26" w:rsidRPr="009C797A">
        <w:rPr>
          <w:sz w:val="22"/>
          <w:szCs w:val="22"/>
        </w:rPr>
        <w:t>.  E</w:t>
      </w:r>
      <w:r w:rsidRPr="009C797A">
        <w:rPr>
          <w:sz w:val="22"/>
          <w:szCs w:val="22"/>
        </w:rPr>
        <w:t>ventually, after all applicable close-out requirements have been satisfied,</w:t>
      </w:r>
      <w:r w:rsidR="00EE3D26" w:rsidRPr="009C797A">
        <w:rPr>
          <w:sz w:val="22"/>
          <w:szCs w:val="22"/>
        </w:rPr>
        <w:t xml:space="preserve"> HUD will</w:t>
      </w:r>
      <w:r w:rsidRPr="009C797A">
        <w:rPr>
          <w:sz w:val="22"/>
          <w:szCs w:val="22"/>
        </w:rPr>
        <w:t xml:space="preserve"> terminate its ACC with the PHA.</w:t>
      </w:r>
    </w:p>
    <w:p w14:paraId="4AF74615" w14:textId="77777777" w:rsidR="007D0865" w:rsidRPr="009C797A" w:rsidRDefault="007D0865" w:rsidP="00E027E6">
      <w:pPr>
        <w:pStyle w:val="BodyText"/>
        <w:tabs>
          <w:tab w:val="left" w:pos="480"/>
        </w:tabs>
        <w:ind w:left="630" w:hanging="480"/>
        <w:rPr>
          <w:rFonts w:ascii="Helvetica" w:hAnsi="Helvetica"/>
          <w:sz w:val="22"/>
          <w:szCs w:val="22"/>
        </w:rPr>
      </w:pPr>
    </w:p>
    <w:p w14:paraId="0B4879FC" w14:textId="1AEEA343" w:rsidR="004B2283" w:rsidRPr="009C797A" w:rsidRDefault="004B2283" w:rsidP="007D0865">
      <w:pPr>
        <w:pStyle w:val="BodyText"/>
        <w:tabs>
          <w:tab w:val="left" w:pos="480"/>
        </w:tabs>
        <w:ind w:left="480"/>
        <w:rPr>
          <w:sz w:val="22"/>
          <w:szCs w:val="22"/>
        </w:rPr>
      </w:pPr>
      <w:r w:rsidRPr="009C797A">
        <w:rPr>
          <w:sz w:val="22"/>
          <w:szCs w:val="22"/>
        </w:rPr>
        <w:t>Under Sections 18, 22, 32, and 33 of the</w:t>
      </w:r>
      <w:r w:rsidR="00F333D0" w:rsidRPr="009C797A">
        <w:rPr>
          <w:sz w:val="22"/>
          <w:szCs w:val="22"/>
        </w:rPr>
        <w:t xml:space="preserve"> 1937 </w:t>
      </w:r>
      <w:r w:rsidRPr="009C797A">
        <w:rPr>
          <w:sz w:val="22"/>
          <w:szCs w:val="22"/>
        </w:rPr>
        <w:t xml:space="preserve">Act, the </w:t>
      </w:r>
      <w:r w:rsidR="002D3915" w:rsidRPr="009C797A">
        <w:rPr>
          <w:sz w:val="22"/>
          <w:szCs w:val="22"/>
        </w:rPr>
        <w:t xml:space="preserve">HUD </w:t>
      </w:r>
      <w:r w:rsidRPr="009C797A">
        <w:rPr>
          <w:sz w:val="22"/>
          <w:szCs w:val="22"/>
        </w:rPr>
        <w:t xml:space="preserve">Secretary </w:t>
      </w:r>
      <w:r w:rsidR="004874EA" w:rsidRPr="009C797A">
        <w:rPr>
          <w:sz w:val="22"/>
          <w:szCs w:val="22"/>
        </w:rPr>
        <w:t xml:space="preserve">also </w:t>
      </w:r>
      <w:r w:rsidRPr="009C797A">
        <w:rPr>
          <w:sz w:val="22"/>
          <w:szCs w:val="22"/>
        </w:rPr>
        <w:t>is authorized to approve requests from P</w:t>
      </w:r>
      <w:r w:rsidR="00E37352" w:rsidRPr="009C797A">
        <w:rPr>
          <w:sz w:val="22"/>
          <w:szCs w:val="22"/>
        </w:rPr>
        <w:t>HAs</w:t>
      </w:r>
      <w:r w:rsidR="0015196D" w:rsidRPr="009C797A">
        <w:rPr>
          <w:sz w:val="22"/>
          <w:szCs w:val="22"/>
        </w:rPr>
        <w:t xml:space="preserve"> </w:t>
      </w:r>
      <w:r w:rsidRPr="009C797A">
        <w:rPr>
          <w:sz w:val="22"/>
          <w:szCs w:val="22"/>
        </w:rPr>
        <w:t xml:space="preserve">to remove certain public housing property (dwelling units, land, and non-dwelling structures) from their inventories through demolition, disposition, voluntary conversion, required conversion, or homeownership. </w:t>
      </w:r>
      <w:r w:rsidR="00E1322A" w:rsidRPr="009C797A">
        <w:rPr>
          <w:sz w:val="22"/>
          <w:szCs w:val="22"/>
        </w:rPr>
        <w:t xml:space="preserve"> </w:t>
      </w:r>
      <w:r w:rsidRPr="009C797A">
        <w:rPr>
          <w:sz w:val="22"/>
          <w:szCs w:val="22"/>
        </w:rPr>
        <w:t>In addition, due to HUD’s</w:t>
      </w:r>
      <w:r w:rsidR="00F407E4" w:rsidRPr="009C797A">
        <w:rPr>
          <w:sz w:val="22"/>
          <w:szCs w:val="22"/>
        </w:rPr>
        <w:t xml:space="preserve"> </w:t>
      </w:r>
      <w:r w:rsidR="00C25AD4" w:rsidRPr="009C797A">
        <w:rPr>
          <w:sz w:val="22"/>
          <w:szCs w:val="22"/>
        </w:rPr>
        <w:t>third-party</w:t>
      </w:r>
      <w:r w:rsidRPr="009C797A">
        <w:rPr>
          <w:sz w:val="22"/>
          <w:szCs w:val="22"/>
        </w:rPr>
        <w:t xml:space="preserve"> beneficiary interest in public housing property under the ACC and </w:t>
      </w:r>
      <w:r w:rsidR="00EA6A23" w:rsidRPr="009C797A">
        <w:rPr>
          <w:sz w:val="22"/>
          <w:szCs w:val="22"/>
        </w:rPr>
        <w:t>DOT</w:t>
      </w:r>
      <w:r w:rsidRPr="009C797A">
        <w:rPr>
          <w:sz w:val="22"/>
          <w:szCs w:val="22"/>
        </w:rPr>
        <w:t xml:space="preserve">, HUD must approve condemnation of public housing property through eminent domain proceedings.  </w:t>
      </w:r>
      <w:r w:rsidR="00E1322A" w:rsidRPr="009C797A">
        <w:rPr>
          <w:sz w:val="22"/>
          <w:szCs w:val="22"/>
        </w:rPr>
        <w:t>Pursuant to 2 CFR 200.311(c)(1)</w:t>
      </w:r>
      <w:r w:rsidR="00E1322A" w:rsidRPr="009C797A">
        <w:rPr>
          <w:bCs/>
          <w:sz w:val="22"/>
          <w:szCs w:val="22"/>
        </w:rPr>
        <w:t xml:space="preserve">, PHAs may also </w:t>
      </w:r>
      <w:r w:rsidR="00AD7888" w:rsidRPr="009C797A">
        <w:rPr>
          <w:sz w:val="22"/>
          <w:szCs w:val="22"/>
        </w:rPr>
        <w:t>request</w:t>
      </w:r>
      <w:r w:rsidR="00E1322A" w:rsidRPr="009C797A">
        <w:rPr>
          <w:sz w:val="22"/>
          <w:szCs w:val="22"/>
        </w:rPr>
        <w:t xml:space="preserve"> that HUD </w:t>
      </w:r>
      <w:r w:rsidR="00EA6A23" w:rsidRPr="009C797A">
        <w:rPr>
          <w:sz w:val="22"/>
          <w:szCs w:val="22"/>
        </w:rPr>
        <w:t>approval to</w:t>
      </w:r>
      <w:r w:rsidR="00E1322A" w:rsidRPr="009C797A">
        <w:rPr>
          <w:sz w:val="22"/>
          <w:szCs w:val="22"/>
        </w:rPr>
        <w:t xml:space="preserve"> retain ownership public housing </w:t>
      </w:r>
      <w:r w:rsidR="007D0865" w:rsidRPr="009C797A">
        <w:rPr>
          <w:sz w:val="22"/>
          <w:szCs w:val="22"/>
        </w:rPr>
        <w:t>property</w:t>
      </w:r>
      <w:r w:rsidR="00E1322A" w:rsidRPr="009C797A">
        <w:rPr>
          <w:sz w:val="22"/>
          <w:szCs w:val="22"/>
        </w:rPr>
        <w:t xml:space="preserve"> free from public housing use restrictions under the </w:t>
      </w:r>
      <w:r w:rsidR="00EA6A23" w:rsidRPr="009C797A">
        <w:rPr>
          <w:sz w:val="22"/>
          <w:szCs w:val="22"/>
        </w:rPr>
        <w:t>ACC and DOT.</w:t>
      </w:r>
      <w:r w:rsidR="00E1322A" w:rsidRPr="009C797A">
        <w:rPr>
          <w:sz w:val="22"/>
          <w:szCs w:val="22"/>
        </w:rPr>
        <w:t xml:space="preserve">  </w:t>
      </w:r>
      <w:r w:rsidRPr="009C797A">
        <w:rPr>
          <w:sz w:val="22"/>
          <w:szCs w:val="22"/>
        </w:rPr>
        <w:t>PHAs</w:t>
      </w:r>
      <w:r w:rsidR="00F407E4" w:rsidRPr="009C797A">
        <w:rPr>
          <w:sz w:val="22"/>
          <w:szCs w:val="22"/>
        </w:rPr>
        <w:t xml:space="preserve"> </w:t>
      </w:r>
      <w:r w:rsidRPr="009C797A">
        <w:rPr>
          <w:sz w:val="22"/>
          <w:szCs w:val="22"/>
        </w:rPr>
        <w:t>cannot remove public housing property from their inventor</w:t>
      </w:r>
      <w:r w:rsidR="000B7FF9" w:rsidRPr="009C797A">
        <w:rPr>
          <w:sz w:val="22"/>
          <w:szCs w:val="22"/>
        </w:rPr>
        <w:t>y</w:t>
      </w:r>
      <w:r w:rsidRPr="009C797A">
        <w:rPr>
          <w:sz w:val="22"/>
          <w:szCs w:val="22"/>
        </w:rPr>
        <w:t xml:space="preserve"> without HUD approval.  HUD regulations implementing</w:t>
      </w:r>
      <w:r w:rsidR="00F407E4" w:rsidRPr="009C797A">
        <w:rPr>
          <w:sz w:val="22"/>
          <w:szCs w:val="22"/>
        </w:rPr>
        <w:t xml:space="preserve"> </w:t>
      </w:r>
      <w:r w:rsidRPr="009C797A">
        <w:rPr>
          <w:sz w:val="22"/>
          <w:szCs w:val="22"/>
        </w:rPr>
        <w:t xml:space="preserve">Sections 18, 22, 32, and 33 </w:t>
      </w:r>
      <w:r w:rsidR="006C0865" w:rsidRPr="009C797A">
        <w:rPr>
          <w:sz w:val="22"/>
          <w:szCs w:val="22"/>
        </w:rPr>
        <w:t xml:space="preserve">of the 1937 Act </w:t>
      </w:r>
      <w:r w:rsidRPr="009C797A">
        <w:rPr>
          <w:sz w:val="22"/>
          <w:szCs w:val="22"/>
        </w:rPr>
        <w:t xml:space="preserve">are found at 24 CFR </w:t>
      </w:r>
      <w:r w:rsidR="00EA6A23" w:rsidRPr="009C797A">
        <w:rPr>
          <w:sz w:val="22"/>
          <w:szCs w:val="22"/>
        </w:rPr>
        <w:t xml:space="preserve">part </w:t>
      </w:r>
      <w:r w:rsidRPr="009C797A">
        <w:rPr>
          <w:sz w:val="22"/>
          <w:szCs w:val="22"/>
        </w:rPr>
        <w:t>970</w:t>
      </w:r>
      <w:r w:rsidR="00837EDF" w:rsidRPr="009C797A">
        <w:rPr>
          <w:sz w:val="22"/>
          <w:szCs w:val="22"/>
        </w:rPr>
        <w:t xml:space="preserve"> (Section 18)</w:t>
      </w:r>
      <w:r w:rsidRPr="009C797A">
        <w:rPr>
          <w:sz w:val="22"/>
          <w:szCs w:val="22"/>
        </w:rPr>
        <w:t>, 24 CFR</w:t>
      </w:r>
      <w:r w:rsidR="00EA6A23" w:rsidRPr="009C797A">
        <w:rPr>
          <w:sz w:val="22"/>
          <w:szCs w:val="22"/>
        </w:rPr>
        <w:t xml:space="preserve"> part</w:t>
      </w:r>
      <w:r w:rsidRPr="009C797A">
        <w:rPr>
          <w:sz w:val="22"/>
          <w:szCs w:val="22"/>
        </w:rPr>
        <w:t xml:space="preserve"> 972</w:t>
      </w:r>
      <w:r w:rsidR="00837EDF" w:rsidRPr="009C797A">
        <w:rPr>
          <w:sz w:val="22"/>
          <w:szCs w:val="22"/>
        </w:rPr>
        <w:t xml:space="preserve"> (Section 22 and Section 33)</w:t>
      </w:r>
      <w:r w:rsidRPr="009C797A">
        <w:rPr>
          <w:sz w:val="22"/>
          <w:szCs w:val="22"/>
        </w:rPr>
        <w:t xml:space="preserve">, and 24 CFR </w:t>
      </w:r>
      <w:r w:rsidR="00EA6A23" w:rsidRPr="009C797A">
        <w:rPr>
          <w:sz w:val="22"/>
          <w:szCs w:val="22"/>
        </w:rPr>
        <w:t xml:space="preserve">part </w:t>
      </w:r>
      <w:r w:rsidRPr="009C797A">
        <w:rPr>
          <w:sz w:val="22"/>
          <w:szCs w:val="22"/>
        </w:rPr>
        <w:t>906</w:t>
      </w:r>
      <w:r w:rsidR="00837EDF" w:rsidRPr="009C797A">
        <w:rPr>
          <w:sz w:val="22"/>
          <w:szCs w:val="22"/>
        </w:rPr>
        <w:t xml:space="preserve"> (Section 32)</w:t>
      </w:r>
      <w:r w:rsidRPr="009C797A">
        <w:rPr>
          <w:sz w:val="22"/>
          <w:szCs w:val="22"/>
        </w:rPr>
        <w:t xml:space="preserve">.     </w:t>
      </w:r>
    </w:p>
    <w:p w14:paraId="767C70AA" w14:textId="77777777" w:rsidR="004B2283" w:rsidRPr="009C797A" w:rsidRDefault="004B2283" w:rsidP="004B2283">
      <w:pPr>
        <w:pStyle w:val="BlockText"/>
        <w:ind w:left="0"/>
        <w:rPr>
          <w:szCs w:val="22"/>
        </w:rPr>
      </w:pPr>
    </w:p>
    <w:p w14:paraId="1EFB2BD6" w14:textId="77777777" w:rsidR="007B5FE3" w:rsidRDefault="004B2283" w:rsidP="00162303">
      <w:pPr>
        <w:pStyle w:val="BlockText"/>
        <w:ind w:left="450"/>
        <w:rPr>
          <w:szCs w:val="22"/>
        </w:rPr>
      </w:pPr>
      <w:r w:rsidRPr="009C797A">
        <w:rPr>
          <w:szCs w:val="22"/>
        </w:rPr>
        <w:t>In order to efficiently and effectively review requests from PHAs to remove public housing</w:t>
      </w:r>
      <w:r w:rsidR="000B7FF9" w:rsidRPr="009C797A">
        <w:rPr>
          <w:szCs w:val="22"/>
        </w:rPr>
        <w:t xml:space="preserve"> property from their inventory</w:t>
      </w:r>
      <w:r w:rsidR="004D113C" w:rsidRPr="009C797A">
        <w:rPr>
          <w:szCs w:val="22"/>
        </w:rPr>
        <w:t>,</w:t>
      </w:r>
      <w:r w:rsidRPr="009C797A">
        <w:rPr>
          <w:szCs w:val="22"/>
        </w:rPr>
        <w:t xml:space="preserve"> HUD created</w:t>
      </w:r>
      <w:r w:rsidR="00DD4D55" w:rsidRPr="009C797A">
        <w:rPr>
          <w:szCs w:val="22"/>
        </w:rPr>
        <w:t xml:space="preserve"> </w:t>
      </w:r>
      <w:r w:rsidR="00361E9D" w:rsidRPr="009C797A">
        <w:rPr>
          <w:szCs w:val="22"/>
        </w:rPr>
        <w:t xml:space="preserve">the form known as </w:t>
      </w:r>
      <w:r w:rsidRPr="009C797A">
        <w:rPr>
          <w:szCs w:val="22"/>
        </w:rPr>
        <w:t xml:space="preserve">HUD-52860 (“Inventory Removal Application”) (and its addendums </w:t>
      </w:r>
      <w:r w:rsidR="00E21FF6">
        <w:rPr>
          <w:szCs w:val="22"/>
        </w:rPr>
        <w:t>A</w:t>
      </w:r>
      <w:r w:rsidRPr="009C797A">
        <w:rPr>
          <w:szCs w:val="22"/>
        </w:rPr>
        <w:t>-</w:t>
      </w:r>
      <w:r w:rsidR="005E0CE4" w:rsidRPr="009C797A">
        <w:rPr>
          <w:szCs w:val="22"/>
        </w:rPr>
        <w:t>G)</w:t>
      </w:r>
      <w:r w:rsidR="00EA6A23" w:rsidRPr="009C797A">
        <w:rPr>
          <w:bCs/>
          <w:szCs w:val="22"/>
        </w:rPr>
        <w:t xml:space="preserve"> </w:t>
      </w:r>
      <w:r w:rsidRPr="009C797A">
        <w:rPr>
          <w:szCs w:val="22"/>
        </w:rPr>
        <w:t xml:space="preserve">to centrally collect information from PHAs that is required by the applicable sections of the Act and HUD regulations. </w:t>
      </w:r>
      <w:r w:rsidR="00EA6A23" w:rsidRPr="009C797A">
        <w:rPr>
          <w:szCs w:val="22"/>
        </w:rPr>
        <w:t xml:space="preserve"> This collection </w:t>
      </w:r>
      <w:r w:rsidR="00361E9D" w:rsidRPr="009C797A">
        <w:rPr>
          <w:szCs w:val="22"/>
        </w:rPr>
        <w:t xml:space="preserve">amends existing 52860 forms and </w:t>
      </w:r>
      <w:r w:rsidR="00EA6A23" w:rsidRPr="009C797A">
        <w:rPr>
          <w:szCs w:val="22"/>
        </w:rPr>
        <w:t xml:space="preserve">adds </w:t>
      </w:r>
      <w:r w:rsidR="00E21FF6">
        <w:rPr>
          <w:szCs w:val="22"/>
        </w:rPr>
        <w:t>two new addendums—the HUD-52860-A (for demolition and disposition) and the</w:t>
      </w:r>
      <w:r w:rsidR="00361E9D" w:rsidRPr="009C797A">
        <w:rPr>
          <w:szCs w:val="22"/>
        </w:rPr>
        <w:t xml:space="preserve"> </w:t>
      </w:r>
      <w:r w:rsidR="00EA6A23" w:rsidRPr="009C797A">
        <w:rPr>
          <w:szCs w:val="22"/>
        </w:rPr>
        <w:t>HUD-52860-G</w:t>
      </w:r>
      <w:r w:rsidR="00361E9D" w:rsidRPr="009C797A">
        <w:rPr>
          <w:szCs w:val="22"/>
        </w:rPr>
        <w:t xml:space="preserve"> addendum</w:t>
      </w:r>
      <w:r w:rsidR="00E21FF6">
        <w:rPr>
          <w:szCs w:val="22"/>
        </w:rPr>
        <w:t xml:space="preserve"> (for retentions</w:t>
      </w:r>
      <w:r w:rsidR="00EA6A23" w:rsidRPr="009C797A">
        <w:rPr>
          <w:szCs w:val="22"/>
        </w:rPr>
        <w:t xml:space="preserve"> of </w:t>
      </w:r>
      <w:r w:rsidR="00E21FF6">
        <w:rPr>
          <w:szCs w:val="22"/>
        </w:rPr>
        <w:t xml:space="preserve">certain </w:t>
      </w:r>
      <w:r w:rsidR="00EA6A23" w:rsidRPr="009C797A">
        <w:rPr>
          <w:szCs w:val="22"/>
        </w:rPr>
        <w:t>publ</w:t>
      </w:r>
      <w:r w:rsidR="00E21FF6">
        <w:rPr>
          <w:szCs w:val="22"/>
        </w:rPr>
        <w:t xml:space="preserve">ic housing property under 2 CFR part 200).  </w:t>
      </w:r>
      <w:r w:rsidRPr="009C797A">
        <w:rPr>
          <w:szCs w:val="22"/>
        </w:rPr>
        <w:t>HUD-52860 organizes the information that PHAs are required to submit to HUD for approval of inventory removal requests and</w:t>
      </w:r>
      <w:r w:rsidR="00780202" w:rsidRPr="009C797A">
        <w:rPr>
          <w:szCs w:val="22"/>
        </w:rPr>
        <w:t xml:space="preserve"> </w:t>
      </w:r>
      <w:r w:rsidRPr="009C797A">
        <w:rPr>
          <w:szCs w:val="22"/>
        </w:rPr>
        <w:t>assist</w:t>
      </w:r>
      <w:r w:rsidR="00780202" w:rsidRPr="009C797A">
        <w:rPr>
          <w:szCs w:val="22"/>
        </w:rPr>
        <w:t>s</w:t>
      </w:r>
      <w:r w:rsidRPr="009C797A">
        <w:rPr>
          <w:szCs w:val="22"/>
        </w:rPr>
        <w:t xml:space="preserve"> PHAs in submitting complete and correct applications.  </w:t>
      </w:r>
      <w:r w:rsidR="00B4383D" w:rsidRPr="009C797A">
        <w:rPr>
          <w:szCs w:val="22"/>
        </w:rPr>
        <w:t>HUD-</w:t>
      </w:r>
      <w:r w:rsidR="007B5FE3" w:rsidRPr="009C797A">
        <w:rPr>
          <w:szCs w:val="22"/>
        </w:rPr>
        <w:t>5</w:t>
      </w:r>
      <w:r w:rsidR="00B4383D" w:rsidRPr="009C797A">
        <w:rPr>
          <w:szCs w:val="22"/>
        </w:rPr>
        <w:t>837</w:t>
      </w:r>
      <w:r w:rsidR="00D67906" w:rsidRPr="009C797A">
        <w:rPr>
          <w:szCs w:val="22"/>
        </w:rPr>
        <w:t xml:space="preserve"> appl</w:t>
      </w:r>
      <w:r w:rsidR="007B5FE3" w:rsidRPr="009C797A">
        <w:rPr>
          <w:szCs w:val="22"/>
        </w:rPr>
        <w:t>ies</w:t>
      </w:r>
      <w:r w:rsidR="00D67906" w:rsidRPr="009C797A">
        <w:rPr>
          <w:szCs w:val="22"/>
        </w:rPr>
        <w:t xml:space="preserve"> </w:t>
      </w:r>
      <w:r w:rsidR="00361E9D" w:rsidRPr="009C797A">
        <w:rPr>
          <w:szCs w:val="22"/>
        </w:rPr>
        <w:t>when a PHA</w:t>
      </w:r>
      <w:r w:rsidR="004F1727" w:rsidRPr="009C797A">
        <w:rPr>
          <w:szCs w:val="22"/>
        </w:rPr>
        <w:t xml:space="preserve"> </w:t>
      </w:r>
      <w:r w:rsidR="00D67906" w:rsidRPr="009C797A">
        <w:rPr>
          <w:szCs w:val="22"/>
        </w:rPr>
        <w:t>intend</w:t>
      </w:r>
      <w:r w:rsidR="004F1727" w:rsidRPr="009C797A">
        <w:rPr>
          <w:szCs w:val="22"/>
        </w:rPr>
        <w:t>s</w:t>
      </w:r>
      <w:r w:rsidR="00D67906" w:rsidRPr="009C797A">
        <w:rPr>
          <w:szCs w:val="22"/>
        </w:rPr>
        <w:t xml:space="preserve"> to remove all of </w:t>
      </w:r>
      <w:r w:rsidR="001905A3" w:rsidRPr="009C797A">
        <w:rPr>
          <w:szCs w:val="22"/>
        </w:rPr>
        <w:t>its</w:t>
      </w:r>
      <w:r w:rsidR="00C80F7F" w:rsidRPr="009C797A">
        <w:rPr>
          <w:szCs w:val="22"/>
        </w:rPr>
        <w:t xml:space="preserve"> dwelling units from its</w:t>
      </w:r>
      <w:r w:rsidR="00361E9D" w:rsidRPr="009C797A">
        <w:rPr>
          <w:szCs w:val="22"/>
        </w:rPr>
        <w:t xml:space="preserve"> ACC</w:t>
      </w:r>
      <w:r w:rsidR="00D67906" w:rsidRPr="009C797A">
        <w:rPr>
          <w:szCs w:val="22"/>
        </w:rPr>
        <w:t xml:space="preserve"> inventor</w:t>
      </w:r>
      <w:r w:rsidR="00A965CD" w:rsidRPr="009C797A">
        <w:rPr>
          <w:szCs w:val="22"/>
        </w:rPr>
        <w:t>y</w:t>
      </w:r>
      <w:r w:rsidR="00D67906" w:rsidRPr="009C797A">
        <w:rPr>
          <w:szCs w:val="22"/>
        </w:rPr>
        <w:t xml:space="preserve"> and will alert HUD to </w:t>
      </w:r>
      <w:r w:rsidR="008932A9" w:rsidRPr="009C797A">
        <w:rPr>
          <w:szCs w:val="22"/>
        </w:rPr>
        <w:t>its</w:t>
      </w:r>
      <w:r w:rsidR="00D67906" w:rsidRPr="009C797A">
        <w:rPr>
          <w:szCs w:val="22"/>
        </w:rPr>
        <w:t xml:space="preserve"> future plans for either termination of the public housing ACC or development of new dwelling units. </w:t>
      </w:r>
      <w:r w:rsidRPr="009C797A">
        <w:rPr>
          <w:szCs w:val="22"/>
        </w:rPr>
        <w:t xml:space="preserve">In addition, this information request will assist HUD in maintaining accurate records of the federal public housing stock.  In addition to submitting </w:t>
      </w:r>
      <w:r w:rsidR="00361E9D" w:rsidRPr="009C797A">
        <w:rPr>
          <w:szCs w:val="22"/>
        </w:rPr>
        <w:t>HUD-</w:t>
      </w:r>
      <w:r w:rsidRPr="009C797A">
        <w:rPr>
          <w:szCs w:val="22"/>
        </w:rPr>
        <w:t xml:space="preserve">52860 </w:t>
      </w:r>
      <w:r w:rsidR="007D0865" w:rsidRPr="009C797A">
        <w:rPr>
          <w:szCs w:val="22"/>
        </w:rPr>
        <w:t xml:space="preserve">regarding </w:t>
      </w:r>
      <w:r w:rsidR="00307915" w:rsidRPr="009C797A">
        <w:rPr>
          <w:szCs w:val="22"/>
        </w:rPr>
        <w:t xml:space="preserve">inventory removals </w:t>
      </w:r>
      <w:r w:rsidR="007D0865" w:rsidRPr="009C797A">
        <w:rPr>
          <w:szCs w:val="22"/>
        </w:rPr>
        <w:t xml:space="preserve">electronically </w:t>
      </w:r>
      <w:r w:rsidR="00D67906" w:rsidRPr="009C797A">
        <w:rPr>
          <w:szCs w:val="22"/>
        </w:rPr>
        <w:t xml:space="preserve">and </w:t>
      </w:r>
      <w:r w:rsidR="00B4383D" w:rsidRPr="009C797A">
        <w:rPr>
          <w:szCs w:val="22"/>
        </w:rPr>
        <w:t>HUD-583</w:t>
      </w:r>
      <w:r w:rsidR="007B5FE3" w:rsidRPr="009C797A">
        <w:rPr>
          <w:szCs w:val="22"/>
        </w:rPr>
        <w:t>7</w:t>
      </w:r>
      <w:r w:rsidR="00B4383D" w:rsidRPr="009C797A">
        <w:rPr>
          <w:szCs w:val="22"/>
        </w:rPr>
        <w:t xml:space="preserve"> </w:t>
      </w:r>
      <w:r w:rsidR="00D67906" w:rsidRPr="009C797A">
        <w:rPr>
          <w:szCs w:val="22"/>
        </w:rPr>
        <w:t>as</w:t>
      </w:r>
      <w:r w:rsidR="007B5FE3" w:rsidRPr="009C797A">
        <w:rPr>
          <w:szCs w:val="22"/>
        </w:rPr>
        <w:t xml:space="preserve"> a paper submission</w:t>
      </w:r>
      <w:r w:rsidR="00D67906" w:rsidRPr="009C797A">
        <w:rPr>
          <w:szCs w:val="22"/>
        </w:rPr>
        <w:t xml:space="preserve"> </w:t>
      </w:r>
      <w:r w:rsidRPr="009C797A">
        <w:rPr>
          <w:szCs w:val="22"/>
        </w:rPr>
        <w:t xml:space="preserve">to HUD for review and approval, PHAs must also maintain </w:t>
      </w:r>
      <w:r w:rsidR="007D0865" w:rsidRPr="009C797A">
        <w:rPr>
          <w:szCs w:val="22"/>
        </w:rPr>
        <w:t>all</w:t>
      </w:r>
      <w:r w:rsidRPr="009C797A">
        <w:rPr>
          <w:szCs w:val="22"/>
        </w:rPr>
        <w:t xml:space="preserve"> supporting documentation </w:t>
      </w:r>
      <w:r w:rsidR="007D0865" w:rsidRPr="009C797A">
        <w:rPr>
          <w:szCs w:val="22"/>
        </w:rPr>
        <w:t xml:space="preserve">relating to these actions </w:t>
      </w:r>
      <w:r w:rsidRPr="009C797A">
        <w:rPr>
          <w:szCs w:val="22"/>
        </w:rPr>
        <w:t xml:space="preserve">on file and report to the HUD </w:t>
      </w:r>
      <w:r w:rsidR="00E21FF6">
        <w:rPr>
          <w:szCs w:val="22"/>
        </w:rPr>
        <w:t xml:space="preserve">local </w:t>
      </w:r>
      <w:r w:rsidRPr="009C797A">
        <w:rPr>
          <w:szCs w:val="22"/>
        </w:rPr>
        <w:t xml:space="preserve">Office </w:t>
      </w:r>
      <w:r w:rsidR="00361E9D" w:rsidRPr="009C797A">
        <w:rPr>
          <w:szCs w:val="22"/>
        </w:rPr>
        <w:t xml:space="preserve">of Public Housing </w:t>
      </w:r>
      <w:r w:rsidRPr="009C797A">
        <w:rPr>
          <w:szCs w:val="22"/>
        </w:rPr>
        <w:t xml:space="preserve">when the inventory removal action has been completed.  </w:t>
      </w:r>
      <w:r w:rsidR="007B5FE3" w:rsidRPr="009C797A">
        <w:rPr>
          <w:szCs w:val="22"/>
        </w:rPr>
        <w:t>Additional information about each form is as follows:</w:t>
      </w:r>
    </w:p>
    <w:p w14:paraId="24CD70CF" w14:textId="77777777" w:rsidR="00162303" w:rsidRPr="009C797A" w:rsidRDefault="00162303" w:rsidP="00162303">
      <w:pPr>
        <w:pStyle w:val="BlockText"/>
        <w:ind w:left="450"/>
        <w:rPr>
          <w:szCs w:val="22"/>
        </w:rPr>
      </w:pPr>
    </w:p>
    <w:p w14:paraId="786D7449" w14:textId="77777777" w:rsidR="00F974ED" w:rsidRDefault="007B5FE3" w:rsidP="007B5FE3">
      <w:pPr>
        <w:pStyle w:val="BlockText"/>
        <w:ind w:left="450"/>
        <w:rPr>
          <w:sz w:val="24"/>
          <w:szCs w:val="24"/>
        </w:rPr>
      </w:pPr>
      <w:r w:rsidRPr="009C797A">
        <w:rPr>
          <w:bCs/>
          <w:color w:val="000000"/>
          <w:szCs w:val="22"/>
          <w:u w:val="single"/>
        </w:rPr>
        <w:t>Annual Contributions Contract (ACC) (HUD-53012).</w:t>
      </w:r>
      <w:r w:rsidRPr="009C797A">
        <w:rPr>
          <w:bCs/>
          <w:color w:val="000000"/>
          <w:szCs w:val="22"/>
        </w:rPr>
        <w:t xml:space="preserve"> Section 9 of the 1937 Act permits the Secretary of HUD to make grants (i.e, annual contributions) to </w:t>
      </w:r>
      <w:r w:rsidR="00C729D0">
        <w:rPr>
          <w:bCs/>
          <w:color w:val="000000"/>
          <w:szCs w:val="22"/>
        </w:rPr>
        <w:t>PHAs</w:t>
      </w:r>
      <w:r w:rsidRPr="009C797A">
        <w:rPr>
          <w:bCs/>
          <w:color w:val="000000"/>
          <w:szCs w:val="22"/>
        </w:rPr>
        <w:t xml:space="preserve"> to achieve and maintain the lower income character of public housing projects</w:t>
      </w:r>
      <w:r w:rsidRPr="009C797A">
        <w:rPr>
          <w:bCs/>
          <w:szCs w:val="22"/>
        </w:rPr>
        <w:t xml:space="preserve">. The Secretary is required to embody the provisions for such payments in an agreement (i.e., ACC). </w:t>
      </w:r>
      <w:r w:rsidRPr="009C797A">
        <w:rPr>
          <w:rFonts w:eastAsiaTheme="minorEastAsia"/>
          <w:szCs w:val="22"/>
        </w:rPr>
        <w:t xml:space="preserve">The purpose of the ACC is to establish the contract between each </w:t>
      </w:r>
      <w:r w:rsidR="00C729D0">
        <w:rPr>
          <w:rFonts w:eastAsiaTheme="minorEastAsia"/>
          <w:szCs w:val="22"/>
        </w:rPr>
        <w:t>PHA</w:t>
      </w:r>
      <w:r w:rsidRPr="009C797A">
        <w:rPr>
          <w:rFonts w:eastAsiaTheme="minorEastAsia"/>
          <w:szCs w:val="22"/>
        </w:rPr>
        <w:t xml:space="preserve"> and HUD. The ACC authorizes HUD to fund the PHA and requires the PHA to manage and operate all of its public housing properties in compliance with the U.S. Housing Act of 1937 and all applicable </w:t>
      </w:r>
      <w:r w:rsidRPr="003253EF">
        <w:rPr>
          <w:rFonts w:eastAsiaTheme="minorEastAsia"/>
          <w:szCs w:val="22"/>
        </w:rPr>
        <w:t xml:space="preserve">regulations. </w:t>
      </w:r>
      <w:r w:rsidR="003253EF" w:rsidRPr="003253EF">
        <w:rPr>
          <w:szCs w:val="22"/>
        </w:rPr>
        <w:t xml:space="preserve">This collection amends this ACC document by merging the current HUD-53012-A and HUD-53012-B forms into one document </w:t>
      </w:r>
      <w:r w:rsidR="007546EC">
        <w:rPr>
          <w:szCs w:val="22"/>
        </w:rPr>
        <w:t xml:space="preserve">(HUD-53012) </w:t>
      </w:r>
      <w:r w:rsidR="003253EF" w:rsidRPr="003253EF">
        <w:rPr>
          <w:szCs w:val="22"/>
        </w:rPr>
        <w:t>and adding requirements applicable to mixed-finance public housing development and making minor clarifications and updates, based on applicable statutes and regulations, on the contractual agreement.</w:t>
      </w:r>
    </w:p>
    <w:p w14:paraId="1A13127A" w14:textId="77777777" w:rsidR="003253EF" w:rsidRPr="009C797A" w:rsidRDefault="003253EF" w:rsidP="007B5FE3">
      <w:pPr>
        <w:pStyle w:val="BlockText"/>
        <w:ind w:left="450"/>
        <w:rPr>
          <w:rFonts w:eastAsiaTheme="minorEastAsia"/>
          <w:szCs w:val="22"/>
        </w:rPr>
      </w:pPr>
    </w:p>
    <w:p w14:paraId="68B892D5" w14:textId="77777777" w:rsidR="00C729D0" w:rsidRDefault="007B5FE3" w:rsidP="00C729D0">
      <w:pPr>
        <w:pStyle w:val="BlockText"/>
        <w:ind w:left="450"/>
        <w:rPr>
          <w:rFonts w:eastAsiaTheme="minorEastAsia"/>
          <w:szCs w:val="22"/>
        </w:rPr>
      </w:pPr>
      <w:r w:rsidRPr="009C797A">
        <w:rPr>
          <w:bCs/>
          <w:color w:val="000000"/>
          <w:szCs w:val="22"/>
          <w:u w:val="single"/>
        </w:rPr>
        <w:t>Declaration of Trust (DOT)</w:t>
      </w:r>
      <w:r w:rsidR="00F974ED">
        <w:rPr>
          <w:bCs/>
          <w:color w:val="000000"/>
          <w:szCs w:val="22"/>
          <w:u w:val="single"/>
        </w:rPr>
        <w:t xml:space="preserve"> and Declaration of Restrictive Covenants (DoRC)</w:t>
      </w:r>
      <w:r w:rsidRPr="009C797A">
        <w:rPr>
          <w:bCs/>
          <w:color w:val="000000"/>
          <w:szCs w:val="22"/>
          <w:u w:val="single"/>
        </w:rPr>
        <w:t xml:space="preserve"> (HUD-51290).</w:t>
      </w:r>
      <w:r w:rsidRPr="009C797A">
        <w:rPr>
          <w:bCs/>
          <w:color w:val="000000"/>
          <w:szCs w:val="22"/>
        </w:rPr>
        <w:t xml:space="preserve"> </w:t>
      </w:r>
      <w:r w:rsidRPr="009C797A">
        <w:rPr>
          <w:rFonts w:eastAsiaTheme="minorEastAsia"/>
          <w:szCs w:val="22"/>
        </w:rPr>
        <w:t xml:space="preserve">The purpose of the Declaration of Trust (DOT) is to require PHA to remain seized of the title of public housing projects and other real property and to refrain from transferring, conveying, assigning, leasing, mortgaging, pledging, or otherwise encumbering or permitting or suffering any transfer, conveyance, assignment, lease, mortgage, pledge or other encumbrance of said property or any part thereof, appurtenances thereto, or any rent, revenues, income, or receipts therefrom or in connection therewith, or any of the benefits or contributions granted to it by or pursuant to the ACC.  </w:t>
      </w:r>
      <w:r w:rsidR="00C729D0">
        <w:rPr>
          <w:rFonts w:eastAsiaTheme="minorEastAsia"/>
        </w:rPr>
        <w:t xml:space="preserve">This collection amends this </w:t>
      </w:r>
      <w:r w:rsidR="001112FC">
        <w:rPr>
          <w:rFonts w:eastAsiaTheme="minorEastAsia"/>
        </w:rPr>
        <w:t xml:space="preserve">DOT </w:t>
      </w:r>
      <w:r w:rsidR="00C729D0">
        <w:rPr>
          <w:rFonts w:eastAsiaTheme="minorEastAsia"/>
        </w:rPr>
        <w:t xml:space="preserve">document by merging the current </w:t>
      </w:r>
      <w:r w:rsidR="00C729D0">
        <w:rPr>
          <w:rFonts w:eastAsiaTheme="minorEastAsia"/>
          <w:szCs w:val="22"/>
        </w:rPr>
        <w:t xml:space="preserve">HUD-51290-A (development) and </w:t>
      </w:r>
      <w:r w:rsidR="00C729D0" w:rsidRPr="009C797A">
        <w:rPr>
          <w:rFonts w:eastAsiaTheme="minorEastAsia"/>
          <w:szCs w:val="22"/>
        </w:rPr>
        <w:t>HUD-51290-B</w:t>
      </w:r>
      <w:r w:rsidR="00C729D0">
        <w:rPr>
          <w:rFonts w:eastAsiaTheme="minorEastAsia"/>
          <w:szCs w:val="22"/>
        </w:rPr>
        <w:t xml:space="preserve"> (modernization)</w:t>
      </w:r>
      <w:r w:rsidR="00C729D0">
        <w:rPr>
          <w:rFonts w:eastAsiaTheme="minorEastAsia"/>
        </w:rPr>
        <w:t xml:space="preserve"> forms, into one document, as well as adding the Declaration of </w:t>
      </w:r>
      <w:r w:rsidR="00C729D0" w:rsidRPr="009C797A">
        <w:rPr>
          <w:rFonts w:eastAsiaTheme="minorEastAsia"/>
          <w:szCs w:val="22"/>
        </w:rPr>
        <w:t>Restrictive Covenants (DORC) document for mixed-fin</w:t>
      </w:r>
      <w:r w:rsidR="00C729D0">
        <w:rPr>
          <w:rFonts w:eastAsiaTheme="minorEastAsia"/>
          <w:szCs w:val="22"/>
        </w:rPr>
        <w:t>ance public housing developments into one form</w:t>
      </w:r>
      <w:r w:rsidR="007546EC">
        <w:rPr>
          <w:rFonts w:eastAsiaTheme="minorEastAsia"/>
          <w:szCs w:val="22"/>
        </w:rPr>
        <w:t xml:space="preserve"> (HUD-51290)</w:t>
      </w:r>
      <w:r w:rsidR="00C729D0">
        <w:rPr>
          <w:rFonts w:eastAsiaTheme="minorEastAsia"/>
          <w:szCs w:val="22"/>
        </w:rPr>
        <w:t>.</w:t>
      </w:r>
    </w:p>
    <w:p w14:paraId="0BE5DE48" w14:textId="77777777" w:rsidR="00F974ED" w:rsidRPr="009C797A" w:rsidRDefault="00F974ED" w:rsidP="007B5FE3">
      <w:pPr>
        <w:pStyle w:val="BlockText"/>
        <w:ind w:left="450"/>
        <w:rPr>
          <w:rFonts w:eastAsiaTheme="minorEastAsia"/>
          <w:szCs w:val="22"/>
        </w:rPr>
      </w:pPr>
    </w:p>
    <w:p w14:paraId="0C8D2F06" w14:textId="77777777" w:rsidR="007B5FE3" w:rsidRDefault="007B5FE3" w:rsidP="007B5FE3">
      <w:pPr>
        <w:pStyle w:val="BlockText"/>
        <w:ind w:left="450"/>
        <w:rPr>
          <w:rFonts w:eastAsiaTheme="minorHAnsi"/>
          <w:szCs w:val="22"/>
        </w:rPr>
      </w:pPr>
      <w:r w:rsidRPr="009C797A">
        <w:rPr>
          <w:bCs/>
          <w:color w:val="000000"/>
          <w:szCs w:val="22"/>
          <w:u w:val="single"/>
        </w:rPr>
        <w:t>General Depository Agreement (GDA) (HUD-51999).</w:t>
      </w:r>
      <w:r w:rsidRPr="009C797A">
        <w:rPr>
          <w:bCs/>
          <w:color w:val="000000"/>
          <w:szCs w:val="22"/>
        </w:rPr>
        <w:t xml:space="preserve"> </w:t>
      </w:r>
      <w:r w:rsidRPr="009C797A">
        <w:rPr>
          <w:rFonts w:eastAsiaTheme="minorEastAsia"/>
          <w:szCs w:val="22"/>
        </w:rPr>
        <w:t xml:space="preserve">The purpose of the General Depository Agreement (GDA) is to ensure PHAs use financial assistance received from HUD or otherwise associated with public housing funds for purposes of public housing, by requiring </w:t>
      </w:r>
      <w:r w:rsidRPr="009C797A">
        <w:rPr>
          <w:rFonts w:eastAsiaTheme="minorHAnsi"/>
          <w:szCs w:val="22"/>
        </w:rPr>
        <w:t xml:space="preserve">such financial assistance to be deposited into interest-bearing accounts at financial institutions whose deposits or accounts are insured by the Federal Deposit Insurance Corporation (FDIC) or the National Credit Union Share Insurance Fund (NCUSIF).  This collection makes a small change to the Notice provision of the GDA to require that notice be implemented by the Depository within 24 hours of receipt.  </w:t>
      </w:r>
    </w:p>
    <w:p w14:paraId="1F51BBDE" w14:textId="77777777" w:rsidR="00E21FF6" w:rsidRPr="009C797A" w:rsidRDefault="00E21FF6" w:rsidP="007B5FE3">
      <w:pPr>
        <w:pStyle w:val="BlockText"/>
        <w:ind w:left="450"/>
        <w:rPr>
          <w:rFonts w:eastAsiaTheme="minorHAnsi"/>
          <w:szCs w:val="22"/>
        </w:rPr>
      </w:pPr>
    </w:p>
    <w:p w14:paraId="1DA10074" w14:textId="77777777" w:rsidR="007B5FE3" w:rsidRDefault="007B5FE3" w:rsidP="007B5FE3">
      <w:pPr>
        <w:pStyle w:val="BlockText"/>
        <w:ind w:left="450"/>
        <w:rPr>
          <w:rFonts w:eastAsiaTheme="minorEastAsia"/>
          <w:szCs w:val="22"/>
        </w:rPr>
      </w:pPr>
      <w:r w:rsidRPr="009C797A">
        <w:rPr>
          <w:bCs/>
          <w:color w:val="000000"/>
          <w:szCs w:val="22"/>
          <w:u w:val="single"/>
        </w:rPr>
        <w:t>Inventory Removal Application (HUD-52860).</w:t>
      </w:r>
      <w:r w:rsidRPr="009C797A">
        <w:rPr>
          <w:bCs/>
          <w:szCs w:val="22"/>
        </w:rPr>
        <w:t xml:space="preserve"> </w:t>
      </w:r>
      <w:r w:rsidRPr="009C797A">
        <w:rPr>
          <w:rFonts w:eastAsiaTheme="minorEastAsia"/>
          <w:szCs w:val="22"/>
        </w:rPr>
        <w:t>The purpose of the Inventory Removal Application (HUD-52860) is to ensure PHAs comply with the statutory and regulatory requirements when removing public housing projects and other real property subsidized by HUD from their inventory through various programs, including Sections 18, 22, 33, 32 of the 1937 Act and eminent domain settlement agreements and retentions under 2 CFR 200.311. This application and approval process also ensures an accurate and up-to-date building and unit count for the PHA.  HUD uses the PHA’s inventory of buildings and units for various purposes, such as funding and property inspections. This collection modifies this form to make it a better-tailored “global” form that applies to all removal actions.  It is required in addition to the addendum related to the specific removal program.</w:t>
      </w:r>
    </w:p>
    <w:p w14:paraId="449B1C96" w14:textId="77777777" w:rsidR="00E21FF6" w:rsidRPr="009C797A" w:rsidRDefault="00E21FF6" w:rsidP="007B5FE3">
      <w:pPr>
        <w:pStyle w:val="BlockText"/>
        <w:ind w:left="450"/>
        <w:rPr>
          <w:rFonts w:eastAsiaTheme="minorEastAsia"/>
          <w:szCs w:val="22"/>
        </w:rPr>
      </w:pPr>
    </w:p>
    <w:p w14:paraId="0DA4740C" w14:textId="77777777" w:rsidR="007B5FE3" w:rsidRDefault="007B5FE3" w:rsidP="007B5FE3">
      <w:pPr>
        <w:pStyle w:val="BlockText"/>
        <w:ind w:left="450"/>
        <w:rPr>
          <w:rFonts w:eastAsiaTheme="minorEastAsia"/>
          <w:szCs w:val="22"/>
        </w:rPr>
      </w:pPr>
      <w:r w:rsidRPr="009C797A">
        <w:rPr>
          <w:bCs/>
          <w:color w:val="000000"/>
          <w:szCs w:val="22"/>
          <w:u w:val="single"/>
        </w:rPr>
        <w:t>Demolition/Disposition Addendum. (HUD-52860-A).</w:t>
      </w:r>
      <w:r w:rsidRPr="009C797A">
        <w:rPr>
          <w:bCs/>
          <w:color w:val="000000"/>
          <w:szCs w:val="22"/>
        </w:rPr>
        <w:t xml:space="preserve"> </w:t>
      </w:r>
      <w:r w:rsidRPr="009C797A">
        <w:rPr>
          <w:rFonts w:eastAsiaTheme="minorEastAsia"/>
          <w:szCs w:val="22"/>
        </w:rPr>
        <w:t xml:space="preserve">This collection adds this new addendum to specifically address the requirements of 24 CFR part 970 for demolition and disposition removals. These requirements were previously included in the global HUD-52860.   </w:t>
      </w:r>
    </w:p>
    <w:p w14:paraId="7904A3C2" w14:textId="77777777" w:rsidR="007546EC" w:rsidRPr="009C797A" w:rsidRDefault="007546EC" w:rsidP="007B5FE3">
      <w:pPr>
        <w:pStyle w:val="BlockText"/>
        <w:ind w:left="450"/>
        <w:rPr>
          <w:rFonts w:eastAsiaTheme="minorEastAsia"/>
          <w:szCs w:val="22"/>
        </w:rPr>
      </w:pPr>
    </w:p>
    <w:p w14:paraId="420B3A8B" w14:textId="77777777" w:rsidR="007B5FE3" w:rsidRDefault="007B5FE3" w:rsidP="007B5FE3">
      <w:pPr>
        <w:pStyle w:val="BlockText"/>
        <w:ind w:left="450"/>
        <w:rPr>
          <w:rFonts w:eastAsiaTheme="minorEastAsia"/>
          <w:szCs w:val="22"/>
        </w:rPr>
      </w:pPr>
      <w:r w:rsidRPr="009C797A">
        <w:rPr>
          <w:bCs/>
          <w:color w:val="000000"/>
          <w:szCs w:val="22"/>
          <w:u w:val="single"/>
        </w:rPr>
        <w:t>Total Development Cost (TDC) and Rehab Cost Estimate Addendum. (HUD-52860-B).</w:t>
      </w:r>
      <w:r w:rsidRPr="009C797A">
        <w:rPr>
          <w:bCs/>
          <w:color w:val="000000"/>
          <w:szCs w:val="22"/>
        </w:rPr>
        <w:t xml:space="preserve"> </w:t>
      </w:r>
      <w:r w:rsidRPr="009C797A">
        <w:rPr>
          <w:rFonts w:eastAsiaTheme="minorEastAsia"/>
          <w:szCs w:val="22"/>
        </w:rPr>
        <w:t>This information is required for all Inventory Removal Applications that propose a demolition under 24 CFR 970.15 or a disposition under 24 CFR 970.17 based on physical obsolescence. This collection makes formatting and instructional changes and refers users to the applicable HUD notice for more guidance.</w:t>
      </w:r>
    </w:p>
    <w:p w14:paraId="43D1C415" w14:textId="77777777" w:rsidR="00E21FF6" w:rsidRPr="009C797A" w:rsidRDefault="00E21FF6" w:rsidP="007B5FE3">
      <w:pPr>
        <w:pStyle w:val="BlockText"/>
        <w:ind w:left="450"/>
        <w:rPr>
          <w:rFonts w:eastAsiaTheme="minorEastAsia"/>
          <w:szCs w:val="22"/>
        </w:rPr>
      </w:pPr>
    </w:p>
    <w:p w14:paraId="615C2E72" w14:textId="77777777" w:rsidR="007B5FE3" w:rsidRDefault="007B5FE3" w:rsidP="007B5FE3">
      <w:pPr>
        <w:pStyle w:val="BlockText"/>
        <w:ind w:left="450"/>
        <w:rPr>
          <w:rFonts w:eastAsiaTheme="minorEastAsia"/>
          <w:szCs w:val="22"/>
        </w:rPr>
      </w:pPr>
      <w:r w:rsidRPr="009C797A">
        <w:rPr>
          <w:bCs/>
          <w:color w:val="000000"/>
          <w:szCs w:val="22"/>
          <w:u w:val="single"/>
        </w:rPr>
        <w:t>Homeownership Addendum (HUD-52860-C)</w:t>
      </w:r>
      <w:r w:rsidRPr="009C797A">
        <w:rPr>
          <w:bCs/>
          <w:color w:val="000000"/>
          <w:szCs w:val="22"/>
        </w:rPr>
        <w:t xml:space="preserve"> </w:t>
      </w:r>
      <w:r w:rsidRPr="009C797A">
        <w:rPr>
          <w:rFonts w:eastAsiaTheme="minorEastAsia"/>
          <w:szCs w:val="22"/>
        </w:rPr>
        <w:t>This information is required for all Inventory Removal Applications that propose a homeownership program under 24 CFR part 906. This collection makes formatting, instructional and other changes to provide clearer direction and to ensure PHAs are fully complying with the requirements of 24 CFR part 906.</w:t>
      </w:r>
    </w:p>
    <w:p w14:paraId="286EBCEF" w14:textId="77777777" w:rsidR="00E21FF6" w:rsidRPr="009C797A" w:rsidRDefault="00E21FF6" w:rsidP="007B5FE3">
      <w:pPr>
        <w:pStyle w:val="BlockText"/>
        <w:ind w:left="450"/>
        <w:rPr>
          <w:rFonts w:eastAsiaTheme="minorEastAsia"/>
          <w:szCs w:val="22"/>
        </w:rPr>
      </w:pPr>
    </w:p>
    <w:p w14:paraId="3B52D76B" w14:textId="77777777" w:rsidR="007B5FE3" w:rsidRDefault="007B5FE3" w:rsidP="007B5FE3">
      <w:pPr>
        <w:pStyle w:val="BlockText"/>
        <w:ind w:left="450"/>
        <w:rPr>
          <w:rFonts w:eastAsiaTheme="minorEastAsia"/>
          <w:szCs w:val="22"/>
        </w:rPr>
      </w:pPr>
      <w:r w:rsidRPr="009C797A">
        <w:rPr>
          <w:bCs/>
          <w:color w:val="000000"/>
          <w:szCs w:val="22"/>
          <w:u w:val="single"/>
        </w:rPr>
        <w:t>Required Conversion Addendum (HUD-52860-D)</w:t>
      </w:r>
      <w:r w:rsidRPr="009C797A">
        <w:rPr>
          <w:bCs/>
          <w:color w:val="000000"/>
          <w:szCs w:val="22"/>
        </w:rPr>
        <w:t xml:space="preserve"> </w:t>
      </w:r>
      <w:r w:rsidRPr="009C797A">
        <w:rPr>
          <w:rFonts w:eastAsiaTheme="minorEastAsia"/>
          <w:szCs w:val="22"/>
        </w:rPr>
        <w:t>This information is required for all Inventory Removal Applications that propose a required conversion under 24 CFR 972-Subpart A. This collection makes minor formatting, instructional and other changes to provide clearer direction and to ensure PHAs are fully complying with the requirements of 24 CFR part 972 Subpart-A.</w:t>
      </w:r>
    </w:p>
    <w:p w14:paraId="741EFF5B" w14:textId="77777777" w:rsidR="00E21FF6" w:rsidRPr="009C797A" w:rsidRDefault="00E21FF6" w:rsidP="007B5FE3">
      <w:pPr>
        <w:pStyle w:val="BlockText"/>
        <w:ind w:left="450"/>
        <w:rPr>
          <w:rFonts w:eastAsiaTheme="minorEastAsia"/>
          <w:szCs w:val="22"/>
        </w:rPr>
      </w:pPr>
    </w:p>
    <w:p w14:paraId="64373DF1" w14:textId="77777777" w:rsidR="007B5FE3" w:rsidRDefault="007B5FE3" w:rsidP="007B5FE3">
      <w:pPr>
        <w:pStyle w:val="BlockText"/>
        <w:ind w:left="450"/>
        <w:rPr>
          <w:rFonts w:eastAsiaTheme="minorEastAsia"/>
          <w:szCs w:val="22"/>
        </w:rPr>
      </w:pPr>
      <w:r w:rsidRPr="009C797A">
        <w:rPr>
          <w:bCs/>
          <w:color w:val="000000"/>
          <w:szCs w:val="22"/>
          <w:u w:val="single"/>
        </w:rPr>
        <w:t>Voluntary Conversion Addendum (HUD-52860-E)</w:t>
      </w:r>
      <w:r w:rsidRPr="009C797A">
        <w:rPr>
          <w:bCs/>
          <w:color w:val="000000"/>
          <w:szCs w:val="22"/>
        </w:rPr>
        <w:t xml:space="preserve"> </w:t>
      </w:r>
      <w:r w:rsidRPr="009C797A">
        <w:rPr>
          <w:rFonts w:eastAsiaTheme="minorEastAsia"/>
          <w:szCs w:val="22"/>
        </w:rPr>
        <w:t>This information is required for all Inventory Removal Applications that propose a required conversion under 24 CFR 972-Subpart B. This collection makes minor formatting, instructional and other changes to provide clearer direction and to ensure PHAs are fully complying with the requirements of 24 CFR part 972 Subpart-B.</w:t>
      </w:r>
    </w:p>
    <w:p w14:paraId="3650385E" w14:textId="77777777" w:rsidR="00E21FF6" w:rsidRPr="009C797A" w:rsidRDefault="00E21FF6" w:rsidP="007B5FE3">
      <w:pPr>
        <w:pStyle w:val="BlockText"/>
        <w:ind w:left="450"/>
        <w:rPr>
          <w:rFonts w:eastAsiaTheme="minorEastAsia"/>
          <w:szCs w:val="22"/>
        </w:rPr>
      </w:pPr>
    </w:p>
    <w:p w14:paraId="3E8F449E" w14:textId="77777777" w:rsidR="007B5FE3" w:rsidRDefault="007B5FE3" w:rsidP="007B5FE3">
      <w:pPr>
        <w:pStyle w:val="BlockText"/>
        <w:ind w:left="450"/>
        <w:rPr>
          <w:rFonts w:eastAsiaTheme="minorEastAsia"/>
          <w:szCs w:val="22"/>
        </w:rPr>
      </w:pPr>
      <w:r w:rsidRPr="009C797A">
        <w:rPr>
          <w:bCs/>
          <w:color w:val="000000"/>
          <w:szCs w:val="22"/>
          <w:u w:val="single"/>
        </w:rPr>
        <w:t>Eminent Domain Addendum (HUD-52860-F)</w:t>
      </w:r>
      <w:r w:rsidRPr="009C797A">
        <w:rPr>
          <w:bCs/>
          <w:color w:val="000000"/>
          <w:szCs w:val="22"/>
        </w:rPr>
        <w:t xml:space="preserve"> </w:t>
      </w:r>
      <w:r w:rsidRPr="009C797A">
        <w:rPr>
          <w:rFonts w:eastAsiaTheme="minorEastAsia"/>
          <w:szCs w:val="22"/>
        </w:rPr>
        <w:t>This information is required for all Inventory Removal Applications that propose settlement agreement (in lieu of court proceedings) for public housing projects and other public housing property that a Taking Entity proposes to condemn through eminent domain proceedings under applicable state law. This collection makes minor formatting, instructional and other changes to provide clearer direction and to ensure PHAs are fully complying with the requirements of PIH Notice 2012-8.</w:t>
      </w:r>
    </w:p>
    <w:p w14:paraId="19482C68" w14:textId="77777777" w:rsidR="00E21FF6" w:rsidRPr="009C797A" w:rsidRDefault="00E21FF6" w:rsidP="007B5FE3">
      <w:pPr>
        <w:pStyle w:val="BlockText"/>
        <w:ind w:left="450"/>
        <w:rPr>
          <w:rFonts w:eastAsiaTheme="minorEastAsia"/>
          <w:szCs w:val="22"/>
        </w:rPr>
      </w:pPr>
    </w:p>
    <w:p w14:paraId="00DC3E71" w14:textId="77777777" w:rsidR="007B5FE3" w:rsidRDefault="007B5FE3" w:rsidP="007B5FE3">
      <w:pPr>
        <w:pStyle w:val="BlockText"/>
        <w:ind w:left="450"/>
        <w:rPr>
          <w:rFonts w:eastAsiaTheme="minorEastAsia"/>
          <w:szCs w:val="22"/>
        </w:rPr>
      </w:pPr>
      <w:r w:rsidRPr="009C797A">
        <w:rPr>
          <w:bCs/>
          <w:color w:val="000000"/>
          <w:szCs w:val="22"/>
          <w:u w:val="single"/>
        </w:rPr>
        <w:t>Retention Addendum (HUD-52860-G)</w:t>
      </w:r>
      <w:r w:rsidRPr="009C797A">
        <w:rPr>
          <w:bCs/>
          <w:color w:val="000000"/>
          <w:szCs w:val="22"/>
        </w:rPr>
        <w:t xml:space="preserve"> </w:t>
      </w:r>
      <w:r w:rsidRPr="009C797A">
        <w:rPr>
          <w:rFonts w:eastAsiaTheme="minorEastAsia"/>
          <w:szCs w:val="22"/>
        </w:rPr>
        <w:t>This collection adds a new form that applies to PHAs who are requesting to retain certain public housing property in accordance with 2 CFR 200.311(c) and PIH Notice 2016-20.</w:t>
      </w:r>
    </w:p>
    <w:p w14:paraId="1C54326B" w14:textId="77777777" w:rsidR="00E21FF6" w:rsidRPr="009C797A" w:rsidRDefault="00E21FF6" w:rsidP="007B5FE3">
      <w:pPr>
        <w:pStyle w:val="BlockText"/>
        <w:ind w:left="450"/>
        <w:rPr>
          <w:rFonts w:eastAsiaTheme="minorEastAsia"/>
          <w:szCs w:val="22"/>
        </w:rPr>
      </w:pPr>
    </w:p>
    <w:p w14:paraId="651F03A5" w14:textId="77777777" w:rsidR="007B5FE3" w:rsidRDefault="007B5FE3" w:rsidP="007B5FE3">
      <w:pPr>
        <w:pStyle w:val="BlockText"/>
        <w:ind w:left="450"/>
        <w:rPr>
          <w:bCs/>
          <w:szCs w:val="22"/>
        </w:rPr>
      </w:pPr>
      <w:r w:rsidRPr="009C797A">
        <w:rPr>
          <w:bCs/>
          <w:color w:val="000000"/>
          <w:szCs w:val="22"/>
          <w:u w:val="single"/>
        </w:rPr>
        <w:t>Notification of Closeout or Future Public Housing Development (HUD-5837)</w:t>
      </w:r>
      <w:r w:rsidRPr="009C797A">
        <w:rPr>
          <w:bCs/>
          <w:color w:val="000000"/>
          <w:szCs w:val="22"/>
        </w:rPr>
        <w:t xml:space="preserve">.  This collection adds a new </w:t>
      </w:r>
      <w:r w:rsidRPr="009C797A">
        <w:rPr>
          <w:rFonts w:eastAsiaTheme="minorEastAsia"/>
          <w:szCs w:val="22"/>
        </w:rPr>
        <w:t xml:space="preserve">form that applies to PHAs who are intending to remove all dwelling units in their portfolio from their inventory. This is notification to HUD of a PHA’s intention to either closeout from the public housing program or develop new </w:t>
      </w:r>
      <w:r w:rsidRPr="009C797A">
        <w:rPr>
          <w:bCs/>
          <w:szCs w:val="22"/>
        </w:rPr>
        <w:t>public housing units. Such removal may be through any available law or HUD program, which may include Sections 18, 22, 33, 32 of the U.S. Housing Act of 1937 or the Rental Assistance Demonstration (RAD) program).  This form will alert HUD about its future plans for either termination of the public housing ACC or development of new dwelling units. HUD will use this information to provide targeted technical assistance, to ensure HUD has an accurate database of federal public housing inventory and assets, and to monitor PHA compliance with the ACC and applicable federal laws and regulations.</w:t>
      </w:r>
    </w:p>
    <w:p w14:paraId="71DBAEF0" w14:textId="77777777" w:rsidR="00E21FF6" w:rsidRPr="009C797A" w:rsidRDefault="00E21FF6" w:rsidP="007B5FE3">
      <w:pPr>
        <w:pStyle w:val="BlockText"/>
        <w:ind w:left="450"/>
        <w:rPr>
          <w:bCs/>
          <w:szCs w:val="22"/>
        </w:rPr>
      </w:pPr>
    </w:p>
    <w:p w14:paraId="13D31531" w14:textId="77777777" w:rsidR="00CF67E7" w:rsidRPr="009C797A" w:rsidRDefault="007B5FE3" w:rsidP="007B5FE3">
      <w:pPr>
        <w:pStyle w:val="BlockText"/>
        <w:ind w:left="450"/>
        <w:rPr>
          <w:bCs/>
          <w:color w:val="000000"/>
          <w:szCs w:val="22"/>
          <w:u w:val="single"/>
        </w:rPr>
      </w:pPr>
      <w:r w:rsidRPr="009C797A">
        <w:rPr>
          <w:bCs/>
          <w:color w:val="000000"/>
          <w:szCs w:val="22"/>
          <w:u w:val="single"/>
        </w:rPr>
        <w:t>Capital Fund Program Amendment to the ACC (HUD-52840-A)</w:t>
      </w:r>
      <w:r w:rsidRPr="009C797A">
        <w:rPr>
          <w:bCs/>
          <w:color w:val="000000"/>
          <w:szCs w:val="22"/>
        </w:rPr>
        <w:t>. This form</w:t>
      </w:r>
      <w:r w:rsidRPr="009C797A">
        <w:rPr>
          <w:rFonts w:eastAsiaTheme="minorEastAsia"/>
          <w:color w:val="000000"/>
          <w:szCs w:val="22"/>
        </w:rPr>
        <w:t xml:space="preserve"> amends a PHA’s ACC each time HUD provides CFP assistance to a PHA for capital and management activities of PHA developments. </w:t>
      </w:r>
      <w:r w:rsidRPr="009C797A">
        <w:rPr>
          <w:bCs/>
          <w:color w:val="000000"/>
          <w:szCs w:val="22"/>
        </w:rPr>
        <w:t>This collection amends this form to change its format from PDF/Word to Excel only.</w:t>
      </w:r>
    </w:p>
    <w:p w14:paraId="23E0B0C6" w14:textId="77777777" w:rsidR="007B5FE3" w:rsidRPr="009C797A" w:rsidRDefault="007B5FE3" w:rsidP="00826831">
      <w:pPr>
        <w:pStyle w:val="BodyText"/>
        <w:tabs>
          <w:tab w:val="num" w:pos="450"/>
          <w:tab w:val="left" w:pos="480"/>
        </w:tabs>
        <w:rPr>
          <w:color w:val="000000"/>
          <w:sz w:val="22"/>
          <w:szCs w:val="22"/>
        </w:rPr>
      </w:pPr>
    </w:p>
    <w:p w14:paraId="7DEA69B4" w14:textId="77777777" w:rsidR="004759AC" w:rsidRPr="009C797A" w:rsidRDefault="00CF67E7" w:rsidP="000A6D45">
      <w:pPr>
        <w:pStyle w:val="Heading1"/>
        <w:keepNext w:val="0"/>
        <w:numPr>
          <w:ilvl w:val="0"/>
          <w:numId w:val="10"/>
        </w:numPr>
        <w:tabs>
          <w:tab w:val="clear" w:pos="360"/>
          <w:tab w:val="num" w:pos="-450"/>
          <w:tab w:val="left" w:pos="480"/>
        </w:tabs>
        <w:ind w:left="480" w:hanging="480"/>
        <w:jc w:val="left"/>
        <w:rPr>
          <w:b w:val="0"/>
          <w:sz w:val="22"/>
        </w:rPr>
      </w:pPr>
      <w:r w:rsidRPr="009C797A">
        <w:rPr>
          <w:sz w:val="22"/>
          <w:u w:val="none"/>
        </w:rPr>
        <w:t>How is this information to be used?</w:t>
      </w:r>
      <w:r w:rsidRPr="009C797A">
        <w:rPr>
          <w:b w:val="0"/>
          <w:sz w:val="22"/>
          <w:u w:val="none"/>
        </w:rPr>
        <w:t xml:space="preserve">  </w:t>
      </w:r>
      <w:r w:rsidR="00361E9D" w:rsidRPr="009C797A">
        <w:rPr>
          <w:b w:val="0"/>
          <w:sz w:val="22"/>
          <w:szCs w:val="22"/>
          <w:u w:val="none"/>
        </w:rPr>
        <w:t>ACCs</w:t>
      </w:r>
      <w:r w:rsidR="00C7491B" w:rsidRPr="009C797A">
        <w:rPr>
          <w:b w:val="0"/>
          <w:sz w:val="22"/>
          <w:szCs w:val="22"/>
          <w:u w:val="none"/>
        </w:rPr>
        <w:t xml:space="preserve"> establish the </w:t>
      </w:r>
      <w:r w:rsidR="004759AC" w:rsidRPr="009C797A">
        <w:rPr>
          <w:b w:val="0"/>
          <w:sz w:val="22"/>
          <w:szCs w:val="22"/>
          <w:u w:val="none"/>
        </w:rPr>
        <w:t>contractual</w:t>
      </w:r>
      <w:r w:rsidR="00C7491B" w:rsidRPr="009C797A">
        <w:rPr>
          <w:b w:val="0"/>
          <w:sz w:val="22"/>
          <w:szCs w:val="22"/>
          <w:u w:val="none"/>
        </w:rPr>
        <w:t xml:space="preserve"> relationship between HUD and </w:t>
      </w:r>
      <w:r w:rsidR="007D0865" w:rsidRPr="009C797A">
        <w:rPr>
          <w:b w:val="0"/>
          <w:sz w:val="22"/>
          <w:szCs w:val="22"/>
          <w:u w:val="none"/>
        </w:rPr>
        <w:t>PHAs</w:t>
      </w:r>
      <w:r w:rsidR="00C7491B" w:rsidRPr="009C797A">
        <w:rPr>
          <w:b w:val="0"/>
          <w:sz w:val="22"/>
          <w:szCs w:val="22"/>
          <w:u w:val="none"/>
        </w:rPr>
        <w:t xml:space="preserve"> administering public housing programs. </w:t>
      </w:r>
      <w:r w:rsidR="004759AC" w:rsidRPr="009C797A">
        <w:rPr>
          <w:b w:val="0"/>
          <w:sz w:val="22"/>
          <w:szCs w:val="22"/>
          <w:u w:val="none"/>
        </w:rPr>
        <w:t>ACCs are executed for development, acquisition,</w:t>
      </w:r>
      <w:r w:rsidR="001E48CA" w:rsidRPr="009C797A">
        <w:rPr>
          <w:b w:val="0"/>
          <w:sz w:val="22"/>
          <w:szCs w:val="22"/>
          <w:u w:val="none"/>
        </w:rPr>
        <w:t xml:space="preserve"> and </w:t>
      </w:r>
      <w:r w:rsidR="004759AC" w:rsidRPr="009C797A">
        <w:rPr>
          <w:b w:val="0"/>
          <w:sz w:val="22"/>
          <w:szCs w:val="22"/>
          <w:u w:val="none"/>
        </w:rPr>
        <w:t xml:space="preserve">all inventory removal actions. ACC covenant amendments are executed for projects that involve the use of capital funds. These 20-year ACC extensions also apply to situations when PHAs use capital funds for emergency and disaster grant activities, safety and security expenditures and for the renovation of community facilities.  HUD action and PHA submissions are also required when capital funds are recaptured for non-compliance or when </w:t>
      </w:r>
      <w:r w:rsidR="00863BF9" w:rsidRPr="009C797A">
        <w:rPr>
          <w:b w:val="0"/>
          <w:sz w:val="22"/>
          <w:szCs w:val="22"/>
          <w:u w:val="none"/>
        </w:rPr>
        <w:t>grant</w:t>
      </w:r>
      <w:r w:rsidR="004759AC" w:rsidRPr="009C797A">
        <w:rPr>
          <w:b w:val="0"/>
          <w:sz w:val="22"/>
          <w:szCs w:val="22"/>
          <w:u w:val="none"/>
        </w:rPr>
        <w:t xml:space="preserve"> funds are not used within the obligation and expenditure time-</w:t>
      </w:r>
      <w:r w:rsidR="004759AC" w:rsidRPr="009C797A">
        <w:rPr>
          <w:b w:val="0"/>
          <w:u w:val="none"/>
        </w:rPr>
        <w:t>limits.</w:t>
      </w:r>
    </w:p>
    <w:p w14:paraId="24E60D10" w14:textId="77777777" w:rsidR="004759AC" w:rsidRPr="009C797A" w:rsidRDefault="004759AC" w:rsidP="00864CC4">
      <w:pPr>
        <w:pStyle w:val="BodyTextIndent2"/>
        <w:ind w:left="480"/>
        <w:rPr>
          <w:sz w:val="22"/>
          <w:szCs w:val="22"/>
        </w:rPr>
      </w:pPr>
    </w:p>
    <w:p w14:paraId="288FDD3B" w14:textId="77777777" w:rsidR="004759AC" w:rsidRPr="009C797A" w:rsidRDefault="004759AC" w:rsidP="00864CC4">
      <w:pPr>
        <w:pStyle w:val="BodyTextIndent2"/>
        <w:ind w:left="480"/>
        <w:rPr>
          <w:sz w:val="22"/>
          <w:szCs w:val="22"/>
        </w:rPr>
      </w:pPr>
      <w:r w:rsidRPr="009C797A">
        <w:rPr>
          <w:sz w:val="22"/>
          <w:szCs w:val="22"/>
        </w:rPr>
        <w:t>This information also</w:t>
      </w:r>
      <w:r w:rsidR="00C7491B" w:rsidRPr="009C797A">
        <w:rPr>
          <w:sz w:val="22"/>
          <w:szCs w:val="22"/>
        </w:rPr>
        <w:t xml:space="preserve"> ensures</w:t>
      </w:r>
      <w:r w:rsidRPr="009C797A">
        <w:rPr>
          <w:sz w:val="22"/>
          <w:szCs w:val="22"/>
        </w:rPr>
        <w:t xml:space="preserve"> </w:t>
      </w:r>
      <w:r w:rsidR="00C7491B" w:rsidRPr="009C797A">
        <w:rPr>
          <w:sz w:val="22"/>
          <w:szCs w:val="22"/>
        </w:rPr>
        <w:t>HUD has an accurate database for the federal public housing inventory and enables HUD Field Offices to effectively monitor their portfolio.</w:t>
      </w:r>
      <w:r w:rsidRPr="009C797A">
        <w:rPr>
          <w:sz w:val="22"/>
          <w:szCs w:val="22"/>
        </w:rPr>
        <w:t xml:space="preserve"> HUD uses the inventory information when determining the amount of funding a PHA is eligible for under the capital fund and other programs.</w:t>
      </w:r>
    </w:p>
    <w:p w14:paraId="3226DFAD" w14:textId="77777777" w:rsidR="004759AC" w:rsidRPr="009C797A" w:rsidRDefault="004759AC" w:rsidP="00864CC4">
      <w:pPr>
        <w:pStyle w:val="BodyTextIndent2"/>
        <w:ind w:left="480"/>
        <w:rPr>
          <w:sz w:val="22"/>
          <w:szCs w:val="22"/>
        </w:rPr>
      </w:pPr>
    </w:p>
    <w:p w14:paraId="185FAF04" w14:textId="77777777" w:rsidR="00A73119" w:rsidRPr="009C797A" w:rsidRDefault="00AE2246" w:rsidP="00864CC4">
      <w:pPr>
        <w:pStyle w:val="BodyTextIndent2"/>
        <w:ind w:left="480"/>
        <w:rPr>
          <w:sz w:val="20"/>
        </w:rPr>
      </w:pPr>
      <w:r w:rsidRPr="009C797A">
        <w:rPr>
          <w:sz w:val="22"/>
        </w:rPr>
        <w:t xml:space="preserve">This </w:t>
      </w:r>
      <w:r w:rsidR="00A73119" w:rsidRPr="009C797A">
        <w:rPr>
          <w:sz w:val="22"/>
        </w:rPr>
        <w:t>Public Housing Inventory removal information</w:t>
      </w:r>
      <w:r w:rsidR="001E48CA" w:rsidRPr="009C797A">
        <w:rPr>
          <w:sz w:val="22"/>
        </w:rPr>
        <w:t xml:space="preserve"> </w:t>
      </w:r>
      <w:r w:rsidR="00A73119" w:rsidRPr="009C797A">
        <w:rPr>
          <w:sz w:val="22"/>
          <w:szCs w:val="22"/>
        </w:rPr>
        <w:t>is collected via</w:t>
      </w:r>
      <w:r w:rsidR="00C7491B" w:rsidRPr="009C797A">
        <w:rPr>
          <w:sz w:val="22"/>
          <w:szCs w:val="22"/>
        </w:rPr>
        <w:t xml:space="preserve"> an</w:t>
      </w:r>
      <w:r w:rsidR="00A73119" w:rsidRPr="009C797A">
        <w:rPr>
          <w:sz w:val="22"/>
          <w:szCs w:val="22"/>
        </w:rPr>
        <w:t xml:space="preserve"> on-line </w:t>
      </w:r>
      <w:r w:rsidR="00361E9D" w:rsidRPr="009C797A">
        <w:rPr>
          <w:sz w:val="22"/>
          <w:szCs w:val="22"/>
        </w:rPr>
        <w:t xml:space="preserve">electronic </w:t>
      </w:r>
      <w:r w:rsidR="00A73119" w:rsidRPr="009C797A">
        <w:rPr>
          <w:sz w:val="22"/>
          <w:szCs w:val="22"/>
        </w:rPr>
        <w:t xml:space="preserve">application </w:t>
      </w:r>
      <w:r w:rsidR="00361E9D" w:rsidRPr="009C797A">
        <w:rPr>
          <w:sz w:val="22"/>
          <w:szCs w:val="22"/>
        </w:rPr>
        <w:t xml:space="preserve">(currently through the Inventory Management System/PIH Information Center (IMS/PIC)) </w:t>
      </w:r>
      <w:r w:rsidR="00A73119" w:rsidRPr="009C797A">
        <w:rPr>
          <w:sz w:val="22"/>
          <w:szCs w:val="22"/>
        </w:rPr>
        <w:t xml:space="preserve">and reviewed by HUD’s Special Application Center (SAC) to ensure that PHAs meet the statutory and regulatory requirements necessary for HUD to approve </w:t>
      </w:r>
      <w:r w:rsidR="00C7491B" w:rsidRPr="009C797A">
        <w:rPr>
          <w:sz w:val="22"/>
          <w:szCs w:val="22"/>
        </w:rPr>
        <w:t>the removal of public housing units from inventory</w:t>
      </w:r>
      <w:r w:rsidR="007D0865" w:rsidRPr="009C797A">
        <w:rPr>
          <w:sz w:val="22"/>
          <w:szCs w:val="22"/>
        </w:rPr>
        <w:t xml:space="preserve"> (including retentions)</w:t>
      </w:r>
      <w:r w:rsidR="00D67906" w:rsidRPr="009C797A">
        <w:rPr>
          <w:sz w:val="22"/>
          <w:szCs w:val="22"/>
        </w:rPr>
        <w:t>, with the excep</w:t>
      </w:r>
      <w:r w:rsidR="00CC484E" w:rsidRPr="009C797A">
        <w:rPr>
          <w:sz w:val="22"/>
          <w:szCs w:val="22"/>
        </w:rPr>
        <w:t>tion of</w:t>
      </w:r>
      <w:r w:rsidR="00D67906" w:rsidRPr="009C797A">
        <w:rPr>
          <w:sz w:val="22"/>
          <w:szCs w:val="22"/>
        </w:rPr>
        <w:t xml:space="preserve"> </w:t>
      </w:r>
      <w:r w:rsidR="007B5FE3" w:rsidRPr="009C797A">
        <w:rPr>
          <w:szCs w:val="22"/>
        </w:rPr>
        <w:t>HUD</w:t>
      </w:r>
      <w:r w:rsidR="00B4383D" w:rsidRPr="009C797A">
        <w:rPr>
          <w:szCs w:val="22"/>
        </w:rPr>
        <w:t>-5837</w:t>
      </w:r>
      <w:r w:rsidR="00361E9D" w:rsidRPr="009C797A">
        <w:rPr>
          <w:szCs w:val="22"/>
        </w:rPr>
        <w:t>, which will be collected via paper submissions</w:t>
      </w:r>
      <w:r w:rsidR="00A73119" w:rsidRPr="009C797A">
        <w:rPr>
          <w:sz w:val="22"/>
          <w:szCs w:val="22"/>
        </w:rPr>
        <w:t xml:space="preserve">.  HUD approval is necessary prior to PHAs removing their public housing property in order to protect the federal interest in the public housing property under the ACC and </w:t>
      </w:r>
      <w:r w:rsidR="00361E9D" w:rsidRPr="009C797A">
        <w:rPr>
          <w:sz w:val="22"/>
          <w:szCs w:val="22"/>
        </w:rPr>
        <w:t>DOT</w:t>
      </w:r>
      <w:r w:rsidR="00A73119" w:rsidRPr="009C797A">
        <w:rPr>
          <w:sz w:val="22"/>
          <w:szCs w:val="22"/>
        </w:rPr>
        <w:t xml:space="preserve">.  </w:t>
      </w:r>
      <w:r w:rsidR="007B5FE3" w:rsidRPr="009C797A">
        <w:rPr>
          <w:sz w:val="22"/>
          <w:szCs w:val="22"/>
        </w:rPr>
        <w:t>The</w:t>
      </w:r>
      <w:r w:rsidR="00CC484E" w:rsidRPr="009C797A">
        <w:rPr>
          <w:szCs w:val="22"/>
        </w:rPr>
        <w:t xml:space="preserve"> HUD-5837</w:t>
      </w:r>
      <w:r w:rsidR="0001404A" w:rsidRPr="009C797A">
        <w:rPr>
          <w:sz w:val="22"/>
          <w:szCs w:val="22"/>
        </w:rPr>
        <w:t>collect</w:t>
      </w:r>
      <w:r w:rsidR="007B5FE3" w:rsidRPr="009C797A">
        <w:rPr>
          <w:sz w:val="22"/>
          <w:szCs w:val="22"/>
        </w:rPr>
        <w:t>s</w:t>
      </w:r>
      <w:r w:rsidR="0001404A" w:rsidRPr="009C797A">
        <w:rPr>
          <w:sz w:val="22"/>
          <w:szCs w:val="22"/>
        </w:rPr>
        <w:t xml:space="preserve"> </w:t>
      </w:r>
      <w:r w:rsidR="00361E9D" w:rsidRPr="009C797A">
        <w:rPr>
          <w:sz w:val="22"/>
          <w:szCs w:val="22"/>
        </w:rPr>
        <w:t>public housing close-out</w:t>
      </w:r>
      <w:r w:rsidR="0001404A" w:rsidRPr="009C797A">
        <w:rPr>
          <w:sz w:val="22"/>
          <w:szCs w:val="22"/>
        </w:rPr>
        <w:t xml:space="preserve"> information and additional information about potential new public housing developments that will be developed in the future on surplus land for which the DOT may </w:t>
      </w:r>
      <w:r w:rsidR="00743B8F" w:rsidRPr="009C797A">
        <w:rPr>
          <w:sz w:val="22"/>
          <w:szCs w:val="22"/>
        </w:rPr>
        <w:t xml:space="preserve">or may not </w:t>
      </w:r>
      <w:r w:rsidR="0001404A" w:rsidRPr="009C797A">
        <w:rPr>
          <w:sz w:val="22"/>
          <w:szCs w:val="22"/>
        </w:rPr>
        <w:t>be unencumbered in the future.</w:t>
      </w:r>
      <w:r w:rsidR="007B5FE3" w:rsidRPr="009C797A">
        <w:rPr>
          <w:sz w:val="22"/>
          <w:szCs w:val="22"/>
        </w:rPr>
        <w:t xml:space="preserve"> The</w:t>
      </w:r>
      <w:r w:rsidR="0001404A" w:rsidRPr="009C797A">
        <w:rPr>
          <w:sz w:val="22"/>
          <w:szCs w:val="22"/>
        </w:rPr>
        <w:t xml:space="preserve"> </w:t>
      </w:r>
      <w:r w:rsidR="00B4383D" w:rsidRPr="009C797A">
        <w:rPr>
          <w:szCs w:val="22"/>
        </w:rPr>
        <w:t xml:space="preserve">HUD-5837 </w:t>
      </w:r>
      <w:r w:rsidR="007B5FE3" w:rsidRPr="009C797A">
        <w:rPr>
          <w:sz w:val="22"/>
          <w:szCs w:val="22"/>
        </w:rPr>
        <w:t>is</w:t>
      </w:r>
      <w:r w:rsidR="00D67906" w:rsidRPr="009C797A">
        <w:rPr>
          <w:sz w:val="22"/>
          <w:szCs w:val="22"/>
        </w:rPr>
        <w:t xml:space="preserve"> collected via paper submission and reviewed by HUD</w:t>
      </w:r>
      <w:r w:rsidR="00361E9D" w:rsidRPr="009C797A">
        <w:rPr>
          <w:sz w:val="22"/>
          <w:szCs w:val="22"/>
        </w:rPr>
        <w:t xml:space="preserve"> Field Office of Public Housing </w:t>
      </w:r>
      <w:r w:rsidR="00D67906" w:rsidRPr="009C797A">
        <w:rPr>
          <w:sz w:val="22"/>
          <w:szCs w:val="22"/>
        </w:rPr>
        <w:t xml:space="preserve">staff to support the effective monitoring of the federal public housing inventory and enables </w:t>
      </w:r>
      <w:r w:rsidR="00361E9D" w:rsidRPr="009C797A">
        <w:rPr>
          <w:sz w:val="22"/>
          <w:szCs w:val="22"/>
        </w:rPr>
        <w:t xml:space="preserve">HUD Field Office of Public Housing staff </w:t>
      </w:r>
      <w:r w:rsidR="00D67906" w:rsidRPr="009C797A">
        <w:rPr>
          <w:sz w:val="22"/>
          <w:szCs w:val="22"/>
        </w:rPr>
        <w:t xml:space="preserve">to effectively monitor their portfolio. </w:t>
      </w:r>
    </w:p>
    <w:p w14:paraId="29C9E4A7" w14:textId="77777777" w:rsidR="00A84524" w:rsidRPr="009C797A" w:rsidRDefault="00A84524" w:rsidP="00415422">
      <w:pPr>
        <w:pStyle w:val="BodyTextIndent2"/>
        <w:tabs>
          <w:tab w:val="left" w:pos="960"/>
          <w:tab w:val="num" w:pos="1170"/>
        </w:tabs>
        <w:ind w:left="480"/>
        <w:rPr>
          <w:sz w:val="22"/>
        </w:rPr>
      </w:pPr>
    </w:p>
    <w:p w14:paraId="415596FC" w14:textId="77777777" w:rsidR="00CF67E7" w:rsidRPr="009C797A" w:rsidRDefault="00CF67E7" w:rsidP="00CF67E7">
      <w:pPr>
        <w:pStyle w:val="Heading1"/>
        <w:tabs>
          <w:tab w:val="left" w:pos="480"/>
        </w:tabs>
        <w:ind w:left="480" w:hanging="480"/>
        <w:jc w:val="left"/>
        <w:rPr>
          <w:u w:val="none"/>
        </w:rPr>
      </w:pPr>
      <w:r w:rsidRPr="009C797A">
        <w:rPr>
          <w:u w:val="none"/>
        </w:rPr>
        <w:t>3.</w:t>
      </w:r>
      <w:r w:rsidRPr="009C797A">
        <w:rPr>
          <w:u w:val="none"/>
        </w:rPr>
        <w:tab/>
      </w:r>
      <w:r w:rsidRPr="009C797A">
        <w:rPr>
          <w:sz w:val="22"/>
          <w:u w:val="none"/>
        </w:rPr>
        <w:t>Describe whether, and to what extent, the collection of information is automated?</w:t>
      </w:r>
      <w:r w:rsidRPr="009C797A">
        <w:rPr>
          <w:u w:val="none"/>
        </w:rPr>
        <w:t xml:space="preserve">  </w:t>
      </w:r>
    </w:p>
    <w:p w14:paraId="0B8E23DB" w14:textId="77777777" w:rsidR="00D364DF" w:rsidRPr="009C797A" w:rsidRDefault="00864CC4" w:rsidP="00703592">
      <w:pPr>
        <w:pStyle w:val="BodyText"/>
        <w:tabs>
          <w:tab w:val="left" w:pos="480"/>
        </w:tabs>
        <w:ind w:left="480" w:hanging="480"/>
        <w:rPr>
          <w:sz w:val="22"/>
          <w:szCs w:val="22"/>
        </w:rPr>
      </w:pPr>
      <w:r w:rsidRPr="009C797A">
        <w:rPr>
          <w:sz w:val="22"/>
        </w:rPr>
        <w:tab/>
      </w:r>
      <w:r w:rsidR="00D364DF" w:rsidRPr="009C797A">
        <w:rPr>
          <w:sz w:val="22"/>
          <w:szCs w:val="22"/>
        </w:rPr>
        <w:t xml:space="preserve">HUD electronically collects public housing inventory data from the PHAs through its </w:t>
      </w:r>
      <w:r w:rsidR="00361E9D" w:rsidRPr="009C797A">
        <w:rPr>
          <w:sz w:val="22"/>
          <w:szCs w:val="22"/>
        </w:rPr>
        <w:t>IMS/PIC system,</w:t>
      </w:r>
      <w:r w:rsidR="00D364DF" w:rsidRPr="009C797A">
        <w:rPr>
          <w:sz w:val="22"/>
          <w:szCs w:val="22"/>
        </w:rPr>
        <w:t xml:space="preserve"> </w:t>
      </w:r>
      <w:r w:rsidR="00343BED" w:rsidRPr="009C797A">
        <w:rPr>
          <w:sz w:val="22"/>
          <w:szCs w:val="22"/>
        </w:rPr>
        <w:t xml:space="preserve">an on-line </w:t>
      </w:r>
      <w:r w:rsidR="00D364DF" w:rsidRPr="009C797A">
        <w:rPr>
          <w:sz w:val="22"/>
          <w:szCs w:val="22"/>
        </w:rPr>
        <w:t>data entry/database system</w:t>
      </w:r>
      <w:r w:rsidR="00361E9D" w:rsidRPr="009C797A">
        <w:rPr>
          <w:sz w:val="22"/>
          <w:szCs w:val="22"/>
        </w:rPr>
        <w:t>.  PHAs do not submit the actual paper HUD-52860 forms to HUD.  Ra</w:t>
      </w:r>
      <w:r w:rsidR="00520542" w:rsidRPr="009C797A">
        <w:rPr>
          <w:sz w:val="22"/>
          <w:szCs w:val="22"/>
        </w:rPr>
        <w:t>t</w:t>
      </w:r>
      <w:r w:rsidR="00361E9D" w:rsidRPr="009C797A">
        <w:rPr>
          <w:sz w:val="22"/>
          <w:szCs w:val="22"/>
        </w:rPr>
        <w:t xml:space="preserve">her, PHAs provide all information required by the HUD-52860 forms electronically via submissions through the </w:t>
      </w:r>
      <w:r w:rsidR="00214674" w:rsidRPr="009C797A">
        <w:rPr>
          <w:sz w:val="22"/>
          <w:szCs w:val="22"/>
        </w:rPr>
        <w:t>Inventory Removal module</w:t>
      </w:r>
      <w:r w:rsidR="00361E9D" w:rsidRPr="009C797A">
        <w:rPr>
          <w:sz w:val="22"/>
          <w:szCs w:val="22"/>
        </w:rPr>
        <w:t xml:space="preserve"> of IMS/PIC. </w:t>
      </w:r>
      <w:r w:rsidR="00D364DF" w:rsidRPr="009C797A">
        <w:rPr>
          <w:sz w:val="22"/>
          <w:szCs w:val="22"/>
        </w:rPr>
        <w:t xml:space="preserve"> The </w:t>
      </w:r>
      <w:r w:rsidR="00361E9D" w:rsidRPr="009C797A">
        <w:rPr>
          <w:sz w:val="22"/>
          <w:szCs w:val="22"/>
        </w:rPr>
        <w:t>IMS/</w:t>
      </w:r>
      <w:r w:rsidR="00D364DF" w:rsidRPr="009C797A">
        <w:rPr>
          <w:sz w:val="22"/>
          <w:szCs w:val="22"/>
        </w:rPr>
        <w:t xml:space="preserve">PIC system allows PHAs to attach supporting documentation electronically. </w:t>
      </w:r>
      <w:r w:rsidR="007D0865" w:rsidRPr="009C797A">
        <w:rPr>
          <w:sz w:val="22"/>
          <w:szCs w:val="22"/>
        </w:rPr>
        <w:t xml:space="preserve">  </w:t>
      </w:r>
      <w:r w:rsidR="00361E9D" w:rsidRPr="009C797A">
        <w:rPr>
          <w:sz w:val="22"/>
          <w:szCs w:val="22"/>
        </w:rPr>
        <w:t>PHAs will also be required to submit requests for</w:t>
      </w:r>
      <w:r w:rsidR="007D0865" w:rsidRPr="009C797A">
        <w:rPr>
          <w:sz w:val="22"/>
          <w:szCs w:val="22"/>
        </w:rPr>
        <w:t xml:space="preserve"> retentions under of public housing property (free from public housing use restrictions) </w:t>
      </w:r>
      <w:r w:rsidR="007D0865" w:rsidRPr="009C797A">
        <w:rPr>
          <w:szCs w:val="22"/>
        </w:rPr>
        <w:t xml:space="preserve">under </w:t>
      </w:r>
      <w:r w:rsidR="007D0865" w:rsidRPr="009C797A">
        <w:rPr>
          <w:sz w:val="22"/>
          <w:szCs w:val="22"/>
        </w:rPr>
        <w:t>2 CFR 200.311(c)(1)</w:t>
      </w:r>
      <w:r w:rsidR="007D0865" w:rsidRPr="009C797A">
        <w:rPr>
          <w:bCs/>
          <w:sz w:val="22"/>
          <w:szCs w:val="22"/>
        </w:rPr>
        <w:t xml:space="preserve"> to electronically through </w:t>
      </w:r>
      <w:r w:rsidR="00361E9D" w:rsidRPr="009C797A">
        <w:rPr>
          <w:bCs/>
          <w:sz w:val="22"/>
          <w:szCs w:val="22"/>
        </w:rPr>
        <w:t>IMS/PIC.</w:t>
      </w:r>
    </w:p>
    <w:p w14:paraId="67024805" w14:textId="77777777" w:rsidR="00CF67E7" w:rsidRPr="009C797A" w:rsidRDefault="00626115" w:rsidP="00B953E8">
      <w:pPr>
        <w:pStyle w:val="BodyText"/>
        <w:tabs>
          <w:tab w:val="left" w:pos="0"/>
        </w:tabs>
        <w:rPr>
          <w:sz w:val="22"/>
        </w:rPr>
      </w:pPr>
      <w:r w:rsidRPr="009C797A">
        <w:rPr>
          <w:sz w:val="22"/>
        </w:rPr>
        <w:t xml:space="preserve"> </w:t>
      </w:r>
    </w:p>
    <w:p w14:paraId="5D91E23F" w14:textId="77777777" w:rsidR="00CF67E7" w:rsidRPr="009C797A" w:rsidRDefault="00926768" w:rsidP="00926768">
      <w:pPr>
        <w:pStyle w:val="BodyText"/>
        <w:tabs>
          <w:tab w:val="left" w:pos="480"/>
        </w:tabs>
        <w:ind w:left="450" w:hanging="450"/>
        <w:rPr>
          <w:sz w:val="22"/>
        </w:rPr>
      </w:pPr>
      <w:r w:rsidRPr="009C797A">
        <w:rPr>
          <w:b/>
          <w:bCs/>
        </w:rPr>
        <w:t>4.</w:t>
      </w:r>
      <w:r w:rsidRPr="009C797A">
        <w:rPr>
          <w:b/>
          <w:bCs/>
          <w:sz w:val="22"/>
        </w:rPr>
        <w:tab/>
      </w:r>
      <w:r w:rsidRPr="009C797A">
        <w:rPr>
          <w:b/>
          <w:bCs/>
          <w:sz w:val="22"/>
        </w:rPr>
        <w:tab/>
      </w:r>
      <w:r w:rsidR="00271C79" w:rsidRPr="009C797A">
        <w:rPr>
          <w:b/>
          <w:bCs/>
          <w:sz w:val="22"/>
        </w:rPr>
        <w:t>Duplication of i</w:t>
      </w:r>
      <w:r w:rsidR="00CF67E7" w:rsidRPr="009C797A">
        <w:rPr>
          <w:b/>
          <w:bCs/>
          <w:sz w:val="22"/>
        </w:rPr>
        <w:t>nformation</w:t>
      </w:r>
      <w:r w:rsidR="00271C79" w:rsidRPr="009C797A">
        <w:rPr>
          <w:b/>
          <w:bCs/>
          <w:sz w:val="22"/>
        </w:rPr>
        <w:t>.</w:t>
      </w:r>
      <w:r w:rsidR="00CF67E7" w:rsidRPr="009C797A">
        <w:rPr>
          <w:b/>
          <w:bCs/>
          <w:sz w:val="22"/>
        </w:rPr>
        <w:t xml:space="preserve"> </w:t>
      </w:r>
      <w:r w:rsidR="00271C79" w:rsidRPr="009C797A">
        <w:rPr>
          <w:b/>
          <w:bCs/>
          <w:sz w:val="22"/>
        </w:rPr>
        <w:t xml:space="preserve"> </w:t>
      </w:r>
      <w:r w:rsidR="00552E18" w:rsidRPr="009C797A">
        <w:rPr>
          <w:bCs/>
          <w:sz w:val="22"/>
        </w:rPr>
        <w:t xml:space="preserve">There is no duplication of information associated with this collection.  </w:t>
      </w:r>
      <w:r w:rsidR="00D76B67" w:rsidRPr="009C797A">
        <w:rPr>
          <w:bCs/>
          <w:sz w:val="22"/>
        </w:rPr>
        <w:t xml:space="preserve">The information required and collected with each action is not collected elsewhere.  </w:t>
      </w:r>
      <w:r w:rsidR="00552E18" w:rsidRPr="009C797A">
        <w:rPr>
          <w:bCs/>
          <w:sz w:val="22"/>
        </w:rPr>
        <w:t>There is no similar information already available that may be used or modified for the purposes described in the response to question 2 above.</w:t>
      </w:r>
      <w:r w:rsidR="00552E18" w:rsidRPr="009C797A">
        <w:rPr>
          <w:b/>
          <w:bCs/>
          <w:sz w:val="22"/>
        </w:rPr>
        <w:t xml:space="preserve">  </w:t>
      </w:r>
      <w:r w:rsidR="00626115" w:rsidRPr="009C797A">
        <w:rPr>
          <w:sz w:val="22"/>
        </w:rPr>
        <w:t>Information is uniformly collected for award and distribution of operating subsidies</w:t>
      </w:r>
      <w:r w:rsidR="00271C79" w:rsidRPr="009C797A">
        <w:rPr>
          <w:sz w:val="22"/>
        </w:rPr>
        <w:t xml:space="preserve"> and capital funds</w:t>
      </w:r>
      <w:r w:rsidR="00626115" w:rsidRPr="009C797A">
        <w:rPr>
          <w:sz w:val="22"/>
        </w:rPr>
        <w:t xml:space="preserve">. </w:t>
      </w:r>
      <w:r w:rsidR="00FB46E2" w:rsidRPr="009C797A">
        <w:rPr>
          <w:sz w:val="22"/>
        </w:rPr>
        <w:t xml:space="preserve"> </w:t>
      </w:r>
      <w:r w:rsidR="0094223E" w:rsidRPr="009C797A">
        <w:rPr>
          <w:sz w:val="22"/>
        </w:rPr>
        <w:t>PHAs initiate submission of information under this PRA.</w:t>
      </w:r>
      <w:r w:rsidR="00FB46E2" w:rsidRPr="009C797A">
        <w:rPr>
          <w:sz w:val="22"/>
        </w:rPr>
        <w:t xml:space="preserve">  </w:t>
      </w:r>
      <w:r w:rsidR="00626115" w:rsidRPr="009C797A">
        <w:rPr>
          <w:sz w:val="22"/>
        </w:rPr>
        <w:t xml:space="preserve"> </w:t>
      </w:r>
    </w:p>
    <w:p w14:paraId="40A18372" w14:textId="77777777" w:rsidR="00D364DF" w:rsidRPr="009C797A" w:rsidRDefault="00D364DF" w:rsidP="00D364DF">
      <w:pPr>
        <w:pStyle w:val="BodyTextIndent"/>
        <w:keepNext/>
        <w:rPr>
          <w:b/>
          <w:bCs/>
          <w:color w:val="FF0000"/>
          <w:sz w:val="22"/>
          <w:szCs w:val="22"/>
          <w:u w:val="single"/>
        </w:rPr>
      </w:pPr>
    </w:p>
    <w:p w14:paraId="0F3C9039" w14:textId="77777777" w:rsidR="00CF67E7" w:rsidRPr="009C797A" w:rsidRDefault="00CF67E7" w:rsidP="00CF67E7">
      <w:pPr>
        <w:pStyle w:val="BodyTextIndent"/>
        <w:keepNext/>
        <w:numPr>
          <w:ilvl w:val="0"/>
          <w:numId w:val="11"/>
        </w:numPr>
        <w:tabs>
          <w:tab w:val="clear" w:pos="360"/>
          <w:tab w:val="left" w:pos="-450"/>
          <w:tab w:val="num" w:pos="450"/>
        </w:tabs>
        <w:ind w:left="480" w:hanging="480"/>
        <w:rPr>
          <w:b/>
          <w:bCs/>
          <w:sz w:val="22"/>
        </w:rPr>
      </w:pPr>
      <w:r w:rsidRPr="009C797A">
        <w:rPr>
          <w:b/>
          <w:bCs/>
          <w:sz w:val="22"/>
        </w:rPr>
        <w:t xml:space="preserve">Does the collection of information impact small businesses or other small entities? </w:t>
      </w:r>
    </w:p>
    <w:p w14:paraId="21758C16" w14:textId="77777777" w:rsidR="00CF67E7" w:rsidRPr="009C797A" w:rsidRDefault="00B64DDC" w:rsidP="00CF67E7">
      <w:pPr>
        <w:pStyle w:val="BodyTextIndent"/>
        <w:keepNext/>
        <w:ind w:left="480" w:firstLine="0"/>
        <w:rPr>
          <w:sz w:val="22"/>
        </w:rPr>
      </w:pPr>
      <w:r w:rsidRPr="009C797A">
        <w:rPr>
          <w:sz w:val="22"/>
        </w:rPr>
        <w:t>No, t</w:t>
      </w:r>
      <w:r w:rsidR="00626115" w:rsidRPr="009C797A">
        <w:rPr>
          <w:sz w:val="22"/>
        </w:rPr>
        <w:t>he</w:t>
      </w:r>
      <w:r w:rsidR="00CF67E7" w:rsidRPr="009C797A">
        <w:rPr>
          <w:sz w:val="22"/>
        </w:rPr>
        <w:t xml:space="preserve"> information </w:t>
      </w:r>
      <w:r w:rsidR="005C3435" w:rsidRPr="009C797A">
        <w:rPr>
          <w:sz w:val="22"/>
        </w:rPr>
        <w:t xml:space="preserve">being collected </w:t>
      </w:r>
      <w:r w:rsidR="00CF67E7" w:rsidRPr="009C797A">
        <w:rPr>
          <w:sz w:val="22"/>
        </w:rPr>
        <w:t xml:space="preserve">does not </w:t>
      </w:r>
      <w:r w:rsidR="00626115" w:rsidRPr="009C797A">
        <w:rPr>
          <w:sz w:val="22"/>
        </w:rPr>
        <w:t xml:space="preserve">impact small </w:t>
      </w:r>
      <w:r w:rsidR="005C3435" w:rsidRPr="009C797A">
        <w:rPr>
          <w:sz w:val="22"/>
        </w:rPr>
        <w:t>business</w:t>
      </w:r>
      <w:r w:rsidR="00CF67E7" w:rsidRPr="009C797A">
        <w:rPr>
          <w:sz w:val="22"/>
        </w:rPr>
        <w:t>e</w:t>
      </w:r>
      <w:r w:rsidR="005C3435" w:rsidRPr="009C797A">
        <w:rPr>
          <w:sz w:val="22"/>
        </w:rPr>
        <w:t>s or other small entities.</w:t>
      </w:r>
    </w:p>
    <w:p w14:paraId="358BF65E" w14:textId="77777777" w:rsidR="00CF67E7" w:rsidRPr="009C797A" w:rsidRDefault="00CF67E7" w:rsidP="00CF67E7">
      <w:pPr>
        <w:ind w:left="480" w:hanging="480"/>
        <w:rPr>
          <w:sz w:val="22"/>
        </w:rPr>
      </w:pPr>
    </w:p>
    <w:p w14:paraId="55774DD6" w14:textId="77777777" w:rsidR="00D364DF" w:rsidRPr="009C797A" w:rsidRDefault="00CF67E7" w:rsidP="00703592">
      <w:pPr>
        <w:pStyle w:val="BodyTextIndent"/>
        <w:keepNext/>
        <w:ind w:left="480" w:hanging="480"/>
        <w:rPr>
          <w:sz w:val="22"/>
          <w:szCs w:val="22"/>
        </w:rPr>
      </w:pPr>
      <w:r w:rsidRPr="009C797A">
        <w:rPr>
          <w:b/>
          <w:bCs/>
          <w:sz w:val="22"/>
        </w:rPr>
        <w:t>6.</w:t>
      </w:r>
      <w:r w:rsidRPr="009C797A">
        <w:rPr>
          <w:b/>
          <w:bCs/>
          <w:sz w:val="22"/>
        </w:rPr>
        <w:tab/>
        <w:t xml:space="preserve">Describe the consequences to Federal program or policy activities if the collection is not conducted or is conducted less frequently. </w:t>
      </w:r>
      <w:r w:rsidR="007A1FE8" w:rsidRPr="009C797A">
        <w:rPr>
          <w:b/>
          <w:bCs/>
          <w:sz w:val="22"/>
        </w:rPr>
        <w:t xml:space="preserve"> </w:t>
      </w:r>
      <w:r w:rsidR="00885218" w:rsidRPr="009C797A">
        <w:rPr>
          <w:sz w:val="22"/>
          <w:szCs w:val="22"/>
        </w:rPr>
        <w:t xml:space="preserve">The submission of ACCs, amendments, and associated documents and forms is a long-standing statutory and regulatory requirement of entities that conduct business with HUD.  If HUD did not collect this information, the Department would be in noncompliance with the specific intent and directions of Congress.  Without this information, HUD’s interest in these properties may also be unprotected, resulting in the potential loss of affordable housing.  If accurate inventory data is lacking, HUD would be at high risk of making </w:t>
      </w:r>
      <w:r w:rsidR="00071E61" w:rsidRPr="009C797A">
        <w:rPr>
          <w:sz w:val="22"/>
          <w:szCs w:val="22"/>
        </w:rPr>
        <w:t xml:space="preserve">incorrect </w:t>
      </w:r>
      <w:r w:rsidR="00885218" w:rsidRPr="009C797A">
        <w:rPr>
          <w:sz w:val="22"/>
          <w:szCs w:val="22"/>
        </w:rPr>
        <w:t>payments to housing authorities.  I</w:t>
      </w:r>
      <w:r w:rsidR="00D364DF" w:rsidRPr="009C797A">
        <w:rPr>
          <w:sz w:val="22"/>
          <w:szCs w:val="22"/>
        </w:rPr>
        <w:t xml:space="preserve">f this information were collected less frequently, it would unreasonably delay inventory removals by PHAs and prevent the </w:t>
      </w:r>
      <w:r w:rsidR="003855F7" w:rsidRPr="009C797A">
        <w:rPr>
          <w:sz w:val="22"/>
          <w:szCs w:val="22"/>
        </w:rPr>
        <w:t xml:space="preserve">1937 </w:t>
      </w:r>
      <w:r w:rsidR="00D364DF" w:rsidRPr="009C797A">
        <w:rPr>
          <w:sz w:val="22"/>
          <w:szCs w:val="22"/>
        </w:rPr>
        <w:t>Act from being properly carried out</w:t>
      </w:r>
      <w:r w:rsidR="00885218" w:rsidRPr="009C797A">
        <w:rPr>
          <w:sz w:val="22"/>
          <w:szCs w:val="22"/>
        </w:rPr>
        <w:t>.</w:t>
      </w:r>
      <w:r w:rsidR="00D364DF" w:rsidRPr="009C797A">
        <w:rPr>
          <w:sz w:val="22"/>
          <w:szCs w:val="22"/>
        </w:rPr>
        <w:t xml:space="preserve"> </w:t>
      </w:r>
    </w:p>
    <w:p w14:paraId="5CF1F4D7" w14:textId="77777777" w:rsidR="00864CC4" w:rsidRPr="009C797A" w:rsidRDefault="00864CC4" w:rsidP="00CF67E7">
      <w:pPr>
        <w:pStyle w:val="BodyTextIndent"/>
        <w:ind w:left="480" w:hanging="480"/>
      </w:pPr>
    </w:p>
    <w:p w14:paraId="494ABDBD" w14:textId="77777777" w:rsidR="00CF67E7" w:rsidRDefault="00CF67E7" w:rsidP="00864CC4">
      <w:pPr>
        <w:pStyle w:val="ListParagraph"/>
        <w:keepNext/>
        <w:numPr>
          <w:ilvl w:val="0"/>
          <w:numId w:val="22"/>
        </w:numPr>
        <w:ind w:left="450" w:hanging="450"/>
        <w:rPr>
          <w:sz w:val="22"/>
        </w:rPr>
      </w:pPr>
      <w:r w:rsidRPr="009C797A">
        <w:rPr>
          <w:b/>
          <w:bCs/>
          <w:sz w:val="22"/>
        </w:rPr>
        <w:t>Explain any special circumstances</w:t>
      </w:r>
      <w:r w:rsidR="007A1FE8" w:rsidRPr="009C797A">
        <w:rPr>
          <w:b/>
          <w:bCs/>
          <w:sz w:val="22"/>
        </w:rPr>
        <w:t>.</w:t>
      </w:r>
      <w:r w:rsidRPr="009C797A">
        <w:rPr>
          <w:b/>
          <w:bCs/>
          <w:sz w:val="22"/>
        </w:rPr>
        <w:t xml:space="preserve"> </w:t>
      </w:r>
      <w:r w:rsidR="007A1FE8" w:rsidRPr="009C797A">
        <w:rPr>
          <w:b/>
          <w:bCs/>
          <w:sz w:val="22"/>
        </w:rPr>
        <w:t xml:space="preserve"> </w:t>
      </w:r>
      <w:r w:rsidR="007A1FE8" w:rsidRPr="009C797A">
        <w:rPr>
          <w:bCs/>
          <w:sz w:val="22"/>
        </w:rPr>
        <w:t>N</w:t>
      </w:r>
      <w:r w:rsidR="004C528C" w:rsidRPr="009C797A">
        <w:rPr>
          <w:sz w:val="22"/>
        </w:rPr>
        <w:t>o special circumstances</w:t>
      </w:r>
      <w:r w:rsidR="001E48CA" w:rsidRPr="009C797A">
        <w:rPr>
          <w:sz w:val="22"/>
        </w:rPr>
        <w:t xml:space="preserve"> </w:t>
      </w:r>
      <w:r w:rsidR="00D6107E" w:rsidRPr="009C797A">
        <w:rPr>
          <w:sz w:val="22"/>
        </w:rPr>
        <w:t>are applicable to this collection</w:t>
      </w:r>
      <w:r w:rsidR="007A1FE8" w:rsidRPr="009C797A">
        <w:rPr>
          <w:sz w:val="22"/>
        </w:rPr>
        <w:t>.</w:t>
      </w:r>
    </w:p>
    <w:p w14:paraId="535DC923" w14:textId="77777777" w:rsidR="0092715C" w:rsidRPr="00756AD9" w:rsidRDefault="0092715C" w:rsidP="0092715C">
      <w:pPr>
        <w:pStyle w:val="ListParagraph"/>
        <w:numPr>
          <w:ilvl w:val="0"/>
          <w:numId w:val="24"/>
        </w:numPr>
        <w:overflowPunct/>
        <w:autoSpaceDE/>
        <w:autoSpaceDN/>
        <w:adjustRightInd/>
        <w:spacing w:after="200" w:line="276" w:lineRule="auto"/>
        <w:textAlignment w:val="auto"/>
      </w:pPr>
      <w:r w:rsidRPr="00756AD9">
        <w:t xml:space="preserve">requiring respondents to report information to the agency more than quarterly; </w:t>
      </w:r>
    </w:p>
    <w:p w14:paraId="4FFA1683" w14:textId="77777777" w:rsidR="0092715C" w:rsidRPr="00756AD9" w:rsidRDefault="0092715C" w:rsidP="0092715C">
      <w:pPr>
        <w:pStyle w:val="ListParagraph"/>
        <w:ind w:left="1485"/>
      </w:pPr>
      <w:r w:rsidRPr="00756AD9">
        <w:rPr>
          <w:b/>
        </w:rPr>
        <w:t>Not Applicable</w:t>
      </w:r>
    </w:p>
    <w:p w14:paraId="483E6E6A" w14:textId="77777777" w:rsidR="0092715C" w:rsidRPr="00756AD9" w:rsidRDefault="0092715C" w:rsidP="0092715C">
      <w:pPr>
        <w:pStyle w:val="ListParagraph"/>
        <w:numPr>
          <w:ilvl w:val="0"/>
          <w:numId w:val="24"/>
        </w:numPr>
        <w:overflowPunct/>
        <w:autoSpaceDE/>
        <w:autoSpaceDN/>
        <w:adjustRightInd/>
        <w:spacing w:after="200" w:line="276" w:lineRule="auto"/>
        <w:textAlignment w:val="auto"/>
      </w:pPr>
      <w:r w:rsidRPr="00756AD9">
        <w:t>requiring respondents to prepare a written response to a collection of information in fewer than 30 days after receipt of it;</w:t>
      </w:r>
    </w:p>
    <w:p w14:paraId="1E1EB5A5" w14:textId="77777777" w:rsidR="0092715C" w:rsidRPr="00756AD9" w:rsidRDefault="0092715C" w:rsidP="0092715C">
      <w:pPr>
        <w:pStyle w:val="ListParagraph"/>
        <w:ind w:left="1485"/>
      </w:pPr>
      <w:r w:rsidRPr="00756AD9">
        <w:rPr>
          <w:b/>
        </w:rPr>
        <w:t>Not Applicable</w:t>
      </w:r>
    </w:p>
    <w:p w14:paraId="1B2B4C51" w14:textId="77777777" w:rsidR="0092715C" w:rsidRPr="00756AD9" w:rsidRDefault="0092715C" w:rsidP="0092715C">
      <w:pPr>
        <w:pStyle w:val="ListParagraph"/>
        <w:numPr>
          <w:ilvl w:val="0"/>
          <w:numId w:val="24"/>
        </w:numPr>
        <w:overflowPunct/>
        <w:autoSpaceDE/>
        <w:autoSpaceDN/>
        <w:adjustRightInd/>
        <w:spacing w:after="200" w:line="276" w:lineRule="auto"/>
        <w:textAlignment w:val="auto"/>
      </w:pPr>
      <w:r w:rsidRPr="00756AD9">
        <w:t>requiring respondents to submit more than an original and two copies of any document;</w:t>
      </w:r>
    </w:p>
    <w:p w14:paraId="671B7CF1" w14:textId="77777777" w:rsidR="0092715C" w:rsidRPr="00756AD9" w:rsidRDefault="0092715C" w:rsidP="0092715C">
      <w:pPr>
        <w:pStyle w:val="ListParagraph"/>
        <w:ind w:left="1485"/>
      </w:pPr>
      <w:r w:rsidRPr="00756AD9">
        <w:rPr>
          <w:b/>
        </w:rPr>
        <w:t>Not Applicable</w:t>
      </w:r>
    </w:p>
    <w:p w14:paraId="24950843" w14:textId="77777777" w:rsidR="0092715C" w:rsidRPr="00756AD9" w:rsidRDefault="0092715C" w:rsidP="0092715C">
      <w:pPr>
        <w:pStyle w:val="ListParagraph"/>
        <w:numPr>
          <w:ilvl w:val="0"/>
          <w:numId w:val="24"/>
        </w:numPr>
        <w:overflowPunct/>
        <w:autoSpaceDE/>
        <w:autoSpaceDN/>
        <w:adjustRightInd/>
        <w:spacing w:after="200" w:line="276" w:lineRule="auto"/>
        <w:textAlignment w:val="auto"/>
      </w:pPr>
      <w:r w:rsidRPr="00756AD9">
        <w:t>requiring respondents to retain records other than health, medical, government contract, grant-in-aid, or tax records for more than three years;</w:t>
      </w:r>
    </w:p>
    <w:p w14:paraId="046ABC99" w14:textId="77777777" w:rsidR="0092715C" w:rsidRPr="00756AD9" w:rsidRDefault="0092715C" w:rsidP="0092715C">
      <w:pPr>
        <w:pStyle w:val="ListParagraph"/>
        <w:ind w:left="1485"/>
      </w:pPr>
      <w:r w:rsidRPr="00756AD9">
        <w:rPr>
          <w:b/>
        </w:rPr>
        <w:t>Not Applicable</w:t>
      </w:r>
    </w:p>
    <w:p w14:paraId="0DD1ED49" w14:textId="77777777" w:rsidR="0092715C" w:rsidRPr="00756AD9" w:rsidRDefault="0092715C" w:rsidP="0092715C">
      <w:pPr>
        <w:pStyle w:val="ListParagraph"/>
        <w:numPr>
          <w:ilvl w:val="0"/>
          <w:numId w:val="24"/>
        </w:numPr>
        <w:overflowPunct/>
        <w:autoSpaceDE/>
        <w:autoSpaceDN/>
        <w:adjustRightInd/>
        <w:spacing w:after="200" w:line="276" w:lineRule="auto"/>
        <w:textAlignment w:val="auto"/>
      </w:pPr>
      <w:r w:rsidRPr="00756AD9">
        <w:t>in connection with a statistical survey, that is not designed to produce valid and reliable results than can be generalized to the universe of the study;</w:t>
      </w:r>
    </w:p>
    <w:p w14:paraId="4988C9BC" w14:textId="77777777" w:rsidR="0092715C" w:rsidRPr="00756AD9" w:rsidRDefault="0092715C" w:rsidP="0092715C">
      <w:pPr>
        <w:pStyle w:val="ListParagraph"/>
        <w:ind w:left="1485"/>
      </w:pPr>
      <w:r w:rsidRPr="00756AD9">
        <w:rPr>
          <w:b/>
        </w:rPr>
        <w:t>Not Applicable</w:t>
      </w:r>
    </w:p>
    <w:p w14:paraId="1FAFFE53" w14:textId="77777777" w:rsidR="0092715C" w:rsidRPr="00756AD9" w:rsidRDefault="0092715C" w:rsidP="0092715C">
      <w:pPr>
        <w:pStyle w:val="ListParagraph"/>
        <w:numPr>
          <w:ilvl w:val="0"/>
          <w:numId w:val="24"/>
        </w:numPr>
        <w:overflowPunct/>
        <w:autoSpaceDE/>
        <w:autoSpaceDN/>
        <w:adjustRightInd/>
        <w:spacing w:after="200" w:line="276" w:lineRule="auto"/>
        <w:textAlignment w:val="auto"/>
      </w:pPr>
      <w:r w:rsidRPr="00756AD9">
        <w:t>requiring the use of statistical data classification that has not been reviewed and approved by OMB;</w:t>
      </w:r>
    </w:p>
    <w:p w14:paraId="3DBC8580" w14:textId="77777777" w:rsidR="0092715C" w:rsidRPr="00756AD9" w:rsidRDefault="0092715C" w:rsidP="0092715C">
      <w:pPr>
        <w:pStyle w:val="ListParagraph"/>
        <w:ind w:left="1485"/>
      </w:pPr>
      <w:r w:rsidRPr="00756AD9">
        <w:rPr>
          <w:b/>
        </w:rPr>
        <w:t>Not Applicable</w:t>
      </w:r>
    </w:p>
    <w:p w14:paraId="045A670E" w14:textId="77777777" w:rsidR="0092715C" w:rsidRPr="00756AD9" w:rsidRDefault="0092715C" w:rsidP="0092715C">
      <w:pPr>
        <w:pStyle w:val="ListParagraph"/>
        <w:numPr>
          <w:ilvl w:val="0"/>
          <w:numId w:val="24"/>
        </w:numPr>
        <w:overflowPunct/>
        <w:autoSpaceDE/>
        <w:autoSpaceDN/>
        <w:adjustRightInd/>
        <w:spacing w:after="200" w:line="276" w:lineRule="auto"/>
        <w:textAlignment w:val="auto"/>
      </w:pPr>
      <w:r w:rsidRPr="00756AD9">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B30389D" w14:textId="77777777" w:rsidR="0092715C" w:rsidRPr="00756AD9" w:rsidRDefault="0092715C" w:rsidP="0092715C">
      <w:pPr>
        <w:pStyle w:val="ListParagraph"/>
        <w:ind w:left="1485"/>
      </w:pPr>
      <w:r w:rsidRPr="00756AD9">
        <w:rPr>
          <w:b/>
        </w:rPr>
        <w:t>Not Applicable</w:t>
      </w:r>
    </w:p>
    <w:p w14:paraId="23F89F2D" w14:textId="77777777" w:rsidR="0092715C" w:rsidRPr="00756AD9" w:rsidRDefault="0092715C" w:rsidP="0092715C">
      <w:pPr>
        <w:pStyle w:val="ListParagraph"/>
        <w:numPr>
          <w:ilvl w:val="0"/>
          <w:numId w:val="24"/>
        </w:numPr>
        <w:overflowPunct/>
        <w:autoSpaceDE/>
        <w:autoSpaceDN/>
        <w:adjustRightInd/>
        <w:spacing w:after="200" w:line="276" w:lineRule="auto"/>
        <w:textAlignment w:val="auto"/>
      </w:pPr>
      <w:r w:rsidRPr="00756AD9">
        <w:t>requiring respondents to submit proprietary trade secret, or other confidential information unless the agency can demonstrate that it has instituted procedures to protect the information’s confidentiality to the extent permitted by law.</w:t>
      </w:r>
    </w:p>
    <w:p w14:paraId="13FF4769" w14:textId="77777777" w:rsidR="0092715C" w:rsidRPr="00756AD9" w:rsidRDefault="0092715C" w:rsidP="0092715C">
      <w:pPr>
        <w:pStyle w:val="ListParagraph"/>
        <w:ind w:left="1485"/>
      </w:pPr>
      <w:r w:rsidRPr="00756AD9">
        <w:rPr>
          <w:b/>
        </w:rPr>
        <w:t>Not Applicable</w:t>
      </w:r>
    </w:p>
    <w:p w14:paraId="43633440" w14:textId="77777777" w:rsidR="00864CC4" w:rsidRPr="009C797A" w:rsidRDefault="00864CC4" w:rsidP="00071E61">
      <w:pPr>
        <w:keepNext/>
        <w:rPr>
          <w:b/>
          <w:bCs/>
          <w:sz w:val="22"/>
        </w:rPr>
      </w:pPr>
    </w:p>
    <w:p w14:paraId="4FD8626D" w14:textId="77777777" w:rsidR="00CF67E7" w:rsidRPr="009C797A" w:rsidRDefault="00271C79" w:rsidP="00864CC4">
      <w:pPr>
        <w:pStyle w:val="ListParagraph"/>
        <w:numPr>
          <w:ilvl w:val="0"/>
          <w:numId w:val="22"/>
        </w:numPr>
        <w:ind w:left="450" w:hanging="450"/>
        <w:rPr>
          <w:b/>
          <w:bCs/>
          <w:sz w:val="22"/>
        </w:rPr>
      </w:pPr>
      <w:r w:rsidRPr="009C797A">
        <w:rPr>
          <w:b/>
          <w:bCs/>
          <w:sz w:val="22"/>
        </w:rPr>
        <w:t xml:space="preserve">Identify </w:t>
      </w:r>
      <w:r w:rsidR="00CF67E7" w:rsidRPr="009C797A">
        <w:rPr>
          <w:b/>
          <w:bCs/>
          <w:sz w:val="22"/>
        </w:rPr>
        <w:t xml:space="preserve">date and page number of the Federal Register notice soliciting comments on the information. </w:t>
      </w:r>
    </w:p>
    <w:p w14:paraId="3B44CE02" w14:textId="77777777" w:rsidR="00F2042B" w:rsidRPr="009C797A" w:rsidRDefault="00F2042B" w:rsidP="00F2042B">
      <w:pPr>
        <w:ind w:left="480"/>
        <w:rPr>
          <w:sz w:val="22"/>
        </w:rPr>
      </w:pPr>
      <w:r w:rsidRPr="009C797A">
        <w:rPr>
          <w:sz w:val="22"/>
        </w:rPr>
        <w:t xml:space="preserve">HUD published a Notice of Proposed Information Collection for public comments in the </w:t>
      </w:r>
      <w:r w:rsidRPr="009C797A">
        <w:rPr>
          <w:i/>
          <w:sz w:val="22"/>
        </w:rPr>
        <w:t>Federal Register</w:t>
      </w:r>
      <w:r w:rsidR="00750784" w:rsidRPr="009C797A">
        <w:rPr>
          <w:sz w:val="22"/>
        </w:rPr>
        <w:t xml:space="preserve">, Volume </w:t>
      </w:r>
      <w:r w:rsidR="00AE0902" w:rsidRPr="009C797A">
        <w:rPr>
          <w:sz w:val="22"/>
        </w:rPr>
        <w:t>81</w:t>
      </w:r>
      <w:r w:rsidR="00750784" w:rsidRPr="009C797A">
        <w:rPr>
          <w:sz w:val="22"/>
        </w:rPr>
        <w:t xml:space="preserve">; Number </w:t>
      </w:r>
      <w:r w:rsidR="00AE0902" w:rsidRPr="009C797A">
        <w:rPr>
          <w:sz w:val="22"/>
        </w:rPr>
        <w:t>40</w:t>
      </w:r>
      <w:r w:rsidR="00750784" w:rsidRPr="009C797A">
        <w:rPr>
          <w:sz w:val="22"/>
        </w:rPr>
        <w:t xml:space="preserve">; Page </w:t>
      </w:r>
      <w:r w:rsidR="00AE0902" w:rsidRPr="009C797A">
        <w:rPr>
          <w:sz w:val="22"/>
        </w:rPr>
        <w:t>10651 on March 1, 2016</w:t>
      </w:r>
      <w:r w:rsidRPr="009C797A">
        <w:rPr>
          <w:sz w:val="22"/>
        </w:rPr>
        <w:t>.  The publi</w:t>
      </w:r>
      <w:r w:rsidR="00750784" w:rsidRPr="009C797A">
        <w:rPr>
          <w:sz w:val="22"/>
        </w:rPr>
        <w:t xml:space="preserve">c was given until </w:t>
      </w:r>
      <w:r w:rsidR="00AE0902" w:rsidRPr="009C797A">
        <w:rPr>
          <w:sz w:val="22"/>
        </w:rPr>
        <w:t>May 02, 2016</w:t>
      </w:r>
      <w:r w:rsidRPr="009C797A">
        <w:rPr>
          <w:sz w:val="22"/>
        </w:rPr>
        <w:t>, to submit comments on the proposed information collection.</w:t>
      </w:r>
      <w:r w:rsidR="00AE0902" w:rsidRPr="009C797A">
        <w:rPr>
          <w:sz w:val="22"/>
        </w:rPr>
        <w:t xml:space="preserve">  HUD received no public comments.</w:t>
      </w:r>
    </w:p>
    <w:p w14:paraId="599FF778" w14:textId="77777777" w:rsidR="00F2042B" w:rsidRPr="009C797A" w:rsidRDefault="00F2042B" w:rsidP="00F2042B">
      <w:pPr>
        <w:pStyle w:val="BodyTextIndent"/>
        <w:keepNext/>
        <w:ind w:left="930" w:hanging="480"/>
        <w:rPr>
          <w:b/>
          <w:bCs/>
          <w:sz w:val="22"/>
        </w:rPr>
      </w:pPr>
    </w:p>
    <w:p w14:paraId="68E5A124" w14:textId="77777777" w:rsidR="00CF67E7" w:rsidRPr="009C797A" w:rsidRDefault="00CF67E7" w:rsidP="00CF67E7">
      <w:pPr>
        <w:pStyle w:val="BodyTextIndent"/>
        <w:keepNext/>
        <w:ind w:left="480" w:hanging="480"/>
        <w:rPr>
          <w:sz w:val="22"/>
        </w:rPr>
      </w:pPr>
      <w:r w:rsidRPr="009C797A">
        <w:rPr>
          <w:b/>
          <w:bCs/>
          <w:sz w:val="22"/>
        </w:rPr>
        <w:t>9.</w:t>
      </w:r>
      <w:r w:rsidRPr="009C797A">
        <w:rPr>
          <w:b/>
          <w:bCs/>
          <w:sz w:val="22"/>
        </w:rPr>
        <w:tab/>
        <w:t xml:space="preserve">Explain any payments or gifts to respondents, other than remuneration of contractors or grantees. </w:t>
      </w:r>
    </w:p>
    <w:p w14:paraId="4C63C728" w14:textId="77777777" w:rsidR="00CF67E7" w:rsidRPr="009C797A" w:rsidRDefault="00CF67E7" w:rsidP="00CF67E7">
      <w:pPr>
        <w:pStyle w:val="BodyTextIndent"/>
        <w:ind w:left="480" w:firstLine="0"/>
        <w:rPr>
          <w:sz w:val="22"/>
        </w:rPr>
      </w:pPr>
      <w:r w:rsidRPr="009C797A">
        <w:rPr>
          <w:sz w:val="22"/>
        </w:rPr>
        <w:t>No payments or gifts to respondents are provided.</w:t>
      </w:r>
    </w:p>
    <w:p w14:paraId="2ADC24A5" w14:textId="77777777" w:rsidR="00CF67E7" w:rsidRPr="009C797A" w:rsidRDefault="00CF67E7" w:rsidP="00CF67E7">
      <w:pPr>
        <w:ind w:left="480" w:hanging="480"/>
        <w:rPr>
          <w:sz w:val="22"/>
        </w:rPr>
      </w:pPr>
    </w:p>
    <w:p w14:paraId="5A76A2FC" w14:textId="77777777" w:rsidR="00CF67E7" w:rsidRPr="009C797A" w:rsidRDefault="00CF67E7" w:rsidP="007A1FE8">
      <w:pPr>
        <w:pStyle w:val="BodyTextIndent"/>
        <w:keepNext/>
        <w:ind w:left="480" w:hanging="480"/>
        <w:rPr>
          <w:b/>
          <w:bCs/>
          <w:color w:val="FF0000"/>
          <w:sz w:val="22"/>
          <w:u w:val="single"/>
        </w:rPr>
      </w:pPr>
      <w:r w:rsidRPr="009C797A">
        <w:rPr>
          <w:b/>
          <w:bCs/>
          <w:sz w:val="22"/>
        </w:rPr>
        <w:t>10.</w:t>
      </w:r>
      <w:r w:rsidRPr="009C797A">
        <w:rPr>
          <w:b/>
          <w:bCs/>
          <w:sz w:val="22"/>
        </w:rPr>
        <w:tab/>
        <w:t xml:space="preserve">Describe any assurance of confidentiality provided to respondents. </w:t>
      </w:r>
      <w:r w:rsidRPr="009C797A">
        <w:rPr>
          <w:sz w:val="22"/>
        </w:rPr>
        <w:t>The information provided is not of a confidential nature.</w:t>
      </w:r>
      <w:r w:rsidR="007F74FA" w:rsidRPr="009C797A">
        <w:rPr>
          <w:sz w:val="22"/>
        </w:rPr>
        <w:t xml:space="preserve">  </w:t>
      </w:r>
    </w:p>
    <w:p w14:paraId="14577D9C" w14:textId="77777777" w:rsidR="00CF67E7" w:rsidRPr="009C797A" w:rsidRDefault="00CF67E7" w:rsidP="00CF67E7">
      <w:pPr>
        <w:pStyle w:val="BodyTextIndent"/>
        <w:ind w:left="480" w:hanging="480"/>
        <w:rPr>
          <w:sz w:val="22"/>
        </w:rPr>
      </w:pPr>
    </w:p>
    <w:p w14:paraId="7B7A77E6" w14:textId="77777777" w:rsidR="007F74FA" w:rsidRPr="009C797A" w:rsidRDefault="00271C79" w:rsidP="007F74FA">
      <w:pPr>
        <w:pStyle w:val="BodyTextIndent"/>
        <w:keepNext/>
        <w:ind w:left="480" w:hanging="480"/>
        <w:rPr>
          <w:bCs/>
          <w:sz w:val="22"/>
        </w:rPr>
      </w:pPr>
      <w:r w:rsidRPr="009C797A">
        <w:rPr>
          <w:b/>
          <w:bCs/>
          <w:sz w:val="22"/>
        </w:rPr>
        <w:t>11.</w:t>
      </w:r>
      <w:r w:rsidRPr="009C797A">
        <w:rPr>
          <w:b/>
          <w:bCs/>
          <w:sz w:val="22"/>
        </w:rPr>
        <w:tab/>
        <w:t xml:space="preserve">Justify </w:t>
      </w:r>
      <w:r w:rsidR="00CF67E7" w:rsidRPr="009C797A">
        <w:rPr>
          <w:b/>
          <w:bCs/>
          <w:sz w:val="22"/>
        </w:rPr>
        <w:t>questions of a sensitive nature, su</w:t>
      </w:r>
      <w:r w:rsidRPr="009C797A">
        <w:rPr>
          <w:b/>
          <w:bCs/>
          <w:sz w:val="22"/>
        </w:rPr>
        <w:t>ch as sexual, religious beliefs</w:t>
      </w:r>
      <w:r w:rsidR="00CF67E7" w:rsidRPr="009C797A">
        <w:rPr>
          <w:b/>
          <w:bCs/>
          <w:sz w:val="22"/>
        </w:rPr>
        <w:t xml:space="preserve"> and other matters that are commonly considered private. </w:t>
      </w:r>
      <w:r w:rsidR="007A1FE8" w:rsidRPr="009C797A">
        <w:rPr>
          <w:sz w:val="22"/>
        </w:rPr>
        <w:t xml:space="preserve"> </w:t>
      </w:r>
      <w:r w:rsidR="00CF67E7" w:rsidRPr="009C797A">
        <w:rPr>
          <w:sz w:val="22"/>
        </w:rPr>
        <w:t xml:space="preserve">The information collected does not contain questions of a sensitive nature.  </w:t>
      </w:r>
      <w:r w:rsidR="007F74FA" w:rsidRPr="009C797A">
        <w:rPr>
          <w:sz w:val="22"/>
        </w:rPr>
        <w:t xml:space="preserve">The forms and collections associated with the Consolidated ACC </w:t>
      </w:r>
      <w:r w:rsidR="00DC1DCB" w:rsidRPr="009C797A">
        <w:rPr>
          <w:sz w:val="22"/>
        </w:rPr>
        <w:t xml:space="preserve">and Inventory Removal Application </w:t>
      </w:r>
      <w:r w:rsidR="007F74FA" w:rsidRPr="009C797A">
        <w:rPr>
          <w:sz w:val="22"/>
        </w:rPr>
        <w:t xml:space="preserve">requirements do not require the collection of private information. </w:t>
      </w:r>
    </w:p>
    <w:p w14:paraId="2456B588" w14:textId="77777777" w:rsidR="006B737D" w:rsidRPr="009C797A" w:rsidRDefault="006B737D" w:rsidP="00CF67E7">
      <w:pPr>
        <w:pStyle w:val="BodyTextIndent"/>
        <w:ind w:left="480" w:hanging="480"/>
        <w:rPr>
          <w:b/>
          <w:bCs/>
          <w:sz w:val="22"/>
        </w:rPr>
      </w:pPr>
    </w:p>
    <w:p w14:paraId="2D7EE95D" w14:textId="77777777" w:rsidR="00CF67E7" w:rsidRPr="009C797A" w:rsidRDefault="00CF67E7" w:rsidP="00CF67E7">
      <w:pPr>
        <w:pStyle w:val="BodyTextIndent"/>
        <w:ind w:left="480" w:hanging="480"/>
        <w:rPr>
          <w:sz w:val="22"/>
        </w:rPr>
      </w:pPr>
      <w:r w:rsidRPr="009C797A">
        <w:rPr>
          <w:b/>
          <w:bCs/>
          <w:sz w:val="22"/>
        </w:rPr>
        <w:t>12.</w:t>
      </w:r>
      <w:r w:rsidRPr="009C797A">
        <w:rPr>
          <w:b/>
          <w:bCs/>
          <w:sz w:val="22"/>
        </w:rPr>
        <w:tab/>
        <w:t xml:space="preserve">Annual Reporting Burden </w:t>
      </w:r>
    </w:p>
    <w:p w14:paraId="78CB6F25" w14:textId="77777777" w:rsidR="004B3E31" w:rsidRPr="009C797A" w:rsidRDefault="004B3E31" w:rsidP="001D473D">
      <w:pPr>
        <w:pStyle w:val="BodyTextIndent"/>
        <w:ind w:left="480" w:firstLine="0"/>
        <w:rPr>
          <w:sz w:val="22"/>
        </w:rPr>
      </w:pPr>
    </w:p>
    <w:tbl>
      <w:tblPr>
        <w:tblW w:w="10819" w:type="dxa"/>
        <w:tblCellSpacing w:w="0" w:type="dxa"/>
        <w:tblInd w:w="17" w:type="dxa"/>
        <w:tblCellMar>
          <w:left w:w="0" w:type="dxa"/>
          <w:right w:w="0" w:type="dxa"/>
        </w:tblCellMar>
        <w:tblLook w:val="0000" w:firstRow="0" w:lastRow="0" w:firstColumn="0" w:lastColumn="0" w:noHBand="0" w:noVBand="0"/>
      </w:tblPr>
      <w:tblGrid>
        <w:gridCol w:w="10819"/>
      </w:tblGrid>
      <w:tr w:rsidR="00EF43DA" w:rsidRPr="009C797A" w14:paraId="658C7603" w14:textId="77777777" w:rsidTr="002A26F4">
        <w:trPr>
          <w:trHeight w:val="270"/>
          <w:tblCellSpacing w:w="0" w:type="dxa"/>
        </w:trPr>
        <w:tc>
          <w:tcPr>
            <w:tcW w:w="0" w:type="auto"/>
          </w:tcPr>
          <w:p w14:paraId="2F73E0E5" w14:textId="77777777" w:rsidR="00EF43DA" w:rsidRPr="009C797A" w:rsidRDefault="004B3E31" w:rsidP="004F2B5D">
            <w:pPr>
              <w:overflowPunct/>
              <w:autoSpaceDE/>
              <w:autoSpaceDN/>
              <w:adjustRightInd/>
              <w:textAlignment w:val="auto"/>
              <w:rPr>
                <w:sz w:val="22"/>
                <w:szCs w:val="22"/>
              </w:rPr>
            </w:pPr>
            <w:r w:rsidRPr="009C797A">
              <w:rPr>
                <w:sz w:val="22"/>
                <w:szCs w:val="22"/>
              </w:rPr>
              <w:t xml:space="preserve">The annual reporting burden hours are based on estimated amounts of time </w:t>
            </w:r>
            <w:r w:rsidR="004874EA" w:rsidRPr="009C797A">
              <w:rPr>
                <w:sz w:val="22"/>
                <w:szCs w:val="22"/>
              </w:rPr>
              <w:t xml:space="preserve">for each action from the execution of a new ACC to the </w:t>
            </w:r>
            <w:r w:rsidRPr="009C797A">
              <w:rPr>
                <w:sz w:val="22"/>
                <w:szCs w:val="22"/>
              </w:rPr>
              <w:t>report</w:t>
            </w:r>
            <w:r w:rsidR="004874EA" w:rsidRPr="009C797A">
              <w:rPr>
                <w:sz w:val="22"/>
                <w:szCs w:val="22"/>
              </w:rPr>
              <w:t>ing</w:t>
            </w:r>
            <w:r w:rsidRPr="009C797A">
              <w:rPr>
                <w:sz w:val="22"/>
                <w:szCs w:val="22"/>
              </w:rPr>
              <w:t xml:space="preserve"> </w:t>
            </w:r>
            <w:r w:rsidR="004874EA" w:rsidRPr="009C797A">
              <w:rPr>
                <w:sz w:val="22"/>
                <w:szCs w:val="22"/>
              </w:rPr>
              <w:t>of</w:t>
            </w:r>
            <w:r w:rsidRPr="009C797A">
              <w:rPr>
                <w:sz w:val="22"/>
                <w:szCs w:val="22"/>
              </w:rPr>
              <w:t xml:space="preserve"> </w:t>
            </w:r>
            <w:r w:rsidR="004874EA" w:rsidRPr="009C797A">
              <w:rPr>
                <w:sz w:val="22"/>
                <w:szCs w:val="22"/>
              </w:rPr>
              <w:t xml:space="preserve">required </w:t>
            </w:r>
            <w:r w:rsidRPr="009C797A">
              <w:rPr>
                <w:sz w:val="22"/>
                <w:szCs w:val="22"/>
              </w:rPr>
              <w:t xml:space="preserve">information under specific sections of the ACC.  </w:t>
            </w:r>
            <w:r w:rsidR="003C7961" w:rsidRPr="009C797A">
              <w:rPr>
                <w:sz w:val="22"/>
                <w:szCs w:val="22"/>
              </w:rPr>
              <w:t xml:space="preserve">Amendments for funding are submitted annually; </w:t>
            </w:r>
            <w:r w:rsidR="00F26786" w:rsidRPr="009C797A">
              <w:rPr>
                <w:sz w:val="22"/>
                <w:szCs w:val="22"/>
              </w:rPr>
              <w:t xml:space="preserve">ACC-related information </w:t>
            </w:r>
            <w:r w:rsidR="003C7961" w:rsidRPr="009C797A">
              <w:rPr>
                <w:sz w:val="22"/>
                <w:szCs w:val="22"/>
              </w:rPr>
              <w:t xml:space="preserve">in lines other than line 22 </w:t>
            </w:r>
            <w:r w:rsidR="00F26786" w:rsidRPr="009C797A">
              <w:rPr>
                <w:sz w:val="22"/>
                <w:szCs w:val="22"/>
              </w:rPr>
              <w:t xml:space="preserve">is submitted once, </w:t>
            </w:r>
            <w:r w:rsidR="003C7961" w:rsidRPr="009C797A">
              <w:rPr>
                <w:sz w:val="22"/>
                <w:szCs w:val="22"/>
              </w:rPr>
              <w:t xml:space="preserve">on </w:t>
            </w:r>
            <w:r w:rsidR="00551661" w:rsidRPr="009C797A">
              <w:rPr>
                <w:sz w:val="22"/>
                <w:szCs w:val="22"/>
              </w:rPr>
              <w:t>occurrence</w:t>
            </w:r>
            <w:r w:rsidR="001E48CA" w:rsidRPr="009C797A">
              <w:rPr>
                <w:sz w:val="22"/>
                <w:szCs w:val="22"/>
              </w:rPr>
              <w:t xml:space="preserve">. </w:t>
            </w:r>
            <w:r w:rsidR="003C7961" w:rsidRPr="009C797A">
              <w:rPr>
                <w:sz w:val="22"/>
                <w:szCs w:val="22"/>
              </w:rPr>
              <w:t xml:space="preserve"> </w:t>
            </w:r>
            <w:r w:rsidR="004874EA" w:rsidRPr="009C797A">
              <w:rPr>
                <w:sz w:val="22"/>
                <w:szCs w:val="22"/>
              </w:rPr>
              <w:t>I</w:t>
            </w:r>
            <w:r w:rsidR="00F26786" w:rsidRPr="009C797A">
              <w:rPr>
                <w:sz w:val="22"/>
                <w:szCs w:val="22"/>
              </w:rPr>
              <w:t>nventory removal applications are submitted when PHAs make changes to their public housing inventory.</w:t>
            </w:r>
            <w:r w:rsidR="002A26F4" w:rsidRPr="009C797A">
              <w:rPr>
                <w:sz w:val="22"/>
                <w:szCs w:val="22"/>
              </w:rPr>
              <w:t xml:space="preserve"> </w:t>
            </w:r>
            <w:r w:rsidR="004F2B5D" w:rsidRPr="009C797A">
              <w:rPr>
                <w:sz w:val="22"/>
                <w:szCs w:val="22"/>
              </w:rPr>
              <w:t xml:space="preserve">      </w:t>
            </w:r>
          </w:p>
          <w:p w14:paraId="0B876DD0" w14:textId="77777777" w:rsidR="005E0CE4" w:rsidRPr="009C797A" w:rsidRDefault="005E0CE4" w:rsidP="004F2B5D">
            <w:pPr>
              <w:overflowPunct/>
              <w:autoSpaceDE/>
              <w:autoSpaceDN/>
              <w:adjustRightInd/>
              <w:textAlignment w:val="auto"/>
              <w:rPr>
                <w:sz w:val="24"/>
                <w:szCs w:val="24"/>
              </w:rPr>
            </w:pPr>
          </w:p>
        </w:tc>
      </w:tr>
    </w:tbl>
    <w:p w14:paraId="58984CCC" w14:textId="77777777" w:rsidR="00EF43DA" w:rsidRPr="009C797A" w:rsidRDefault="00EF43DA" w:rsidP="00551661">
      <w:pPr>
        <w:rPr>
          <w:sz w:val="22"/>
          <w:szCs w:val="22"/>
        </w:rPr>
      </w:pPr>
      <w:r w:rsidRPr="009C797A">
        <w:rPr>
          <w:sz w:val="22"/>
          <w:szCs w:val="22"/>
        </w:rPr>
        <w:t>The information collection, recordkeeping, and reporting requirements will result in the</w:t>
      </w:r>
      <w:r w:rsidR="009C29C3" w:rsidRPr="009C797A">
        <w:rPr>
          <w:sz w:val="22"/>
          <w:szCs w:val="22"/>
        </w:rPr>
        <w:t xml:space="preserve"> </w:t>
      </w:r>
      <w:r w:rsidRPr="009C797A">
        <w:rPr>
          <w:sz w:val="22"/>
          <w:szCs w:val="22"/>
        </w:rPr>
        <w:t>following approximate burden:</w:t>
      </w:r>
    </w:p>
    <w:p w14:paraId="4688142C" w14:textId="77777777" w:rsidR="007C6D5E" w:rsidRDefault="007C6D5E" w:rsidP="00CF67E7">
      <w:pPr>
        <w:tabs>
          <w:tab w:val="left" w:pos="6930"/>
        </w:tabs>
        <w:rPr>
          <w:sz w:val="24"/>
        </w:rPr>
      </w:pPr>
    </w:p>
    <w:tbl>
      <w:tblPr>
        <w:tblStyle w:val="TableGrid"/>
        <w:tblW w:w="0" w:type="auto"/>
        <w:tblLayout w:type="fixed"/>
        <w:tblLook w:val="04A0" w:firstRow="1" w:lastRow="0" w:firstColumn="1" w:lastColumn="0" w:noHBand="0" w:noVBand="1"/>
      </w:tblPr>
      <w:tblGrid>
        <w:gridCol w:w="436"/>
        <w:gridCol w:w="4025"/>
        <w:gridCol w:w="1061"/>
        <w:gridCol w:w="1313"/>
        <w:gridCol w:w="1193"/>
        <w:gridCol w:w="901"/>
        <w:gridCol w:w="1596"/>
      </w:tblGrid>
      <w:tr w:rsidR="00AB4790" w:rsidRPr="005D59C1" w14:paraId="684E1F4F" w14:textId="77777777" w:rsidTr="00B61C60">
        <w:trPr>
          <w:trHeight w:val="615"/>
        </w:trPr>
        <w:tc>
          <w:tcPr>
            <w:tcW w:w="436" w:type="dxa"/>
            <w:vAlign w:val="center"/>
            <w:hideMark/>
          </w:tcPr>
          <w:p w14:paraId="698DEB32" w14:textId="77777777" w:rsidR="005D59C1" w:rsidRPr="005D59C1" w:rsidRDefault="005D59C1" w:rsidP="005D59C1">
            <w:pPr>
              <w:tabs>
                <w:tab w:val="left" w:pos="6930"/>
              </w:tabs>
              <w:jc w:val="center"/>
            </w:pPr>
          </w:p>
        </w:tc>
        <w:tc>
          <w:tcPr>
            <w:tcW w:w="4025" w:type="dxa"/>
            <w:vAlign w:val="center"/>
            <w:hideMark/>
          </w:tcPr>
          <w:p w14:paraId="0484D9D9" w14:textId="77777777" w:rsidR="005D59C1" w:rsidRPr="005D59C1" w:rsidRDefault="005D59C1" w:rsidP="005D59C1">
            <w:pPr>
              <w:tabs>
                <w:tab w:val="left" w:pos="6930"/>
              </w:tabs>
              <w:jc w:val="center"/>
            </w:pPr>
            <w:r w:rsidRPr="005D59C1">
              <w:t>ACC Provision</w:t>
            </w:r>
          </w:p>
        </w:tc>
        <w:tc>
          <w:tcPr>
            <w:tcW w:w="1061" w:type="dxa"/>
            <w:vAlign w:val="center"/>
            <w:hideMark/>
          </w:tcPr>
          <w:p w14:paraId="77A616E5" w14:textId="77777777" w:rsidR="005D59C1" w:rsidRPr="005D59C1" w:rsidRDefault="005D59C1" w:rsidP="005D59C1">
            <w:pPr>
              <w:tabs>
                <w:tab w:val="left" w:pos="6930"/>
              </w:tabs>
              <w:jc w:val="center"/>
            </w:pPr>
            <w:r w:rsidRPr="005D59C1">
              <w:t>Total Responses</w:t>
            </w:r>
          </w:p>
        </w:tc>
        <w:tc>
          <w:tcPr>
            <w:tcW w:w="1313" w:type="dxa"/>
            <w:vAlign w:val="center"/>
            <w:hideMark/>
          </w:tcPr>
          <w:p w14:paraId="39C950D1" w14:textId="77777777" w:rsidR="005D59C1" w:rsidRPr="005D59C1" w:rsidRDefault="005D59C1" w:rsidP="005D59C1">
            <w:pPr>
              <w:tabs>
                <w:tab w:val="left" w:pos="6930"/>
              </w:tabs>
              <w:jc w:val="center"/>
            </w:pPr>
            <w:r w:rsidRPr="005D59C1">
              <w:t>Burden hours per response</w:t>
            </w:r>
          </w:p>
        </w:tc>
        <w:tc>
          <w:tcPr>
            <w:tcW w:w="1193" w:type="dxa"/>
            <w:vAlign w:val="center"/>
            <w:hideMark/>
          </w:tcPr>
          <w:p w14:paraId="7B2E450D" w14:textId="77777777" w:rsidR="005D59C1" w:rsidRPr="005D59C1" w:rsidRDefault="005D59C1" w:rsidP="005D59C1">
            <w:pPr>
              <w:tabs>
                <w:tab w:val="left" w:pos="6930"/>
              </w:tabs>
              <w:jc w:val="center"/>
            </w:pPr>
            <w:r w:rsidRPr="005D59C1">
              <w:t>Total Hours</w:t>
            </w:r>
          </w:p>
        </w:tc>
        <w:tc>
          <w:tcPr>
            <w:tcW w:w="901" w:type="dxa"/>
            <w:vAlign w:val="center"/>
            <w:hideMark/>
          </w:tcPr>
          <w:p w14:paraId="391C0FD7" w14:textId="77777777" w:rsidR="005D59C1" w:rsidRPr="005D59C1" w:rsidRDefault="005D59C1" w:rsidP="005D59C1">
            <w:pPr>
              <w:tabs>
                <w:tab w:val="left" w:pos="6930"/>
              </w:tabs>
              <w:jc w:val="center"/>
            </w:pPr>
            <w:r w:rsidRPr="005D59C1">
              <w:t>Cost per hour</w:t>
            </w:r>
          </w:p>
        </w:tc>
        <w:tc>
          <w:tcPr>
            <w:tcW w:w="1596" w:type="dxa"/>
            <w:vAlign w:val="center"/>
            <w:hideMark/>
          </w:tcPr>
          <w:p w14:paraId="0498785C" w14:textId="77777777" w:rsidR="005D59C1" w:rsidRPr="005D59C1" w:rsidRDefault="005D59C1" w:rsidP="005D59C1">
            <w:pPr>
              <w:tabs>
                <w:tab w:val="left" w:pos="6930"/>
              </w:tabs>
              <w:jc w:val="center"/>
            </w:pPr>
            <w:r w:rsidRPr="005D59C1">
              <w:t>($) Total Cost</w:t>
            </w:r>
          </w:p>
        </w:tc>
      </w:tr>
      <w:tr w:rsidR="00AB4790" w:rsidRPr="005D59C1" w14:paraId="2F7528DD" w14:textId="77777777" w:rsidTr="00B61C60">
        <w:trPr>
          <w:trHeight w:val="315"/>
        </w:trPr>
        <w:tc>
          <w:tcPr>
            <w:tcW w:w="436" w:type="dxa"/>
            <w:vAlign w:val="center"/>
            <w:hideMark/>
          </w:tcPr>
          <w:p w14:paraId="18141B41" w14:textId="77777777" w:rsidR="005D59C1" w:rsidRPr="005D59C1" w:rsidRDefault="005D59C1" w:rsidP="005D59C1">
            <w:pPr>
              <w:tabs>
                <w:tab w:val="left" w:pos="6930"/>
              </w:tabs>
              <w:jc w:val="center"/>
            </w:pPr>
            <w:r w:rsidRPr="005D59C1">
              <w:t>1</w:t>
            </w:r>
          </w:p>
        </w:tc>
        <w:tc>
          <w:tcPr>
            <w:tcW w:w="4025" w:type="dxa"/>
            <w:vAlign w:val="center"/>
            <w:hideMark/>
          </w:tcPr>
          <w:p w14:paraId="56664243" w14:textId="77777777" w:rsidR="005D59C1" w:rsidRPr="005D59C1" w:rsidRDefault="005D59C1" w:rsidP="005D59C1">
            <w:pPr>
              <w:tabs>
                <w:tab w:val="left" w:pos="6930"/>
              </w:tabs>
            </w:pPr>
            <w:r w:rsidRPr="005D59C1">
              <w:t>Execute new ACC via HUD form 53012</w:t>
            </w:r>
          </w:p>
        </w:tc>
        <w:tc>
          <w:tcPr>
            <w:tcW w:w="1061" w:type="dxa"/>
            <w:vAlign w:val="center"/>
            <w:hideMark/>
          </w:tcPr>
          <w:p w14:paraId="2C08E047" w14:textId="310B207A" w:rsidR="005D59C1" w:rsidRPr="005D59C1" w:rsidRDefault="005D59C1" w:rsidP="005D59C1">
            <w:pPr>
              <w:tabs>
                <w:tab w:val="left" w:pos="6930"/>
              </w:tabs>
              <w:jc w:val="center"/>
            </w:pPr>
            <w:r w:rsidRPr="005D59C1">
              <w:t>40</w:t>
            </w:r>
            <w:r w:rsidR="00575546">
              <w:t>.00</w:t>
            </w:r>
          </w:p>
        </w:tc>
        <w:tc>
          <w:tcPr>
            <w:tcW w:w="1313" w:type="dxa"/>
            <w:vAlign w:val="center"/>
            <w:hideMark/>
          </w:tcPr>
          <w:p w14:paraId="6B90D8C2" w14:textId="771C6071" w:rsidR="005D59C1" w:rsidRPr="005D59C1" w:rsidRDefault="005D59C1" w:rsidP="005D59C1">
            <w:pPr>
              <w:tabs>
                <w:tab w:val="left" w:pos="6930"/>
              </w:tabs>
              <w:jc w:val="center"/>
            </w:pPr>
            <w:r w:rsidRPr="005D59C1">
              <w:t>5.5</w:t>
            </w:r>
            <w:r w:rsidR="00B61C60">
              <w:t>0</w:t>
            </w:r>
          </w:p>
        </w:tc>
        <w:tc>
          <w:tcPr>
            <w:tcW w:w="1193" w:type="dxa"/>
            <w:vAlign w:val="center"/>
            <w:hideMark/>
          </w:tcPr>
          <w:p w14:paraId="2ED889EE" w14:textId="20CD0ADE" w:rsidR="005D59C1" w:rsidRPr="005D59C1" w:rsidRDefault="005D59C1" w:rsidP="005D59C1">
            <w:pPr>
              <w:tabs>
                <w:tab w:val="left" w:pos="6930"/>
              </w:tabs>
              <w:jc w:val="center"/>
            </w:pPr>
            <w:r w:rsidRPr="005D59C1">
              <w:t>220</w:t>
            </w:r>
            <w:r w:rsidR="00B61C60">
              <w:t>.00</w:t>
            </w:r>
          </w:p>
        </w:tc>
        <w:tc>
          <w:tcPr>
            <w:tcW w:w="901" w:type="dxa"/>
            <w:vAlign w:val="center"/>
            <w:hideMark/>
          </w:tcPr>
          <w:p w14:paraId="44304840" w14:textId="77777777" w:rsidR="005D59C1" w:rsidRPr="005D59C1" w:rsidRDefault="005D59C1" w:rsidP="005D59C1">
            <w:pPr>
              <w:tabs>
                <w:tab w:val="left" w:pos="6930"/>
              </w:tabs>
              <w:jc w:val="center"/>
            </w:pPr>
            <w:r w:rsidRPr="005D59C1">
              <w:t>$39.44</w:t>
            </w:r>
          </w:p>
        </w:tc>
        <w:tc>
          <w:tcPr>
            <w:tcW w:w="1596" w:type="dxa"/>
            <w:vAlign w:val="center"/>
            <w:hideMark/>
          </w:tcPr>
          <w:p w14:paraId="0B50A275" w14:textId="1A8FF87E" w:rsidR="005D59C1" w:rsidRPr="005D59C1" w:rsidRDefault="005D59C1" w:rsidP="005D59C1">
            <w:pPr>
              <w:tabs>
                <w:tab w:val="left" w:pos="6930"/>
              </w:tabs>
              <w:jc w:val="center"/>
            </w:pPr>
            <w:r w:rsidRPr="005D59C1">
              <w:t>$8,67</w:t>
            </w:r>
            <w:r w:rsidR="00B61C60">
              <w:t>6.80</w:t>
            </w:r>
          </w:p>
        </w:tc>
      </w:tr>
      <w:tr w:rsidR="00AB4790" w:rsidRPr="005D59C1" w14:paraId="15EE9456" w14:textId="77777777" w:rsidTr="00B61C60">
        <w:trPr>
          <w:trHeight w:val="315"/>
        </w:trPr>
        <w:tc>
          <w:tcPr>
            <w:tcW w:w="436" w:type="dxa"/>
            <w:vAlign w:val="center"/>
            <w:hideMark/>
          </w:tcPr>
          <w:p w14:paraId="3CAD6F44" w14:textId="77777777" w:rsidR="005D59C1" w:rsidRPr="005D59C1" w:rsidRDefault="005D59C1" w:rsidP="005D59C1">
            <w:pPr>
              <w:tabs>
                <w:tab w:val="left" w:pos="6930"/>
              </w:tabs>
              <w:jc w:val="center"/>
            </w:pPr>
            <w:r w:rsidRPr="005D59C1">
              <w:t>2</w:t>
            </w:r>
          </w:p>
        </w:tc>
        <w:tc>
          <w:tcPr>
            <w:tcW w:w="4025" w:type="dxa"/>
            <w:vAlign w:val="center"/>
            <w:hideMark/>
          </w:tcPr>
          <w:p w14:paraId="64925A65" w14:textId="77777777" w:rsidR="005D59C1" w:rsidRPr="005D59C1" w:rsidRDefault="005D59C1" w:rsidP="005D59C1">
            <w:pPr>
              <w:tabs>
                <w:tab w:val="left" w:pos="6930"/>
              </w:tabs>
            </w:pPr>
            <w:r w:rsidRPr="005D59C1">
              <w:t>Terminate or amend ACC via HUD-5837</w:t>
            </w:r>
          </w:p>
        </w:tc>
        <w:tc>
          <w:tcPr>
            <w:tcW w:w="1061" w:type="dxa"/>
            <w:vAlign w:val="center"/>
            <w:hideMark/>
          </w:tcPr>
          <w:p w14:paraId="5DA2B499" w14:textId="697F7BEF" w:rsidR="005D59C1" w:rsidRPr="005D59C1" w:rsidRDefault="005D59C1" w:rsidP="005D59C1">
            <w:pPr>
              <w:tabs>
                <w:tab w:val="left" w:pos="6930"/>
              </w:tabs>
              <w:jc w:val="center"/>
            </w:pPr>
            <w:r w:rsidRPr="005D59C1">
              <w:t>40</w:t>
            </w:r>
            <w:r w:rsidR="00575546">
              <w:t>.00</w:t>
            </w:r>
          </w:p>
        </w:tc>
        <w:tc>
          <w:tcPr>
            <w:tcW w:w="1313" w:type="dxa"/>
            <w:vAlign w:val="center"/>
            <w:hideMark/>
          </w:tcPr>
          <w:p w14:paraId="45F73E9A" w14:textId="203CC41B" w:rsidR="005D59C1" w:rsidRPr="005D59C1" w:rsidRDefault="005D59C1" w:rsidP="005D59C1">
            <w:pPr>
              <w:tabs>
                <w:tab w:val="left" w:pos="6930"/>
              </w:tabs>
              <w:jc w:val="center"/>
            </w:pPr>
            <w:r w:rsidRPr="005D59C1">
              <w:t>9.8</w:t>
            </w:r>
            <w:r w:rsidR="00B61C60">
              <w:t>0</w:t>
            </w:r>
          </w:p>
        </w:tc>
        <w:tc>
          <w:tcPr>
            <w:tcW w:w="1193" w:type="dxa"/>
            <w:vAlign w:val="center"/>
            <w:hideMark/>
          </w:tcPr>
          <w:p w14:paraId="39297ECD" w14:textId="18622BB2" w:rsidR="005D59C1" w:rsidRPr="005D59C1" w:rsidRDefault="005D59C1" w:rsidP="005D59C1">
            <w:pPr>
              <w:tabs>
                <w:tab w:val="left" w:pos="6930"/>
              </w:tabs>
              <w:jc w:val="center"/>
            </w:pPr>
            <w:r w:rsidRPr="005D59C1">
              <w:t>392</w:t>
            </w:r>
            <w:r w:rsidR="00B61C60">
              <w:t>.00</w:t>
            </w:r>
          </w:p>
        </w:tc>
        <w:tc>
          <w:tcPr>
            <w:tcW w:w="901" w:type="dxa"/>
            <w:vAlign w:val="center"/>
            <w:hideMark/>
          </w:tcPr>
          <w:p w14:paraId="07F244AF" w14:textId="77777777" w:rsidR="005D59C1" w:rsidRPr="005D59C1" w:rsidRDefault="005D59C1" w:rsidP="005D59C1">
            <w:pPr>
              <w:tabs>
                <w:tab w:val="left" w:pos="6930"/>
              </w:tabs>
              <w:jc w:val="center"/>
            </w:pPr>
            <w:r w:rsidRPr="005D59C1">
              <w:t>$39.44</w:t>
            </w:r>
          </w:p>
        </w:tc>
        <w:tc>
          <w:tcPr>
            <w:tcW w:w="1596" w:type="dxa"/>
            <w:vAlign w:val="center"/>
            <w:hideMark/>
          </w:tcPr>
          <w:p w14:paraId="7441A89D" w14:textId="447CE29B" w:rsidR="005D59C1" w:rsidRPr="005D59C1" w:rsidRDefault="005D59C1" w:rsidP="005D59C1">
            <w:pPr>
              <w:tabs>
                <w:tab w:val="left" w:pos="6930"/>
              </w:tabs>
              <w:jc w:val="center"/>
            </w:pPr>
            <w:r w:rsidRPr="005D59C1">
              <w:t>$15,460</w:t>
            </w:r>
            <w:r w:rsidR="00B61C60">
              <w:t>.48</w:t>
            </w:r>
          </w:p>
        </w:tc>
      </w:tr>
      <w:tr w:rsidR="00AB4790" w:rsidRPr="005D59C1" w14:paraId="05AC8EC8" w14:textId="77777777" w:rsidTr="00B61C60">
        <w:trPr>
          <w:trHeight w:val="615"/>
        </w:trPr>
        <w:tc>
          <w:tcPr>
            <w:tcW w:w="436" w:type="dxa"/>
            <w:vAlign w:val="center"/>
            <w:hideMark/>
          </w:tcPr>
          <w:p w14:paraId="7CBD601C" w14:textId="77777777" w:rsidR="005D59C1" w:rsidRPr="005D59C1" w:rsidRDefault="005D59C1" w:rsidP="005D59C1">
            <w:pPr>
              <w:tabs>
                <w:tab w:val="left" w:pos="6930"/>
              </w:tabs>
              <w:jc w:val="center"/>
            </w:pPr>
            <w:r w:rsidRPr="005D59C1">
              <w:t>3</w:t>
            </w:r>
          </w:p>
        </w:tc>
        <w:tc>
          <w:tcPr>
            <w:tcW w:w="4025" w:type="dxa"/>
            <w:vAlign w:val="center"/>
            <w:hideMark/>
          </w:tcPr>
          <w:p w14:paraId="081D0D35" w14:textId="77777777" w:rsidR="005D59C1" w:rsidRPr="005D59C1" w:rsidRDefault="005D59C1" w:rsidP="005D59C1">
            <w:pPr>
              <w:tabs>
                <w:tab w:val="left" w:pos="6930"/>
              </w:tabs>
            </w:pPr>
            <w:r w:rsidRPr="005D59C1">
              <w:t>Request HUD approval of non-dwelling leases or agreements</w:t>
            </w:r>
          </w:p>
        </w:tc>
        <w:tc>
          <w:tcPr>
            <w:tcW w:w="1061" w:type="dxa"/>
            <w:vAlign w:val="center"/>
            <w:hideMark/>
          </w:tcPr>
          <w:p w14:paraId="5D90679E" w14:textId="0E75FFB4" w:rsidR="005D59C1" w:rsidRPr="005D59C1" w:rsidRDefault="005D59C1" w:rsidP="005D59C1">
            <w:pPr>
              <w:tabs>
                <w:tab w:val="left" w:pos="6930"/>
              </w:tabs>
              <w:jc w:val="center"/>
            </w:pPr>
            <w:r w:rsidRPr="005D59C1">
              <w:t>114</w:t>
            </w:r>
            <w:r w:rsidR="00575546">
              <w:t>.00</w:t>
            </w:r>
          </w:p>
        </w:tc>
        <w:tc>
          <w:tcPr>
            <w:tcW w:w="1313" w:type="dxa"/>
            <w:vAlign w:val="center"/>
            <w:hideMark/>
          </w:tcPr>
          <w:p w14:paraId="07E40F8A" w14:textId="060E2935" w:rsidR="005D59C1" w:rsidRPr="005D59C1" w:rsidRDefault="005D59C1" w:rsidP="005D59C1">
            <w:pPr>
              <w:tabs>
                <w:tab w:val="left" w:pos="6930"/>
              </w:tabs>
              <w:jc w:val="center"/>
            </w:pPr>
            <w:r w:rsidRPr="005D59C1">
              <w:t>6.4</w:t>
            </w:r>
            <w:r w:rsidR="00B61C60">
              <w:t>0</w:t>
            </w:r>
          </w:p>
        </w:tc>
        <w:tc>
          <w:tcPr>
            <w:tcW w:w="1193" w:type="dxa"/>
            <w:vAlign w:val="center"/>
            <w:hideMark/>
          </w:tcPr>
          <w:p w14:paraId="5334CD44" w14:textId="4F18EE26" w:rsidR="005D59C1" w:rsidRPr="005D59C1" w:rsidRDefault="005D59C1" w:rsidP="005D59C1">
            <w:pPr>
              <w:tabs>
                <w:tab w:val="left" w:pos="6930"/>
              </w:tabs>
              <w:jc w:val="center"/>
            </w:pPr>
            <w:r w:rsidRPr="005D59C1">
              <w:t>7</w:t>
            </w:r>
            <w:r w:rsidR="00B61C60">
              <w:t>29.60</w:t>
            </w:r>
          </w:p>
        </w:tc>
        <w:tc>
          <w:tcPr>
            <w:tcW w:w="901" w:type="dxa"/>
            <w:vAlign w:val="center"/>
            <w:hideMark/>
          </w:tcPr>
          <w:p w14:paraId="2BB38305" w14:textId="77777777" w:rsidR="005D59C1" w:rsidRPr="005D59C1" w:rsidRDefault="005D59C1" w:rsidP="005D59C1">
            <w:pPr>
              <w:tabs>
                <w:tab w:val="left" w:pos="6930"/>
              </w:tabs>
              <w:jc w:val="center"/>
            </w:pPr>
            <w:r w:rsidRPr="005D59C1">
              <w:t>$39.44</w:t>
            </w:r>
          </w:p>
        </w:tc>
        <w:tc>
          <w:tcPr>
            <w:tcW w:w="1596" w:type="dxa"/>
            <w:vAlign w:val="center"/>
            <w:hideMark/>
          </w:tcPr>
          <w:p w14:paraId="20B61E13" w14:textId="3A07925B" w:rsidR="005D59C1" w:rsidRPr="005D59C1" w:rsidRDefault="005D59C1" w:rsidP="005D59C1">
            <w:pPr>
              <w:tabs>
                <w:tab w:val="left" w:pos="6930"/>
              </w:tabs>
              <w:jc w:val="center"/>
            </w:pPr>
            <w:r w:rsidRPr="005D59C1">
              <w:t>$28,7</w:t>
            </w:r>
            <w:r w:rsidR="00B61C60">
              <w:t>75.42</w:t>
            </w:r>
          </w:p>
        </w:tc>
      </w:tr>
      <w:tr w:rsidR="00AB4790" w:rsidRPr="005D59C1" w14:paraId="1441C0CF" w14:textId="77777777" w:rsidTr="00B61C60">
        <w:trPr>
          <w:trHeight w:val="315"/>
        </w:trPr>
        <w:tc>
          <w:tcPr>
            <w:tcW w:w="436" w:type="dxa"/>
            <w:vAlign w:val="center"/>
            <w:hideMark/>
          </w:tcPr>
          <w:p w14:paraId="47EE33E5" w14:textId="77777777" w:rsidR="005D59C1" w:rsidRPr="005D59C1" w:rsidRDefault="005D59C1" w:rsidP="005D59C1">
            <w:pPr>
              <w:tabs>
                <w:tab w:val="left" w:pos="6930"/>
              </w:tabs>
              <w:jc w:val="center"/>
            </w:pPr>
            <w:r w:rsidRPr="005D59C1">
              <w:t>4</w:t>
            </w:r>
          </w:p>
        </w:tc>
        <w:tc>
          <w:tcPr>
            <w:tcW w:w="4025" w:type="dxa"/>
            <w:vAlign w:val="center"/>
            <w:hideMark/>
          </w:tcPr>
          <w:p w14:paraId="1849BC99" w14:textId="77777777" w:rsidR="005D59C1" w:rsidRPr="005D59C1" w:rsidRDefault="005D59C1" w:rsidP="005D59C1">
            <w:pPr>
              <w:tabs>
                <w:tab w:val="left" w:pos="6930"/>
              </w:tabs>
            </w:pPr>
            <w:r w:rsidRPr="005D59C1">
              <w:t>HUD approval for easement uses</w:t>
            </w:r>
          </w:p>
        </w:tc>
        <w:tc>
          <w:tcPr>
            <w:tcW w:w="1061" w:type="dxa"/>
            <w:vAlign w:val="center"/>
            <w:hideMark/>
          </w:tcPr>
          <w:p w14:paraId="5FD4FC57" w14:textId="088DAA8D" w:rsidR="005D59C1" w:rsidRPr="005D59C1" w:rsidRDefault="005D59C1" w:rsidP="005D59C1">
            <w:pPr>
              <w:tabs>
                <w:tab w:val="left" w:pos="6930"/>
              </w:tabs>
              <w:jc w:val="center"/>
            </w:pPr>
            <w:r w:rsidRPr="005D59C1">
              <w:t>48</w:t>
            </w:r>
            <w:r w:rsidR="00575546">
              <w:t>.00</w:t>
            </w:r>
          </w:p>
        </w:tc>
        <w:tc>
          <w:tcPr>
            <w:tcW w:w="1313" w:type="dxa"/>
            <w:vAlign w:val="center"/>
            <w:hideMark/>
          </w:tcPr>
          <w:p w14:paraId="08E18FBE" w14:textId="4F8683AD" w:rsidR="005D59C1" w:rsidRPr="005D59C1" w:rsidRDefault="005D59C1" w:rsidP="005D59C1">
            <w:pPr>
              <w:tabs>
                <w:tab w:val="left" w:pos="6930"/>
              </w:tabs>
              <w:jc w:val="center"/>
            </w:pPr>
            <w:r w:rsidRPr="005D59C1">
              <w:t>73.4</w:t>
            </w:r>
            <w:r w:rsidR="00B61C60">
              <w:t>0</w:t>
            </w:r>
          </w:p>
        </w:tc>
        <w:tc>
          <w:tcPr>
            <w:tcW w:w="1193" w:type="dxa"/>
            <w:vAlign w:val="center"/>
            <w:hideMark/>
          </w:tcPr>
          <w:p w14:paraId="50542259" w14:textId="66F21585" w:rsidR="005D59C1" w:rsidRPr="005D59C1" w:rsidRDefault="005D59C1" w:rsidP="005D59C1">
            <w:pPr>
              <w:tabs>
                <w:tab w:val="left" w:pos="6930"/>
              </w:tabs>
              <w:jc w:val="center"/>
            </w:pPr>
            <w:r w:rsidRPr="005D59C1">
              <w:t>3523</w:t>
            </w:r>
            <w:r w:rsidR="00B61C60">
              <w:t>.20</w:t>
            </w:r>
          </w:p>
        </w:tc>
        <w:tc>
          <w:tcPr>
            <w:tcW w:w="901" w:type="dxa"/>
            <w:vAlign w:val="center"/>
            <w:hideMark/>
          </w:tcPr>
          <w:p w14:paraId="46B67E42" w14:textId="77777777" w:rsidR="005D59C1" w:rsidRPr="005D59C1" w:rsidRDefault="005D59C1" w:rsidP="005D59C1">
            <w:pPr>
              <w:tabs>
                <w:tab w:val="left" w:pos="6930"/>
              </w:tabs>
              <w:jc w:val="center"/>
            </w:pPr>
            <w:r w:rsidRPr="005D59C1">
              <w:t>$39.44</w:t>
            </w:r>
          </w:p>
        </w:tc>
        <w:tc>
          <w:tcPr>
            <w:tcW w:w="1596" w:type="dxa"/>
            <w:vAlign w:val="center"/>
            <w:hideMark/>
          </w:tcPr>
          <w:p w14:paraId="62168038" w14:textId="04D33B0E" w:rsidR="005D59C1" w:rsidRPr="005D59C1" w:rsidRDefault="005D59C1" w:rsidP="005D59C1">
            <w:pPr>
              <w:tabs>
                <w:tab w:val="left" w:pos="6930"/>
              </w:tabs>
              <w:jc w:val="center"/>
            </w:pPr>
            <w:r w:rsidRPr="005D59C1">
              <w:t>$138,9</w:t>
            </w:r>
            <w:r w:rsidR="00B61C60">
              <w:t>55.00</w:t>
            </w:r>
          </w:p>
        </w:tc>
      </w:tr>
      <w:tr w:rsidR="00AB4790" w:rsidRPr="005D59C1" w14:paraId="7CB4DDE9" w14:textId="77777777" w:rsidTr="00B61C60">
        <w:trPr>
          <w:trHeight w:val="615"/>
        </w:trPr>
        <w:tc>
          <w:tcPr>
            <w:tcW w:w="436" w:type="dxa"/>
            <w:vAlign w:val="center"/>
            <w:hideMark/>
          </w:tcPr>
          <w:p w14:paraId="398E7E38" w14:textId="77777777" w:rsidR="005D59C1" w:rsidRPr="005D59C1" w:rsidRDefault="005D59C1" w:rsidP="005D59C1">
            <w:pPr>
              <w:tabs>
                <w:tab w:val="left" w:pos="6930"/>
              </w:tabs>
              <w:jc w:val="center"/>
            </w:pPr>
            <w:r w:rsidRPr="005D59C1">
              <w:t>5</w:t>
            </w:r>
          </w:p>
        </w:tc>
        <w:tc>
          <w:tcPr>
            <w:tcW w:w="4025" w:type="dxa"/>
            <w:vAlign w:val="center"/>
            <w:hideMark/>
          </w:tcPr>
          <w:p w14:paraId="2A8D0CF3" w14:textId="77777777" w:rsidR="005D59C1" w:rsidRPr="005D59C1" w:rsidRDefault="005D59C1" w:rsidP="005D59C1">
            <w:pPr>
              <w:tabs>
                <w:tab w:val="left" w:pos="6930"/>
              </w:tabs>
            </w:pPr>
            <w:r w:rsidRPr="005D59C1">
              <w:t>Submit General Depository Agreement (GDA) via form HUD 51999</w:t>
            </w:r>
          </w:p>
        </w:tc>
        <w:tc>
          <w:tcPr>
            <w:tcW w:w="1061" w:type="dxa"/>
            <w:vAlign w:val="center"/>
            <w:hideMark/>
          </w:tcPr>
          <w:p w14:paraId="0036A19F" w14:textId="4188053F" w:rsidR="005D59C1" w:rsidRPr="005D59C1" w:rsidRDefault="005D59C1" w:rsidP="005D59C1">
            <w:pPr>
              <w:tabs>
                <w:tab w:val="left" w:pos="6930"/>
              </w:tabs>
              <w:jc w:val="center"/>
            </w:pPr>
            <w:r w:rsidRPr="005D59C1">
              <w:t>265</w:t>
            </w:r>
            <w:r w:rsidR="00575546">
              <w:t>.00</w:t>
            </w:r>
          </w:p>
        </w:tc>
        <w:tc>
          <w:tcPr>
            <w:tcW w:w="1313" w:type="dxa"/>
            <w:vAlign w:val="center"/>
            <w:hideMark/>
          </w:tcPr>
          <w:p w14:paraId="4AE2EDFC" w14:textId="368D2F20" w:rsidR="005D59C1" w:rsidRPr="005D59C1" w:rsidRDefault="005D59C1" w:rsidP="005D59C1">
            <w:pPr>
              <w:tabs>
                <w:tab w:val="left" w:pos="6930"/>
              </w:tabs>
              <w:jc w:val="center"/>
            </w:pPr>
            <w:r w:rsidRPr="005D59C1">
              <w:t>2.5</w:t>
            </w:r>
            <w:r w:rsidR="00B61C60">
              <w:t>0</w:t>
            </w:r>
          </w:p>
        </w:tc>
        <w:tc>
          <w:tcPr>
            <w:tcW w:w="1193" w:type="dxa"/>
            <w:vAlign w:val="center"/>
            <w:hideMark/>
          </w:tcPr>
          <w:p w14:paraId="7ED0B03D" w14:textId="2F6A76ED" w:rsidR="005D59C1" w:rsidRPr="005D59C1" w:rsidRDefault="005D59C1" w:rsidP="005D59C1">
            <w:pPr>
              <w:tabs>
                <w:tab w:val="left" w:pos="6930"/>
              </w:tabs>
              <w:jc w:val="center"/>
            </w:pPr>
            <w:r w:rsidRPr="005D59C1">
              <w:t>66</w:t>
            </w:r>
            <w:r w:rsidR="00B61C60">
              <w:t>2.50</w:t>
            </w:r>
          </w:p>
        </w:tc>
        <w:tc>
          <w:tcPr>
            <w:tcW w:w="901" w:type="dxa"/>
            <w:vAlign w:val="center"/>
            <w:hideMark/>
          </w:tcPr>
          <w:p w14:paraId="27061EA1" w14:textId="77777777" w:rsidR="005D59C1" w:rsidRPr="005D59C1" w:rsidRDefault="005D59C1" w:rsidP="005D59C1">
            <w:pPr>
              <w:tabs>
                <w:tab w:val="left" w:pos="6930"/>
              </w:tabs>
              <w:jc w:val="center"/>
            </w:pPr>
            <w:r w:rsidRPr="005D59C1">
              <w:t>$39.44</w:t>
            </w:r>
          </w:p>
        </w:tc>
        <w:tc>
          <w:tcPr>
            <w:tcW w:w="1596" w:type="dxa"/>
            <w:vAlign w:val="center"/>
            <w:hideMark/>
          </w:tcPr>
          <w:p w14:paraId="30D1D3BE" w14:textId="1A921CF3" w:rsidR="005D59C1" w:rsidRPr="005D59C1" w:rsidRDefault="005D59C1" w:rsidP="005D59C1">
            <w:pPr>
              <w:tabs>
                <w:tab w:val="left" w:pos="6930"/>
              </w:tabs>
              <w:jc w:val="center"/>
            </w:pPr>
            <w:r w:rsidRPr="005D59C1">
              <w:t>$26,1</w:t>
            </w:r>
            <w:r w:rsidR="00B61C60">
              <w:t>29.00</w:t>
            </w:r>
          </w:p>
        </w:tc>
      </w:tr>
      <w:tr w:rsidR="00AB4790" w:rsidRPr="005D59C1" w14:paraId="2B3D4DFB" w14:textId="77777777" w:rsidTr="00B61C60">
        <w:trPr>
          <w:trHeight w:val="315"/>
        </w:trPr>
        <w:tc>
          <w:tcPr>
            <w:tcW w:w="436" w:type="dxa"/>
            <w:vAlign w:val="center"/>
            <w:hideMark/>
          </w:tcPr>
          <w:p w14:paraId="41B23532" w14:textId="77777777" w:rsidR="005D59C1" w:rsidRPr="005D59C1" w:rsidRDefault="005D59C1" w:rsidP="005D59C1">
            <w:pPr>
              <w:tabs>
                <w:tab w:val="left" w:pos="6930"/>
              </w:tabs>
              <w:jc w:val="center"/>
            </w:pPr>
            <w:r w:rsidRPr="005D59C1">
              <w:t>6</w:t>
            </w:r>
          </w:p>
        </w:tc>
        <w:tc>
          <w:tcPr>
            <w:tcW w:w="4025" w:type="dxa"/>
            <w:vAlign w:val="center"/>
            <w:hideMark/>
          </w:tcPr>
          <w:p w14:paraId="6CAF9B40" w14:textId="77777777" w:rsidR="005D59C1" w:rsidRPr="005D59C1" w:rsidRDefault="005D59C1" w:rsidP="005D59C1">
            <w:pPr>
              <w:tabs>
                <w:tab w:val="left" w:pos="6930"/>
              </w:tabs>
            </w:pPr>
            <w:r w:rsidRPr="005D59C1">
              <w:t>Request to terminate GDA</w:t>
            </w:r>
          </w:p>
        </w:tc>
        <w:tc>
          <w:tcPr>
            <w:tcW w:w="1061" w:type="dxa"/>
            <w:vAlign w:val="center"/>
            <w:hideMark/>
          </w:tcPr>
          <w:p w14:paraId="27E3C928" w14:textId="4E168101" w:rsidR="005D59C1" w:rsidRPr="005D59C1" w:rsidRDefault="005D59C1" w:rsidP="005D59C1">
            <w:pPr>
              <w:tabs>
                <w:tab w:val="left" w:pos="6930"/>
              </w:tabs>
              <w:jc w:val="center"/>
            </w:pPr>
            <w:r w:rsidRPr="005D59C1">
              <w:t>107</w:t>
            </w:r>
            <w:r w:rsidR="00575546">
              <w:t>.00</w:t>
            </w:r>
          </w:p>
        </w:tc>
        <w:tc>
          <w:tcPr>
            <w:tcW w:w="1313" w:type="dxa"/>
            <w:vAlign w:val="center"/>
            <w:hideMark/>
          </w:tcPr>
          <w:p w14:paraId="68A8D460" w14:textId="726D64B9" w:rsidR="005D59C1" w:rsidRPr="005D59C1" w:rsidRDefault="005D59C1" w:rsidP="005D59C1">
            <w:pPr>
              <w:tabs>
                <w:tab w:val="left" w:pos="6930"/>
              </w:tabs>
              <w:jc w:val="center"/>
            </w:pPr>
            <w:r w:rsidRPr="005D59C1">
              <w:t>1.9</w:t>
            </w:r>
            <w:r w:rsidR="00B61C60">
              <w:t>0</w:t>
            </w:r>
          </w:p>
        </w:tc>
        <w:tc>
          <w:tcPr>
            <w:tcW w:w="1193" w:type="dxa"/>
            <w:vAlign w:val="center"/>
            <w:hideMark/>
          </w:tcPr>
          <w:p w14:paraId="2FE866B4" w14:textId="6D57FD1B" w:rsidR="005D59C1" w:rsidRPr="005D59C1" w:rsidRDefault="005D59C1" w:rsidP="005D59C1">
            <w:pPr>
              <w:tabs>
                <w:tab w:val="left" w:pos="6930"/>
              </w:tabs>
              <w:jc w:val="center"/>
            </w:pPr>
            <w:r w:rsidRPr="005D59C1">
              <w:t>203</w:t>
            </w:r>
            <w:r w:rsidR="00B61C60">
              <w:t>.30</w:t>
            </w:r>
          </w:p>
        </w:tc>
        <w:tc>
          <w:tcPr>
            <w:tcW w:w="901" w:type="dxa"/>
            <w:vAlign w:val="center"/>
            <w:hideMark/>
          </w:tcPr>
          <w:p w14:paraId="01B8DC97" w14:textId="77777777" w:rsidR="005D59C1" w:rsidRPr="005D59C1" w:rsidRDefault="005D59C1" w:rsidP="005D59C1">
            <w:pPr>
              <w:tabs>
                <w:tab w:val="left" w:pos="6930"/>
              </w:tabs>
              <w:jc w:val="center"/>
            </w:pPr>
            <w:r w:rsidRPr="005D59C1">
              <w:t>$39.44</w:t>
            </w:r>
          </w:p>
        </w:tc>
        <w:tc>
          <w:tcPr>
            <w:tcW w:w="1596" w:type="dxa"/>
            <w:vAlign w:val="center"/>
            <w:hideMark/>
          </w:tcPr>
          <w:p w14:paraId="2BF32E20" w14:textId="7028AC46" w:rsidR="005D59C1" w:rsidRPr="005D59C1" w:rsidRDefault="005D59C1" w:rsidP="005D59C1">
            <w:pPr>
              <w:tabs>
                <w:tab w:val="left" w:pos="6930"/>
              </w:tabs>
              <w:jc w:val="center"/>
            </w:pPr>
            <w:r w:rsidRPr="005D59C1">
              <w:t>$8,0</w:t>
            </w:r>
            <w:r w:rsidR="00B61C60">
              <w:t>18.15</w:t>
            </w:r>
          </w:p>
        </w:tc>
      </w:tr>
      <w:tr w:rsidR="00AB4790" w:rsidRPr="005D59C1" w14:paraId="3B187A7B" w14:textId="77777777" w:rsidTr="00B61C60">
        <w:trPr>
          <w:trHeight w:val="315"/>
        </w:trPr>
        <w:tc>
          <w:tcPr>
            <w:tcW w:w="436" w:type="dxa"/>
            <w:vAlign w:val="center"/>
            <w:hideMark/>
          </w:tcPr>
          <w:p w14:paraId="69E5642F" w14:textId="77777777" w:rsidR="005D59C1" w:rsidRPr="005D59C1" w:rsidRDefault="005D59C1" w:rsidP="005D59C1">
            <w:pPr>
              <w:tabs>
                <w:tab w:val="left" w:pos="6930"/>
              </w:tabs>
              <w:jc w:val="center"/>
            </w:pPr>
            <w:r w:rsidRPr="005D59C1">
              <w:t>7</w:t>
            </w:r>
          </w:p>
        </w:tc>
        <w:tc>
          <w:tcPr>
            <w:tcW w:w="4025" w:type="dxa"/>
            <w:vAlign w:val="center"/>
            <w:hideMark/>
          </w:tcPr>
          <w:p w14:paraId="20413C4A" w14:textId="77777777" w:rsidR="005D59C1" w:rsidRPr="005D59C1" w:rsidRDefault="005D59C1" w:rsidP="005D59C1">
            <w:pPr>
              <w:tabs>
                <w:tab w:val="left" w:pos="6930"/>
              </w:tabs>
            </w:pPr>
            <w:r w:rsidRPr="005D59C1">
              <w:t>ACC revisions to change year end dates</w:t>
            </w:r>
          </w:p>
        </w:tc>
        <w:tc>
          <w:tcPr>
            <w:tcW w:w="1061" w:type="dxa"/>
            <w:vAlign w:val="center"/>
            <w:hideMark/>
          </w:tcPr>
          <w:p w14:paraId="01B294DD" w14:textId="03A59B24" w:rsidR="005D59C1" w:rsidRPr="005D59C1" w:rsidRDefault="005D59C1" w:rsidP="005D59C1">
            <w:pPr>
              <w:tabs>
                <w:tab w:val="left" w:pos="6930"/>
              </w:tabs>
              <w:jc w:val="center"/>
            </w:pPr>
            <w:r w:rsidRPr="005D59C1">
              <w:t>23</w:t>
            </w:r>
            <w:r w:rsidR="00575546">
              <w:t>.00</w:t>
            </w:r>
          </w:p>
        </w:tc>
        <w:tc>
          <w:tcPr>
            <w:tcW w:w="1313" w:type="dxa"/>
            <w:vAlign w:val="center"/>
            <w:hideMark/>
          </w:tcPr>
          <w:p w14:paraId="3B059BAE" w14:textId="6365F6B5" w:rsidR="005D59C1" w:rsidRPr="005D59C1" w:rsidRDefault="005D59C1" w:rsidP="005D59C1">
            <w:pPr>
              <w:tabs>
                <w:tab w:val="left" w:pos="6930"/>
              </w:tabs>
              <w:jc w:val="center"/>
            </w:pPr>
            <w:r w:rsidRPr="005D59C1">
              <w:t>11.2</w:t>
            </w:r>
            <w:r w:rsidR="00B61C60">
              <w:t>0</w:t>
            </w:r>
          </w:p>
        </w:tc>
        <w:tc>
          <w:tcPr>
            <w:tcW w:w="1193" w:type="dxa"/>
            <w:vAlign w:val="center"/>
            <w:hideMark/>
          </w:tcPr>
          <w:p w14:paraId="6132414C" w14:textId="0C9ED6A2" w:rsidR="005D59C1" w:rsidRPr="005D59C1" w:rsidRDefault="005D59C1" w:rsidP="005D59C1">
            <w:pPr>
              <w:tabs>
                <w:tab w:val="left" w:pos="6930"/>
              </w:tabs>
              <w:jc w:val="center"/>
            </w:pPr>
            <w:r w:rsidRPr="005D59C1">
              <w:t>25</w:t>
            </w:r>
            <w:r w:rsidR="00B61C60">
              <w:t>7.60</w:t>
            </w:r>
          </w:p>
        </w:tc>
        <w:tc>
          <w:tcPr>
            <w:tcW w:w="901" w:type="dxa"/>
            <w:vAlign w:val="center"/>
            <w:hideMark/>
          </w:tcPr>
          <w:p w14:paraId="5FFFDE58" w14:textId="77777777" w:rsidR="005D59C1" w:rsidRPr="005D59C1" w:rsidRDefault="005D59C1" w:rsidP="005D59C1">
            <w:pPr>
              <w:tabs>
                <w:tab w:val="left" w:pos="6930"/>
              </w:tabs>
              <w:jc w:val="center"/>
            </w:pPr>
            <w:r w:rsidRPr="005D59C1">
              <w:t>$39.44</w:t>
            </w:r>
          </w:p>
        </w:tc>
        <w:tc>
          <w:tcPr>
            <w:tcW w:w="1596" w:type="dxa"/>
            <w:vAlign w:val="center"/>
            <w:hideMark/>
          </w:tcPr>
          <w:p w14:paraId="7601B8B9" w14:textId="431EF5C9" w:rsidR="005D59C1" w:rsidRPr="005D59C1" w:rsidRDefault="005D59C1" w:rsidP="005D59C1">
            <w:pPr>
              <w:tabs>
                <w:tab w:val="left" w:pos="6930"/>
              </w:tabs>
              <w:jc w:val="center"/>
            </w:pPr>
            <w:r w:rsidRPr="005D59C1">
              <w:t>$10,1</w:t>
            </w:r>
            <w:r w:rsidR="00B61C60">
              <w:t>59.74</w:t>
            </w:r>
          </w:p>
        </w:tc>
      </w:tr>
      <w:tr w:rsidR="00AB4790" w:rsidRPr="005D59C1" w14:paraId="4A4D6EA7" w14:textId="77777777" w:rsidTr="00B61C60">
        <w:trPr>
          <w:trHeight w:val="315"/>
        </w:trPr>
        <w:tc>
          <w:tcPr>
            <w:tcW w:w="436" w:type="dxa"/>
            <w:vAlign w:val="center"/>
            <w:hideMark/>
          </w:tcPr>
          <w:p w14:paraId="351FA277" w14:textId="77777777" w:rsidR="005D59C1" w:rsidRPr="005D59C1" w:rsidRDefault="005D59C1" w:rsidP="005D59C1">
            <w:pPr>
              <w:tabs>
                <w:tab w:val="left" w:pos="6930"/>
              </w:tabs>
              <w:jc w:val="center"/>
            </w:pPr>
            <w:r w:rsidRPr="005D59C1">
              <w:t>8</w:t>
            </w:r>
          </w:p>
        </w:tc>
        <w:tc>
          <w:tcPr>
            <w:tcW w:w="4025" w:type="dxa"/>
            <w:vAlign w:val="center"/>
            <w:hideMark/>
          </w:tcPr>
          <w:p w14:paraId="19A88AA5" w14:textId="77777777" w:rsidR="005D59C1" w:rsidRPr="005D59C1" w:rsidRDefault="005D59C1" w:rsidP="005D59C1">
            <w:pPr>
              <w:tabs>
                <w:tab w:val="left" w:pos="6930"/>
              </w:tabs>
            </w:pPr>
            <w:r w:rsidRPr="005D59C1">
              <w:t>ACC to consolidate PHAS</w:t>
            </w:r>
          </w:p>
        </w:tc>
        <w:tc>
          <w:tcPr>
            <w:tcW w:w="1061" w:type="dxa"/>
            <w:vAlign w:val="center"/>
            <w:hideMark/>
          </w:tcPr>
          <w:p w14:paraId="71DBA67E" w14:textId="0C882A6E" w:rsidR="005D59C1" w:rsidRPr="005D59C1" w:rsidRDefault="005D59C1" w:rsidP="005D59C1">
            <w:pPr>
              <w:tabs>
                <w:tab w:val="left" w:pos="6930"/>
              </w:tabs>
              <w:jc w:val="center"/>
            </w:pPr>
            <w:r w:rsidRPr="005D59C1">
              <w:t>18</w:t>
            </w:r>
            <w:r w:rsidR="00575546">
              <w:t>.00</w:t>
            </w:r>
          </w:p>
        </w:tc>
        <w:tc>
          <w:tcPr>
            <w:tcW w:w="1313" w:type="dxa"/>
            <w:vAlign w:val="center"/>
            <w:hideMark/>
          </w:tcPr>
          <w:p w14:paraId="128F25B7" w14:textId="15C7E82E" w:rsidR="005D59C1" w:rsidRPr="005D59C1" w:rsidRDefault="005D59C1" w:rsidP="005D59C1">
            <w:pPr>
              <w:tabs>
                <w:tab w:val="left" w:pos="6930"/>
              </w:tabs>
              <w:jc w:val="center"/>
            </w:pPr>
            <w:r w:rsidRPr="005D59C1">
              <w:t>12.1</w:t>
            </w:r>
            <w:r w:rsidR="00B61C60">
              <w:t>0</w:t>
            </w:r>
          </w:p>
        </w:tc>
        <w:tc>
          <w:tcPr>
            <w:tcW w:w="1193" w:type="dxa"/>
            <w:vAlign w:val="center"/>
            <w:hideMark/>
          </w:tcPr>
          <w:p w14:paraId="18A68D5D" w14:textId="543E27C1" w:rsidR="005D59C1" w:rsidRPr="005D59C1" w:rsidRDefault="005D59C1" w:rsidP="005D59C1">
            <w:pPr>
              <w:tabs>
                <w:tab w:val="left" w:pos="6930"/>
              </w:tabs>
              <w:jc w:val="center"/>
            </w:pPr>
            <w:r w:rsidRPr="005D59C1">
              <w:t>21</w:t>
            </w:r>
            <w:r w:rsidR="00B61C60">
              <w:t>7.80</w:t>
            </w:r>
          </w:p>
        </w:tc>
        <w:tc>
          <w:tcPr>
            <w:tcW w:w="901" w:type="dxa"/>
            <w:vAlign w:val="center"/>
            <w:hideMark/>
          </w:tcPr>
          <w:p w14:paraId="4889DEE2" w14:textId="77777777" w:rsidR="005D59C1" w:rsidRPr="005D59C1" w:rsidRDefault="005D59C1" w:rsidP="005D59C1">
            <w:pPr>
              <w:tabs>
                <w:tab w:val="left" w:pos="6930"/>
              </w:tabs>
              <w:jc w:val="center"/>
            </w:pPr>
            <w:r w:rsidRPr="005D59C1">
              <w:t>$39.44</w:t>
            </w:r>
          </w:p>
        </w:tc>
        <w:tc>
          <w:tcPr>
            <w:tcW w:w="1596" w:type="dxa"/>
            <w:vAlign w:val="center"/>
            <w:hideMark/>
          </w:tcPr>
          <w:p w14:paraId="6C38637C" w14:textId="191E8CA0" w:rsidR="005D59C1" w:rsidRPr="005D59C1" w:rsidRDefault="005D59C1" w:rsidP="005D59C1">
            <w:pPr>
              <w:tabs>
                <w:tab w:val="left" w:pos="6930"/>
              </w:tabs>
              <w:jc w:val="center"/>
            </w:pPr>
            <w:r w:rsidRPr="005D59C1">
              <w:t>$8,59</w:t>
            </w:r>
            <w:r w:rsidR="00B61C60">
              <w:t>0.03</w:t>
            </w:r>
          </w:p>
        </w:tc>
      </w:tr>
      <w:tr w:rsidR="00AB4790" w:rsidRPr="005D59C1" w14:paraId="7058B04A" w14:textId="77777777" w:rsidTr="00B61C60">
        <w:trPr>
          <w:trHeight w:val="315"/>
        </w:trPr>
        <w:tc>
          <w:tcPr>
            <w:tcW w:w="436" w:type="dxa"/>
            <w:vAlign w:val="center"/>
            <w:hideMark/>
          </w:tcPr>
          <w:p w14:paraId="179AD802" w14:textId="77777777" w:rsidR="005D59C1" w:rsidRPr="005D59C1" w:rsidRDefault="005D59C1" w:rsidP="005D59C1">
            <w:pPr>
              <w:tabs>
                <w:tab w:val="left" w:pos="6930"/>
              </w:tabs>
              <w:jc w:val="center"/>
            </w:pPr>
            <w:r w:rsidRPr="005D59C1">
              <w:t>9</w:t>
            </w:r>
          </w:p>
        </w:tc>
        <w:tc>
          <w:tcPr>
            <w:tcW w:w="4025" w:type="dxa"/>
            <w:vAlign w:val="center"/>
            <w:hideMark/>
          </w:tcPr>
          <w:p w14:paraId="2A5D8850" w14:textId="77777777" w:rsidR="005D59C1" w:rsidRPr="005D59C1" w:rsidRDefault="005D59C1" w:rsidP="005D59C1">
            <w:pPr>
              <w:tabs>
                <w:tab w:val="left" w:pos="6930"/>
              </w:tabs>
            </w:pPr>
            <w:r w:rsidRPr="005D59C1">
              <w:t>ACC revision to transfer programs</w:t>
            </w:r>
          </w:p>
        </w:tc>
        <w:tc>
          <w:tcPr>
            <w:tcW w:w="1061" w:type="dxa"/>
            <w:vAlign w:val="center"/>
            <w:hideMark/>
          </w:tcPr>
          <w:p w14:paraId="614338C1" w14:textId="7C4F365C" w:rsidR="005D59C1" w:rsidRPr="005D59C1" w:rsidRDefault="005D59C1" w:rsidP="005D59C1">
            <w:pPr>
              <w:tabs>
                <w:tab w:val="left" w:pos="6930"/>
              </w:tabs>
              <w:jc w:val="center"/>
            </w:pPr>
            <w:r w:rsidRPr="005D59C1">
              <w:t>43</w:t>
            </w:r>
            <w:r w:rsidR="00575546">
              <w:t>.0</w:t>
            </w:r>
          </w:p>
        </w:tc>
        <w:tc>
          <w:tcPr>
            <w:tcW w:w="1313" w:type="dxa"/>
            <w:vAlign w:val="center"/>
            <w:hideMark/>
          </w:tcPr>
          <w:p w14:paraId="6AE54031" w14:textId="44058D46" w:rsidR="005D59C1" w:rsidRPr="005D59C1" w:rsidRDefault="005D59C1" w:rsidP="005D59C1">
            <w:pPr>
              <w:tabs>
                <w:tab w:val="left" w:pos="6930"/>
              </w:tabs>
              <w:jc w:val="center"/>
            </w:pPr>
            <w:r w:rsidRPr="005D59C1">
              <w:t>9.1</w:t>
            </w:r>
            <w:r w:rsidR="00B61C60">
              <w:t>0</w:t>
            </w:r>
          </w:p>
        </w:tc>
        <w:tc>
          <w:tcPr>
            <w:tcW w:w="1193" w:type="dxa"/>
            <w:vAlign w:val="center"/>
            <w:hideMark/>
          </w:tcPr>
          <w:p w14:paraId="77DC9035" w14:textId="4152958B" w:rsidR="005D59C1" w:rsidRPr="005D59C1" w:rsidRDefault="005D59C1" w:rsidP="005D59C1">
            <w:pPr>
              <w:tabs>
                <w:tab w:val="left" w:pos="6930"/>
              </w:tabs>
              <w:jc w:val="center"/>
            </w:pPr>
            <w:r w:rsidRPr="005D59C1">
              <w:t>391</w:t>
            </w:r>
            <w:r w:rsidR="00B61C60">
              <w:t>.30</w:t>
            </w:r>
          </w:p>
        </w:tc>
        <w:tc>
          <w:tcPr>
            <w:tcW w:w="901" w:type="dxa"/>
            <w:vAlign w:val="center"/>
            <w:hideMark/>
          </w:tcPr>
          <w:p w14:paraId="63953D8F" w14:textId="77777777" w:rsidR="005D59C1" w:rsidRPr="005D59C1" w:rsidRDefault="005D59C1" w:rsidP="005D59C1">
            <w:pPr>
              <w:tabs>
                <w:tab w:val="left" w:pos="6930"/>
              </w:tabs>
              <w:jc w:val="center"/>
            </w:pPr>
            <w:r w:rsidRPr="005D59C1">
              <w:t>$39.44</w:t>
            </w:r>
          </w:p>
        </w:tc>
        <w:tc>
          <w:tcPr>
            <w:tcW w:w="1596" w:type="dxa"/>
            <w:vAlign w:val="center"/>
            <w:hideMark/>
          </w:tcPr>
          <w:p w14:paraId="6F677DF9" w14:textId="72B6182A" w:rsidR="005D59C1" w:rsidRPr="005D59C1" w:rsidRDefault="005D59C1" w:rsidP="005D59C1">
            <w:pPr>
              <w:tabs>
                <w:tab w:val="left" w:pos="6930"/>
              </w:tabs>
              <w:jc w:val="center"/>
            </w:pPr>
            <w:r w:rsidRPr="005D59C1">
              <w:t>$15,4</w:t>
            </w:r>
            <w:r w:rsidR="00B61C60">
              <w:t>32.87</w:t>
            </w:r>
          </w:p>
        </w:tc>
      </w:tr>
      <w:tr w:rsidR="00AB4790" w:rsidRPr="005D59C1" w14:paraId="211704FC" w14:textId="77777777" w:rsidTr="00B61C60">
        <w:trPr>
          <w:trHeight w:val="315"/>
        </w:trPr>
        <w:tc>
          <w:tcPr>
            <w:tcW w:w="436" w:type="dxa"/>
            <w:vAlign w:val="center"/>
            <w:hideMark/>
          </w:tcPr>
          <w:p w14:paraId="15700A63" w14:textId="77777777" w:rsidR="005D59C1" w:rsidRPr="005D59C1" w:rsidRDefault="005D59C1" w:rsidP="005D59C1">
            <w:pPr>
              <w:tabs>
                <w:tab w:val="left" w:pos="6930"/>
              </w:tabs>
              <w:jc w:val="center"/>
            </w:pPr>
            <w:r w:rsidRPr="005D59C1">
              <w:t>10</w:t>
            </w:r>
          </w:p>
        </w:tc>
        <w:tc>
          <w:tcPr>
            <w:tcW w:w="4025" w:type="dxa"/>
            <w:vAlign w:val="center"/>
            <w:hideMark/>
          </w:tcPr>
          <w:p w14:paraId="064B230D" w14:textId="77777777" w:rsidR="005D59C1" w:rsidRPr="005D59C1" w:rsidRDefault="005D59C1" w:rsidP="005D59C1">
            <w:pPr>
              <w:tabs>
                <w:tab w:val="left" w:pos="6930"/>
              </w:tabs>
            </w:pPr>
            <w:r w:rsidRPr="005D59C1">
              <w:t>Request review of Conflict of interest</w:t>
            </w:r>
          </w:p>
        </w:tc>
        <w:tc>
          <w:tcPr>
            <w:tcW w:w="1061" w:type="dxa"/>
            <w:vAlign w:val="center"/>
            <w:hideMark/>
          </w:tcPr>
          <w:p w14:paraId="0B8C6E36" w14:textId="4B464434" w:rsidR="005D59C1" w:rsidRPr="005D59C1" w:rsidRDefault="005D59C1" w:rsidP="005D59C1">
            <w:pPr>
              <w:tabs>
                <w:tab w:val="left" w:pos="6930"/>
              </w:tabs>
              <w:jc w:val="center"/>
            </w:pPr>
            <w:r w:rsidRPr="005D59C1">
              <w:t>102</w:t>
            </w:r>
            <w:r w:rsidR="00575546">
              <w:t>.00</w:t>
            </w:r>
          </w:p>
        </w:tc>
        <w:tc>
          <w:tcPr>
            <w:tcW w:w="1313" w:type="dxa"/>
            <w:vAlign w:val="center"/>
            <w:hideMark/>
          </w:tcPr>
          <w:p w14:paraId="256CC1D8" w14:textId="4EC9F24D" w:rsidR="005D59C1" w:rsidRPr="005D59C1" w:rsidRDefault="005D59C1" w:rsidP="005D59C1">
            <w:pPr>
              <w:tabs>
                <w:tab w:val="left" w:pos="6930"/>
              </w:tabs>
              <w:jc w:val="center"/>
            </w:pPr>
            <w:r w:rsidRPr="005D59C1">
              <w:t>9.3</w:t>
            </w:r>
            <w:r w:rsidR="00B61C60">
              <w:t>0</w:t>
            </w:r>
          </w:p>
        </w:tc>
        <w:tc>
          <w:tcPr>
            <w:tcW w:w="1193" w:type="dxa"/>
            <w:vAlign w:val="center"/>
            <w:hideMark/>
          </w:tcPr>
          <w:p w14:paraId="58554619" w14:textId="42E7A669" w:rsidR="005D59C1" w:rsidRPr="005D59C1" w:rsidRDefault="005D59C1" w:rsidP="005D59C1">
            <w:pPr>
              <w:tabs>
                <w:tab w:val="left" w:pos="6930"/>
              </w:tabs>
              <w:jc w:val="center"/>
            </w:pPr>
            <w:r w:rsidRPr="005D59C1">
              <w:t>94</w:t>
            </w:r>
            <w:r w:rsidR="00B61C60">
              <w:t>8.60</w:t>
            </w:r>
          </w:p>
        </w:tc>
        <w:tc>
          <w:tcPr>
            <w:tcW w:w="901" w:type="dxa"/>
            <w:vAlign w:val="center"/>
            <w:hideMark/>
          </w:tcPr>
          <w:p w14:paraId="5A6F039F" w14:textId="77777777" w:rsidR="005D59C1" w:rsidRPr="005D59C1" w:rsidRDefault="005D59C1" w:rsidP="005D59C1">
            <w:pPr>
              <w:tabs>
                <w:tab w:val="left" w:pos="6930"/>
              </w:tabs>
              <w:jc w:val="center"/>
            </w:pPr>
            <w:r w:rsidRPr="005D59C1">
              <w:t>$39.44</w:t>
            </w:r>
          </w:p>
        </w:tc>
        <w:tc>
          <w:tcPr>
            <w:tcW w:w="1596" w:type="dxa"/>
            <w:vAlign w:val="center"/>
            <w:hideMark/>
          </w:tcPr>
          <w:p w14:paraId="6FEAE318" w14:textId="68F769C3" w:rsidR="005D59C1" w:rsidRPr="005D59C1" w:rsidRDefault="005D59C1" w:rsidP="005D59C1">
            <w:pPr>
              <w:tabs>
                <w:tab w:val="left" w:pos="6930"/>
              </w:tabs>
              <w:jc w:val="center"/>
            </w:pPr>
            <w:r w:rsidRPr="005D59C1">
              <w:t>$37,4</w:t>
            </w:r>
            <w:r w:rsidR="00B61C60">
              <w:t>12.78</w:t>
            </w:r>
          </w:p>
        </w:tc>
      </w:tr>
      <w:tr w:rsidR="00AB4790" w:rsidRPr="005D59C1" w14:paraId="3CBC5DA8" w14:textId="77777777" w:rsidTr="00B61C60">
        <w:trPr>
          <w:trHeight w:val="315"/>
        </w:trPr>
        <w:tc>
          <w:tcPr>
            <w:tcW w:w="436" w:type="dxa"/>
            <w:vAlign w:val="center"/>
            <w:hideMark/>
          </w:tcPr>
          <w:p w14:paraId="0B26F55E" w14:textId="77777777" w:rsidR="005D59C1" w:rsidRPr="005D59C1" w:rsidRDefault="005D59C1" w:rsidP="005D59C1">
            <w:pPr>
              <w:tabs>
                <w:tab w:val="left" w:pos="6930"/>
              </w:tabs>
              <w:jc w:val="center"/>
            </w:pPr>
            <w:r w:rsidRPr="005D59C1">
              <w:t>11</w:t>
            </w:r>
          </w:p>
        </w:tc>
        <w:tc>
          <w:tcPr>
            <w:tcW w:w="4025" w:type="dxa"/>
            <w:vAlign w:val="center"/>
            <w:hideMark/>
          </w:tcPr>
          <w:p w14:paraId="709FC500" w14:textId="77777777" w:rsidR="005D59C1" w:rsidRPr="005D59C1" w:rsidRDefault="005D59C1" w:rsidP="005D59C1">
            <w:pPr>
              <w:tabs>
                <w:tab w:val="left" w:pos="6930"/>
              </w:tabs>
            </w:pPr>
            <w:r w:rsidRPr="005D59C1">
              <w:t>Request pooling of insurance</w:t>
            </w:r>
          </w:p>
        </w:tc>
        <w:tc>
          <w:tcPr>
            <w:tcW w:w="1061" w:type="dxa"/>
            <w:vAlign w:val="center"/>
            <w:hideMark/>
          </w:tcPr>
          <w:p w14:paraId="3C55977F" w14:textId="1F9187E2" w:rsidR="005D59C1" w:rsidRPr="005D59C1" w:rsidRDefault="005D59C1" w:rsidP="005D59C1">
            <w:pPr>
              <w:tabs>
                <w:tab w:val="left" w:pos="6930"/>
              </w:tabs>
              <w:jc w:val="center"/>
            </w:pPr>
            <w:r w:rsidRPr="005D59C1">
              <w:t>5</w:t>
            </w:r>
            <w:r w:rsidR="00575546">
              <w:t>.00</w:t>
            </w:r>
          </w:p>
        </w:tc>
        <w:tc>
          <w:tcPr>
            <w:tcW w:w="1313" w:type="dxa"/>
            <w:vAlign w:val="center"/>
            <w:hideMark/>
          </w:tcPr>
          <w:p w14:paraId="3AA1BEC6" w14:textId="76A14623" w:rsidR="005D59C1" w:rsidRPr="005D59C1" w:rsidRDefault="005D59C1" w:rsidP="005D59C1">
            <w:pPr>
              <w:tabs>
                <w:tab w:val="left" w:pos="6930"/>
              </w:tabs>
              <w:jc w:val="center"/>
            </w:pPr>
            <w:r w:rsidRPr="005D59C1">
              <w:t>19.4</w:t>
            </w:r>
            <w:r w:rsidR="00B61C60">
              <w:t>0</w:t>
            </w:r>
          </w:p>
        </w:tc>
        <w:tc>
          <w:tcPr>
            <w:tcW w:w="1193" w:type="dxa"/>
            <w:vAlign w:val="center"/>
            <w:hideMark/>
          </w:tcPr>
          <w:p w14:paraId="6A209163" w14:textId="0E1A79FD" w:rsidR="005D59C1" w:rsidRPr="005D59C1" w:rsidRDefault="005D59C1" w:rsidP="005D59C1">
            <w:pPr>
              <w:tabs>
                <w:tab w:val="left" w:pos="6930"/>
              </w:tabs>
              <w:jc w:val="center"/>
            </w:pPr>
            <w:r w:rsidRPr="005D59C1">
              <w:t>97</w:t>
            </w:r>
            <w:r w:rsidR="00B61C60">
              <w:t>.</w:t>
            </w:r>
            <w:r w:rsidR="00575546">
              <w:t>00</w:t>
            </w:r>
          </w:p>
        </w:tc>
        <w:tc>
          <w:tcPr>
            <w:tcW w:w="901" w:type="dxa"/>
            <w:vAlign w:val="center"/>
            <w:hideMark/>
          </w:tcPr>
          <w:p w14:paraId="7E766C89" w14:textId="77777777" w:rsidR="005D59C1" w:rsidRPr="005D59C1" w:rsidRDefault="005D59C1" w:rsidP="005D59C1">
            <w:pPr>
              <w:tabs>
                <w:tab w:val="left" w:pos="6930"/>
              </w:tabs>
              <w:jc w:val="center"/>
            </w:pPr>
            <w:r w:rsidRPr="005D59C1">
              <w:t>$39.44</w:t>
            </w:r>
          </w:p>
        </w:tc>
        <w:tc>
          <w:tcPr>
            <w:tcW w:w="1596" w:type="dxa"/>
            <w:vAlign w:val="center"/>
            <w:hideMark/>
          </w:tcPr>
          <w:p w14:paraId="202EC15A" w14:textId="6FCBEB17" w:rsidR="005D59C1" w:rsidRPr="005D59C1" w:rsidRDefault="005D59C1" w:rsidP="005D59C1">
            <w:pPr>
              <w:tabs>
                <w:tab w:val="left" w:pos="6930"/>
              </w:tabs>
              <w:jc w:val="center"/>
            </w:pPr>
            <w:r w:rsidRPr="005D59C1">
              <w:t>$3,</w:t>
            </w:r>
            <w:r w:rsidR="00575546">
              <w:t>825</w:t>
            </w:r>
            <w:r w:rsidR="008B4604">
              <w:t>.</w:t>
            </w:r>
            <w:r w:rsidR="00575546">
              <w:t>68</w:t>
            </w:r>
          </w:p>
        </w:tc>
      </w:tr>
      <w:tr w:rsidR="005D59C1" w:rsidRPr="005D59C1" w14:paraId="19B5E89F" w14:textId="77777777" w:rsidTr="00B61C60">
        <w:trPr>
          <w:trHeight w:val="615"/>
        </w:trPr>
        <w:tc>
          <w:tcPr>
            <w:tcW w:w="436" w:type="dxa"/>
            <w:vAlign w:val="center"/>
            <w:hideMark/>
          </w:tcPr>
          <w:p w14:paraId="2161C635" w14:textId="77777777" w:rsidR="005D59C1" w:rsidRPr="005D59C1" w:rsidRDefault="005D59C1" w:rsidP="005D59C1">
            <w:pPr>
              <w:tabs>
                <w:tab w:val="left" w:pos="6930"/>
              </w:tabs>
              <w:jc w:val="center"/>
            </w:pPr>
            <w:r w:rsidRPr="005D59C1">
              <w:t>12</w:t>
            </w:r>
          </w:p>
        </w:tc>
        <w:tc>
          <w:tcPr>
            <w:tcW w:w="4025" w:type="dxa"/>
            <w:vAlign w:val="center"/>
            <w:hideMark/>
          </w:tcPr>
          <w:p w14:paraId="3EFDA05E" w14:textId="77777777" w:rsidR="005D59C1" w:rsidRPr="005D59C1" w:rsidRDefault="005D59C1" w:rsidP="005D59C1">
            <w:pPr>
              <w:tabs>
                <w:tab w:val="left" w:pos="6930"/>
              </w:tabs>
            </w:pPr>
            <w:bookmarkStart w:id="1" w:name="_Hlk496005591"/>
            <w:r w:rsidRPr="005D59C1">
              <w:t>Request for new Declaration of Trust (DOT) via form HUD 52190</w:t>
            </w:r>
            <w:bookmarkEnd w:id="1"/>
          </w:p>
        </w:tc>
        <w:tc>
          <w:tcPr>
            <w:tcW w:w="1061" w:type="dxa"/>
            <w:vAlign w:val="center"/>
            <w:hideMark/>
          </w:tcPr>
          <w:p w14:paraId="22FE0A12" w14:textId="6DD58CDF" w:rsidR="005D59C1" w:rsidRPr="005D59C1" w:rsidRDefault="005D59C1" w:rsidP="005D59C1">
            <w:pPr>
              <w:tabs>
                <w:tab w:val="left" w:pos="6930"/>
              </w:tabs>
              <w:jc w:val="center"/>
            </w:pPr>
            <w:r w:rsidRPr="005D59C1">
              <w:t>142</w:t>
            </w:r>
            <w:r w:rsidR="00575546">
              <w:t>.00</w:t>
            </w:r>
          </w:p>
        </w:tc>
        <w:tc>
          <w:tcPr>
            <w:tcW w:w="1313" w:type="dxa"/>
            <w:vAlign w:val="center"/>
            <w:hideMark/>
          </w:tcPr>
          <w:p w14:paraId="06D518CD" w14:textId="77777777" w:rsidR="005D59C1" w:rsidRPr="005D59C1" w:rsidRDefault="005D59C1" w:rsidP="005D59C1">
            <w:pPr>
              <w:tabs>
                <w:tab w:val="left" w:pos="6930"/>
              </w:tabs>
              <w:jc w:val="center"/>
            </w:pPr>
            <w:r w:rsidRPr="005D59C1">
              <w:t>8.8</w:t>
            </w:r>
          </w:p>
        </w:tc>
        <w:tc>
          <w:tcPr>
            <w:tcW w:w="1193" w:type="dxa"/>
            <w:vAlign w:val="center"/>
            <w:hideMark/>
          </w:tcPr>
          <w:p w14:paraId="38253628" w14:textId="7B8C2606" w:rsidR="005D59C1" w:rsidRPr="005D59C1" w:rsidRDefault="005D59C1" w:rsidP="005D59C1">
            <w:pPr>
              <w:tabs>
                <w:tab w:val="left" w:pos="6930"/>
              </w:tabs>
              <w:jc w:val="center"/>
            </w:pPr>
            <w:r w:rsidRPr="005D59C1">
              <w:t>12</w:t>
            </w:r>
            <w:r w:rsidR="00B61C60">
              <w:t>49.60</w:t>
            </w:r>
          </w:p>
        </w:tc>
        <w:tc>
          <w:tcPr>
            <w:tcW w:w="901" w:type="dxa"/>
            <w:vAlign w:val="center"/>
            <w:hideMark/>
          </w:tcPr>
          <w:p w14:paraId="069B7387" w14:textId="641F81A6" w:rsidR="005D59C1" w:rsidRPr="005D59C1" w:rsidRDefault="005D59C1" w:rsidP="005D59C1">
            <w:pPr>
              <w:tabs>
                <w:tab w:val="left" w:pos="6930"/>
              </w:tabs>
              <w:jc w:val="center"/>
            </w:pPr>
            <w:r w:rsidRPr="005D59C1">
              <w:t>$</w:t>
            </w:r>
            <w:r w:rsidR="00C54AEC">
              <w:t>45.23</w:t>
            </w:r>
          </w:p>
        </w:tc>
        <w:tc>
          <w:tcPr>
            <w:tcW w:w="1596" w:type="dxa"/>
            <w:vAlign w:val="center"/>
            <w:hideMark/>
          </w:tcPr>
          <w:p w14:paraId="14ABB11A" w14:textId="6B209228" w:rsidR="005D59C1" w:rsidRPr="005D59C1" w:rsidRDefault="005D59C1" w:rsidP="005D59C1">
            <w:pPr>
              <w:tabs>
                <w:tab w:val="left" w:pos="6930"/>
              </w:tabs>
              <w:jc w:val="center"/>
            </w:pPr>
            <w:r w:rsidRPr="005D59C1">
              <w:t>$</w:t>
            </w:r>
            <w:r w:rsidR="00B6798A">
              <w:t>56,5</w:t>
            </w:r>
            <w:r w:rsidR="00B61C60">
              <w:t>19.40</w:t>
            </w:r>
          </w:p>
        </w:tc>
      </w:tr>
      <w:tr w:rsidR="005D59C1" w:rsidRPr="005D59C1" w14:paraId="55DF390C" w14:textId="77777777" w:rsidTr="00B61C60">
        <w:trPr>
          <w:trHeight w:val="315"/>
        </w:trPr>
        <w:tc>
          <w:tcPr>
            <w:tcW w:w="436" w:type="dxa"/>
            <w:vAlign w:val="center"/>
            <w:hideMark/>
          </w:tcPr>
          <w:p w14:paraId="72A9DBBF" w14:textId="77777777" w:rsidR="005D59C1" w:rsidRPr="005D59C1" w:rsidRDefault="005D59C1" w:rsidP="005D59C1">
            <w:pPr>
              <w:tabs>
                <w:tab w:val="left" w:pos="6930"/>
              </w:tabs>
              <w:jc w:val="center"/>
            </w:pPr>
            <w:r w:rsidRPr="005D59C1">
              <w:t>13</w:t>
            </w:r>
          </w:p>
        </w:tc>
        <w:tc>
          <w:tcPr>
            <w:tcW w:w="4025" w:type="dxa"/>
            <w:vAlign w:val="center"/>
            <w:hideMark/>
          </w:tcPr>
          <w:p w14:paraId="7960333B" w14:textId="77777777" w:rsidR="005D59C1" w:rsidRPr="005D59C1" w:rsidRDefault="005D59C1" w:rsidP="005D59C1">
            <w:pPr>
              <w:tabs>
                <w:tab w:val="left" w:pos="6930"/>
              </w:tabs>
            </w:pPr>
            <w:r w:rsidRPr="005D59C1">
              <w:t>Request DOT amendment or termination</w:t>
            </w:r>
          </w:p>
        </w:tc>
        <w:tc>
          <w:tcPr>
            <w:tcW w:w="1061" w:type="dxa"/>
            <w:vAlign w:val="center"/>
            <w:hideMark/>
          </w:tcPr>
          <w:p w14:paraId="7A9A6095" w14:textId="09C35AB5" w:rsidR="005D59C1" w:rsidRPr="005D59C1" w:rsidRDefault="005D59C1" w:rsidP="005D59C1">
            <w:pPr>
              <w:tabs>
                <w:tab w:val="left" w:pos="6930"/>
              </w:tabs>
              <w:jc w:val="center"/>
            </w:pPr>
            <w:r w:rsidRPr="005D59C1">
              <w:t>221</w:t>
            </w:r>
            <w:r w:rsidR="00575546">
              <w:t>.00</w:t>
            </w:r>
          </w:p>
        </w:tc>
        <w:tc>
          <w:tcPr>
            <w:tcW w:w="1313" w:type="dxa"/>
            <w:vAlign w:val="center"/>
            <w:hideMark/>
          </w:tcPr>
          <w:p w14:paraId="0F78219A" w14:textId="5B93F361" w:rsidR="005D59C1" w:rsidRPr="005D59C1" w:rsidRDefault="005D59C1" w:rsidP="005D59C1">
            <w:pPr>
              <w:tabs>
                <w:tab w:val="left" w:pos="6930"/>
              </w:tabs>
              <w:jc w:val="center"/>
            </w:pPr>
            <w:r w:rsidRPr="005D59C1">
              <w:t>9.2</w:t>
            </w:r>
            <w:r w:rsidR="00B61C60">
              <w:t>0</w:t>
            </w:r>
          </w:p>
        </w:tc>
        <w:tc>
          <w:tcPr>
            <w:tcW w:w="1193" w:type="dxa"/>
            <w:vAlign w:val="center"/>
            <w:hideMark/>
          </w:tcPr>
          <w:p w14:paraId="0EADD2F6" w14:textId="7B062D65" w:rsidR="005D59C1" w:rsidRPr="005D59C1" w:rsidRDefault="005D59C1" w:rsidP="005D59C1">
            <w:pPr>
              <w:tabs>
                <w:tab w:val="left" w:pos="6930"/>
              </w:tabs>
              <w:jc w:val="center"/>
            </w:pPr>
            <w:r w:rsidRPr="005D59C1">
              <w:t>2033</w:t>
            </w:r>
            <w:r w:rsidR="00B61C60">
              <w:t>.20</w:t>
            </w:r>
          </w:p>
        </w:tc>
        <w:tc>
          <w:tcPr>
            <w:tcW w:w="901" w:type="dxa"/>
            <w:vAlign w:val="center"/>
            <w:hideMark/>
          </w:tcPr>
          <w:p w14:paraId="3D82DBD1" w14:textId="77777777" w:rsidR="005D59C1" w:rsidRPr="005D59C1" w:rsidRDefault="005D59C1" w:rsidP="005D59C1">
            <w:pPr>
              <w:tabs>
                <w:tab w:val="left" w:pos="6930"/>
              </w:tabs>
              <w:jc w:val="center"/>
            </w:pPr>
            <w:r w:rsidRPr="005D59C1">
              <w:t>$39.44</w:t>
            </w:r>
          </w:p>
        </w:tc>
        <w:tc>
          <w:tcPr>
            <w:tcW w:w="1596" w:type="dxa"/>
            <w:vAlign w:val="center"/>
            <w:hideMark/>
          </w:tcPr>
          <w:p w14:paraId="6037C075" w14:textId="6B4DD934" w:rsidR="005D59C1" w:rsidRPr="005D59C1" w:rsidRDefault="005D59C1" w:rsidP="005D59C1">
            <w:pPr>
              <w:tabs>
                <w:tab w:val="left" w:pos="6930"/>
              </w:tabs>
              <w:jc w:val="center"/>
            </w:pPr>
            <w:r w:rsidRPr="005D59C1">
              <w:t>$80,18</w:t>
            </w:r>
            <w:r w:rsidR="00B61C60">
              <w:t>9.40</w:t>
            </w:r>
          </w:p>
        </w:tc>
      </w:tr>
      <w:tr w:rsidR="005D59C1" w:rsidRPr="005D59C1" w14:paraId="22E59A96" w14:textId="77777777" w:rsidTr="00B61C60">
        <w:trPr>
          <w:trHeight w:val="615"/>
        </w:trPr>
        <w:tc>
          <w:tcPr>
            <w:tcW w:w="436" w:type="dxa"/>
            <w:vAlign w:val="center"/>
            <w:hideMark/>
          </w:tcPr>
          <w:p w14:paraId="6F9C5474" w14:textId="77777777" w:rsidR="005D59C1" w:rsidRPr="005D59C1" w:rsidRDefault="005D59C1" w:rsidP="005D59C1">
            <w:pPr>
              <w:tabs>
                <w:tab w:val="left" w:pos="6930"/>
              </w:tabs>
              <w:jc w:val="center"/>
            </w:pPr>
            <w:r w:rsidRPr="005D59C1">
              <w:t>14</w:t>
            </w:r>
          </w:p>
        </w:tc>
        <w:tc>
          <w:tcPr>
            <w:tcW w:w="4025" w:type="dxa"/>
            <w:vAlign w:val="center"/>
            <w:hideMark/>
          </w:tcPr>
          <w:p w14:paraId="5B60D0D6" w14:textId="77777777" w:rsidR="005D59C1" w:rsidRPr="005D59C1" w:rsidRDefault="005D59C1" w:rsidP="005D59C1">
            <w:pPr>
              <w:tabs>
                <w:tab w:val="left" w:pos="6930"/>
              </w:tabs>
            </w:pPr>
            <w:r w:rsidRPr="005D59C1">
              <w:t>Amend ACC for Capital Fund Finance via form HUD 52840-A</w:t>
            </w:r>
          </w:p>
        </w:tc>
        <w:tc>
          <w:tcPr>
            <w:tcW w:w="1061" w:type="dxa"/>
            <w:vAlign w:val="center"/>
            <w:hideMark/>
          </w:tcPr>
          <w:p w14:paraId="2C3894C2" w14:textId="36C97612" w:rsidR="005D59C1" w:rsidRPr="005D59C1" w:rsidRDefault="005D59C1" w:rsidP="005D59C1">
            <w:pPr>
              <w:tabs>
                <w:tab w:val="left" w:pos="6930"/>
              </w:tabs>
              <w:jc w:val="center"/>
            </w:pPr>
            <w:r w:rsidRPr="005D59C1">
              <w:t>73</w:t>
            </w:r>
            <w:r w:rsidR="00575546">
              <w:t>.00</w:t>
            </w:r>
          </w:p>
        </w:tc>
        <w:tc>
          <w:tcPr>
            <w:tcW w:w="1313" w:type="dxa"/>
            <w:vAlign w:val="center"/>
            <w:hideMark/>
          </w:tcPr>
          <w:p w14:paraId="11AFA95A" w14:textId="2492A231" w:rsidR="005D59C1" w:rsidRPr="005D59C1" w:rsidRDefault="005D59C1" w:rsidP="005D59C1">
            <w:pPr>
              <w:tabs>
                <w:tab w:val="left" w:pos="6930"/>
              </w:tabs>
              <w:jc w:val="center"/>
            </w:pPr>
            <w:r w:rsidRPr="005D59C1">
              <w:t>10.8</w:t>
            </w:r>
            <w:r w:rsidR="00B61C60">
              <w:t>0</w:t>
            </w:r>
          </w:p>
        </w:tc>
        <w:tc>
          <w:tcPr>
            <w:tcW w:w="1193" w:type="dxa"/>
            <w:vAlign w:val="center"/>
            <w:hideMark/>
          </w:tcPr>
          <w:p w14:paraId="1B009121" w14:textId="78844BA2" w:rsidR="005D59C1" w:rsidRPr="005D59C1" w:rsidRDefault="005D59C1" w:rsidP="005D59C1">
            <w:pPr>
              <w:tabs>
                <w:tab w:val="left" w:pos="6930"/>
              </w:tabs>
              <w:jc w:val="center"/>
            </w:pPr>
            <w:r w:rsidRPr="005D59C1">
              <w:t>788</w:t>
            </w:r>
            <w:r w:rsidR="00B61C60">
              <w:t>.40</w:t>
            </w:r>
          </w:p>
        </w:tc>
        <w:tc>
          <w:tcPr>
            <w:tcW w:w="901" w:type="dxa"/>
            <w:vAlign w:val="center"/>
            <w:hideMark/>
          </w:tcPr>
          <w:p w14:paraId="7FCC51A3" w14:textId="77777777" w:rsidR="005D59C1" w:rsidRPr="005D59C1" w:rsidRDefault="005D59C1" w:rsidP="005D59C1">
            <w:pPr>
              <w:tabs>
                <w:tab w:val="left" w:pos="6930"/>
              </w:tabs>
              <w:jc w:val="center"/>
            </w:pPr>
            <w:r w:rsidRPr="005D59C1">
              <w:t>$39.44</w:t>
            </w:r>
          </w:p>
        </w:tc>
        <w:tc>
          <w:tcPr>
            <w:tcW w:w="1596" w:type="dxa"/>
            <w:vAlign w:val="center"/>
            <w:hideMark/>
          </w:tcPr>
          <w:p w14:paraId="5C64D253" w14:textId="6836E35F" w:rsidR="005D59C1" w:rsidRPr="005D59C1" w:rsidRDefault="005D59C1" w:rsidP="005D59C1">
            <w:pPr>
              <w:tabs>
                <w:tab w:val="left" w:pos="6930"/>
              </w:tabs>
              <w:jc w:val="center"/>
            </w:pPr>
            <w:r w:rsidRPr="005D59C1">
              <w:t>$31,0</w:t>
            </w:r>
            <w:r w:rsidR="00B61C60">
              <w:t>94.49</w:t>
            </w:r>
          </w:p>
        </w:tc>
      </w:tr>
      <w:tr w:rsidR="005D59C1" w:rsidRPr="005D59C1" w14:paraId="1F0C53A1" w14:textId="77777777" w:rsidTr="00B61C60">
        <w:trPr>
          <w:trHeight w:val="615"/>
        </w:trPr>
        <w:tc>
          <w:tcPr>
            <w:tcW w:w="436" w:type="dxa"/>
            <w:vAlign w:val="center"/>
            <w:hideMark/>
          </w:tcPr>
          <w:p w14:paraId="5D683D90" w14:textId="77777777" w:rsidR="005D59C1" w:rsidRPr="005D59C1" w:rsidRDefault="005D59C1" w:rsidP="005D59C1">
            <w:pPr>
              <w:tabs>
                <w:tab w:val="left" w:pos="6930"/>
              </w:tabs>
              <w:jc w:val="center"/>
            </w:pPr>
            <w:r w:rsidRPr="005D59C1">
              <w:t>15</w:t>
            </w:r>
          </w:p>
        </w:tc>
        <w:tc>
          <w:tcPr>
            <w:tcW w:w="4025" w:type="dxa"/>
            <w:vAlign w:val="center"/>
            <w:hideMark/>
          </w:tcPr>
          <w:p w14:paraId="030EABB0" w14:textId="77777777" w:rsidR="005D59C1" w:rsidRPr="005D59C1" w:rsidRDefault="005D59C1" w:rsidP="005D59C1">
            <w:pPr>
              <w:tabs>
                <w:tab w:val="left" w:pos="6930"/>
              </w:tabs>
            </w:pPr>
            <w:r w:rsidRPr="005D59C1">
              <w:t>Amend ACC for Mixed Finance Supplementary Legal Document</w:t>
            </w:r>
          </w:p>
        </w:tc>
        <w:tc>
          <w:tcPr>
            <w:tcW w:w="1061" w:type="dxa"/>
            <w:vAlign w:val="center"/>
            <w:hideMark/>
          </w:tcPr>
          <w:p w14:paraId="64DD2167" w14:textId="4654155A" w:rsidR="005D59C1" w:rsidRPr="005D59C1" w:rsidRDefault="005D59C1" w:rsidP="005D59C1">
            <w:pPr>
              <w:tabs>
                <w:tab w:val="left" w:pos="6930"/>
              </w:tabs>
              <w:jc w:val="center"/>
            </w:pPr>
            <w:r w:rsidRPr="005D59C1">
              <w:t>94</w:t>
            </w:r>
            <w:r w:rsidR="00575546">
              <w:t>.00</w:t>
            </w:r>
          </w:p>
        </w:tc>
        <w:tc>
          <w:tcPr>
            <w:tcW w:w="1313" w:type="dxa"/>
            <w:vAlign w:val="center"/>
            <w:hideMark/>
          </w:tcPr>
          <w:p w14:paraId="12575B8B" w14:textId="1CBDAF39" w:rsidR="005D59C1" w:rsidRPr="005D59C1" w:rsidRDefault="005D59C1" w:rsidP="005D59C1">
            <w:pPr>
              <w:tabs>
                <w:tab w:val="left" w:pos="6930"/>
              </w:tabs>
              <w:jc w:val="center"/>
            </w:pPr>
            <w:r w:rsidRPr="005D59C1">
              <w:t>21.1</w:t>
            </w:r>
            <w:r w:rsidR="00B61C60">
              <w:t>0</w:t>
            </w:r>
          </w:p>
        </w:tc>
        <w:tc>
          <w:tcPr>
            <w:tcW w:w="1193" w:type="dxa"/>
            <w:vAlign w:val="center"/>
            <w:hideMark/>
          </w:tcPr>
          <w:p w14:paraId="3C5F95EC" w14:textId="083AEA03" w:rsidR="005D59C1" w:rsidRPr="005D59C1" w:rsidRDefault="005D59C1" w:rsidP="005D59C1">
            <w:pPr>
              <w:tabs>
                <w:tab w:val="left" w:pos="6930"/>
              </w:tabs>
              <w:jc w:val="center"/>
            </w:pPr>
            <w:r w:rsidRPr="005D59C1">
              <w:t>1983</w:t>
            </w:r>
            <w:r w:rsidR="00B61C60">
              <w:t>.40</w:t>
            </w:r>
          </w:p>
        </w:tc>
        <w:tc>
          <w:tcPr>
            <w:tcW w:w="901" w:type="dxa"/>
            <w:vAlign w:val="center"/>
            <w:hideMark/>
          </w:tcPr>
          <w:p w14:paraId="3A0761F1" w14:textId="2CB05581" w:rsidR="005D59C1" w:rsidRPr="005D59C1" w:rsidRDefault="005D59C1" w:rsidP="005D59C1">
            <w:pPr>
              <w:tabs>
                <w:tab w:val="left" w:pos="6930"/>
              </w:tabs>
              <w:jc w:val="center"/>
            </w:pPr>
            <w:r w:rsidRPr="005D59C1">
              <w:t>$50</w:t>
            </w:r>
            <w:r w:rsidR="00F321BA">
              <w:t>.00</w:t>
            </w:r>
          </w:p>
        </w:tc>
        <w:tc>
          <w:tcPr>
            <w:tcW w:w="1596" w:type="dxa"/>
            <w:vAlign w:val="center"/>
            <w:hideMark/>
          </w:tcPr>
          <w:p w14:paraId="484520E9" w14:textId="7ED73696" w:rsidR="005D59C1" w:rsidRPr="005D59C1" w:rsidRDefault="005D59C1" w:rsidP="005D59C1">
            <w:pPr>
              <w:tabs>
                <w:tab w:val="left" w:pos="6930"/>
              </w:tabs>
              <w:jc w:val="center"/>
            </w:pPr>
            <w:r w:rsidRPr="005D59C1">
              <w:t>$99,1</w:t>
            </w:r>
            <w:r w:rsidR="00B61C60">
              <w:t>7</w:t>
            </w:r>
            <w:r w:rsidRPr="005D59C1">
              <w:t>0</w:t>
            </w:r>
            <w:r w:rsidR="00B61C60">
              <w:t>.00</w:t>
            </w:r>
          </w:p>
        </w:tc>
      </w:tr>
      <w:tr w:rsidR="005D59C1" w:rsidRPr="005D59C1" w14:paraId="73149DE5" w14:textId="77777777" w:rsidTr="00B61C60">
        <w:trPr>
          <w:trHeight w:val="315"/>
        </w:trPr>
        <w:tc>
          <w:tcPr>
            <w:tcW w:w="436" w:type="dxa"/>
            <w:vAlign w:val="center"/>
            <w:hideMark/>
          </w:tcPr>
          <w:p w14:paraId="36F0F7D1" w14:textId="77777777" w:rsidR="005D59C1" w:rsidRPr="005D59C1" w:rsidRDefault="005D59C1" w:rsidP="005D59C1">
            <w:pPr>
              <w:tabs>
                <w:tab w:val="left" w:pos="6930"/>
              </w:tabs>
              <w:jc w:val="center"/>
            </w:pPr>
            <w:r w:rsidRPr="005D59C1">
              <w:t>16</w:t>
            </w:r>
          </w:p>
        </w:tc>
        <w:tc>
          <w:tcPr>
            <w:tcW w:w="4025" w:type="dxa"/>
            <w:vAlign w:val="center"/>
            <w:hideMark/>
          </w:tcPr>
          <w:p w14:paraId="555FECD5" w14:textId="77777777" w:rsidR="005D59C1" w:rsidRPr="005D59C1" w:rsidRDefault="005D59C1" w:rsidP="005D59C1">
            <w:pPr>
              <w:tabs>
                <w:tab w:val="left" w:pos="6930"/>
              </w:tabs>
            </w:pPr>
            <w:r w:rsidRPr="005D59C1">
              <w:t>Amend ACC for Capital Grant</w:t>
            </w:r>
          </w:p>
        </w:tc>
        <w:tc>
          <w:tcPr>
            <w:tcW w:w="1061" w:type="dxa"/>
            <w:vAlign w:val="center"/>
            <w:hideMark/>
          </w:tcPr>
          <w:p w14:paraId="5C0D9466" w14:textId="5F4C4206" w:rsidR="005D59C1" w:rsidRPr="005D59C1" w:rsidRDefault="005D59C1" w:rsidP="005D59C1">
            <w:pPr>
              <w:tabs>
                <w:tab w:val="left" w:pos="6930"/>
              </w:tabs>
              <w:jc w:val="center"/>
            </w:pPr>
            <w:r w:rsidRPr="005D59C1">
              <w:t>2820</w:t>
            </w:r>
            <w:r w:rsidR="00575546">
              <w:t>.00</w:t>
            </w:r>
          </w:p>
        </w:tc>
        <w:tc>
          <w:tcPr>
            <w:tcW w:w="1313" w:type="dxa"/>
            <w:vAlign w:val="center"/>
            <w:hideMark/>
          </w:tcPr>
          <w:p w14:paraId="1002F1E9" w14:textId="21561A45" w:rsidR="005D59C1" w:rsidRPr="005D59C1" w:rsidRDefault="005D59C1" w:rsidP="005D59C1">
            <w:pPr>
              <w:tabs>
                <w:tab w:val="left" w:pos="6930"/>
              </w:tabs>
              <w:jc w:val="center"/>
            </w:pPr>
            <w:r w:rsidRPr="005D59C1">
              <w:t>3.9</w:t>
            </w:r>
            <w:r w:rsidR="00B61C60">
              <w:t>0</w:t>
            </w:r>
          </w:p>
        </w:tc>
        <w:tc>
          <w:tcPr>
            <w:tcW w:w="1193" w:type="dxa"/>
            <w:vAlign w:val="center"/>
            <w:hideMark/>
          </w:tcPr>
          <w:p w14:paraId="5C073DDA" w14:textId="381F5B7C" w:rsidR="005D59C1" w:rsidRPr="005D59C1" w:rsidRDefault="005D59C1" w:rsidP="005D59C1">
            <w:pPr>
              <w:tabs>
                <w:tab w:val="left" w:pos="6930"/>
              </w:tabs>
              <w:jc w:val="center"/>
            </w:pPr>
            <w:r w:rsidRPr="005D59C1">
              <w:t>10998</w:t>
            </w:r>
            <w:r w:rsidR="00B61C60">
              <w:t>.00</w:t>
            </w:r>
          </w:p>
        </w:tc>
        <w:tc>
          <w:tcPr>
            <w:tcW w:w="901" w:type="dxa"/>
            <w:vAlign w:val="center"/>
            <w:hideMark/>
          </w:tcPr>
          <w:p w14:paraId="1CDCB59B" w14:textId="77777777" w:rsidR="005D59C1" w:rsidRPr="005D59C1" w:rsidRDefault="005D59C1" w:rsidP="005D59C1">
            <w:pPr>
              <w:tabs>
                <w:tab w:val="left" w:pos="6930"/>
              </w:tabs>
              <w:jc w:val="center"/>
            </w:pPr>
            <w:r w:rsidRPr="005D59C1">
              <w:t>$39.44</w:t>
            </w:r>
          </w:p>
        </w:tc>
        <w:tc>
          <w:tcPr>
            <w:tcW w:w="1596" w:type="dxa"/>
            <w:vAlign w:val="center"/>
            <w:hideMark/>
          </w:tcPr>
          <w:p w14:paraId="5A2FB3E1" w14:textId="7EDBCCFF" w:rsidR="005D59C1" w:rsidRPr="005D59C1" w:rsidRDefault="005D59C1" w:rsidP="005D59C1">
            <w:pPr>
              <w:tabs>
                <w:tab w:val="left" w:pos="6930"/>
              </w:tabs>
              <w:jc w:val="center"/>
            </w:pPr>
            <w:r w:rsidRPr="005D59C1">
              <w:t>$433,761</w:t>
            </w:r>
            <w:r w:rsidR="00B61C60">
              <w:t>.12</w:t>
            </w:r>
          </w:p>
        </w:tc>
      </w:tr>
      <w:tr w:rsidR="005D59C1" w:rsidRPr="005D59C1" w14:paraId="2B6E5836" w14:textId="77777777" w:rsidTr="00B61C60">
        <w:trPr>
          <w:trHeight w:val="302"/>
        </w:trPr>
        <w:tc>
          <w:tcPr>
            <w:tcW w:w="436" w:type="dxa"/>
            <w:vAlign w:val="center"/>
            <w:hideMark/>
          </w:tcPr>
          <w:p w14:paraId="78FA4E41" w14:textId="77777777" w:rsidR="005D59C1" w:rsidRPr="005D59C1" w:rsidRDefault="005D59C1" w:rsidP="005D59C1">
            <w:pPr>
              <w:tabs>
                <w:tab w:val="left" w:pos="6930"/>
              </w:tabs>
              <w:jc w:val="center"/>
            </w:pPr>
            <w:r w:rsidRPr="005D59C1">
              <w:t>17</w:t>
            </w:r>
          </w:p>
        </w:tc>
        <w:tc>
          <w:tcPr>
            <w:tcW w:w="4025" w:type="dxa"/>
            <w:vAlign w:val="center"/>
            <w:hideMark/>
          </w:tcPr>
          <w:p w14:paraId="3598FB64" w14:textId="77777777" w:rsidR="005D59C1" w:rsidRPr="005D59C1" w:rsidRDefault="005D59C1" w:rsidP="005D59C1">
            <w:pPr>
              <w:tabs>
                <w:tab w:val="left" w:pos="6930"/>
              </w:tabs>
            </w:pPr>
            <w:r w:rsidRPr="005D59C1">
              <w:t>Amend ACC for Emergency Capital Fund Grant</w:t>
            </w:r>
          </w:p>
        </w:tc>
        <w:tc>
          <w:tcPr>
            <w:tcW w:w="1061" w:type="dxa"/>
            <w:vAlign w:val="center"/>
            <w:hideMark/>
          </w:tcPr>
          <w:p w14:paraId="48F0F4D5" w14:textId="513592BB" w:rsidR="005D59C1" w:rsidRPr="005D59C1" w:rsidRDefault="005D59C1" w:rsidP="005D59C1">
            <w:pPr>
              <w:tabs>
                <w:tab w:val="left" w:pos="6930"/>
              </w:tabs>
              <w:jc w:val="center"/>
            </w:pPr>
            <w:r w:rsidRPr="005D59C1">
              <w:t>38</w:t>
            </w:r>
            <w:r w:rsidR="00575546">
              <w:t>.00</w:t>
            </w:r>
          </w:p>
        </w:tc>
        <w:tc>
          <w:tcPr>
            <w:tcW w:w="1313" w:type="dxa"/>
            <w:vAlign w:val="center"/>
            <w:hideMark/>
          </w:tcPr>
          <w:p w14:paraId="5EED707C" w14:textId="51545DC7" w:rsidR="005D59C1" w:rsidRPr="005D59C1" w:rsidRDefault="005D59C1" w:rsidP="005D59C1">
            <w:pPr>
              <w:tabs>
                <w:tab w:val="left" w:pos="6930"/>
              </w:tabs>
              <w:jc w:val="center"/>
            </w:pPr>
            <w:r w:rsidRPr="005D59C1">
              <w:t>2.6</w:t>
            </w:r>
            <w:r w:rsidR="00B61C60">
              <w:t>0</w:t>
            </w:r>
          </w:p>
        </w:tc>
        <w:tc>
          <w:tcPr>
            <w:tcW w:w="1193" w:type="dxa"/>
            <w:vAlign w:val="center"/>
            <w:hideMark/>
          </w:tcPr>
          <w:p w14:paraId="56012E78" w14:textId="78526870" w:rsidR="005D59C1" w:rsidRPr="005D59C1" w:rsidRDefault="00B61C60" w:rsidP="005D59C1">
            <w:pPr>
              <w:tabs>
                <w:tab w:val="left" w:pos="6930"/>
              </w:tabs>
              <w:jc w:val="center"/>
            </w:pPr>
            <w:r>
              <w:t>98.80</w:t>
            </w:r>
          </w:p>
        </w:tc>
        <w:tc>
          <w:tcPr>
            <w:tcW w:w="901" w:type="dxa"/>
            <w:vAlign w:val="center"/>
            <w:hideMark/>
          </w:tcPr>
          <w:p w14:paraId="0660A13E" w14:textId="77777777" w:rsidR="005D59C1" w:rsidRPr="005D59C1" w:rsidRDefault="005D59C1" w:rsidP="005D59C1">
            <w:pPr>
              <w:tabs>
                <w:tab w:val="left" w:pos="6930"/>
              </w:tabs>
              <w:jc w:val="center"/>
            </w:pPr>
            <w:r w:rsidRPr="005D59C1">
              <w:t>$39.44</w:t>
            </w:r>
          </w:p>
        </w:tc>
        <w:tc>
          <w:tcPr>
            <w:tcW w:w="1596" w:type="dxa"/>
            <w:vAlign w:val="center"/>
            <w:hideMark/>
          </w:tcPr>
          <w:p w14:paraId="44166D5D" w14:textId="3FD8D3EA" w:rsidR="005D59C1" w:rsidRPr="005D59C1" w:rsidRDefault="005D59C1" w:rsidP="005D59C1">
            <w:pPr>
              <w:tabs>
                <w:tab w:val="left" w:pos="6930"/>
              </w:tabs>
              <w:jc w:val="center"/>
            </w:pPr>
            <w:r w:rsidRPr="005D59C1">
              <w:t>$3</w:t>
            </w:r>
            <w:r w:rsidR="00F321BA">
              <w:t>,896.67</w:t>
            </w:r>
          </w:p>
        </w:tc>
      </w:tr>
      <w:tr w:rsidR="005D59C1" w:rsidRPr="005D59C1" w14:paraId="50E2C4E5" w14:textId="77777777" w:rsidTr="00B61C60">
        <w:trPr>
          <w:trHeight w:val="347"/>
        </w:trPr>
        <w:tc>
          <w:tcPr>
            <w:tcW w:w="436" w:type="dxa"/>
            <w:vAlign w:val="center"/>
            <w:hideMark/>
          </w:tcPr>
          <w:p w14:paraId="433AD7C6" w14:textId="77777777" w:rsidR="005D59C1" w:rsidRPr="005D59C1" w:rsidRDefault="005D59C1" w:rsidP="005D59C1">
            <w:pPr>
              <w:tabs>
                <w:tab w:val="left" w:pos="6930"/>
              </w:tabs>
              <w:jc w:val="center"/>
            </w:pPr>
            <w:r w:rsidRPr="005D59C1">
              <w:t>18</w:t>
            </w:r>
          </w:p>
        </w:tc>
        <w:tc>
          <w:tcPr>
            <w:tcW w:w="4025" w:type="dxa"/>
            <w:vAlign w:val="center"/>
            <w:hideMark/>
          </w:tcPr>
          <w:p w14:paraId="43749DB2" w14:textId="77777777" w:rsidR="005D59C1" w:rsidRPr="005D59C1" w:rsidRDefault="005D59C1" w:rsidP="005D59C1">
            <w:pPr>
              <w:tabs>
                <w:tab w:val="left" w:pos="6930"/>
              </w:tabs>
            </w:pPr>
            <w:r w:rsidRPr="005D59C1">
              <w:t>Amend ACC Capital Fund for Safety and Security</w:t>
            </w:r>
          </w:p>
        </w:tc>
        <w:tc>
          <w:tcPr>
            <w:tcW w:w="1061" w:type="dxa"/>
            <w:vAlign w:val="center"/>
            <w:hideMark/>
          </w:tcPr>
          <w:p w14:paraId="6BD29C8A" w14:textId="04DBFCE5" w:rsidR="005D59C1" w:rsidRPr="005D59C1" w:rsidRDefault="005D59C1" w:rsidP="005D59C1">
            <w:pPr>
              <w:tabs>
                <w:tab w:val="left" w:pos="6930"/>
              </w:tabs>
              <w:jc w:val="center"/>
            </w:pPr>
            <w:r w:rsidRPr="005D59C1">
              <w:t>75</w:t>
            </w:r>
            <w:r w:rsidR="00575546">
              <w:t>.00</w:t>
            </w:r>
          </w:p>
        </w:tc>
        <w:tc>
          <w:tcPr>
            <w:tcW w:w="1313" w:type="dxa"/>
            <w:vAlign w:val="center"/>
            <w:hideMark/>
          </w:tcPr>
          <w:p w14:paraId="09CC4309" w14:textId="7C46822F" w:rsidR="005D59C1" w:rsidRPr="005D59C1" w:rsidRDefault="005D59C1" w:rsidP="005D59C1">
            <w:pPr>
              <w:tabs>
                <w:tab w:val="left" w:pos="6930"/>
              </w:tabs>
              <w:jc w:val="center"/>
            </w:pPr>
            <w:r w:rsidRPr="005D59C1">
              <w:t>1.3</w:t>
            </w:r>
            <w:r w:rsidR="00F321BA">
              <w:t>0</w:t>
            </w:r>
          </w:p>
        </w:tc>
        <w:tc>
          <w:tcPr>
            <w:tcW w:w="1193" w:type="dxa"/>
            <w:vAlign w:val="center"/>
            <w:hideMark/>
          </w:tcPr>
          <w:p w14:paraId="7C346F22" w14:textId="601A07A7" w:rsidR="005D59C1" w:rsidRPr="005D59C1" w:rsidRDefault="005D59C1" w:rsidP="005D59C1">
            <w:pPr>
              <w:tabs>
                <w:tab w:val="left" w:pos="6930"/>
              </w:tabs>
              <w:jc w:val="center"/>
            </w:pPr>
            <w:r w:rsidRPr="005D59C1">
              <w:t>9</w:t>
            </w:r>
            <w:r w:rsidR="00F321BA">
              <w:t>7.50</w:t>
            </w:r>
          </w:p>
        </w:tc>
        <w:tc>
          <w:tcPr>
            <w:tcW w:w="901" w:type="dxa"/>
            <w:vAlign w:val="center"/>
            <w:hideMark/>
          </w:tcPr>
          <w:p w14:paraId="02985468" w14:textId="77777777" w:rsidR="005D59C1" w:rsidRPr="005D59C1" w:rsidRDefault="005D59C1" w:rsidP="005D59C1">
            <w:pPr>
              <w:tabs>
                <w:tab w:val="left" w:pos="6930"/>
              </w:tabs>
              <w:jc w:val="center"/>
            </w:pPr>
            <w:r w:rsidRPr="005D59C1">
              <w:t>$39.44</w:t>
            </w:r>
          </w:p>
        </w:tc>
        <w:tc>
          <w:tcPr>
            <w:tcW w:w="1596" w:type="dxa"/>
            <w:vAlign w:val="center"/>
            <w:hideMark/>
          </w:tcPr>
          <w:p w14:paraId="28EAC05F" w14:textId="02EAAD20" w:rsidR="005D59C1" w:rsidRPr="005D59C1" w:rsidRDefault="005D59C1" w:rsidP="005D59C1">
            <w:pPr>
              <w:tabs>
                <w:tab w:val="left" w:pos="6930"/>
              </w:tabs>
              <w:jc w:val="center"/>
            </w:pPr>
            <w:r w:rsidRPr="005D59C1">
              <w:t>$3,8</w:t>
            </w:r>
            <w:r w:rsidR="00F321BA">
              <w:t>45.40</w:t>
            </w:r>
          </w:p>
        </w:tc>
      </w:tr>
      <w:tr w:rsidR="005D59C1" w:rsidRPr="005D59C1" w14:paraId="741B9B64" w14:textId="77777777" w:rsidTr="00B61C60">
        <w:trPr>
          <w:trHeight w:val="315"/>
        </w:trPr>
        <w:tc>
          <w:tcPr>
            <w:tcW w:w="436" w:type="dxa"/>
            <w:vAlign w:val="center"/>
            <w:hideMark/>
          </w:tcPr>
          <w:p w14:paraId="26A86181" w14:textId="77777777" w:rsidR="005D59C1" w:rsidRPr="005D59C1" w:rsidRDefault="005D59C1" w:rsidP="005D59C1">
            <w:pPr>
              <w:tabs>
                <w:tab w:val="left" w:pos="6930"/>
              </w:tabs>
              <w:jc w:val="center"/>
            </w:pPr>
            <w:r w:rsidRPr="005D59C1">
              <w:t>19</w:t>
            </w:r>
          </w:p>
        </w:tc>
        <w:tc>
          <w:tcPr>
            <w:tcW w:w="4025" w:type="dxa"/>
            <w:vAlign w:val="center"/>
            <w:hideMark/>
          </w:tcPr>
          <w:p w14:paraId="24B16350" w14:textId="77777777" w:rsidR="005D59C1" w:rsidRPr="005D59C1" w:rsidRDefault="005D59C1" w:rsidP="005D59C1">
            <w:pPr>
              <w:tabs>
                <w:tab w:val="left" w:pos="6930"/>
              </w:tabs>
            </w:pPr>
            <w:r w:rsidRPr="005D59C1">
              <w:t>Amend ACC to Recapture Capital Fund Grant</w:t>
            </w:r>
          </w:p>
        </w:tc>
        <w:tc>
          <w:tcPr>
            <w:tcW w:w="1061" w:type="dxa"/>
            <w:vAlign w:val="center"/>
            <w:hideMark/>
          </w:tcPr>
          <w:p w14:paraId="443BB88C" w14:textId="226F60EA" w:rsidR="005D59C1" w:rsidRPr="005D59C1" w:rsidRDefault="005D59C1" w:rsidP="005D59C1">
            <w:pPr>
              <w:tabs>
                <w:tab w:val="left" w:pos="6930"/>
              </w:tabs>
              <w:jc w:val="center"/>
            </w:pPr>
            <w:r w:rsidRPr="005D59C1">
              <w:t>123</w:t>
            </w:r>
            <w:r w:rsidR="00575546">
              <w:t>.00</w:t>
            </w:r>
          </w:p>
        </w:tc>
        <w:tc>
          <w:tcPr>
            <w:tcW w:w="1313" w:type="dxa"/>
            <w:vAlign w:val="center"/>
            <w:hideMark/>
          </w:tcPr>
          <w:p w14:paraId="4223AD73" w14:textId="00004BAB" w:rsidR="005D59C1" w:rsidRPr="005D59C1" w:rsidRDefault="005D59C1" w:rsidP="005D59C1">
            <w:pPr>
              <w:tabs>
                <w:tab w:val="left" w:pos="6930"/>
              </w:tabs>
              <w:jc w:val="center"/>
            </w:pPr>
            <w:r w:rsidRPr="005D59C1">
              <w:t>5.2</w:t>
            </w:r>
            <w:r w:rsidR="00F321BA">
              <w:t>0</w:t>
            </w:r>
          </w:p>
        </w:tc>
        <w:tc>
          <w:tcPr>
            <w:tcW w:w="1193" w:type="dxa"/>
            <w:vAlign w:val="center"/>
            <w:hideMark/>
          </w:tcPr>
          <w:p w14:paraId="6DC1DF67" w14:textId="577CE18B" w:rsidR="005D59C1" w:rsidRPr="005D59C1" w:rsidRDefault="005D59C1" w:rsidP="005D59C1">
            <w:pPr>
              <w:tabs>
                <w:tab w:val="left" w:pos="6930"/>
              </w:tabs>
              <w:jc w:val="center"/>
            </w:pPr>
            <w:r w:rsidRPr="005D59C1">
              <w:t>6</w:t>
            </w:r>
            <w:r w:rsidR="00F321BA">
              <w:t>39.60</w:t>
            </w:r>
          </w:p>
        </w:tc>
        <w:tc>
          <w:tcPr>
            <w:tcW w:w="901" w:type="dxa"/>
            <w:vAlign w:val="center"/>
            <w:hideMark/>
          </w:tcPr>
          <w:p w14:paraId="41A46F53" w14:textId="77777777" w:rsidR="005D59C1" w:rsidRPr="005D59C1" w:rsidRDefault="005D59C1" w:rsidP="005D59C1">
            <w:pPr>
              <w:tabs>
                <w:tab w:val="left" w:pos="6930"/>
              </w:tabs>
              <w:jc w:val="center"/>
            </w:pPr>
            <w:r w:rsidRPr="005D59C1">
              <w:t>$39.44</w:t>
            </w:r>
          </w:p>
        </w:tc>
        <w:tc>
          <w:tcPr>
            <w:tcW w:w="1596" w:type="dxa"/>
            <w:vAlign w:val="center"/>
            <w:hideMark/>
          </w:tcPr>
          <w:p w14:paraId="5C4F9533" w14:textId="6FA4F70A" w:rsidR="005D59C1" w:rsidRPr="005D59C1" w:rsidRDefault="005D59C1" w:rsidP="005D59C1">
            <w:pPr>
              <w:tabs>
                <w:tab w:val="left" w:pos="6930"/>
              </w:tabs>
              <w:jc w:val="center"/>
            </w:pPr>
            <w:r w:rsidRPr="005D59C1">
              <w:t>$25,2</w:t>
            </w:r>
            <w:r w:rsidR="00F321BA">
              <w:t>25.82</w:t>
            </w:r>
          </w:p>
        </w:tc>
      </w:tr>
      <w:tr w:rsidR="005D59C1" w:rsidRPr="005D59C1" w14:paraId="7EDAF3B4" w14:textId="77777777" w:rsidTr="00B61C60">
        <w:trPr>
          <w:trHeight w:val="315"/>
        </w:trPr>
        <w:tc>
          <w:tcPr>
            <w:tcW w:w="436" w:type="dxa"/>
            <w:vAlign w:val="center"/>
            <w:hideMark/>
          </w:tcPr>
          <w:p w14:paraId="622551AC" w14:textId="77777777" w:rsidR="005D59C1" w:rsidRPr="005D59C1" w:rsidRDefault="005D59C1" w:rsidP="005D59C1">
            <w:pPr>
              <w:tabs>
                <w:tab w:val="left" w:pos="6930"/>
              </w:tabs>
              <w:jc w:val="center"/>
            </w:pPr>
            <w:r w:rsidRPr="005D59C1">
              <w:t>20</w:t>
            </w:r>
          </w:p>
        </w:tc>
        <w:tc>
          <w:tcPr>
            <w:tcW w:w="4025" w:type="dxa"/>
            <w:vAlign w:val="center"/>
            <w:hideMark/>
          </w:tcPr>
          <w:p w14:paraId="4CBB278C" w14:textId="77777777" w:rsidR="005D59C1" w:rsidRPr="005D59C1" w:rsidRDefault="005D59C1" w:rsidP="005D59C1">
            <w:pPr>
              <w:tabs>
                <w:tab w:val="left" w:pos="6930"/>
              </w:tabs>
            </w:pPr>
            <w:r w:rsidRPr="005D59C1">
              <w:t>Amend ACC for Energy Performance Contract</w:t>
            </w:r>
          </w:p>
        </w:tc>
        <w:tc>
          <w:tcPr>
            <w:tcW w:w="1061" w:type="dxa"/>
            <w:vAlign w:val="center"/>
            <w:hideMark/>
          </w:tcPr>
          <w:p w14:paraId="42E90D8F" w14:textId="343D8B05" w:rsidR="005D59C1" w:rsidRPr="005D59C1" w:rsidRDefault="005D59C1" w:rsidP="005D59C1">
            <w:pPr>
              <w:tabs>
                <w:tab w:val="left" w:pos="6930"/>
              </w:tabs>
              <w:jc w:val="center"/>
            </w:pPr>
            <w:r w:rsidRPr="005D59C1">
              <w:t>38</w:t>
            </w:r>
            <w:r w:rsidR="00575546">
              <w:t>.00</w:t>
            </w:r>
          </w:p>
        </w:tc>
        <w:tc>
          <w:tcPr>
            <w:tcW w:w="1313" w:type="dxa"/>
            <w:vAlign w:val="center"/>
            <w:hideMark/>
          </w:tcPr>
          <w:p w14:paraId="01BA0FC7" w14:textId="26638497" w:rsidR="005D59C1" w:rsidRPr="005D59C1" w:rsidRDefault="005D59C1" w:rsidP="005D59C1">
            <w:pPr>
              <w:tabs>
                <w:tab w:val="left" w:pos="6930"/>
              </w:tabs>
              <w:jc w:val="center"/>
            </w:pPr>
            <w:r w:rsidRPr="005D59C1">
              <w:t>5.1</w:t>
            </w:r>
            <w:r w:rsidR="00F321BA">
              <w:t>0</w:t>
            </w:r>
          </w:p>
        </w:tc>
        <w:tc>
          <w:tcPr>
            <w:tcW w:w="1193" w:type="dxa"/>
            <w:vAlign w:val="center"/>
            <w:hideMark/>
          </w:tcPr>
          <w:p w14:paraId="59FBFD30" w14:textId="0D899657" w:rsidR="005D59C1" w:rsidRPr="005D59C1" w:rsidRDefault="00575546" w:rsidP="005D59C1">
            <w:pPr>
              <w:tabs>
                <w:tab w:val="left" w:pos="6930"/>
              </w:tabs>
              <w:jc w:val="center"/>
            </w:pPr>
            <w:r>
              <w:t>193.80</w:t>
            </w:r>
          </w:p>
        </w:tc>
        <w:tc>
          <w:tcPr>
            <w:tcW w:w="901" w:type="dxa"/>
            <w:vAlign w:val="center"/>
            <w:hideMark/>
          </w:tcPr>
          <w:p w14:paraId="332D079D" w14:textId="77777777" w:rsidR="005D59C1" w:rsidRPr="005D59C1" w:rsidRDefault="005D59C1" w:rsidP="005D59C1">
            <w:pPr>
              <w:tabs>
                <w:tab w:val="left" w:pos="6930"/>
              </w:tabs>
              <w:jc w:val="center"/>
            </w:pPr>
            <w:r w:rsidRPr="005D59C1">
              <w:t>$39.44</w:t>
            </w:r>
          </w:p>
        </w:tc>
        <w:tc>
          <w:tcPr>
            <w:tcW w:w="1596" w:type="dxa"/>
            <w:vAlign w:val="center"/>
            <w:hideMark/>
          </w:tcPr>
          <w:p w14:paraId="6189CF1A" w14:textId="490DB885" w:rsidR="005D59C1" w:rsidRPr="005D59C1" w:rsidRDefault="005D59C1" w:rsidP="005D59C1">
            <w:pPr>
              <w:tabs>
                <w:tab w:val="left" w:pos="6930"/>
              </w:tabs>
              <w:jc w:val="center"/>
            </w:pPr>
            <w:r w:rsidRPr="005D59C1">
              <w:t>$7,</w:t>
            </w:r>
            <w:r w:rsidR="00575546">
              <w:t>643.47</w:t>
            </w:r>
          </w:p>
        </w:tc>
      </w:tr>
      <w:tr w:rsidR="005D59C1" w:rsidRPr="005D59C1" w14:paraId="2B125E6E" w14:textId="77777777" w:rsidTr="00B61C60">
        <w:trPr>
          <w:trHeight w:val="315"/>
        </w:trPr>
        <w:tc>
          <w:tcPr>
            <w:tcW w:w="436" w:type="dxa"/>
            <w:vAlign w:val="center"/>
            <w:hideMark/>
          </w:tcPr>
          <w:p w14:paraId="30C449BC" w14:textId="77777777" w:rsidR="005D59C1" w:rsidRPr="005D59C1" w:rsidRDefault="005D59C1" w:rsidP="005D59C1">
            <w:pPr>
              <w:tabs>
                <w:tab w:val="left" w:pos="6930"/>
              </w:tabs>
              <w:jc w:val="center"/>
            </w:pPr>
            <w:r w:rsidRPr="005D59C1">
              <w:t>21</w:t>
            </w:r>
          </w:p>
        </w:tc>
        <w:tc>
          <w:tcPr>
            <w:tcW w:w="4025" w:type="dxa"/>
            <w:vAlign w:val="center"/>
            <w:hideMark/>
          </w:tcPr>
          <w:p w14:paraId="754D892F" w14:textId="77777777" w:rsidR="005D59C1" w:rsidRPr="005D59C1" w:rsidRDefault="005D59C1" w:rsidP="005D59C1">
            <w:pPr>
              <w:tabs>
                <w:tab w:val="left" w:pos="6930"/>
              </w:tabs>
            </w:pPr>
            <w:r w:rsidRPr="005D59C1">
              <w:t>Amend ACC for Community Facilities Grants</w:t>
            </w:r>
          </w:p>
        </w:tc>
        <w:tc>
          <w:tcPr>
            <w:tcW w:w="1061" w:type="dxa"/>
            <w:vAlign w:val="center"/>
            <w:hideMark/>
          </w:tcPr>
          <w:p w14:paraId="3A94D2C0" w14:textId="78ABF584" w:rsidR="005D59C1" w:rsidRPr="005D59C1" w:rsidRDefault="005D59C1" w:rsidP="005D59C1">
            <w:pPr>
              <w:tabs>
                <w:tab w:val="left" w:pos="6930"/>
              </w:tabs>
              <w:jc w:val="center"/>
            </w:pPr>
            <w:r w:rsidRPr="005D59C1">
              <w:t>13</w:t>
            </w:r>
            <w:r w:rsidR="00575546">
              <w:t>.00</w:t>
            </w:r>
          </w:p>
        </w:tc>
        <w:tc>
          <w:tcPr>
            <w:tcW w:w="1313" w:type="dxa"/>
            <w:vAlign w:val="center"/>
            <w:hideMark/>
          </w:tcPr>
          <w:p w14:paraId="7A65E132" w14:textId="52E2586F" w:rsidR="005D59C1" w:rsidRPr="005D59C1" w:rsidRDefault="005D59C1" w:rsidP="005D59C1">
            <w:pPr>
              <w:tabs>
                <w:tab w:val="left" w:pos="6930"/>
              </w:tabs>
              <w:jc w:val="center"/>
            </w:pPr>
            <w:r w:rsidRPr="005D59C1">
              <w:t>2.2</w:t>
            </w:r>
            <w:r w:rsidR="00F321BA">
              <w:t>0</w:t>
            </w:r>
          </w:p>
        </w:tc>
        <w:tc>
          <w:tcPr>
            <w:tcW w:w="1193" w:type="dxa"/>
            <w:vAlign w:val="center"/>
            <w:hideMark/>
          </w:tcPr>
          <w:p w14:paraId="317D2603" w14:textId="36112682" w:rsidR="005D59C1" w:rsidRPr="005D59C1" w:rsidRDefault="00F321BA" w:rsidP="005D59C1">
            <w:pPr>
              <w:tabs>
                <w:tab w:val="left" w:pos="6930"/>
              </w:tabs>
              <w:jc w:val="center"/>
            </w:pPr>
            <w:r>
              <w:t>28.60</w:t>
            </w:r>
          </w:p>
        </w:tc>
        <w:tc>
          <w:tcPr>
            <w:tcW w:w="901" w:type="dxa"/>
            <w:vAlign w:val="center"/>
            <w:hideMark/>
          </w:tcPr>
          <w:p w14:paraId="29281BD4" w14:textId="77777777" w:rsidR="005D59C1" w:rsidRPr="005D59C1" w:rsidRDefault="005D59C1" w:rsidP="005D59C1">
            <w:pPr>
              <w:tabs>
                <w:tab w:val="left" w:pos="6930"/>
              </w:tabs>
              <w:jc w:val="center"/>
            </w:pPr>
            <w:r w:rsidRPr="005D59C1">
              <w:t>$39.44</w:t>
            </w:r>
          </w:p>
        </w:tc>
        <w:tc>
          <w:tcPr>
            <w:tcW w:w="1596" w:type="dxa"/>
            <w:vAlign w:val="center"/>
            <w:hideMark/>
          </w:tcPr>
          <w:p w14:paraId="02C06C96" w14:textId="31190214" w:rsidR="005D59C1" w:rsidRPr="005D59C1" w:rsidRDefault="005D59C1" w:rsidP="005D59C1">
            <w:pPr>
              <w:tabs>
                <w:tab w:val="left" w:pos="6930"/>
              </w:tabs>
              <w:jc w:val="center"/>
            </w:pPr>
            <w:r w:rsidRPr="005D59C1">
              <w:t>$1,1</w:t>
            </w:r>
            <w:r w:rsidR="00F321BA">
              <w:t>27.98</w:t>
            </w:r>
          </w:p>
        </w:tc>
      </w:tr>
      <w:tr w:rsidR="005D59C1" w:rsidRPr="005D59C1" w14:paraId="5E53CBA6" w14:textId="77777777" w:rsidTr="00B61C60">
        <w:trPr>
          <w:trHeight w:val="806"/>
        </w:trPr>
        <w:tc>
          <w:tcPr>
            <w:tcW w:w="436" w:type="dxa"/>
            <w:vAlign w:val="center"/>
            <w:hideMark/>
          </w:tcPr>
          <w:p w14:paraId="7ABD74AE" w14:textId="77777777" w:rsidR="005D59C1" w:rsidRPr="005D59C1" w:rsidRDefault="005D59C1" w:rsidP="005D59C1">
            <w:pPr>
              <w:tabs>
                <w:tab w:val="left" w:pos="6930"/>
              </w:tabs>
              <w:jc w:val="center"/>
            </w:pPr>
            <w:r w:rsidRPr="005D59C1">
              <w:t>22</w:t>
            </w:r>
          </w:p>
        </w:tc>
        <w:tc>
          <w:tcPr>
            <w:tcW w:w="4025" w:type="dxa"/>
            <w:vAlign w:val="center"/>
            <w:hideMark/>
          </w:tcPr>
          <w:p w14:paraId="51323C6F" w14:textId="77777777" w:rsidR="005D59C1" w:rsidRPr="005D59C1" w:rsidRDefault="005D59C1" w:rsidP="005D59C1">
            <w:pPr>
              <w:tabs>
                <w:tab w:val="left" w:pos="6930"/>
              </w:tabs>
            </w:pPr>
            <w:r w:rsidRPr="005D59C1">
              <w:t>Removal of public housing property from ACC through demolition and/or disposition, including de minimis, via (Section 18) via HUD form 52860</w:t>
            </w:r>
          </w:p>
        </w:tc>
        <w:tc>
          <w:tcPr>
            <w:tcW w:w="1061" w:type="dxa"/>
            <w:vAlign w:val="center"/>
            <w:hideMark/>
          </w:tcPr>
          <w:p w14:paraId="0F4546AB" w14:textId="72D108B1" w:rsidR="005D59C1" w:rsidRPr="005D59C1" w:rsidRDefault="005D59C1" w:rsidP="005D59C1">
            <w:pPr>
              <w:tabs>
                <w:tab w:val="left" w:pos="6930"/>
              </w:tabs>
              <w:jc w:val="center"/>
            </w:pPr>
            <w:r w:rsidRPr="005D59C1">
              <w:t>120</w:t>
            </w:r>
            <w:r w:rsidR="00575546">
              <w:t>.00</w:t>
            </w:r>
          </w:p>
        </w:tc>
        <w:tc>
          <w:tcPr>
            <w:tcW w:w="1313" w:type="dxa"/>
            <w:vAlign w:val="center"/>
            <w:hideMark/>
          </w:tcPr>
          <w:p w14:paraId="6FB4C783" w14:textId="5067838F" w:rsidR="005D59C1" w:rsidRPr="005D59C1" w:rsidRDefault="005D59C1" w:rsidP="005D59C1">
            <w:pPr>
              <w:tabs>
                <w:tab w:val="left" w:pos="6930"/>
              </w:tabs>
              <w:jc w:val="center"/>
            </w:pPr>
            <w:r w:rsidRPr="005D59C1">
              <w:t>4.5</w:t>
            </w:r>
            <w:r w:rsidR="00F321BA">
              <w:t>0</w:t>
            </w:r>
          </w:p>
        </w:tc>
        <w:tc>
          <w:tcPr>
            <w:tcW w:w="1193" w:type="dxa"/>
            <w:vAlign w:val="center"/>
            <w:hideMark/>
          </w:tcPr>
          <w:p w14:paraId="0556F20B" w14:textId="314FFFA4" w:rsidR="005D59C1" w:rsidRPr="005D59C1" w:rsidRDefault="005D59C1" w:rsidP="005D59C1">
            <w:pPr>
              <w:tabs>
                <w:tab w:val="left" w:pos="6930"/>
              </w:tabs>
              <w:jc w:val="center"/>
            </w:pPr>
            <w:r w:rsidRPr="005D59C1">
              <w:t>540</w:t>
            </w:r>
            <w:r w:rsidR="00F321BA">
              <w:t>.00</w:t>
            </w:r>
          </w:p>
        </w:tc>
        <w:tc>
          <w:tcPr>
            <w:tcW w:w="901" w:type="dxa"/>
            <w:vAlign w:val="center"/>
            <w:hideMark/>
          </w:tcPr>
          <w:p w14:paraId="73903070" w14:textId="77777777" w:rsidR="005D59C1" w:rsidRPr="005D59C1" w:rsidRDefault="005D59C1" w:rsidP="005D59C1">
            <w:pPr>
              <w:tabs>
                <w:tab w:val="left" w:pos="6930"/>
              </w:tabs>
              <w:jc w:val="center"/>
            </w:pPr>
            <w:r w:rsidRPr="005D59C1">
              <w:t>$39.44</w:t>
            </w:r>
          </w:p>
        </w:tc>
        <w:tc>
          <w:tcPr>
            <w:tcW w:w="1596" w:type="dxa"/>
            <w:vAlign w:val="center"/>
            <w:hideMark/>
          </w:tcPr>
          <w:p w14:paraId="7D9F2B79" w14:textId="7F5A3439" w:rsidR="005D59C1" w:rsidRPr="005D59C1" w:rsidRDefault="005D59C1" w:rsidP="005D59C1">
            <w:pPr>
              <w:tabs>
                <w:tab w:val="left" w:pos="6930"/>
              </w:tabs>
              <w:jc w:val="center"/>
            </w:pPr>
            <w:r w:rsidRPr="005D59C1">
              <w:t>$21,29</w:t>
            </w:r>
            <w:r w:rsidR="00F321BA">
              <w:t>7.60</w:t>
            </w:r>
          </w:p>
        </w:tc>
      </w:tr>
      <w:tr w:rsidR="005D59C1" w:rsidRPr="005D59C1" w14:paraId="31BD577A" w14:textId="77777777" w:rsidTr="00B61C60">
        <w:trPr>
          <w:trHeight w:val="527"/>
        </w:trPr>
        <w:tc>
          <w:tcPr>
            <w:tcW w:w="436" w:type="dxa"/>
            <w:vAlign w:val="center"/>
            <w:hideMark/>
          </w:tcPr>
          <w:p w14:paraId="4FB88189" w14:textId="77777777" w:rsidR="005D59C1" w:rsidRPr="005D59C1" w:rsidRDefault="005D59C1" w:rsidP="005D59C1">
            <w:pPr>
              <w:tabs>
                <w:tab w:val="left" w:pos="6930"/>
              </w:tabs>
              <w:jc w:val="center"/>
            </w:pPr>
            <w:r w:rsidRPr="005D59C1">
              <w:t>23</w:t>
            </w:r>
          </w:p>
        </w:tc>
        <w:tc>
          <w:tcPr>
            <w:tcW w:w="4025" w:type="dxa"/>
            <w:vAlign w:val="center"/>
            <w:hideMark/>
          </w:tcPr>
          <w:p w14:paraId="744E43A0" w14:textId="77777777" w:rsidR="005D59C1" w:rsidRPr="005D59C1" w:rsidRDefault="005D59C1" w:rsidP="005D59C1">
            <w:pPr>
              <w:tabs>
                <w:tab w:val="left" w:pos="6930"/>
              </w:tabs>
            </w:pPr>
            <w:r w:rsidRPr="005D59C1">
              <w:t>Removal of public housing property from ACC through voluntary conversion (Section 22) via HUD form 52860</w:t>
            </w:r>
          </w:p>
        </w:tc>
        <w:tc>
          <w:tcPr>
            <w:tcW w:w="1061" w:type="dxa"/>
            <w:vAlign w:val="center"/>
            <w:hideMark/>
          </w:tcPr>
          <w:p w14:paraId="79854FAD" w14:textId="26D8E617" w:rsidR="005D59C1" w:rsidRPr="005D59C1" w:rsidRDefault="005D59C1" w:rsidP="005D59C1">
            <w:pPr>
              <w:tabs>
                <w:tab w:val="left" w:pos="6930"/>
              </w:tabs>
              <w:jc w:val="center"/>
            </w:pPr>
            <w:r w:rsidRPr="005D59C1">
              <w:t>2</w:t>
            </w:r>
            <w:r w:rsidR="00575546">
              <w:t>.00</w:t>
            </w:r>
          </w:p>
        </w:tc>
        <w:tc>
          <w:tcPr>
            <w:tcW w:w="1313" w:type="dxa"/>
            <w:vAlign w:val="center"/>
            <w:hideMark/>
          </w:tcPr>
          <w:p w14:paraId="0A4E981C" w14:textId="7B4F8506" w:rsidR="005D59C1" w:rsidRPr="005D59C1" w:rsidRDefault="005D59C1" w:rsidP="005D59C1">
            <w:pPr>
              <w:tabs>
                <w:tab w:val="left" w:pos="6930"/>
              </w:tabs>
              <w:jc w:val="center"/>
            </w:pPr>
            <w:r w:rsidRPr="005D59C1">
              <w:t>6</w:t>
            </w:r>
            <w:r w:rsidR="00F321BA">
              <w:t>.00</w:t>
            </w:r>
          </w:p>
        </w:tc>
        <w:tc>
          <w:tcPr>
            <w:tcW w:w="1193" w:type="dxa"/>
            <w:vAlign w:val="center"/>
            <w:hideMark/>
          </w:tcPr>
          <w:p w14:paraId="042E322F" w14:textId="6DE6AF9C" w:rsidR="005D59C1" w:rsidRPr="005D59C1" w:rsidRDefault="005D59C1" w:rsidP="005D59C1">
            <w:pPr>
              <w:tabs>
                <w:tab w:val="left" w:pos="6930"/>
              </w:tabs>
              <w:jc w:val="center"/>
            </w:pPr>
            <w:r w:rsidRPr="005D59C1">
              <w:t>12</w:t>
            </w:r>
            <w:r w:rsidR="00F321BA">
              <w:t>.00</w:t>
            </w:r>
          </w:p>
        </w:tc>
        <w:tc>
          <w:tcPr>
            <w:tcW w:w="901" w:type="dxa"/>
            <w:vAlign w:val="center"/>
            <w:hideMark/>
          </w:tcPr>
          <w:p w14:paraId="7B47D78A" w14:textId="77777777" w:rsidR="005D59C1" w:rsidRPr="005D59C1" w:rsidRDefault="005D59C1" w:rsidP="005D59C1">
            <w:pPr>
              <w:tabs>
                <w:tab w:val="left" w:pos="6930"/>
              </w:tabs>
              <w:jc w:val="center"/>
            </w:pPr>
            <w:r w:rsidRPr="005D59C1">
              <w:t>$39.44</w:t>
            </w:r>
          </w:p>
        </w:tc>
        <w:tc>
          <w:tcPr>
            <w:tcW w:w="1596" w:type="dxa"/>
            <w:vAlign w:val="center"/>
            <w:hideMark/>
          </w:tcPr>
          <w:p w14:paraId="0E24B841" w14:textId="0C35811A" w:rsidR="005D59C1" w:rsidRPr="005D59C1" w:rsidRDefault="005D59C1" w:rsidP="005D59C1">
            <w:pPr>
              <w:tabs>
                <w:tab w:val="left" w:pos="6930"/>
              </w:tabs>
              <w:jc w:val="center"/>
            </w:pPr>
            <w:r w:rsidRPr="005D59C1">
              <w:t>$473</w:t>
            </w:r>
            <w:r w:rsidR="00F321BA">
              <w:t>.28</w:t>
            </w:r>
          </w:p>
        </w:tc>
      </w:tr>
      <w:tr w:rsidR="005D59C1" w:rsidRPr="005D59C1" w14:paraId="66B8CD59" w14:textId="77777777" w:rsidTr="00B61C60">
        <w:trPr>
          <w:trHeight w:val="626"/>
        </w:trPr>
        <w:tc>
          <w:tcPr>
            <w:tcW w:w="436" w:type="dxa"/>
            <w:vAlign w:val="center"/>
            <w:hideMark/>
          </w:tcPr>
          <w:p w14:paraId="47D1B032" w14:textId="77777777" w:rsidR="005D59C1" w:rsidRPr="005D59C1" w:rsidRDefault="005D59C1" w:rsidP="005D59C1">
            <w:pPr>
              <w:tabs>
                <w:tab w:val="left" w:pos="6930"/>
              </w:tabs>
              <w:jc w:val="center"/>
            </w:pPr>
            <w:r w:rsidRPr="005D59C1">
              <w:t>24</w:t>
            </w:r>
          </w:p>
        </w:tc>
        <w:tc>
          <w:tcPr>
            <w:tcW w:w="4025" w:type="dxa"/>
            <w:vAlign w:val="center"/>
            <w:hideMark/>
          </w:tcPr>
          <w:p w14:paraId="526155F0" w14:textId="77777777" w:rsidR="005D59C1" w:rsidRPr="005D59C1" w:rsidRDefault="005D59C1" w:rsidP="005D59C1">
            <w:pPr>
              <w:tabs>
                <w:tab w:val="left" w:pos="6930"/>
              </w:tabs>
            </w:pPr>
            <w:r w:rsidRPr="005D59C1">
              <w:t>Removal of public housing property from ACC through required conversion (Section 33) via HUD form 52860</w:t>
            </w:r>
          </w:p>
        </w:tc>
        <w:tc>
          <w:tcPr>
            <w:tcW w:w="1061" w:type="dxa"/>
            <w:vAlign w:val="center"/>
            <w:hideMark/>
          </w:tcPr>
          <w:p w14:paraId="7B2AC7FA" w14:textId="77777777" w:rsidR="005D59C1" w:rsidRPr="005D59C1" w:rsidRDefault="005D59C1" w:rsidP="005D59C1">
            <w:pPr>
              <w:tabs>
                <w:tab w:val="left" w:pos="6930"/>
              </w:tabs>
              <w:jc w:val="center"/>
            </w:pPr>
            <w:r w:rsidRPr="005D59C1">
              <w:t>0</w:t>
            </w:r>
          </w:p>
        </w:tc>
        <w:tc>
          <w:tcPr>
            <w:tcW w:w="1313" w:type="dxa"/>
            <w:vAlign w:val="center"/>
            <w:hideMark/>
          </w:tcPr>
          <w:p w14:paraId="3346C253" w14:textId="440DECA6" w:rsidR="005D59C1" w:rsidRPr="005D59C1" w:rsidRDefault="005D59C1" w:rsidP="005D59C1">
            <w:pPr>
              <w:tabs>
                <w:tab w:val="left" w:pos="6930"/>
              </w:tabs>
              <w:jc w:val="center"/>
            </w:pPr>
            <w:r w:rsidRPr="005D59C1">
              <w:t>6</w:t>
            </w:r>
            <w:r w:rsidR="00F321BA">
              <w:t>.00</w:t>
            </w:r>
          </w:p>
        </w:tc>
        <w:tc>
          <w:tcPr>
            <w:tcW w:w="1193" w:type="dxa"/>
            <w:vAlign w:val="center"/>
            <w:hideMark/>
          </w:tcPr>
          <w:p w14:paraId="3C99B169" w14:textId="77777777" w:rsidR="005D59C1" w:rsidRPr="005D59C1" w:rsidRDefault="005D59C1" w:rsidP="005D59C1">
            <w:pPr>
              <w:tabs>
                <w:tab w:val="left" w:pos="6930"/>
              </w:tabs>
              <w:jc w:val="center"/>
            </w:pPr>
            <w:r w:rsidRPr="005D59C1">
              <w:t>0</w:t>
            </w:r>
          </w:p>
        </w:tc>
        <w:tc>
          <w:tcPr>
            <w:tcW w:w="901" w:type="dxa"/>
            <w:vAlign w:val="center"/>
            <w:hideMark/>
          </w:tcPr>
          <w:p w14:paraId="6F37D904" w14:textId="77777777" w:rsidR="005D59C1" w:rsidRPr="005D59C1" w:rsidRDefault="005D59C1" w:rsidP="005D59C1">
            <w:pPr>
              <w:tabs>
                <w:tab w:val="left" w:pos="6930"/>
              </w:tabs>
              <w:jc w:val="center"/>
            </w:pPr>
            <w:r w:rsidRPr="005D59C1">
              <w:t>$39.44</w:t>
            </w:r>
          </w:p>
        </w:tc>
        <w:tc>
          <w:tcPr>
            <w:tcW w:w="1596" w:type="dxa"/>
            <w:vAlign w:val="center"/>
            <w:hideMark/>
          </w:tcPr>
          <w:p w14:paraId="4C8D606B" w14:textId="77777777" w:rsidR="005D59C1" w:rsidRPr="005D59C1" w:rsidRDefault="005D59C1" w:rsidP="005D59C1">
            <w:pPr>
              <w:tabs>
                <w:tab w:val="left" w:pos="6930"/>
              </w:tabs>
              <w:jc w:val="center"/>
            </w:pPr>
            <w:r w:rsidRPr="005D59C1">
              <w:t>$0</w:t>
            </w:r>
          </w:p>
        </w:tc>
      </w:tr>
      <w:tr w:rsidR="005D59C1" w:rsidRPr="005D59C1" w14:paraId="2B54402E" w14:textId="77777777" w:rsidTr="00B61C60">
        <w:trPr>
          <w:trHeight w:val="527"/>
        </w:trPr>
        <w:tc>
          <w:tcPr>
            <w:tcW w:w="436" w:type="dxa"/>
            <w:vAlign w:val="center"/>
            <w:hideMark/>
          </w:tcPr>
          <w:p w14:paraId="5AAABF6C" w14:textId="77777777" w:rsidR="005D59C1" w:rsidRPr="005D59C1" w:rsidRDefault="005D59C1" w:rsidP="005D59C1">
            <w:pPr>
              <w:tabs>
                <w:tab w:val="left" w:pos="6930"/>
              </w:tabs>
              <w:jc w:val="center"/>
            </w:pPr>
            <w:r w:rsidRPr="005D59C1">
              <w:t>25</w:t>
            </w:r>
          </w:p>
        </w:tc>
        <w:tc>
          <w:tcPr>
            <w:tcW w:w="4025" w:type="dxa"/>
            <w:vAlign w:val="center"/>
            <w:hideMark/>
          </w:tcPr>
          <w:p w14:paraId="637E883F" w14:textId="77777777" w:rsidR="005D59C1" w:rsidRPr="005D59C1" w:rsidRDefault="005D59C1" w:rsidP="005D59C1">
            <w:pPr>
              <w:tabs>
                <w:tab w:val="left" w:pos="6930"/>
              </w:tabs>
            </w:pPr>
            <w:r w:rsidRPr="005D59C1">
              <w:t>Removal of public housing property through homeownership (Section 32) via HUD Form 52860</w:t>
            </w:r>
          </w:p>
        </w:tc>
        <w:tc>
          <w:tcPr>
            <w:tcW w:w="1061" w:type="dxa"/>
            <w:vAlign w:val="center"/>
            <w:hideMark/>
          </w:tcPr>
          <w:p w14:paraId="083DB5F4" w14:textId="51A21065" w:rsidR="005D59C1" w:rsidRPr="005D59C1" w:rsidRDefault="005D59C1" w:rsidP="005D59C1">
            <w:pPr>
              <w:tabs>
                <w:tab w:val="left" w:pos="6930"/>
              </w:tabs>
              <w:jc w:val="center"/>
            </w:pPr>
            <w:r w:rsidRPr="005D59C1">
              <w:t>4</w:t>
            </w:r>
            <w:r w:rsidR="00575546">
              <w:t>.00</w:t>
            </w:r>
          </w:p>
        </w:tc>
        <w:tc>
          <w:tcPr>
            <w:tcW w:w="1313" w:type="dxa"/>
            <w:vAlign w:val="center"/>
            <w:hideMark/>
          </w:tcPr>
          <w:p w14:paraId="4279F5AE" w14:textId="60076DBC" w:rsidR="005D59C1" w:rsidRPr="005D59C1" w:rsidRDefault="005D59C1" w:rsidP="005D59C1">
            <w:pPr>
              <w:tabs>
                <w:tab w:val="left" w:pos="6930"/>
              </w:tabs>
              <w:jc w:val="center"/>
            </w:pPr>
            <w:r w:rsidRPr="005D59C1">
              <w:t>10</w:t>
            </w:r>
            <w:r w:rsidR="00F321BA">
              <w:t>.00</w:t>
            </w:r>
          </w:p>
        </w:tc>
        <w:tc>
          <w:tcPr>
            <w:tcW w:w="1193" w:type="dxa"/>
            <w:vAlign w:val="center"/>
            <w:hideMark/>
          </w:tcPr>
          <w:p w14:paraId="5BD2FC36" w14:textId="3A384A35" w:rsidR="005D59C1" w:rsidRPr="005D59C1" w:rsidRDefault="005D59C1" w:rsidP="005D59C1">
            <w:pPr>
              <w:tabs>
                <w:tab w:val="left" w:pos="6930"/>
              </w:tabs>
              <w:jc w:val="center"/>
            </w:pPr>
            <w:r w:rsidRPr="005D59C1">
              <w:t>40</w:t>
            </w:r>
            <w:r w:rsidR="00F321BA">
              <w:t>.00</w:t>
            </w:r>
          </w:p>
        </w:tc>
        <w:tc>
          <w:tcPr>
            <w:tcW w:w="901" w:type="dxa"/>
            <w:vAlign w:val="center"/>
            <w:hideMark/>
          </w:tcPr>
          <w:p w14:paraId="482281F4" w14:textId="77777777" w:rsidR="005D59C1" w:rsidRPr="005D59C1" w:rsidRDefault="005D59C1" w:rsidP="005D59C1">
            <w:pPr>
              <w:tabs>
                <w:tab w:val="left" w:pos="6930"/>
              </w:tabs>
              <w:jc w:val="center"/>
            </w:pPr>
            <w:r w:rsidRPr="005D59C1">
              <w:t>$39.44</w:t>
            </w:r>
          </w:p>
        </w:tc>
        <w:tc>
          <w:tcPr>
            <w:tcW w:w="1596" w:type="dxa"/>
            <w:vAlign w:val="center"/>
            <w:hideMark/>
          </w:tcPr>
          <w:p w14:paraId="6EE03B6A" w14:textId="6EF587E4" w:rsidR="005D59C1" w:rsidRPr="005D59C1" w:rsidRDefault="005D59C1" w:rsidP="005D59C1">
            <w:pPr>
              <w:tabs>
                <w:tab w:val="left" w:pos="6930"/>
              </w:tabs>
              <w:jc w:val="center"/>
            </w:pPr>
            <w:r w:rsidRPr="005D59C1">
              <w:t>$1,57</w:t>
            </w:r>
            <w:r w:rsidR="00F321BA">
              <w:t>7.60</w:t>
            </w:r>
          </w:p>
        </w:tc>
      </w:tr>
      <w:tr w:rsidR="005D59C1" w:rsidRPr="005D59C1" w14:paraId="4EE4B049" w14:textId="77777777" w:rsidTr="00B61C60">
        <w:trPr>
          <w:trHeight w:val="536"/>
        </w:trPr>
        <w:tc>
          <w:tcPr>
            <w:tcW w:w="436" w:type="dxa"/>
            <w:vAlign w:val="center"/>
            <w:hideMark/>
          </w:tcPr>
          <w:p w14:paraId="5A2EE320" w14:textId="77777777" w:rsidR="005D59C1" w:rsidRPr="005D59C1" w:rsidRDefault="005D59C1" w:rsidP="005D59C1">
            <w:pPr>
              <w:tabs>
                <w:tab w:val="left" w:pos="6930"/>
              </w:tabs>
              <w:jc w:val="center"/>
            </w:pPr>
            <w:r w:rsidRPr="005D59C1">
              <w:t>26</w:t>
            </w:r>
          </w:p>
        </w:tc>
        <w:tc>
          <w:tcPr>
            <w:tcW w:w="4025" w:type="dxa"/>
            <w:vAlign w:val="center"/>
            <w:hideMark/>
          </w:tcPr>
          <w:p w14:paraId="53CC283A" w14:textId="77777777" w:rsidR="005D59C1" w:rsidRPr="005D59C1" w:rsidRDefault="005D59C1" w:rsidP="005D59C1">
            <w:pPr>
              <w:tabs>
                <w:tab w:val="left" w:pos="6930"/>
              </w:tabs>
            </w:pPr>
            <w:r w:rsidRPr="005D59C1">
              <w:t>Removal of public housing property from ACC through eminent domain HUD form 52860)</w:t>
            </w:r>
          </w:p>
        </w:tc>
        <w:tc>
          <w:tcPr>
            <w:tcW w:w="1061" w:type="dxa"/>
            <w:vAlign w:val="center"/>
            <w:hideMark/>
          </w:tcPr>
          <w:p w14:paraId="5A301E99" w14:textId="3480C004" w:rsidR="005D59C1" w:rsidRPr="005D59C1" w:rsidRDefault="005D59C1" w:rsidP="005D59C1">
            <w:pPr>
              <w:tabs>
                <w:tab w:val="left" w:pos="6930"/>
              </w:tabs>
              <w:jc w:val="center"/>
            </w:pPr>
            <w:r w:rsidRPr="005D59C1">
              <w:t>6</w:t>
            </w:r>
            <w:r w:rsidR="00575546">
              <w:t>.00</w:t>
            </w:r>
          </w:p>
        </w:tc>
        <w:tc>
          <w:tcPr>
            <w:tcW w:w="1313" w:type="dxa"/>
            <w:vAlign w:val="center"/>
            <w:hideMark/>
          </w:tcPr>
          <w:p w14:paraId="0312B225" w14:textId="3DAB0160" w:rsidR="005D59C1" w:rsidRPr="005D59C1" w:rsidRDefault="005D59C1" w:rsidP="005D59C1">
            <w:pPr>
              <w:tabs>
                <w:tab w:val="left" w:pos="6930"/>
              </w:tabs>
              <w:jc w:val="center"/>
            </w:pPr>
            <w:r w:rsidRPr="005D59C1">
              <w:t>3</w:t>
            </w:r>
            <w:r w:rsidR="00F321BA">
              <w:t>.00</w:t>
            </w:r>
          </w:p>
        </w:tc>
        <w:tc>
          <w:tcPr>
            <w:tcW w:w="1193" w:type="dxa"/>
            <w:vAlign w:val="center"/>
            <w:hideMark/>
          </w:tcPr>
          <w:p w14:paraId="7F48F1C1" w14:textId="6392B315" w:rsidR="005D59C1" w:rsidRPr="005D59C1" w:rsidRDefault="005D59C1" w:rsidP="005D59C1">
            <w:pPr>
              <w:tabs>
                <w:tab w:val="left" w:pos="6930"/>
              </w:tabs>
              <w:jc w:val="center"/>
            </w:pPr>
            <w:r w:rsidRPr="005D59C1">
              <w:t>18</w:t>
            </w:r>
            <w:r w:rsidR="00F321BA">
              <w:t>.00</w:t>
            </w:r>
          </w:p>
        </w:tc>
        <w:tc>
          <w:tcPr>
            <w:tcW w:w="901" w:type="dxa"/>
            <w:vAlign w:val="center"/>
            <w:hideMark/>
          </w:tcPr>
          <w:p w14:paraId="2C6F81C9" w14:textId="77777777" w:rsidR="005D59C1" w:rsidRPr="005D59C1" w:rsidRDefault="005D59C1" w:rsidP="005D59C1">
            <w:pPr>
              <w:tabs>
                <w:tab w:val="left" w:pos="6930"/>
              </w:tabs>
              <w:jc w:val="center"/>
            </w:pPr>
            <w:r w:rsidRPr="005D59C1">
              <w:t>$39.44</w:t>
            </w:r>
          </w:p>
        </w:tc>
        <w:tc>
          <w:tcPr>
            <w:tcW w:w="1596" w:type="dxa"/>
            <w:vAlign w:val="center"/>
            <w:hideMark/>
          </w:tcPr>
          <w:p w14:paraId="4CD2D290" w14:textId="4D8956B8" w:rsidR="005D59C1" w:rsidRPr="005D59C1" w:rsidRDefault="005D59C1" w:rsidP="005D59C1">
            <w:pPr>
              <w:tabs>
                <w:tab w:val="left" w:pos="6930"/>
              </w:tabs>
              <w:jc w:val="center"/>
            </w:pPr>
            <w:r w:rsidRPr="005D59C1">
              <w:t>$7</w:t>
            </w:r>
            <w:r w:rsidR="00F321BA">
              <w:t>09.92</w:t>
            </w:r>
          </w:p>
        </w:tc>
      </w:tr>
      <w:tr w:rsidR="005D59C1" w:rsidRPr="005D59C1" w14:paraId="47B83C41" w14:textId="77777777" w:rsidTr="00B61C60">
        <w:trPr>
          <w:trHeight w:val="815"/>
        </w:trPr>
        <w:tc>
          <w:tcPr>
            <w:tcW w:w="436" w:type="dxa"/>
            <w:vAlign w:val="center"/>
            <w:hideMark/>
          </w:tcPr>
          <w:p w14:paraId="364BAF6C" w14:textId="77777777" w:rsidR="005D59C1" w:rsidRPr="005D59C1" w:rsidRDefault="005D59C1" w:rsidP="005D59C1">
            <w:pPr>
              <w:tabs>
                <w:tab w:val="left" w:pos="6930"/>
              </w:tabs>
              <w:jc w:val="center"/>
            </w:pPr>
            <w:r w:rsidRPr="005D59C1">
              <w:t>27</w:t>
            </w:r>
          </w:p>
        </w:tc>
        <w:tc>
          <w:tcPr>
            <w:tcW w:w="4025" w:type="dxa"/>
            <w:vAlign w:val="center"/>
            <w:hideMark/>
          </w:tcPr>
          <w:p w14:paraId="10957FFA" w14:textId="77777777" w:rsidR="005D59C1" w:rsidRPr="005D59C1" w:rsidRDefault="005D59C1" w:rsidP="005D59C1">
            <w:pPr>
              <w:tabs>
                <w:tab w:val="left" w:pos="6930"/>
              </w:tabs>
            </w:pPr>
            <w:r w:rsidRPr="005D59C1">
              <w:t>Removal of public housing property from ACC through retention actions under 2 CFR 200.311 via HUD form 52860</w:t>
            </w:r>
          </w:p>
        </w:tc>
        <w:tc>
          <w:tcPr>
            <w:tcW w:w="1061" w:type="dxa"/>
            <w:vAlign w:val="center"/>
            <w:hideMark/>
          </w:tcPr>
          <w:p w14:paraId="525B6712" w14:textId="63FA1A81" w:rsidR="005D59C1" w:rsidRPr="005D59C1" w:rsidRDefault="005D59C1" w:rsidP="005D59C1">
            <w:pPr>
              <w:tabs>
                <w:tab w:val="left" w:pos="6930"/>
              </w:tabs>
              <w:jc w:val="center"/>
            </w:pPr>
            <w:r w:rsidRPr="005D59C1">
              <w:t>20</w:t>
            </w:r>
            <w:r w:rsidR="00575546">
              <w:t>.00</w:t>
            </w:r>
          </w:p>
        </w:tc>
        <w:tc>
          <w:tcPr>
            <w:tcW w:w="1313" w:type="dxa"/>
            <w:vAlign w:val="center"/>
            <w:hideMark/>
          </w:tcPr>
          <w:p w14:paraId="178E01CC" w14:textId="7AA5CA96" w:rsidR="005D59C1" w:rsidRPr="005D59C1" w:rsidRDefault="005D59C1" w:rsidP="005D59C1">
            <w:pPr>
              <w:tabs>
                <w:tab w:val="left" w:pos="6930"/>
              </w:tabs>
              <w:jc w:val="center"/>
            </w:pPr>
            <w:r w:rsidRPr="005D59C1">
              <w:t>2</w:t>
            </w:r>
            <w:r w:rsidR="00F321BA">
              <w:t>.00</w:t>
            </w:r>
          </w:p>
        </w:tc>
        <w:tc>
          <w:tcPr>
            <w:tcW w:w="1193" w:type="dxa"/>
            <w:vAlign w:val="center"/>
            <w:hideMark/>
          </w:tcPr>
          <w:p w14:paraId="3DE7A3EF" w14:textId="33008910" w:rsidR="005D59C1" w:rsidRPr="005D59C1" w:rsidRDefault="005D59C1" w:rsidP="005D59C1">
            <w:pPr>
              <w:tabs>
                <w:tab w:val="left" w:pos="6930"/>
              </w:tabs>
              <w:jc w:val="center"/>
            </w:pPr>
            <w:r w:rsidRPr="005D59C1">
              <w:t>40</w:t>
            </w:r>
            <w:r w:rsidR="00F321BA">
              <w:t>.00</w:t>
            </w:r>
          </w:p>
        </w:tc>
        <w:tc>
          <w:tcPr>
            <w:tcW w:w="901" w:type="dxa"/>
            <w:vAlign w:val="center"/>
            <w:hideMark/>
          </w:tcPr>
          <w:p w14:paraId="7A88E3D5" w14:textId="77777777" w:rsidR="005D59C1" w:rsidRPr="005D59C1" w:rsidRDefault="005D59C1" w:rsidP="005D59C1">
            <w:pPr>
              <w:tabs>
                <w:tab w:val="left" w:pos="6930"/>
              </w:tabs>
              <w:jc w:val="center"/>
            </w:pPr>
            <w:r w:rsidRPr="005D59C1">
              <w:t>$39.44</w:t>
            </w:r>
          </w:p>
        </w:tc>
        <w:tc>
          <w:tcPr>
            <w:tcW w:w="1596" w:type="dxa"/>
            <w:vAlign w:val="center"/>
            <w:hideMark/>
          </w:tcPr>
          <w:p w14:paraId="709964AD" w14:textId="142FFEC5" w:rsidR="005D59C1" w:rsidRPr="005D59C1" w:rsidRDefault="005D59C1" w:rsidP="005D59C1">
            <w:pPr>
              <w:tabs>
                <w:tab w:val="left" w:pos="6930"/>
              </w:tabs>
              <w:jc w:val="center"/>
            </w:pPr>
            <w:r w:rsidRPr="005D59C1">
              <w:t>$1,57</w:t>
            </w:r>
            <w:r w:rsidR="00F321BA">
              <w:t>7.60</w:t>
            </w:r>
          </w:p>
        </w:tc>
      </w:tr>
      <w:tr w:rsidR="005D59C1" w:rsidRPr="005D59C1" w14:paraId="570C25BE" w14:textId="77777777" w:rsidTr="00B61C60">
        <w:trPr>
          <w:trHeight w:val="608"/>
        </w:trPr>
        <w:tc>
          <w:tcPr>
            <w:tcW w:w="436" w:type="dxa"/>
            <w:vAlign w:val="center"/>
            <w:hideMark/>
          </w:tcPr>
          <w:p w14:paraId="01EC69C0" w14:textId="77777777" w:rsidR="005D59C1" w:rsidRPr="005D59C1" w:rsidRDefault="005D59C1" w:rsidP="005D59C1">
            <w:pPr>
              <w:tabs>
                <w:tab w:val="left" w:pos="6930"/>
              </w:tabs>
              <w:jc w:val="center"/>
            </w:pPr>
            <w:r w:rsidRPr="005D59C1">
              <w:t>28</w:t>
            </w:r>
          </w:p>
        </w:tc>
        <w:tc>
          <w:tcPr>
            <w:tcW w:w="4025" w:type="dxa"/>
            <w:vAlign w:val="center"/>
            <w:hideMark/>
          </w:tcPr>
          <w:p w14:paraId="65A19FF2" w14:textId="77777777" w:rsidR="005D59C1" w:rsidRPr="005D59C1" w:rsidRDefault="005D59C1" w:rsidP="005D59C1">
            <w:pPr>
              <w:tabs>
                <w:tab w:val="left" w:pos="6930"/>
              </w:tabs>
            </w:pPr>
            <w:r w:rsidRPr="005D59C1">
              <w:t>Supplementary Document: Unique Legal Document used by HQ Staff Mixed-Finance Amendment to the ACC</w:t>
            </w:r>
          </w:p>
        </w:tc>
        <w:tc>
          <w:tcPr>
            <w:tcW w:w="1061" w:type="dxa"/>
            <w:vAlign w:val="center"/>
            <w:hideMark/>
          </w:tcPr>
          <w:p w14:paraId="048205C6" w14:textId="7C5906CF" w:rsidR="005D59C1" w:rsidRPr="005D59C1" w:rsidRDefault="005D59C1" w:rsidP="005D59C1">
            <w:pPr>
              <w:tabs>
                <w:tab w:val="left" w:pos="6930"/>
              </w:tabs>
              <w:jc w:val="center"/>
            </w:pPr>
            <w:r w:rsidRPr="005D59C1">
              <w:t>60</w:t>
            </w:r>
            <w:r w:rsidR="00575546">
              <w:t>.00</w:t>
            </w:r>
          </w:p>
        </w:tc>
        <w:tc>
          <w:tcPr>
            <w:tcW w:w="1313" w:type="dxa"/>
            <w:vAlign w:val="center"/>
            <w:hideMark/>
          </w:tcPr>
          <w:p w14:paraId="0B2434E8" w14:textId="44451B7B" w:rsidR="005D59C1" w:rsidRPr="005D59C1" w:rsidRDefault="005D59C1" w:rsidP="005D59C1">
            <w:pPr>
              <w:tabs>
                <w:tab w:val="left" w:pos="6930"/>
              </w:tabs>
              <w:jc w:val="center"/>
            </w:pPr>
            <w:r w:rsidRPr="005D59C1">
              <w:t>24</w:t>
            </w:r>
            <w:r w:rsidR="00F321BA">
              <w:t>.00</w:t>
            </w:r>
          </w:p>
        </w:tc>
        <w:tc>
          <w:tcPr>
            <w:tcW w:w="1193" w:type="dxa"/>
            <w:vAlign w:val="center"/>
            <w:hideMark/>
          </w:tcPr>
          <w:p w14:paraId="070E4FB3" w14:textId="05389C6B" w:rsidR="005D59C1" w:rsidRPr="005D59C1" w:rsidRDefault="005D59C1" w:rsidP="005D59C1">
            <w:pPr>
              <w:tabs>
                <w:tab w:val="left" w:pos="6930"/>
              </w:tabs>
              <w:jc w:val="center"/>
            </w:pPr>
            <w:r w:rsidRPr="005D59C1">
              <w:t>1440</w:t>
            </w:r>
            <w:r w:rsidR="00F321BA">
              <w:t>.00</w:t>
            </w:r>
          </w:p>
        </w:tc>
        <w:tc>
          <w:tcPr>
            <w:tcW w:w="901" w:type="dxa"/>
            <w:vAlign w:val="center"/>
            <w:hideMark/>
          </w:tcPr>
          <w:p w14:paraId="4B1427F8" w14:textId="23BDCF3B" w:rsidR="005D59C1" w:rsidRPr="005D59C1" w:rsidRDefault="005D59C1" w:rsidP="005D59C1">
            <w:pPr>
              <w:tabs>
                <w:tab w:val="left" w:pos="6930"/>
              </w:tabs>
              <w:jc w:val="center"/>
            </w:pPr>
            <w:r w:rsidRPr="005D59C1">
              <w:t>$50</w:t>
            </w:r>
            <w:r w:rsidR="00F321BA">
              <w:t>.00</w:t>
            </w:r>
          </w:p>
        </w:tc>
        <w:tc>
          <w:tcPr>
            <w:tcW w:w="1596" w:type="dxa"/>
            <w:vAlign w:val="center"/>
            <w:hideMark/>
          </w:tcPr>
          <w:p w14:paraId="5F4E39CC" w14:textId="56FA0633" w:rsidR="005D59C1" w:rsidRPr="005D59C1" w:rsidRDefault="005D59C1" w:rsidP="005D59C1">
            <w:pPr>
              <w:tabs>
                <w:tab w:val="left" w:pos="6930"/>
              </w:tabs>
              <w:jc w:val="center"/>
            </w:pPr>
            <w:r w:rsidRPr="005D59C1">
              <w:t>$72,000</w:t>
            </w:r>
            <w:r w:rsidR="00F321BA">
              <w:t>.00</w:t>
            </w:r>
          </w:p>
        </w:tc>
      </w:tr>
      <w:tr w:rsidR="005D59C1" w:rsidRPr="005D59C1" w14:paraId="612CF84F" w14:textId="77777777" w:rsidTr="00B61C60">
        <w:trPr>
          <w:trHeight w:val="315"/>
        </w:trPr>
        <w:tc>
          <w:tcPr>
            <w:tcW w:w="436" w:type="dxa"/>
            <w:vAlign w:val="center"/>
            <w:hideMark/>
          </w:tcPr>
          <w:p w14:paraId="0810D3AD" w14:textId="77777777" w:rsidR="005D59C1" w:rsidRPr="005D59C1" w:rsidRDefault="005D59C1" w:rsidP="005D59C1">
            <w:pPr>
              <w:tabs>
                <w:tab w:val="left" w:pos="6930"/>
              </w:tabs>
              <w:jc w:val="center"/>
            </w:pPr>
          </w:p>
        </w:tc>
        <w:tc>
          <w:tcPr>
            <w:tcW w:w="4025" w:type="dxa"/>
            <w:vAlign w:val="center"/>
            <w:hideMark/>
          </w:tcPr>
          <w:p w14:paraId="08954BAC" w14:textId="77777777" w:rsidR="005D59C1" w:rsidRPr="005D59C1" w:rsidRDefault="005D59C1" w:rsidP="005D59C1">
            <w:pPr>
              <w:tabs>
                <w:tab w:val="left" w:pos="6930"/>
              </w:tabs>
              <w:jc w:val="center"/>
              <w:rPr>
                <w:b/>
                <w:bCs/>
              </w:rPr>
            </w:pPr>
            <w:r w:rsidRPr="005D59C1">
              <w:rPr>
                <w:b/>
                <w:bCs/>
              </w:rPr>
              <w:t>Totals</w:t>
            </w:r>
          </w:p>
        </w:tc>
        <w:tc>
          <w:tcPr>
            <w:tcW w:w="1061" w:type="dxa"/>
            <w:vAlign w:val="center"/>
            <w:hideMark/>
          </w:tcPr>
          <w:p w14:paraId="6284C552" w14:textId="7833CB2C" w:rsidR="005D59C1" w:rsidRPr="005D59C1" w:rsidRDefault="005D59C1" w:rsidP="005D59C1">
            <w:pPr>
              <w:tabs>
                <w:tab w:val="left" w:pos="6930"/>
              </w:tabs>
              <w:jc w:val="center"/>
              <w:rPr>
                <w:b/>
                <w:bCs/>
              </w:rPr>
            </w:pPr>
            <w:r w:rsidRPr="005D59C1">
              <w:rPr>
                <w:b/>
                <w:bCs/>
              </w:rPr>
              <w:t>4</w:t>
            </w:r>
            <w:r w:rsidR="000D4135">
              <w:rPr>
                <w:b/>
                <w:bCs/>
              </w:rPr>
              <w:t>,</w:t>
            </w:r>
            <w:r w:rsidRPr="005D59C1">
              <w:rPr>
                <w:b/>
                <w:bCs/>
              </w:rPr>
              <w:t>654</w:t>
            </w:r>
            <w:r w:rsidR="00944280">
              <w:rPr>
                <w:b/>
                <w:bCs/>
              </w:rPr>
              <w:t>.00</w:t>
            </w:r>
          </w:p>
        </w:tc>
        <w:tc>
          <w:tcPr>
            <w:tcW w:w="1313" w:type="dxa"/>
            <w:vAlign w:val="center"/>
            <w:hideMark/>
          </w:tcPr>
          <w:p w14:paraId="1A92D1B4" w14:textId="4FC78E96" w:rsidR="005D59C1" w:rsidRPr="005D59C1" w:rsidRDefault="005D59C1" w:rsidP="005D59C1">
            <w:pPr>
              <w:tabs>
                <w:tab w:val="left" w:pos="6930"/>
              </w:tabs>
              <w:jc w:val="center"/>
              <w:rPr>
                <w:b/>
                <w:bCs/>
              </w:rPr>
            </w:pPr>
            <w:r w:rsidRPr="005D59C1">
              <w:rPr>
                <w:b/>
                <w:bCs/>
              </w:rPr>
              <w:t>286.3</w:t>
            </w:r>
            <w:r w:rsidR="00DA0883">
              <w:rPr>
                <w:b/>
                <w:bCs/>
              </w:rPr>
              <w:t>0</w:t>
            </w:r>
          </w:p>
        </w:tc>
        <w:tc>
          <w:tcPr>
            <w:tcW w:w="1193" w:type="dxa"/>
            <w:vAlign w:val="center"/>
            <w:hideMark/>
          </w:tcPr>
          <w:p w14:paraId="0D83A3FC" w14:textId="63610977" w:rsidR="005D59C1" w:rsidRPr="005D59C1" w:rsidRDefault="005D59C1" w:rsidP="005D59C1">
            <w:pPr>
              <w:tabs>
                <w:tab w:val="left" w:pos="6930"/>
              </w:tabs>
              <w:jc w:val="center"/>
              <w:rPr>
                <w:b/>
                <w:bCs/>
              </w:rPr>
            </w:pPr>
            <w:r w:rsidRPr="005D59C1">
              <w:rPr>
                <w:b/>
                <w:bCs/>
              </w:rPr>
              <w:t>27</w:t>
            </w:r>
            <w:r w:rsidR="000D4135">
              <w:rPr>
                <w:b/>
                <w:bCs/>
              </w:rPr>
              <w:t>,</w:t>
            </w:r>
            <w:r w:rsidR="00575546">
              <w:rPr>
                <w:b/>
                <w:bCs/>
              </w:rPr>
              <w:t>843.80</w:t>
            </w:r>
          </w:p>
        </w:tc>
        <w:tc>
          <w:tcPr>
            <w:tcW w:w="901" w:type="dxa"/>
            <w:vAlign w:val="center"/>
            <w:hideMark/>
          </w:tcPr>
          <w:p w14:paraId="0E36B9DD" w14:textId="77777777" w:rsidR="005D59C1" w:rsidRPr="005D59C1" w:rsidRDefault="005D59C1" w:rsidP="005D59C1">
            <w:pPr>
              <w:tabs>
                <w:tab w:val="left" w:pos="6930"/>
              </w:tabs>
              <w:jc w:val="center"/>
              <w:rPr>
                <w:b/>
                <w:bCs/>
              </w:rPr>
            </w:pPr>
          </w:p>
        </w:tc>
        <w:tc>
          <w:tcPr>
            <w:tcW w:w="1596" w:type="dxa"/>
            <w:vAlign w:val="center"/>
            <w:hideMark/>
          </w:tcPr>
          <w:p w14:paraId="6485196B" w14:textId="1810A2C2" w:rsidR="005D59C1" w:rsidRPr="005D59C1" w:rsidRDefault="005D59C1" w:rsidP="005D59C1">
            <w:pPr>
              <w:tabs>
                <w:tab w:val="left" w:pos="6930"/>
              </w:tabs>
              <w:jc w:val="center"/>
              <w:rPr>
                <w:b/>
                <w:bCs/>
              </w:rPr>
            </w:pPr>
            <w:r w:rsidRPr="005D59C1">
              <w:rPr>
                <w:b/>
                <w:bCs/>
              </w:rPr>
              <w:t>$</w:t>
            </w:r>
            <w:r w:rsidR="00B6798A">
              <w:rPr>
                <w:b/>
                <w:bCs/>
              </w:rPr>
              <w:t>1,</w:t>
            </w:r>
            <w:r w:rsidR="008B4604">
              <w:rPr>
                <w:b/>
                <w:bCs/>
              </w:rPr>
              <w:t>141,</w:t>
            </w:r>
            <w:r w:rsidR="00944280">
              <w:rPr>
                <w:b/>
                <w:bCs/>
              </w:rPr>
              <w:t>545.7</w:t>
            </w:r>
            <w:r w:rsidR="00BF253A">
              <w:rPr>
                <w:b/>
                <w:bCs/>
              </w:rPr>
              <w:t>4</w:t>
            </w:r>
          </w:p>
        </w:tc>
      </w:tr>
    </w:tbl>
    <w:p w14:paraId="6D7AAF3A" w14:textId="77777777" w:rsidR="00CF67E7" w:rsidRPr="009C797A" w:rsidRDefault="00CF67E7" w:rsidP="00CF67E7">
      <w:pPr>
        <w:tabs>
          <w:tab w:val="left" w:pos="6930"/>
        </w:tabs>
        <w:rPr>
          <w:sz w:val="24"/>
        </w:rPr>
      </w:pPr>
      <w:r w:rsidRPr="009C797A">
        <w:rPr>
          <w:sz w:val="24"/>
        </w:rPr>
        <w:tab/>
      </w:r>
    </w:p>
    <w:p w14:paraId="16A13CB5" w14:textId="77777777" w:rsidR="00CF67E7" w:rsidRPr="009C797A" w:rsidRDefault="00271C79" w:rsidP="00FF1878">
      <w:pPr>
        <w:tabs>
          <w:tab w:val="left" w:pos="480"/>
        </w:tabs>
        <w:ind w:left="480" w:hanging="480"/>
        <w:rPr>
          <w:bCs/>
          <w:sz w:val="22"/>
        </w:rPr>
      </w:pPr>
      <w:r w:rsidRPr="009C797A">
        <w:rPr>
          <w:b/>
          <w:bCs/>
          <w:sz w:val="22"/>
        </w:rPr>
        <w:t>13.</w:t>
      </w:r>
      <w:r w:rsidRPr="009C797A">
        <w:rPr>
          <w:b/>
          <w:bCs/>
          <w:sz w:val="22"/>
        </w:rPr>
        <w:tab/>
        <w:t>Additional cost to r</w:t>
      </w:r>
      <w:r w:rsidR="00CF67E7" w:rsidRPr="009C797A">
        <w:rPr>
          <w:b/>
          <w:bCs/>
          <w:sz w:val="22"/>
        </w:rPr>
        <w:t>espondents</w:t>
      </w:r>
      <w:r w:rsidR="007A1FE8" w:rsidRPr="009C797A">
        <w:rPr>
          <w:b/>
          <w:bCs/>
          <w:sz w:val="22"/>
        </w:rPr>
        <w:t xml:space="preserve">.  </w:t>
      </w:r>
      <w:r w:rsidR="00FE7BAF" w:rsidRPr="009C797A">
        <w:rPr>
          <w:bCs/>
          <w:sz w:val="22"/>
        </w:rPr>
        <w:t>There are n</w:t>
      </w:r>
      <w:r w:rsidR="00CF67E7" w:rsidRPr="009C797A">
        <w:rPr>
          <w:sz w:val="22"/>
        </w:rPr>
        <w:t>o additional costs t</w:t>
      </w:r>
      <w:r w:rsidR="00FF1878" w:rsidRPr="009C797A">
        <w:rPr>
          <w:sz w:val="22"/>
        </w:rPr>
        <w:t>o respondents</w:t>
      </w:r>
      <w:r w:rsidR="007546EC">
        <w:rPr>
          <w:sz w:val="22"/>
        </w:rPr>
        <w:t xml:space="preserve"> </w:t>
      </w:r>
      <w:r w:rsidR="00FF1878" w:rsidRPr="009C797A">
        <w:rPr>
          <w:sz w:val="22"/>
        </w:rPr>
        <w:t>other than as</w:t>
      </w:r>
      <w:r w:rsidR="007546EC">
        <w:rPr>
          <w:sz w:val="22"/>
        </w:rPr>
        <w:t xml:space="preserve"> reported in Items 2, 2</w:t>
      </w:r>
      <w:r w:rsidR="0031144F" w:rsidRPr="009C797A">
        <w:rPr>
          <w:sz w:val="22"/>
        </w:rPr>
        <w:t>7 &amp; 28</w:t>
      </w:r>
      <w:r w:rsidR="00CF67E7" w:rsidRPr="009C797A">
        <w:rPr>
          <w:sz w:val="22"/>
        </w:rPr>
        <w:t>.</w:t>
      </w:r>
    </w:p>
    <w:p w14:paraId="42A2B050" w14:textId="77777777" w:rsidR="00CF67E7" w:rsidRPr="009C797A" w:rsidRDefault="00CF67E7" w:rsidP="00CF67E7">
      <w:pPr>
        <w:pStyle w:val="Enclosure"/>
        <w:tabs>
          <w:tab w:val="left" w:pos="480"/>
        </w:tabs>
        <w:overflowPunct w:val="0"/>
        <w:autoSpaceDE w:val="0"/>
        <w:autoSpaceDN w:val="0"/>
        <w:adjustRightInd w:val="0"/>
        <w:ind w:left="480" w:hanging="480"/>
        <w:textAlignment w:val="baseline"/>
        <w:rPr>
          <w:rFonts w:ascii="Times New Roman" w:hAnsi="Times New Roman" w:cs="Times New Roman"/>
          <w:sz w:val="22"/>
          <w:szCs w:val="20"/>
        </w:rPr>
      </w:pPr>
    </w:p>
    <w:p w14:paraId="7652CE9E" w14:textId="4FF9F26B" w:rsidR="00CF67E7" w:rsidRPr="00486DF9" w:rsidRDefault="00CF67E7" w:rsidP="00CF67E7">
      <w:pPr>
        <w:keepNext/>
        <w:tabs>
          <w:tab w:val="left" w:pos="480"/>
        </w:tabs>
        <w:ind w:left="480" w:hanging="480"/>
        <w:rPr>
          <w:b/>
          <w:bCs/>
          <w:sz w:val="22"/>
        </w:rPr>
      </w:pPr>
      <w:bookmarkStart w:id="2" w:name="_Hlk496005232"/>
      <w:r w:rsidRPr="00486DF9">
        <w:rPr>
          <w:b/>
          <w:bCs/>
          <w:sz w:val="22"/>
        </w:rPr>
        <w:t xml:space="preserve">14. </w:t>
      </w:r>
      <w:r w:rsidRPr="00486DF9">
        <w:rPr>
          <w:b/>
          <w:bCs/>
          <w:sz w:val="22"/>
        </w:rPr>
        <w:tab/>
        <w:t xml:space="preserve">Annualized cost to the Federal Government </w:t>
      </w:r>
      <w:r w:rsidR="001F3C18" w:rsidRPr="00486DF9">
        <w:rPr>
          <w:b/>
          <w:bCs/>
          <w:sz w:val="22"/>
        </w:rPr>
        <w:t>in 201</w:t>
      </w:r>
      <w:r w:rsidR="00592284">
        <w:rPr>
          <w:b/>
          <w:bCs/>
          <w:sz w:val="22"/>
        </w:rPr>
        <w:t>7</w:t>
      </w:r>
      <w:r w:rsidR="00FB73DB" w:rsidRPr="00486DF9">
        <w:rPr>
          <w:b/>
          <w:bCs/>
          <w:sz w:val="22"/>
        </w:rPr>
        <w:t>.</w:t>
      </w:r>
    </w:p>
    <w:p w14:paraId="61CD7044" w14:textId="68D7B5EA" w:rsidR="001E48CA" w:rsidRDefault="00CF67E7" w:rsidP="00CF67E7">
      <w:pPr>
        <w:pStyle w:val="BodyTextIndent"/>
        <w:tabs>
          <w:tab w:val="left" w:pos="480"/>
        </w:tabs>
        <w:ind w:left="480" w:hanging="480"/>
        <w:rPr>
          <w:sz w:val="22"/>
        </w:rPr>
      </w:pPr>
      <w:r w:rsidRPr="00486DF9">
        <w:tab/>
      </w:r>
      <w:bookmarkStart w:id="3" w:name="_Hlk495478110"/>
      <w:r w:rsidR="00FE7BAF" w:rsidRPr="00486DF9">
        <w:t xml:space="preserve">The </w:t>
      </w:r>
      <w:r w:rsidR="00FE7BAF" w:rsidRPr="00486DF9">
        <w:rPr>
          <w:sz w:val="22"/>
        </w:rPr>
        <w:t>e</w:t>
      </w:r>
      <w:r w:rsidRPr="00486DF9">
        <w:rPr>
          <w:sz w:val="22"/>
        </w:rPr>
        <w:t>stimated annualized</w:t>
      </w:r>
      <w:r w:rsidR="007A1FE8" w:rsidRPr="00486DF9">
        <w:rPr>
          <w:sz w:val="22"/>
        </w:rPr>
        <w:t xml:space="preserve"> cost </w:t>
      </w:r>
      <w:r w:rsidR="00FE7BAF" w:rsidRPr="00486DF9">
        <w:rPr>
          <w:sz w:val="22"/>
        </w:rPr>
        <w:t xml:space="preserve">to the Federal Government </w:t>
      </w:r>
      <w:r w:rsidR="00FE4746" w:rsidRPr="00486DF9">
        <w:rPr>
          <w:sz w:val="22"/>
        </w:rPr>
        <w:t xml:space="preserve">for </w:t>
      </w:r>
      <w:r w:rsidR="006367E7" w:rsidRPr="00486DF9">
        <w:rPr>
          <w:sz w:val="22"/>
        </w:rPr>
        <w:t>ensuring execution of the ACC</w:t>
      </w:r>
      <w:r w:rsidR="00A043F1" w:rsidRPr="00486DF9">
        <w:rPr>
          <w:sz w:val="22"/>
        </w:rPr>
        <w:t>,</w:t>
      </w:r>
      <w:r w:rsidR="006367E7" w:rsidRPr="00486DF9">
        <w:rPr>
          <w:sz w:val="22"/>
        </w:rPr>
        <w:t xml:space="preserve"> and </w:t>
      </w:r>
      <w:r w:rsidR="006C2AC7" w:rsidRPr="00486DF9">
        <w:rPr>
          <w:sz w:val="22"/>
        </w:rPr>
        <w:t xml:space="preserve">those actions in Lines </w:t>
      </w:r>
      <w:r w:rsidR="00520542" w:rsidRPr="00486DF9">
        <w:rPr>
          <w:sz w:val="22"/>
        </w:rPr>
        <w:t>1-1</w:t>
      </w:r>
      <w:r w:rsidR="00353FB8">
        <w:rPr>
          <w:sz w:val="22"/>
        </w:rPr>
        <w:t>1, 13-14</w:t>
      </w:r>
      <w:r w:rsidR="00520542" w:rsidRPr="00486DF9">
        <w:rPr>
          <w:sz w:val="22"/>
        </w:rPr>
        <w:t xml:space="preserve"> and Lines 16-21</w:t>
      </w:r>
      <w:r w:rsidR="006C2AC7" w:rsidRPr="00486DF9">
        <w:rPr>
          <w:sz w:val="22"/>
        </w:rPr>
        <w:t xml:space="preserve"> in the table above, </w:t>
      </w:r>
      <w:r w:rsidR="00434BBE" w:rsidRPr="00486DF9">
        <w:rPr>
          <w:sz w:val="22"/>
        </w:rPr>
        <w:t>in</w:t>
      </w:r>
      <w:r w:rsidR="007E3B49" w:rsidRPr="00486DF9">
        <w:rPr>
          <w:sz w:val="22"/>
        </w:rPr>
        <w:t>c</w:t>
      </w:r>
      <w:r w:rsidR="00434BBE" w:rsidRPr="00486DF9">
        <w:rPr>
          <w:sz w:val="22"/>
        </w:rPr>
        <w:t>luding</w:t>
      </w:r>
      <w:r w:rsidR="006367E7" w:rsidRPr="00486DF9">
        <w:rPr>
          <w:sz w:val="22"/>
        </w:rPr>
        <w:t xml:space="preserve"> any required review</w:t>
      </w:r>
      <w:r w:rsidR="00A043F1" w:rsidRPr="00486DF9">
        <w:rPr>
          <w:sz w:val="22"/>
        </w:rPr>
        <w:t xml:space="preserve">, </w:t>
      </w:r>
      <w:r w:rsidR="007A1FE8" w:rsidRPr="00486DF9">
        <w:rPr>
          <w:sz w:val="22"/>
        </w:rPr>
        <w:t>is</w:t>
      </w:r>
      <w:r w:rsidR="00257A76" w:rsidRPr="00486DF9">
        <w:rPr>
          <w:sz w:val="22"/>
        </w:rPr>
        <w:t xml:space="preserve"> </w:t>
      </w:r>
      <w:r w:rsidR="00FE4746" w:rsidRPr="00486DF9">
        <w:rPr>
          <w:sz w:val="22"/>
        </w:rPr>
        <w:t xml:space="preserve">based </w:t>
      </w:r>
      <w:r w:rsidR="006C2AC7" w:rsidRPr="00486DF9">
        <w:rPr>
          <w:sz w:val="22"/>
        </w:rPr>
        <w:t xml:space="preserve">on </w:t>
      </w:r>
      <w:r w:rsidR="006367E7" w:rsidRPr="00486DF9">
        <w:rPr>
          <w:sz w:val="22"/>
        </w:rPr>
        <w:t xml:space="preserve">an </w:t>
      </w:r>
      <w:r w:rsidR="00434BBE" w:rsidRPr="00486DF9">
        <w:rPr>
          <w:sz w:val="22"/>
        </w:rPr>
        <w:t xml:space="preserve">average </w:t>
      </w:r>
      <w:r w:rsidR="006367E7" w:rsidRPr="00486DF9">
        <w:rPr>
          <w:sz w:val="22"/>
        </w:rPr>
        <w:t>annual salary of</w:t>
      </w:r>
      <w:r w:rsidR="00FE4746" w:rsidRPr="00486DF9">
        <w:rPr>
          <w:sz w:val="22"/>
        </w:rPr>
        <w:t xml:space="preserve"> </w:t>
      </w:r>
      <w:r w:rsidR="00434BBE" w:rsidRPr="00486DF9">
        <w:rPr>
          <w:sz w:val="22"/>
        </w:rPr>
        <w:t xml:space="preserve">field staff of </w:t>
      </w:r>
      <w:r w:rsidR="006367E7" w:rsidRPr="00486DF9">
        <w:rPr>
          <w:sz w:val="22"/>
        </w:rPr>
        <w:t>$</w:t>
      </w:r>
      <w:r w:rsidR="00592284">
        <w:rPr>
          <w:sz w:val="22"/>
        </w:rPr>
        <w:t>82,042</w:t>
      </w:r>
      <w:r w:rsidR="006367E7" w:rsidRPr="00486DF9">
        <w:rPr>
          <w:sz w:val="22"/>
        </w:rPr>
        <w:t xml:space="preserve">, or </w:t>
      </w:r>
      <w:r w:rsidR="00257A76" w:rsidRPr="00486DF9">
        <w:rPr>
          <w:sz w:val="22"/>
        </w:rPr>
        <w:t>$</w:t>
      </w:r>
      <w:r w:rsidR="00592284">
        <w:rPr>
          <w:sz w:val="22"/>
        </w:rPr>
        <w:t>39.44</w:t>
      </w:r>
      <w:r w:rsidR="002F7A54" w:rsidRPr="00486DF9">
        <w:rPr>
          <w:sz w:val="22"/>
        </w:rPr>
        <w:t xml:space="preserve"> </w:t>
      </w:r>
      <w:r w:rsidR="007A1FE8" w:rsidRPr="00486DF9">
        <w:rPr>
          <w:sz w:val="22"/>
        </w:rPr>
        <w:t>per hour</w:t>
      </w:r>
      <w:r w:rsidRPr="00486DF9">
        <w:rPr>
          <w:sz w:val="22"/>
        </w:rPr>
        <w:t xml:space="preserve">, </w:t>
      </w:r>
      <w:r w:rsidR="006367E7" w:rsidRPr="00486DF9">
        <w:rPr>
          <w:sz w:val="22"/>
        </w:rPr>
        <w:t xml:space="preserve">which is </w:t>
      </w:r>
      <w:r w:rsidRPr="00486DF9">
        <w:rPr>
          <w:sz w:val="22"/>
        </w:rPr>
        <w:t xml:space="preserve">the </w:t>
      </w:r>
      <w:r w:rsidR="002F7A54" w:rsidRPr="00486DF9">
        <w:rPr>
          <w:sz w:val="22"/>
        </w:rPr>
        <w:t>201</w:t>
      </w:r>
      <w:r w:rsidR="00592284">
        <w:rPr>
          <w:sz w:val="22"/>
        </w:rPr>
        <w:t>7</w:t>
      </w:r>
      <w:r w:rsidR="002F7A54" w:rsidRPr="00486DF9">
        <w:rPr>
          <w:color w:val="FF0000"/>
          <w:sz w:val="22"/>
        </w:rPr>
        <w:t xml:space="preserve"> </w:t>
      </w:r>
      <w:r w:rsidRPr="00486DF9">
        <w:rPr>
          <w:sz w:val="22"/>
        </w:rPr>
        <w:t xml:space="preserve">General Pay Scale </w:t>
      </w:r>
      <w:r w:rsidR="006367E7" w:rsidRPr="00486DF9">
        <w:rPr>
          <w:sz w:val="22"/>
        </w:rPr>
        <w:t xml:space="preserve">salary </w:t>
      </w:r>
      <w:r w:rsidRPr="00486DF9">
        <w:rPr>
          <w:sz w:val="22"/>
        </w:rPr>
        <w:t>for a GS 1</w:t>
      </w:r>
      <w:r w:rsidR="00592284">
        <w:rPr>
          <w:sz w:val="22"/>
        </w:rPr>
        <w:t>3</w:t>
      </w:r>
      <w:r w:rsidRPr="00486DF9">
        <w:rPr>
          <w:sz w:val="22"/>
        </w:rPr>
        <w:t xml:space="preserve"> Step </w:t>
      </w:r>
      <w:r w:rsidR="00592284">
        <w:rPr>
          <w:sz w:val="22"/>
        </w:rPr>
        <w:t>4</w:t>
      </w:r>
      <w:r w:rsidR="00434BBE" w:rsidRPr="00486DF9">
        <w:rPr>
          <w:sz w:val="22"/>
        </w:rPr>
        <w:t>.</w:t>
      </w:r>
      <w:r w:rsidR="006367E7" w:rsidRPr="00486DF9">
        <w:rPr>
          <w:sz w:val="22"/>
        </w:rPr>
        <w:t xml:space="preserve">  A</w:t>
      </w:r>
      <w:r w:rsidR="006C2AC7" w:rsidRPr="00486DF9">
        <w:rPr>
          <w:sz w:val="22"/>
        </w:rPr>
        <w:t>t $</w:t>
      </w:r>
      <w:r w:rsidR="00592284">
        <w:rPr>
          <w:sz w:val="22"/>
        </w:rPr>
        <w:t>3</w:t>
      </w:r>
      <w:r w:rsidR="009A470D">
        <w:rPr>
          <w:sz w:val="22"/>
        </w:rPr>
        <w:t>9.44</w:t>
      </w:r>
      <w:r w:rsidR="002F7A54" w:rsidRPr="00486DF9">
        <w:rPr>
          <w:sz w:val="22"/>
        </w:rPr>
        <w:t xml:space="preserve"> </w:t>
      </w:r>
      <w:r w:rsidR="006367E7" w:rsidRPr="00486DF9">
        <w:rPr>
          <w:sz w:val="22"/>
        </w:rPr>
        <w:t xml:space="preserve">per hour </w:t>
      </w:r>
      <w:r w:rsidR="007A1FE8" w:rsidRPr="00486DF9">
        <w:rPr>
          <w:sz w:val="22"/>
        </w:rPr>
        <w:t xml:space="preserve">for an estimated </w:t>
      </w:r>
      <w:r w:rsidR="001C40EF">
        <w:rPr>
          <w:sz w:val="22"/>
        </w:rPr>
        <w:t>22,523</w:t>
      </w:r>
      <w:r w:rsidR="004561A9" w:rsidRPr="00EA3DAC">
        <w:rPr>
          <w:sz w:val="22"/>
        </w:rPr>
        <w:t xml:space="preserve"> </w:t>
      </w:r>
      <w:r w:rsidR="006F0CC1" w:rsidRPr="00EA3DAC">
        <w:rPr>
          <w:sz w:val="22"/>
        </w:rPr>
        <w:t>hours per</w:t>
      </w:r>
      <w:r w:rsidR="006F0CC1" w:rsidRPr="00486DF9">
        <w:rPr>
          <w:sz w:val="22"/>
        </w:rPr>
        <w:t xml:space="preserve"> </w:t>
      </w:r>
      <w:r w:rsidR="00913D18" w:rsidRPr="00486DF9">
        <w:rPr>
          <w:sz w:val="22"/>
        </w:rPr>
        <w:t>year</w:t>
      </w:r>
      <w:r w:rsidR="006367E7" w:rsidRPr="00486DF9">
        <w:rPr>
          <w:sz w:val="22"/>
        </w:rPr>
        <w:t xml:space="preserve">, the annual cost is </w:t>
      </w:r>
      <w:r w:rsidR="006F0CC1" w:rsidRPr="00486DF9">
        <w:rPr>
          <w:sz w:val="22"/>
        </w:rPr>
        <w:t>$</w:t>
      </w:r>
      <w:r w:rsidR="001C40EF">
        <w:rPr>
          <w:sz w:val="22"/>
        </w:rPr>
        <w:t>888,307</w:t>
      </w:r>
      <w:r w:rsidR="00FD4827" w:rsidRPr="00FD4827">
        <w:rPr>
          <w:sz w:val="22"/>
        </w:rPr>
        <w:t>.</w:t>
      </w:r>
      <w:r w:rsidR="007A1FE8" w:rsidRPr="00486DF9">
        <w:rPr>
          <w:sz w:val="22"/>
        </w:rPr>
        <w:t xml:space="preserve"> </w:t>
      </w:r>
      <w:r w:rsidR="009C7366" w:rsidRPr="00486DF9">
        <w:rPr>
          <w:sz w:val="22"/>
        </w:rPr>
        <w:t xml:space="preserve"> </w:t>
      </w:r>
      <w:bookmarkEnd w:id="3"/>
      <w:r w:rsidR="00100B89" w:rsidRPr="00486DF9">
        <w:rPr>
          <w:sz w:val="22"/>
        </w:rPr>
        <w:t xml:space="preserve">This includes </w:t>
      </w:r>
      <w:r w:rsidR="00486DF9" w:rsidRPr="00486DF9">
        <w:rPr>
          <w:sz w:val="22"/>
        </w:rPr>
        <w:t xml:space="preserve">the </w:t>
      </w:r>
      <w:r w:rsidR="00100B89" w:rsidRPr="00486DF9">
        <w:rPr>
          <w:sz w:val="22"/>
        </w:rPr>
        <w:t>HUD-5837 as part of the “Terminate or amend ACC” line (Line 2).</w:t>
      </w:r>
      <w:r w:rsidR="009C7366" w:rsidRPr="00486DF9">
        <w:rPr>
          <w:sz w:val="22"/>
        </w:rPr>
        <w:t xml:space="preserve"> </w:t>
      </w:r>
    </w:p>
    <w:p w14:paraId="5507A34F" w14:textId="2110F88D" w:rsidR="001C40EF" w:rsidRDefault="001C40EF" w:rsidP="00CF67E7">
      <w:pPr>
        <w:pStyle w:val="BodyTextIndent"/>
        <w:tabs>
          <w:tab w:val="left" w:pos="480"/>
        </w:tabs>
        <w:ind w:left="480" w:hanging="480"/>
        <w:rPr>
          <w:sz w:val="22"/>
        </w:rPr>
      </w:pPr>
    </w:p>
    <w:p w14:paraId="231BED73" w14:textId="01225F30" w:rsidR="001C40EF" w:rsidRPr="00486DF9" w:rsidRDefault="001C40EF" w:rsidP="00FF712F">
      <w:pPr>
        <w:pStyle w:val="BodyTextIndent"/>
        <w:tabs>
          <w:tab w:val="left" w:pos="480"/>
        </w:tabs>
        <w:ind w:left="480" w:hanging="30"/>
        <w:rPr>
          <w:sz w:val="22"/>
        </w:rPr>
      </w:pPr>
      <w:r w:rsidRPr="001C40EF">
        <w:rPr>
          <w:sz w:val="22"/>
        </w:rPr>
        <w:t>The estimated annualized cost to the Federal Government for Request for new Declaration of Trust (DOT) via form HUD 52190, Line 12, is based on the hourly rate of $45.23.  At this rare for an estimated 1,250 hours per year, the annual cost is $56,538.</w:t>
      </w:r>
    </w:p>
    <w:p w14:paraId="2158DE0F" w14:textId="77777777" w:rsidR="00CF67E7" w:rsidRPr="00486DF9" w:rsidRDefault="00CF67E7" w:rsidP="00CF67E7">
      <w:pPr>
        <w:pStyle w:val="BodyTextIndent"/>
        <w:tabs>
          <w:tab w:val="left" w:pos="480"/>
        </w:tabs>
        <w:ind w:left="480" w:hanging="480"/>
        <w:rPr>
          <w:sz w:val="22"/>
        </w:rPr>
      </w:pPr>
      <w:r w:rsidRPr="00486DF9">
        <w:rPr>
          <w:sz w:val="22"/>
        </w:rPr>
        <w:tab/>
      </w:r>
    </w:p>
    <w:p w14:paraId="694BBADE" w14:textId="2453F7A2" w:rsidR="00100B89" w:rsidRDefault="00B953E8" w:rsidP="00C6685B">
      <w:pPr>
        <w:pStyle w:val="BodyTextIndent"/>
        <w:tabs>
          <w:tab w:val="left" w:pos="480"/>
        </w:tabs>
        <w:ind w:left="480" w:hanging="480"/>
        <w:rPr>
          <w:sz w:val="22"/>
        </w:rPr>
      </w:pPr>
      <w:r w:rsidRPr="00486DF9">
        <w:rPr>
          <w:sz w:val="22"/>
          <w:szCs w:val="22"/>
        </w:rPr>
        <w:tab/>
      </w:r>
      <w:r w:rsidR="00F40D79" w:rsidRPr="00486DF9">
        <w:rPr>
          <w:sz w:val="22"/>
          <w:szCs w:val="22"/>
        </w:rPr>
        <w:t xml:space="preserve">The estimated annualized cost to the Federal Government </w:t>
      </w:r>
      <w:r w:rsidR="00FE7BAF" w:rsidRPr="00486DF9">
        <w:rPr>
          <w:sz w:val="22"/>
          <w:szCs w:val="22"/>
        </w:rPr>
        <w:t>for inventory removals</w:t>
      </w:r>
      <w:r w:rsidR="00434BBE" w:rsidRPr="00486DF9">
        <w:rPr>
          <w:sz w:val="22"/>
          <w:szCs w:val="22"/>
        </w:rPr>
        <w:t>, Line</w:t>
      </w:r>
      <w:r w:rsidR="00100B89" w:rsidRPr="00486DF9">
        <w:rPr>
          <w:sz w:val="22"/>
          <w:szCs w:val="22"/>
        </w:rPr>
        <w:t>s</w:t>
      </w:r>
      <w:r w:rsidR="00434BBE" w:rsidRPr="00486DF9">
        <w:rPr>
          <w:sz w:val="22"/>
          <w:szCs w:val="22"/>
        </w:rPr>
        <w:t xml:space="preserve"> </w:t>
      </w:r>
      <w:r w:rsidR="00046312" w:rsidRPr="00486DF9">
        <w:rPr>
          <w:sz w:val="22"/>
          <w:szCs w:val="22"/>
        </w:rPr>
        <w:t>22-27</w:t>
      </w:r>
      <w:r w:rsidR="00434BBE" w:rsidRPr="00486DF9">
        <w:rPr>
          <w:sz w:val="22"/>
          <w:szCs w:val="22"/>
        </w:rPr>
        <w:t>,</w:t>
      </w:r>
      <w:r w:rsidR="00516D55" w:rsidRPr="00486DF9">
        <w:rPr>
          <w:sz w:val="22"/>
          <w:szCs w:val="22"/>
        </w:rPr>
        <w:t xml:space="preserve"> </w:t>
      </w:r>
      <w:r w:rsidR="00F40D79" w:rsidRPr="00486DF9">
        <w:rPr>
          <w:sz w:val="22"/>
          <w:szCs w:val="22"/>
        </w:rPr>
        <w:t>is based on the</w:t>
      </w:r>
      <w:r w:rsidR="00BC2186" w:rsidRPr="00486DF9">
        <w:rPr>
          <w:sz w:val="22"/>
          <w:szCs w:val="22"/>
        </w:rPr>
        <w:t xml:space="preserve"> </w:t>
      </w:r>
      <w:r w:rsidR="00F40D79" w:rsidRPr="00486DF9">
        <w:rPr>
          <w:sz w:val="22"/>
          <w:szCs w:val="22"/>
        </w:rPr>
        <w:t>hourly rate of</w:t>
      </w:r>
      <w:r w:rsidR="00082BA4" w:rsidRPr="00486DF9">
        <w:rPr>
          <w:sz w:val="22"/>
          <w:szCs w:val="22"/>
        </w:rPr>
        <w:t xml:space="preserve"> $</w:t>
      </w:r>
      <w:r w:rsidR="00C065E1" w:rsidRPr="00486DF9">
        <w:rPr>
          <w:sz w:val="22"/>
          <w:szCs w:val="22"/>
        </w:rPr>
        <w:t>3</w:t>
      </w:r>
      <w:r w:rsidR="00FD4827">
        <w:rPr>
          <w:sz w:val="22"/>
          <w:szCs w:val="22"/>
        </w:rPr>
        <w:t>9</w:t>
      </w:r>
      <w:r w:rsidR="00C065E1" w:rsidRPr="00486DF9">
        <w:rPr>
          <w:sz w:val="22"/>
          <w:szCs w:val="22"/>
        </w:rPr>
        <w:t>.</w:t>
      </w:r>
      <w:r w:rsidR="00FD4827">
        <w:rPr>
          <w:sz w:val="22"/>
          <w:szCs w:val="22"/>
        </w:rPr>
        <w:t>44</w:t>
      </w:r>
      <w:r w:rsidR="00C6685B" w:rsidRPr="00486DF9">
        <w:rPr>
          <w:sz w:val="22"/>
          <w:szCs w:val="22"/>
        </w:rPr>
        <w:t xml:space="preserve">, </w:t>
      </w:r>
      <w:r w:rsidR="00FE7BAF" w:rsidRPr="00486DF9">
        <w:rPr>
          <w:sz w:val="22"/>
          <w:szCs w:val="22"/>
        </w:rPr>
        <w:t xml:space="preserve">from </w:t>
      </w:r>
      <w:r w:rsidR="00F40D79" w:rsidRPr="00486DF9">
        <w:rPr>
          <w:sz w:val="22"/>
          <w:szCs w:val="22"/>
        </w:rPr>
        <w:t xml:space="preserve">the </w:t>
      </w:r>
      <w:r w:rsidR="003E4F90" w:rsidRPr="00486DF9">
        <w:rPr>
          <w:sz w:val="22"/>
          <w:szCs w:val="22"/>
        </w:rPr>
        <w:t>201</w:t>
      </w:r>
      <w:r w:rsidR="003E4F90">
        <w:rPr>
          <w:sz w:val="22"/>
          <w:szCs w:val="22"/>
        </w:rPr>
        <w:t xml:space="preserve">7 </w:t>
      </w:r>
      <w:r w:rsidR="00F40D79" w:rsidRPr="00486DF9">
        <w:rPr>
          <w:sz w:val="22"/>
          <w:szCs w:val="22"/>
        </w:rPr>
        <w:t>General Pay Scale for a GS-1</w:t>
      </w:r>
      <w:r w:rsidR="00FD4827">
        <w:rPr>
          <w:sz w:val="22"/>
          <w:szCs w:val="22"/>
        </w:rPr>
        <w:t>3</w:t>
      </w:r>
      <w:r w:rsidR="00F40D79" w:rsidRPr="00486DF9">
        <w:rPr>
          <w:sz w:val="22"/>
          <w:szCs w:val="22"/>
        </w:rPr>
        <w:t xml:space="preserve">, </w:t>
      </w:r>
      <w:r w:rsidR="00BC2186" w:rsidRPr="00486DF9">
        <w:rPr>
          <w:sz w:val="22"/>
          <w:szCs w:val="22"/>
        </w:rPr>
        <w:t>S</w:t>
      </w:r>
      <w:r w:rsidR="00F40D79" w:rsidRPr="00486DF9">
        <w:rPr>
          <w:sz w:val="22"/>
          <w:szCs w:val="22"/>
        </w:rPr>
        <w:t xml:space="preserve">tep </w:t>
      </w:r>
      <w:r w:rsidR="00FD4827">
        <w:rPr>
          <w:sz w:val="22"/>
          <w:szCs w:val="22"/>
        </w:rPr>
        <w:t>4</w:t>
      </w:r>
      <w:r w:rsidR="00F40D79" w:rsidRPr="00486DF9">
        <w:rPr>
          <w:sz w:val="22"/>
          <w:szCs w:val="22"/>
        </w:rPr>
        <w:t xml:space="preserve">, which represents the </w:t>
      </w:r>
      <w:r w:rsidR="00DC2784" w:rsidRPr="00486DF9">
        <w:rPr>
          <w:sz w:val="22"/>
          <w:szCs w:val="22"/>
        </w:rPr>
        <w:t xml:space="preserve">average </w:t>
      </w:r>
      <w:r w:rsidR="00F40D79" w:rsidRPr="00486DF9">
        <w:rPr>
          <w:sz w:val="22"/>
          <w:szCs w:val="22"/>
        </w:rPr>
        <w:t xml:space="preserve">grade of the staff </w:t>
      </w:r>
      <w:r w:rsidR="00DC2784" w:rsidRPr="00486DF9">
        <w:rPr>
          <w:sz w:val="22"/>
          <w:szCs w:val="22"/>
        </w:rPr>
        <w:t>at the</w:t>
      </w:r>
      <w:r w:rsidR="00F40D79" w:rsidRPr="00486DF9">
        <w:rPr>
          <w:sz w:val="22"/>
          <w:szCs w:val="22"/>
        </w:rPr>
        <w:t xml:space="preserve"> Special Application Center (SAC).  The SAC enables HUD’s Office of Public and Indian Housing to assist</w:t>
      </w:r>
      <w:r w:rsidR="00082BA4" w:rsidRPr="00486DF9">
        <w:rPr>
          <w:sz w:val="22"/>
          <w:szCs w:val="22"/>
        </w:rPr>
        <w:t xml:space="preserve"> </w:t>
      </w:r>
      <w:r w:rsidR="00F40D79" w:rsidRPr="00486DF9">
        <w:rPr>
          <w:sz w:val="22"/>
          <w:szCs w:val="22"/>
        </w:rPr>
        <w:t xml:space="preserve">PHA’s in </w:t>
      </w:r>
      <w:r w:rsidR="00F40D79" w:rsidRPr="00073E4E">
        <w:rPr>
          <w:sz w:val="22"/>
          <w:szCs w:val="22"/>
        </w:rPr>
        <w:t xml:space="preserve">their efforts to efficiently and effectively meet the housing needs of their communities through the specialized review and approval of non-funded, non-competitive applications, related to the removal of public housing property from </w:t>
      </w:r>
      <w:r w:rsidR="003865AA" w:rsidRPr="00073E4E">
        <w:rPr>
          <w:sz w:val="22"/>
          <w:szCs w:val="22"/>
        </w:rPr>
        <w:t xml:space="preserve">a </w:t>
      </w:r>
      <w:r w:rsidR="00F40D79" w:rsidRPr="00073E4E">
        <w:rPr>
          <w:sz w:val="22"/>
          <w:szCs w:val="22"/>
        </w:rPr>
        <w:t>PHA</w:t>
      </w:r>
      <w:r w:rsidR="00FE7BAF" w:rsidRPr="00073E4E">
        <w:rPr>
          <w:sz w:val="22"/>
          <w:szCs w:val="22"/>
        </w:rPr>
        <w:t>’</w:t>
      </w:r>
      <w:r w:rsidR="00F40D79" w:rsidRPr="00073E4E">
        <w:rPr>
          <w:sz w:val="22"/>
          <w:szCs w:val="22"/>
        </w:rPr>
        <w:t>s inventory.  The SAC has approximately</w:t>
      </w:r>
      <w:r w:rsidR="00683777" w:rsidRPr="00073E4E">
        <w:rPr>
          <w:sz w:val="22"/>
          <w:szCs w:val="22"/>
        </w:rPr>
        <w:t xml:space="preserve"> </w:t>
      </w:r>
      <w:r w:rsidR="00DF629E" w:rsidRPr="00073E4E">
        <w:rPr>
          <w:sz w:val="22"/>
          <w:szCs w:val="22"/>
        </w:rPr>
        <w:t>1</w:t>
      </w:r>
      <w:r w:rsidR="00361E9D" w:rsidRPr="00073E4E">
        <w:rPr>
          <w:sz w:val="22"/>
          <w:szCs w:val="22"/>
        </w:rPr>
        <w:t>4</w:t>
      </w:r>
      <w:r w:rsidR="00DF629E" w:rsidRPr="00073E4E">
        <w:rPr>
          <w:sz w:val="22"/>
          <w:szCs w:val="22"/>
        </w:rPr>
        <w:t xml:space="preserve"> </w:t>
      </w:r>
      <w:r w:rsidR="00F40D79" w:rsidRPr="00073E4E">
        <w:rPr>
          <w:sz w:val="22"/>
          <w:szCs w:val="22"/>
        </w:rPr>
        <w:t xml:space="preserve">full-time employees that work </w:t>
      </w:r>
      <w:r w:rsidR="003865AA" w:rsidRPr="00073E4E">
        <w:rPr>
          <w:sz w:val="22"/>
          <w:szCs w:val="22"/>
        </w:rPr>
        <w:t xml:space="preserve">on these programs.  The average </w:t>
      </w:r>
      <w:r w:rsidR="00A12777" w:rsidRPr="00073E4E">
        <w:rPr>
          <w:sz w:val="22"/>
          <w:szCs w:val="22"/>
        </w:rPr>
        <w:t>a</w:t>
      </w:r>
      <w:r w:rsidR="00F40D79" w:rsidRPr="00073E4E">
        <w:rPr>
          <w:sz w:val="22"/>
          <w:szCs w:val="22"/>
        </w:rPr>
        <w:t xml:space="preserve">mount of time an employee spends reviewing an application is </w:t>
      </w:r>
      <w:r w:rsidR="00520542" w:rsidRPr="00073E4E">
        <w:rPr>
          <w:sz w:val="22"/>
          <w:szCs w:val="22"/>
        </w:rPr>
        <w:t xml:space="preserve">4 </w:t>
      </w:r>
      <w:r w:rsidR="00F40D79" w:rsidRPr="00073E4E">
        <w:rPr>
          <w:sz w:val="22"/>
          <w:szCs w:val="22"/>
        </w:rPr>
        <w:t xml:space="preserve">hours.  </w:t>
      </w:r>
      <w:r w:rsidR="00100B89" w:rsidRPr="00073E4E">
        <w:rPr>
          <w:sz w:val="22"/>
        </w:rPr>
        <w:t>At $</w:t>
      </w:r>
      <w:r w:rsidR="00592284">
        <w:rPr>
          <w:sz w:val="22"/>
        </w:rPr>
        <w:t>39.44</w:t>
      </w:r>
      <w:r w:rsidR="00100B89" w:rsidRPr="00073E4E">
        <w:rPr>
          <w:sz w:val="22"/>
        </w:rPr>
        <w:t xml:space="preserve"> per hour for an estimated </w:t>
      </w:r>
      <w:r w:rsidR="00FD4827">
        <w:rPr>
          <w:sz w:val="22"/>
        </w:rPr>
        <w:t>650</w:t>
      </w:r>
      <w:r w:rsidR="00073E4E" w:rsidRPr="00073E4E">
        <w:rPr>
          <w:sz w:val="22"/>
        </w:rPr>
        <w:t xml:space="preserve"> </w:t>
      </w:r>
      <w:r w:rsidR="00100B89" w:rsidRPr="00073E4E">
        <w:rPr>
          <w:sz w:val="22"/>
        </w:rPr>
        <w:t xml:space="preserve">hours per year, the annual cost is </w:t>
      </w:r>
      <w:r w:rsidR="00CC12BE">
        <w:rPr>
          <w:sz w:val="22"/>
        </w:rPr>
        <w:t>$</w:t>
      </w:r>
      <w:r w:rsidR="00CC12BE" w:rsidRPr="00CC12BE">
        <w:rPr>
          <w:sz w:val="22"/>
        </w:rPr>
        <w:t>25</w:t>
      </w:r>
      <w:r w:rsidR="00CC12BE">
        <w:rPr>
          <w:sz w:val="22"/>
        </w:rPr>
        <w:t>,</w:t>
      </w:r>
      <w:r w:rsidR="00CC12BE" w:rsidRPr="00CC12BE">
        <w:rPr>
          <w:sz w:val="22"/>
        </w:rPr>
        <w:t>636</w:t>
      </w:r>
      <w:r w:rsidR="003E4F90">
        <w:rPr>
          <w:sz w:val="22"/>
        </w:rPr>
        <w:t>.</w:t>
      </w:r>
      <w:r w:rsidR="00526E82" w:rsidRPr="00526E82">
        <w:rPr>
          <w:sz w:val="22"/>
        </w:rPr>
        <w:t xml:space="preserve"> </w:t>
      </w:r>
    </w:p>
    <w:p w14:paraId="30B1F75E" w14:textId="5AE7A4F4" w:rsidR="00A41AF0" w:rsidRDefault="00A41AF0" w:rsidP="00C6685B">
      <w:pPr>
        <w:pStyle w:val="BodyTextIndent"/>
        <w:tabs>
          <w:tab w:val="left" w:pos="480"/>
        </w:tabs>
        <w:ind w:left="480" w:hanging="480"/>
        <w:rPr>
          <w:sz w:val="22"/>
        </w:rPr>
      </w:pPr>
    </w:p>
    <w:p w14:paraId="180D6EBA" w14:textId="77777777" w:rsidR="00EA3DAC" w:rsidRDefault="00A41AF0" w:rsidP="00CF67E7">
      <w:pPr>
        <w:pStyle w:val="BodyTextIndent"/>
        <w:tabs>
          <w:tab w:val="left" w:pos="480"/>
        </w:tabs>
        <w:ind w:left="480" w:hanging="480"/>
        <w:rPr>
          <w:sz w:val="22"/>
        </w:rPr>
      </w:pPr>
      <w:r>
        <w:tab/>
      </w:r>
      <w:r w:rsidRPr="00486DF9">
        <w:t xml:space="preserve">The </w:t>
      </w:r>
      <w:r w:rsidRPr="00486DF9">
        <w:rPr>
          <w:sz w:val="22"/>
        </w:rPr>
        <w:t>estimated annualized cost to the Federal Government for</w:t>
      </w:r>
      <w:r>
        <w:rPr>
          <w:sz w:val="22"/>
        </w:rPr>
        <w:t xml:space="preserve"> to a</w:t>
      </w:r>
      <w:r w:rsidRPr="00A41AF0">
        <w:rPr>
          <w:sz w:val="22"/>
        </w:rPr>
        <w:t>mend ACC for Mixed Finance</w:t>
      </w:r>
      <w:r w:rsidR="005F42D6">
        <w:rPr>
          <w:sz w:val="22"/>
        </w:rPr>
        <w:t xml:space="preserve"> line 15 and </w:t>
      </w:r>
      <w:r w:rsidR="005F42D6" w:rsidRPr="005F42D6">
        <w:rPr>
          <w:sz w:val="22"/>
        </w:rPr>
        <w:t>Supplementary Document: Unique Legal Document used by HQ Staff Mixed-Finance Amendment to the ACC</w:t>
      </w:r>
      <w:r>
        <w:rPr>
          <w:sz w:val="22"/>
        </w:rPr>
        <w:t xml:space="preserve"> </w:t>
      </w:r>
      <w:r w:rsidR="005F42D6">
        <w:rPr>
          <w:sz w:val="22"/>
        </w:rPr>
        <w:t>line 28,</w:t>
      </w:r>
      <w:r w:rsidRPr="00486DF9">
        <w:rPr>
          <w:sz w:val="22"/>
        </w:rPr>
        <w:t xml:space="preserve"> is based on an average $</w:t>
      </w:r>
      <w:r w:rsidR="005F42D6">
        <w:rPr>
          <w:sz w:val="22"/>
        </w:rPr>
        <w:t>50.00</w:t>
      </w:r>
      <w:r w:rsidRPr="00486DF9">
        <w:rPr>
          <w:sz w:val="22"/>
        </w:rPr>
        <w:t xml:space="preserve"> </w:t>
      </w:r>
      <w:r w:rsidR="005F42D6">
        <w:rPr>
          <w:sz w:val="22"/>
        </w:rPr>
        <w:t xml:space="preserve">per </w:t>
      </w:r>
      <w:r w:rsidRPr="00486DF9">
        <w:rPr>
          <w:sz w:val="22"/>
        </w:rPr>
        <w:t>hour</w:t>
      </w:r>
      <w:r w:rsidR="00BE0A7D">
        <w:rPr>
          <w:sz w:val="22"/>
        </w:rPr>
        <w:t xml:space="preserve"> legal cost</w:t>
      </w:r>
      <w:r w:rsidR="005F42D6">
        <w:rPr>
          <w:sz w:val="22"/>
        </w:rPr>
        <w:t>.</w:t>
      </w:r>
      <w:r w:rsidRPr="00486DF9">
        <w:rPr>
          <w:sz w:val="22"/>
        </w:rPr>
        <w:t xml:space="preserve"> At $</w:t>
      </w:r>
      <w:r w:rsidR="005F42D6">
        <w:rPr>
          <w:sz w:val="22"/>
        </w:rPr>
        <w:t>50.00</w:t>
      </w:r>
      <w:r w:rsidRPr="00486DF9">
        <w:rPr>
          <w:sz w:val="22"/>
        </w:rPr>
        <w:t xml:space="preserve"> per hour for an estimated </w:t>
      </w:r>
      <w:r w:rsidR="005F42D6">
        <w:rPr>
          <w:sz w:val="22"/>
        </w:rPr>
        <w:t xml:space="preserve">3,424 </w:t>
      </w:r>
      <w:r w:rsidRPr="00486DF9">
        <w:rPr>
          <w:sz w:val="22"/>
        </w:rPr>
        <w:t>hours per year, the annual cost is $</w:t>
      </w:r>
      <w:r w:rsidR="005F42D6" w:rsidRPr="005F42D6">
        <w:rPr>
          <w:sz w:val="22"/>
        </w:rPr>
        <w:t>171</w:t>
      </w:r>
      <w:r w:rsidR="005F42D6">
        <w:rPr>
          <w:sz w:val="22"/>
        </w:rPr>
        <w:t>,</w:t>
      </w:r>
      <w:r w:rsidR="005F42D6" w:rsidRPr="005F42D6">
        <w:rPr>
          <w:sz w:val="22"/>
        </w:rPr>
        <w:t>150</w:t>
      </w:r>
      <w:r w:rsidR="005F42D6">
        <w:rPr>
          <w:sz w:val="22"/>
        </w:rPr>
        <w:t>.</w:t>
      </w:r>
    </w:p>
    <w:bookmarkEnd w:id="2"/>
    <w:p w14:paraId="194CB330" w14:textId="2EBCB235" w:rsidR="00F40D79" w:rsidRPr="009C797A" w:rsidRDefault="00A41AF0" w:rsidP="00CF67E7">
      <w:pPr>
        <w:pStyle w:val="BodyTextIndent"/>
        <w:tabs>
          <w:tab w:val="left" w:pos="480"/>
        </w:tabs>
        <w:ind w:left="480" w:hanging="480"/>
        <w:rPr>
          <w:sz w:val="22"/>
          <w:szCs w:val="22"/>
        </w:rPr>
      </w:pPr>
      <w:r w:rsidRPr="00486DF9">
        <w:rPr>
          <w:sz w:val="22"/>
        </w:rPr>
        <w:t xml:space="preserve"> </w:t>
      </w:r>
    </w:p>
    <w:p w14:paraId="2E82F86D" w14:textId="77777777" w:rsidR="00415F25" w:rsidRPr="00415F25" w:rsidRDefault="00CF67E7" w:rsidP="00415F25">
      <w:pPr>
        <w:keepLines/>
        <w:numPr>
          <w:ilvl w:val="12"/>
          <w:numId w:val="0"/>
        </w:numPr>
        <w:tabs>
          <w:tab w:val="left" w:pos="240"/>
          <w:tab w:val="right" w:pos="5040"/>
        </w:tabs>
        <w:ind w:left="450" w:hanging="360"/>
        <w:rPr>
          <w:sz w:val="22"/>
          <w:szCs w:val="22"/>
        </w:rPr>
      </w:pPr>
      <w:r w:rsidRPr="009C797A">
        <w:rPr>
          <w:b/>
          <w:bCs/>
          <w:sz w:val="22"/>
        </w:rPr>
        <w:t>15.</w:t>
      </w:r>
      <w:r w:rsidRPr="009C797A">
        <w:rPr>
          <w:b/>
          <w:bCs/>
          <w:sz w:val="22"/>
        </w:rPr>
        <w:tab/>
      </w:r>
      <w:r w:rsidRPr="009C797A">
        <w:rPr>
          <w:b/>
          <w:bCs/>
          <w:sz w:val="22"/>
          <w:szCs w:val="22"/>
        </w:rPr>
        <w:t xml:space="preserve">Explain any program changes or adjustments. </w:t>
      </w:r>
      <w:r w:rsidR="007A1FE8" w:rsidRPr="009C797A">
        <w:rPr>
          <w:b/>
          <w:bCs/>
          <w:sz w:val="22"/>
          <w:szCs w:val="22"/>
        </w:rPr>
        <w:t xml:space="preserve">  </w:t>
      </w:r>
      <w:r w:rsidR="00850965" w:rsidRPr="009C797A">
        <w:rPr>
          <w:b/>
          <w:bCs/>
          <w:sz w:val="22"/>
          <w:szCs w:val="22"/>
        </w:rPr>
        <w:t>This Information Collection estimate is revised for the following reasons:</w:t>
      </w:r>
      <w:r w:rsidR="00415F25" w:rsidRPr="00415F25">
        <w:rPr>
          <w:rFonts w:ascii="Helvetica" w:hAnsi="Helvetica"/>
          <w:sz w:val="16"/>
          <w:szCs w:val="16"/>
        </w:rPr>
        <w:t xml:space="preserve"> </w:t>
      </w:r>
      <w:r w:rsidR="00415F25" w:rsidRPr="00415F25">
        <w:rPr>
          <w:sz w:val="22"/>
          <w:szCs w:val="22"/>
        </w:rPr>
        <w:t xml:space="preserve">This collection adds supplementary submission requirements for the termination and amendment of the ACC.  This collection also adds submission requirements for PHAs requesting to HUD to retain public housing property free from public housing restrictions pursuant to 2 CFR 200.311(c)(1).                                    </w:t>
      </w:r>
    </w:p>
    <w:p w14:paraId="71814C14" w14:textId="77777777" w:rsidR="001378ED" w:rsidRPr="00415F25" w:rsidRDefault="00415F25" w:rsidP="00415F25">
      <w:pPr>
        <w:keepNext/>
        <w:tabs>
          <w:tab w:val="left" w:pos="480"/>
        </w:tabs>
        <w:ind w:left="450" w:hanging="480"/>
        <w:rPr>
          <w:bCs/>
          <w:sz w:val="22"/>
          <w:szCs w:val="22"/>
        </w:rPr>
      </w:pPr>
      <w:r w:rsidRPr="00415F25">
        <w:rPr>
          <w:sz w:val="22"/>
          <w:szCs w:val="22"/>
        </w:rPr>
        <w:tab/>
        <w:t xml:space="preserve"> Adjustment: This collection reduces the number of responses for many removal actions based on recent statistics and trends</w:t>
      </w:r>
      <w:r w:rsidR="00A90B30" w:rsidRPr="00415F25">
        <w:rPr>
          <w:b/>
          <w:bCs/>
          <w:sz w:val="22"/>
          <w:szCs w:val="22"/>
        </w:rPr>
        <w:t xml:space="preserve">  </w:t>
      </w:r>
      <w:r w:rsidR="00A47737" w:rsidRPr="00415F25">
        <w:rPr>
          <w:bCs/>
          <w:sz w:val="22"/>
          <w:szCs w:val="22"/>
        </w:rPr>
        <w:t>T</w:t>
      </w:r>
      <w:r w:rsidR="00A47737" w:rsidRPr="00415F25">
        <w:rPr>
          <w:sz w:val="22"/>
          <w:szCs w:val="22"/>
        </w:rPr>
        <w:t>he program changes</w:t>
      </w:r>
      <w:r w:rsidR="00046312" w:rsidRPr="00415F25">
        <w:rPr>
          <w:sz w:val="22"/>
          <w:szCs w:val="22"/>
        </w:rPr>
        <w:t xml:space="preserve"> and adjustments are due to: (1)</w:t>
      </w:r>
      <w:r w:rsidR="00A47737" w:rsidRPr="00415F25">
        <w:rPr>
          <w:sz w:val="22"/>
          <w:szCs w:val="22"/>
        </w:rPr>
        <w:t xml:space="preserve"> a</w:t>
      </w:r>
      <w:r w:rsidR="00046312" w:rsidRPr="00415F25">
        <w:rPr>
          <w:sz w:val="22"/>
          <w:szCs w:val="22"/>
        </w:rPr>
        <w:t xml:space="preserve"> reduction of applications that PHAs are submitting under Sections 18, 22, 33, and 32 of the 1937 Act (lines 22-26); (2) the new retention option for public housing property that HUD is making available under 2 CFR 200.311 (line 27); and (3) </w:t>
      </w:r>
      <w:r w:rsidR="00100B89" w:rsidRPr="00415F25">
        <w:rPr>
          <w:sz w:val="22"/>
          <w:szCs w:val="22"/>
        </w:rPr>
        <w:t xml:space="preserve">a more precise estimate of the </w:t>
      </w:r>
      <w:r w:rsidR="00A47737" w:rsidRPr="00415F25">
        <w:rPr>
          <w:sz w:val="22"/>
          <w:szCs w:val="22"/>
        </w:rPr>
        <w:t xml:space="preserve">number of PHAs </w:t>
      </w:r>
      <w:r w:rsidR="00100B89" w:rsidRPr="00415F25">
        <w:rPr>
          <w:sz w:val="22"/>
          <w:szCs w:val="22"/>
        </w:rPr>
        <w:t xml:space="preserve">terminating their ACC due to a removal of all </w:t>
      </w:r>
      <w:r w:rsidR="00A47737" w:rsidRPr="00415F25">
        <w:rPr>
          <w:sz w:val="22"/>
          <w:szCs w:val="22"/>
        </w:rPr>
        <w:t xml:space="preserve">dwelling units from </w:t>
      </w:r>
      <w:r w:rsidR="00046312" w:rsidRPr="00415F25">
        <w:rPr>
          <w:sz w:val="22"/>
          <w:szCs w:val="22"/>
        </w:rPr>
        <w:t>their ACC</w:t>
      </w:r>
      <w:r w:rsidR="00A47737" w:rsidRPr="00415F25">
        <w:rPr>
          <w:sz w:val="22"/>
          <w:szCs w:val="22"/>
        </w:rPr>
        <w:t xml:space="preserve"> inventory (due primarily to the Rental Assistance Demonstration </w:t>
      </w:r>
      <w:r w:rsidR="00046312" w:rsidRPr="00415F25">
        <w:rPr>
          <w:sz w:val="22"/>
          <w:szCs w:val="22"/>
        </w:rPr>
        <w:t xml:space="preserve">(RAD) </w:t>
      </w:r>
      <w:r w:rsidR="00A47737" w:rsidRPr="00415F25">
        <w:rPr>
          <w:sz w:val="22"/>
          <w:szCs w:val="22"/>
        </w:rPr>
        <w:t>program)</w:t>
      </w:r>
      <w:r w:rsidR="00046312" w:rsidRPr="00415F25">
        <w:rPr>
          <w:sz w:val="22"/>
          <w:szCs w:val="22"/>
        </w:rPr>
        <w:t xml:space="preserve"> and the </w:t>
      </w:r>
      <w:r w:rsidR="00A47737" w:rsidRPr="00415F25">
        <w:rPr>
          <w:sz w:val="22"/>
          <w:szCs w:val="22"/>
        </w:rPr>
        <w:t>need for HUD to ensure closer monitoring of its public housing portfolio while ma</w:t>
      </w:r>
      <w:r w:rsidR="00046312" w:rsidRPr="00415F25">
        <w:rPr>
          <w:sz w:val="22"/>
          <w:szCs w:val="22"/>
        </w:rPr>
        <w:t>intaining accurate records (</w:t>
      </w:r>
      <w:r w:rsidR="00100B89" w:rsidRPr="00415F25">
        <w:rPr>
          <w:sz w:val="22"/>
          <w:szCs w:val="22"/>
        </w:rPr>
        <w:t>L</w:t>
      </w:r>
      <w:r w:rsidR="00046312" w:rsidRPr="00415F25">
        <w:rPr>
          <w:sz w:val="22"/>
          <w:szCs w:val="22"/>
        </w:rPr>
        <w:t>ine 2)</w:t>
      </w:r>
      <w:r w:rsidR="0094223E" w:rsidRPr="00415F25">
        <w:rPr>
          <w:sz w:val="22"/>
          <w:szCs w:val="22"/>
        </w:rPr>
        <w:t xml:space="preserve">.  This information collection maintains the consolidation of information collections of </w:t>
      </w:r>
      <w:r w:rsidR="00132FDC" w:rsidRPr="00415F25">
        <w:rPr>
          <w:sz w:val="22"/>
          <w:szCs w:val="22"/>
        </w:rPr>
        <w:t>OMB Control Number 2577-0270</w:t>
      </w:r>
      <w:r w:rsidR="0094223E" w:rsidRPr="00415F25">
        <w:rPr>
          <w:sz w:val="22"/>
          <w:szCs w:val="22"/>
        </w:rPr>
        <w:t xml:space="preserve"> and</w:t>
      </w:r>
      <w:r w:rsidR="00132FDC" w:rsidRPr="00415F25">
        <w:rPr>
          <w:sz w:val="22"/>
          <w:szCs w:val="22"/>
        </w:rPr>
        <w:t xml:space="preserve"> </w:t>
      </w:r>
      <w:r w:rsidR="0094223E" w:rsidRPr="00415F25">
        <w:rPr>
          <w:sz w:val="22"/>
          <w:szCs w:val="22"/>
        </w:rPr>
        <w:t xml:space="preserve">OMB Control Number </w:t>
      </w:r>
      <w:r w:rsidR="00132FDC" w:rsidRPr="00415F25">
        <w:rPr>
          <w:sz w:val="22"/>
          <w:szCs w:val="22"/>
        </w:rPr>
        <w:t>2577-0075</w:t>
      </w:r>
      <w:r w:rsidR="00100B89" w:rsidRPr="00415F25">
        <w:rPr>
          <w:sz w:val="22"/>
          <w:szCs w:val="22"/>
        </w:rPr>
        <w:t xml:space="preserve"> </w:t>
      </w:r>
      <w:r w:rsidR="0094223E" w:rsidRPr="00415F25">
        <w:rPr>
          <w:sz w:val="22"/>
          <w:szCs w:val="22"/>
        </w:rPr>
        <w:t>that occurred in 2014</w:t>
      </w:r>
      <w:r w:rsidR="00A043F1" w:rsidRPr="00415F25">
        <w:rPr>
          <w:color w:val="000000"/>
          <w:sz w:val="22"/>
          <w:szCs w:val="22"/>
        </w:rPr>
        <w:t xml:space="preserve">. </w:t>
      </w:r>
      <w:r w:rsidR="00C247E9" w:rsidRPr="00415F25">
        <w:rPr>
          <w:sz w:val="22"/>
          <w:szCs w:val="22"/>
        </w:rPr>
        <w:t>The cost and time estimates are based on</w:t>
      </w:r>
      <w:r w:rsidR="00850965" w:rsidRPr="00415F25">
        <w:rPr>
          <w:bCs/>
          <w:sz w:val="22"/>
          <w:szCs w:val="22"/>
        </w:rPr>
        <w:t xml:space="preserve"> information from </w:t>
      </w:r>
      <w:r w:rsidR="009C6E51" w:rsidRPr="00415F25">
        <w:rPr>
          <w:bCs/>
          <w:sz w:val="22"/>
          <w:szCs w:val="22"/>
        </w:rPr>
        <w:t xml:space="preserve">the </w:t>
      </w:r>
      <w:r w:rsidR="002F7A54" w:rsidRPr="00415F25">
        <w:rPr>
          <w:bCs/>
          <w:sz w:val="22"/>
          <w:szCs w:val="22"/>
        </w:rPr>
        <w:t>eight</w:t>
      </w:r>
      <w:r w:rsidR="00850965" w:rsidRPr="00415F25">
        <w:rPr>
          <w:bCs/>
          <w:sz w:val="22"/>
          <w:szCs w:val="22"/>
        </w:rPr>
        <w:t xml:space="preserve"> </w:t>
      </w:r>
      <w:r w:rsidR="00683C49" w:rsidRPr="00415F25">
        <w:rPr>
          <w:bCs/>
          <w:sz w:val="22"/>
          <w:szCs w:val="22"/>
        </w:rPr>
        <w:t xml:space="preserve">regional </w:t>
      </w:r>
      <w:r w:rsidR="00850965" w:rsidRPr="00415F25">
        <w:rPr>
          <w:bCs/>
          <w:sz w:val="22"/>
          <w:szCs w:val="22"/>
        </w:rPr>
        <w:t xml:space="preserve">field </w:t>
      </w:r>
      <w:r w:rsidR="00A90B30" w:rsidRPr="00415F25">
        <w:rPr>
          <w:bCs/>
          <w:sz w:val="22"/>
          <w:szCs w:val="22"/>
        </w:rPr>
        <w:t>offices</w:t>
      </w:r>
      <w:r w:rsidR="00C247E9" w:rsidRPr="00415F25">
        <w:rPr>
          <w:bCs/>
          <w:sz w:val="22"/>
          <w:szCs w:val="22"/>
        </w:rPr>
        <w:t xml:space="preserve"> as well as</w:t>
      </w:r>
      <w:r w:rsidR="00850965" w:rsidRPr="00415F25">
        <w:rPr>
          <w:bCs/>
          <w:sz w:val="22"/>
          <w:szCs w:val="22"/>
        </w:rPr>
        <w:t xml:space="preserve"> information </w:t>
      </w:r>
      <w:r w:rsidR="00683C49" w:rsidRPr="00415F25">
        <w:rPr>
          <w:bCs/>
          <w:sz w:val="22"/>
          <w:szCs w:val="22"/>
        </w:rPr>
        <w:t>from PHAs</w:t>
      </w:r>
      <w:r w:rsidR="006C2AC7" w:rsidRPr="00415F25">
        <w:rPr>
          <w:bCs/>
          <w:sz w:val="22"/>
          <w:szCs w:val="22"/>
        </w:rPr>
        <w:t>.</w:t>
      </w:r>
      <w:r w:rsidR="00850965" w:rsidRPr="00415F25">
        <w:rPr>
          <w:bCs/>
          <w:sz w:val="22"/>
          <w:szCs w:val="22"/>
        </w:rPr>
        <w:t xml:space="preserve"> </w:t>
      </w:r>
      <w:r w:rsidR="00B953E8" w:rsidRPr="00415F25">
        <w:rPr>
          <w:bCs/>
          <w:sz w:val="22"/>
          <w:szCs w:val="22"/>
        </w:rPr>
        <w:t xml:space="preserve"> </w:t>
      </w:r>
      <w:r w:rsidR="009C6E51" w:rsidRPr="00415F25">
        <w:rPr>
          <w:bCs/>
          <w:sz w:val="22"/>
          <w:szCs w:val="22"/>
        </w:rPr>
        <w:t xml:space="preserve">Assuming the </w:t>
      </w:r>
      <w:r w:rsidR="00046312" w:rsidRPr="00415F25">
        <w:rPr>
          <w:bCs/>
          <w:sz w:val="22"/>
          <w:szCs w:val="22"/>
        </w:rPr>
        <w:t>RAD</w:t>
      </w:r>
      <w:r w:rsidR="009C6E51" w:rsidRPr="00415F25">
        <w:rPr>
          <w:bCs/>
          <w:sz w:val="22"/>
          <w:szCs w:val="22"/>
        </w:rPr>
        <w:t xml:space="preserve"> program is expanded, HUD anticipates that </w:t>
      </w:r>
      <w:r w:rsidR="00046312" w:rsidRPr="00415F25">
        <w:rPr>
          <w:bCs/>
          <w:sz w:val="22"/>
          <w:szCs w:val="22"/>
        </w:rPr>
        <w:t xml:space="preserve">there will continue to be a reduction in PHA application submissions under </w:t>
      </w:r>
      <w:r w:rsidR="00046312" w:rsidRPr="00415F25">
        <w:rPr>
          <w:sz w:val="22"/>
          <w:szCs w:val="22"/>
        </w:rPr>
        <w:t>Sections 18, 22, 33, and 32 of the 1937 Act</w:t>
      </w:r>
      <w:r w:rsidR="00100B89" w:rsidRPr="00415F25">
        <w:rPr>
          <w:sz w:val="22"/>
          <w:szCs w:val="22"/>
        </w:rPr>
        <w:t xml:space="preserve">. Further, HUD anticipates that while the initial amount of PHAs seeking to terminate their ACC will increase as the RAD program is expanded, it will then sharply decrease and stabilize on an annualized basis. </w:t>
      </w:r>
      <w:r w:rsidR="0031144F" w:rsidRPr="00415F25">
        <w:rPr>
          <w:bCs/>
          <w:sz w:val="22"/>
          <w:szCs w:val="22"/>
        </w:rPr>
        <w:t xml:space="preserve"> </w:t>
      </w:r>
    </w:p>
    <w:p w14:paraId="7B4E8D5B" w14:textId="77777777" w:rsidR="00CF67E7" w:rsidRPr="009C797A" w:rsidRDefault="00CF67E7" w:rsidP="003865AA">
      <w:pPr>
        <w:keepNext/>
        <w:tabs>
          <w:tab w:val="left" w:pos="480"/>
        </w:tabs>
        <w:ind w:left="480" w:hanging="480"/>
        <w:rPr>
          <w:sz w:val="22"/>
          <w:szCs w:val="22"/>
        </w:rPr>
      </w:pPr>
    </w:p>
    <w:p w14:paraId="0F91DA04" w14:textId="77777777" w:rsidR="00CF67E7" w:rsidRPr="009C797A" w:rsidRDefault="00CF67E7" w:rsidP="00CF67E7">
      <w:pPr>
        <w:tabs>
          <w:tab w:val="left" w:pos="480"/>
        </w:tabs>
        <w:ind w:left="480" w:hanging="480"/>
        <w:rPr>
          <w:sz w:val="22"/>
          <w:szCs w:val="22"/>
        </w:rPr>
      </w:pPr>
      <w:r w:rsidRPr="009C797A">
        <w:rPr>
          <w:b/>
          <w:bCs/>
          <w:sz w:val="22"/>
          <w:szCs w:val="22"/>
        </w:rPr>
        <w:t>16.</w:t>
      </w:r>
      <w:r w:rsidRPr="009C797A">
        <w:rPr>
          <w:b/>
          <w:bCs/>
          <w:sz w:val="22"/>
          <w:szCs w:val="22"/>
        </w:rPr>
        <w:tab/>
        <w:t xml:space="preserve">If the information will be published, outline plans for tabulation and publication. </w:t>
      </w:r>
    </w:p>
    <w:p w14:paraId="69658BF7" w14:textId="77777777" w:rsidR="00CF67E7" w:rsidRPr="009C797A" w:rsidRDefault="00CF67E7" w:rsidP="00CF67E7">
      <w:pPr>
        <w:tabs>
          <w:tab w:val="left" w:pos="480"/>
        </w:tabs>
        <w:ind w:left="480" w:hanging="480"/>
        <w:rPr>
          <w:sz w:val="22"/>
          <w:szCs w:val="22"/>
        </w:rPr>
      </w:pPr>
      <w:r w:rsidRPr="009C797A">
        <w:rPr>
          <w:sz w:val="22"/>
          <w:szCs w:val="22"/>
        </w:rPr>
        <w:tab/>
        <w:t>The results of this information collection will not be published.</w:t>
      </w:r>
    </w:p>
    <w:p w14:paraId="77B76BA1" w14:textId="77777777" w:rsidR="00CF67E7" w:rsidRPr="009C797A" w:rsidRDefault="00CF67E7" w:rsidP="00CF67E7">
      <w:pPr>
        <w:tabs>
          <w:tab w:val="left" w:pos="480"/>
        </w:tabs>
        <w:ind w:left="480" w:hanging="480"/>
        <w:rPr>
          <w:sz w:val="22"/>
          <w:szCs w:val="22"/>
        </w:rPr>
      </w:pPr>
    </w:p>
    <w:p w14:paraId="52A8E4B7" w14:textId="77777777" w:rsidR="00CF67E7" w:rsidRPr="009C797A" w:rsidRDefault="00CF67E7" w:rsidP="00CF67E7">
      <w:pPr>
        <w:pStyle w:val="BodyTextIndent"/>
        <w:tabs>
          <w:tab w:val="left" w:pos="480"/>
        </w:tabs>
        <w:ind w:left="480" w:hanging="480"/>
        <w:rPr>
          <w:sz w:val="22"/>
          <w:szCs w:val="22"/>
        </w:rPr>
      </w:pPr>
      <w:r w:rsidRPr="009C797A">
        <w:rPr>
          <w:b/>
          <w:bCs/>
          <w:sz w:val="22"/>
          <w:szCs w:val="22"/>
        </w:rPr>
        <w:t>17.</w:t>
      </w:r>
      <w:r w:rsidRPr="009C797A">
        <w:rPr>
          <w:b/>
          <w:bCs/>
          <w:sz w:val="22"/>
          <w:szCs w:val="22"/>
        </w:rPr>
        <w:tab/>
        <w:t>OMB Expiration Date</w:t>
      </w:r>
      <w:r w:rsidR="007A1FE8" w:rsidRPr="009C797A">
        <w:rPr>
          <w:b/>
          <w:bCs/>
          <w:sz w:val="22"/>
          <w:szCs w:val="22"/>
        </w:rPr>
        <w:t xml:space="preserve">.  </w:t>
      </w:r>
      <w:r w:rsidRPr="009C797A">
        <w:rPr>
          <w:sz w:val="22"/>
          <w:szCs w:val="22"/>
        </w:rPr>
        <w:t>HUD is not seeking approval to avoid di</w:t>
      </w:r>
      <w:r w:rsidR="00C012D9" w:rsidRPr="009C797A">
        <w:rPr>
          <w:sz w:val="22"/>
          <w:szCs w:val="22"/>
        </w:rPr>
        <w:t>splaying the OMB expiration date</w:t>
      </w:r>
      <w:r w:rsidRPr="009C797A">
        <w:rPr>
          <w:sz w:val="22"/>
          <w:szCs w:val="22"/>
        </w:rPr>
        <w:t xml:space="preserve">. </w:t>
      </w:r>
    </w:p>
    <w:p w14:paraId="345B299B" w14:textId="77777777" w:rsidR="00CF67E7" w:rsidRPr="009C797A" w:rsidRDefault="00CF67E7" w:rsidP="00CF67E7">
      <w:pPr>
        <w:tabs>
          <w:tab w:val="left" w:pos="480"/>
        </w:tabs>
        <w:ind w:left="480" w:hanging="480"/>
        <w:rPr>
          <w:sz w:val="22"/>
          <w:szCs w:val="22"/>
        </w:rPr>
      </w:pPr>
    </w:p>
    <w:p w14:paraId="2857F315" w14:textId="77777777" w:rsidR="00FE2AF0" w:rsidRPr="00826831" w:rsidRDefault="00CF67E7" w:rsidP="00FE2AF0">
      <w:pPr>
        <w:tabs>
          <w:tab w:val="left" w:pos="480"/>
        </w:tabs>
        <w:ind w:left="480" w:hanging="480"/>
        <w:rPr>
          <w:sz w:val="22"/>
          <w:szCs w:val="22"/>
        </w:rPr>
      </w:pPr>
      <w:r w:rsidRPr="009C797A">
        <w:rPr>
          <w:b/>
          <w:bCs/>
          <w:sz w:val="22"/>
          <w:szCs w:val="22"/>
        </w:rPr>
        <w:t>18.</w:t>
      </w:r>
      <w:r w:rsidRPr="009C797A">
        <w:rPr>
          <w:b/>
          <w:bCs/>
          <w:sz w:val="22"/>
          <w:szCs w:val="22"/>
        </w:rPr>
        <w:tab/>
        <w:t xml:space="preserve">Certification of Paperwork Reduction Act Submission   </w:t>
      </w:r>
      <w:r w:rsidRPr="009C797A">
        <w:rPr>
          <w:sz w:val="22"/>
          <w:szCs w:val="22"/>
        </w:rPr>
        <w:t>There is no exception to Item # 19 "Certification of Paperwork Reduction Act Submission.”</w:t>
      </w:r>
    </w:p>
    <w:p w14:paraId="511522F4" w14:textId="77777777" w:rsidR="00FE2AF0" w:rsidRDefault="00FE2AF0" w:rsidP="00FE2AF0">
      <w:pPr>
        <w:tabs>
          <w:tab w:val="left" w:pos="480"/>
        </w:tabs>
        <w:ind w:left="480" w:hanging="480"/>
        <w:rPr>
          <w:b/>
          <w:bCs/>
          <w:sz w:val="24"/>
        </w:rPr>
      </w:pPr>
      <w:r>
        <w:rPr>
          <w:b/>
          <w:bCs/>
          <w:sz w:val="24"/>
        </w:rPr>
        <w:t xml:space="preserve"> </w:t>
      </w:r>
    </w:p>
    <w:sectPr w:rsidR="00FE2AF0" w:rsidSect="00624FE6">
      <w:footerReference w:type="default" r:id="rId9"/>
      <w:footerReference w:type="first" r:id="rId10"/>
      <w:pgSz w:w="12240" w:h="15840"/>
      <w:pgMar w:top="480" w:right="720" w:bottom="480" w:left="600" w:header="0" w:footer="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4131D" w14:textId="77777777" w:rsidR="006A728F" w:rsidRDefault="006A728F">
      <w:r>
        <w:separator/>
      </w:r>
    </w:p>
  </w:endnote>
  <w:endnote w:type="continuationSeparator" w:id="0">
    <w:p w14:paraId="44C0F796" w14:textId="77777777" w:rsidR="006A728F" w:rsidRDefault="006A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2CCF3" w14:textId="77777777" w:rsidR="00B77015" w:rsidRDefault="00B7701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ED821" w14:textId="77777777" w:rsidR="00B77015" w:rsidRDefault="00B7701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186AC" w14:textId="77777777" w:rsidR="006A728F" w:rsidRDefault="006A728F">
      <w:r>
        <w:separator/>
      </w:r>
    </w:p>
  </w:footnote>
  <w:footnote w:type="continuationSeparator" w:id="0">
    <w:p w14:paraId="23FE9D00" w14:textId="77777777" w:rsidR="006A728F" w:rsidRDefault="006A7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60940CD"/>
    <w:multiLevelType w:val="hybridMultilevel"/>
    <w:tmpl w:val="7CC29976"/>
    <w:lvl w:ilvl="0" w:tplc="F43686C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A32D1"/>
    <w:multiLevelType w:val="hybridMultilevel"/>
    <w:tmpl w:val="70504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5">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2">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21"/>
  </w:num>
  <w:num w:numId="3">
    <w:abstractNumId w:val="3"/>
  </w:num>
  <w:num w:numId="4">
    <w:abstractNumId w:val="20"/>
  </w:num>
  <w:num w:numId="5">
    <w:abstractNumId w:val="19"/>
  </w:num>
  <w:num w:numId="6">
    <w:abstractNumId w:val="1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5"/>
  </w:num>
  <w:num w:numId="10">
    <w:abstractNumId w:val="10"/>
  </w:num>
  <w:num w:numId="11">
    <w:abstractNumId w:val="18"/>
  </w:num>
  <w:num w:numId="12">
    <w:abstractNumId w:val="17"/>
  </w:num>
  <w:num w:numId="13">
    <w:abstractNumId w:val="22"/>
  </w:num>
  <w:num w:numId="14">
    <w:abstractNumId w:val="7"/>
  </w:num>
  <w:num w:numId="15">
    <w:abstractNumId w:val="13"/>
  </w:num>
  <w:num w:numId="16">
    <w:abstractNumId w:val="9"/>
  </w:num>
  <w:num w:numId="17">
    <w:abstractNumId w:val="8"/>
  </w:num>
  <w:num w:numId="18">
    <w:abstractNumId w:val="11"/>
  </w:num>
  <w:num w:numId="19">
    <w:abstractNumId w:val="4"/>
  </w:num>
  <w:num w:numId="20">
    <w:abstractNumId w:val="16"/>
  </w:num>
  <w:num w:numId="21">
    <w:abstractNumId w:val="6"/>
  </w:num>
  <w:num w:numId="22">
    <w:abstractNumId w:val="1"/>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2F0F"/>
    <w:rsid w:val="00005CBF"/>
    <w:rsid w:val="00007CBE"/>
    <w:rsid w:val="0001229F"/>
    <w:rsid w:val="0001404A"/>
    <w:rsid w:val="00015185"/>
    <w:rsid w:val="00023CBC"/>
    <w:rsid w:val="00034528"/>
    <w:rsid w:val="00040E81"/>
    <w:rsid w:val="00046312"/>
    <w:rsid w:val="00057DD3"/>
    <w:rsid w:val="00064B2A"/>
    <w:rsid w:val="000666DD"/>
    <w:rsid w:val="00071E61"/>
    <w:rsid w:val="00073E4E"/>
    <w:rsid w:val="00082BA4"/>
    <w:rsid w:val="000912B9"/>
    <w:rsid w:val="00095B6A"/>
    <w:rsid w:val="000A1487"/>
    <w:rsid w:val="000A4E03"/>
    <w:rsid w:val="000A6D45"/>
    <w:rsid w:val="000B01A3"/>
    <w:rsid w:val="000B4B52"/>
    <w:rsid w:val="000B7FF9"/>
    <w:rsid w:val="000C1C81"/>
    <w:rsid w:val="000C1F50"/>
    <w:rsid w:val="000C2DEC"/>
    <w:rsid w:val="000D2DCD"/>
    <w:rsid w:val="000D4135"/>
    <w:rsid w:val="000E3664"/>
    <w:rsid w:val="000E6B67"/>
    <w:rsid w:val="000F0509"/>
    <w:rsid w:val="000F5A45"/>
    <w:rsid w:val="000F68C5"/>
    <w:rsid w:val="000F7D4D"/>
    <w:rsid w:val="00100B89"/>
    <w:rsid w:val="0010676B"/>
    <w:rsid w:val="001112FC"/>
    <w:rsid w:val="00111A71"/>
    <w:rsid w:val="001300E9"/>
    <w:rsid w:val="00132FDC"/>
    <w:rsid w:val="00134C55"/>
    <w:rsid w:val="001378ED"/>
    <w:rsid w:val="00144A20"/>
    <w:rsid w:val="0015196D"/>
    <w:rsid w:val="0015386E"/>
    <w:rsid w:val="00155EF0"/>
    <w:rsid w:val="001602EA"/>
    <w:rsid w:val="00162303"/>
    <w:rsid w:val="00163D13"/>
    <w:rsid w:val="00165916"/>
    <w:rsid w:val="00173604"/>
    <w:rsid w:val="00175A08"/>
    <w:rsid w:val="001779AF"/>
    <w:rsid w:val="001877BA"/>
    <w:rsid w:val="001905A3"/>
    <w:rsid w:val="001A0467"/>
    <w:rsid w:val="001A6A79"/>
    <w:rsid w:val="001A6F43"/>
    <w:rsid w:val="001B7BC4"/>
    <w:rsid w:val="001C157A"/>
    <w:rsid w:val="001C40EF"/>
    <w:rsid w:val="001C545E"/>
    <w:rsid w:val="001C5F22"/>
    <w:rsid w:val="001C769A"/>
    <w:rsid w:val="001D473D"/>
    <w:rsid w:val="001D6FCB"/>
    <w:rsid w:val="001E48CA"/>
    <w:rsid w:val="001E5347"/>
    <w:rsid w:val="001E68A3"/>
    <w:rsid w:val="001F3C18"/>
    <w:rsid w:val="0021333A"/>
    <w:rsid w:val="00214674"/>
    <w:rsid w:val="00220107"/>
    <w:rsid w:val="00221208"/>
    <w:rsid w:val="00227647"/>
    <w:rsid w:val="002428AA"/>
    <w:rsid w:val="002437C4"/>
    <w:rsid w:val="002455AD"/>
    <w:rsid w:val="00250DC4"/>
    <w:rsid w:val="00257850"/>
    <w:rsid w:val="00257A76"/>
    <w:rsid w:val="00260056"/>
    <w:rsid w:val="00260758"/>
    <w:rsid w:val="00263C92"/>
    <w:rsid w:val="00271C79"/>
    <w:rsid w:val="00276986"/>
    <w:rsid w:val="002850BA"/>
    <w:rsid w:val="002A26F4"/>
    <w:rsid w:val="002A4F2E"/>
    <w:rsid w:val="002A65C3"/>
    <w:rsid w:val="002B5B43"/>
    <w:rsid w:val="002C0998"/>
    <w:rsid w:val="002C0C90"/>
    <w:rsid w:val="002D16A3"/>
    <w:rsid w:val="002D3915"/>
    <w:rsid w:val="002E0F13"/>
    <w:rsid w:val="002E2B0C"/>
    <w:rsid w:val="002E5DC4"/>
    <w:rsid w:val="002F08F4"/>
    <w:rsid w:val="002F7A54"/>
    <w:rsid w:val="00304583"/>
    <w:rsid w:val="00307915"/>
    <w:rsid w:val="0031144F"/>
    <w:rsid w:val="003239E3"/>
    <w:rsid w:val="003253EF"/>
    <w:rsid w:val="003259CF"/>
    <w:rsid w:val="0033245E"/>
    <w:rsid w:val="00336874"/>
    <w:rsid w:val="00337D11"/>
    <w:rsid w:val="00340FD1"/>
    <w:rsid w:val="00343BED"/>
    <w:rsid w:val="00350BB6"/>
    <w:rsid w:val="00353FB8"/>
    <w:rsid w:val="00354BD7"/>
    <w:rsid w:val="0035518E"/>
    <w:rsid w:val="00361E9D"/>
    <w:rsid w:val="0036370E"/>
    <w:rsid w:val="00373BA7"/>
    <w:rsid w:val="00376018"/>
    <w:rsid w:val="0038393F"/>
    <w:rsid w:val="00383D46"/>
    <w:rsid w:val="00384AA3"/>
    <w:rsid w:val="003855F7"/>
    <w:rsid w:val="003865AA"/>
    <w:rsid w:val="00386BB2"/>
    <w:rsid w:val="00390020"/>
    <w:rsid w:val="0039629E"/>
    <w:rsid w:val="003A02D3"/>
    <w:rsid w:val="003A5C25"/>
    <w:rsid w:val="003B03E1"/>
    <w:rsid w:val="003C7961"/>
    <w:rsid w:val="003D6C1F"/>
    <w:rsid w:val="003E09DC"/>
    <w:rsid w:val="003E4F90"/>
    <w:rsid w:val="003F3430"/>
    <w:rsid w:val="003F45B8"/>
    <w:rsid w:val="003F7C7B"/>
    <w:rsid w:val="00410DDA"/>
    <w:rsid w:val="00412037"/>
    <w:rsid w:val="00414FCF"/>
    <w:rsid w:val="00415422"/>
    <w:rsid w:val="004155BF"/>
    <w:rsid w:val="00415F25"/>
    <w:rsid w:val="0041746A"/>
    <w:rsid w:val="00421350"/>
    <w:rsid w:val="004264E4"/>
    <w:rsid w:val="0042677C"/>
    <w:rsid w:val="00432FF5"/>
    <w:rsid w:val="00434BBE"/>
    <w:rsid w:val="004374D4"/>
    <w:rsid w:val="00453458"/>
    <w:rsid w:val="004561A9"/>
    <w:rsid w:val="00460C18"/>
    <w:rsid w:val="00460F9B"/>
    <w:rsid w:val="00460FAB"/>
    <w:rsid w:val="0046373C"/>
    <w:rsid w:val="00467C55"/>
    <w:rsid w:val="00470293"/>
    <w:rsid w:val="00472F67"/>
    <w:rsid w:val="00474E07"/>
    <w:rsid w:val="004759AC"/>
    <w:rsid w:val="00486DF9"/>
    <w:rsid w:val="004874EA"/>
    <w:rsid w:val="0048771B"/>
    <w:rsid w:val="00490D50"/>
    <w:rsid w:val="00493C1E"/>
    <w:rsid w:val="0049457A"/>
    <w:rsid w:val="004A6556"/>
    <w:rsid w:val="004B2283"/>
    <w:rsid w:val="004B3E31"/>
    <w:rsid w:val="004C1685"/>
    <w:rsid w:val="004C528C"/>
    <w:rsid w:val="004D113C"/>
    <w:rsid w:val="004D7116"/>
    <w:rsid w:val="004E0615"/>
    <w:rsid w:val="004E244E"/>
    <w:rsid w:val="004E420F"/>
    <w:rsid w:val="004F1727"/>
    <w:rsid w:val="004F2B5D"/>
    <w:rsid w:val="004F4F41"/>
    <w:rsid w:val="00511347"/>
    <w:rsid w:val="00516D55"/>
    <w:rsid w:val="00520542"/>
    <w:rsid w:val="00520761"/>
    <w:rsid w:val="00526E82"/>
    <w:rsid w:val="00527863"/>
    <w:rsid w:val="00531253"/>
    <w:rsid w:val="0053194E"/>
    <w:rsid w:val="00535885"/>
    <w:rsid w:val="00550619"/>
    <w:rsid w:val="00551661"/>
    <w:rsid w:val="00551A4D"/>
    <w:rsid w:val="00552E18"/>
    <w:rsid w:val="00554DBD"/>
    <w:rsid w:val="00561775"/>
    <w:rsid w:val="00563DD1"/>
    <w:rsid w:val="005674A1"/>
    <w:rsid w:val="00575546"/>
    <w:rsid w:val="00575AA8"/>
    <w:rsid w:val="00577A8C"/>
    <w:rsid w:val="00584A11"/>
    <w:rsid w:val="00586C38"/>
    <w:rsid w:val="005900BA"/>
    <w:rsid w:val="00592284"/>
    <w:rsid w:val="005932CB"/>
    <w:rsid w:val="00597230"/>
    <w:rsid w:val="005A5863"/>
    <w:rsid w:val="005A5EA7"/>
    <w:rsid w:val="005B008E"/>
    <w:rsid w:val="005B1ACD"/>
    <w:rsid w:val="005B3379"/>
    <w:rsid w:val="005C0A8E"/>
    <w:rsid w:val="005C2AFA"/>
    <w:rsid w:val="005C3435"/>
    <w:rsid w:val="005D0878"/>
    <w:rsid w:val="005D0E06"/>
    <w:rsid w:val="005D42C8"/>
    <w:rsid w:val="005D59C1"/>
    <w:rsid w:val="005D6854"/>
    <w:rsid w:val="005D7F79"/>
    <w:rsid w:val="005E0CE4"/>
    <w:rsid w:val="005E1D99"/>
    <w:rsid w:val="005E35A2"/>
    <w:rsid w:val="005E4DFC"/>
    <w:rsid w:val="005F42D6"/>
    <w:rsid w:val="005F48AA"/>
    <w:rsid w:val="00600699"/>
    <w:rsid w:val="00601C5F"/>
    <w:rsid w:val="00602D58"/>
    <w:rsid w:val="006036E1"/>
    <w:rsid w:val="006100E1"/>
    <w:rsid w:val="00624FE6"/>
    <w:rsid w:val="00626115"/>
    <w:rsid w:val="00631906"/>
    <w:rsid w:val="00633392"/>
    <w:rsid w:val="006367E7"/>
    <w:rsid w:val="0063719C"/>
    <w:rsid w:val="00637408"/>
    <w:rsid w:val="006462CC"/>
    <w:rsid w:val="00652B55"/>
    <w:rsid w:val="006572AC"/>
    <w:rsid w:val="00665224"/>
    <w:rsid w:val="0066663C"/>
    <w:rsid w:val="00667D34"/>
    <w:rsid w:val="006757C3"/>
    <w:rsid w:val="00680C2F"/>
    <w:rsid w:val="006817DB"/>
    <w:rsid w:val="00681A07"/>
    <w:rsid w:val="00683777"/>
    <w:rsid w:val="00683C49"/>
    <w:rsid w:val="00684D45"/>
    <w:rsid w:val="006A24F9"/>
    <w:rsid w:val="006A2F0B"/>
    <w:rsid w:val="006A50BE"/>
    <w:rsid w:val="006A728F"/>
    <w:rsid w:val="006B19C3"/>
    <w:rsid w:val="006B2D01"/>
    <w:rsid w:val="006B496A"/>
    <w:rsid w:val="006B737D"/>
    <w:rsid w:val="006C0865"/>
    <w:rsid w:val="006C2AC7"/>
    <w:rsid w:val="006C3CB5"/>
    <w:rsid w:val="006D00A3"/>
    <w:rsid w:val="006D1A35"/>
    <w:rsid w:val="006D1B8E"/>
    <w:rsid w:val="006D3621"/>
    <w:rsid w:val="006E1509"/>
    <w:rsid w:val="006E48AA"/>
    <w:rsid w:val="006F0CC1"/>
    <w:rsid w:val="006F1F02"/>
    <w:rsid w:val="006F42FE"/>
    <w:rsid w:val="00700FE9"/>
    <w:rsid w:val="00702D0D"/>
    <w:rsid w:val="00703592"/>
    <w:rsid w:val="0070447E"/>
    <w:rsid w:val="00717FA1"/>
    <w:rsid w:val="00724CCA"/>
    <w:rsid w:val="00731FD2"/>
    <w:rsid w:val="007335C9"/>
    <w:rsid w:val="0073367F"/>
    <w:rsid w:val="00743B8F"/>
    <w:rsid w:val="007463BA"/>
    <w:rsid w:val="00750784"/>
    <w:rsid w:val="007546EC"/>
    <w:rsid w:val="00756B17"/>
    <w:rsid w:val="0076031F"/>
    <w:rsid w:val="00762897"/>
    <w:rsid w:val="00762BA9"/>
    <w:rsid w:val="0076553A"/>
    <w:rsid w:val="00773907"/>
    <w:rsid w:val="00774DAB"/>
    <w:rsid w:val="0077761E"/>
    <w:rsid w:val="00780202"/>
    <w:rsid w:val="0079132B"/>
    <w:rsid w:val="00793ADB"/>
    <w:rsid w:val="007948A8"/>
    <w:rsid w:val="00794E65"/>
    <w:rsid w:val="0079653E"/>
    <w:rsid w:val="007A1FE8"/>
    <w:rsid w:val="007B5FE3"/>
    <w:rsid w:val="007B60EF"/>
    <w:rsid w:val="007B6FD9"/>
    <w:rsid w:val="007B7347"/>
    <w:rsid w:val="007C6D5E"/>
    <w:rsid w:val="007C7310"/>
    <w:rsid w:val="007D0865"/>
    <w:rsid w:val="007D09D6"/>
    <w:rsid w:val="007D3DE0"/>
    <w:rsid w:val="007E1C1A"/>
    <w:rsid w:val="007E3B49"/>
    <w:rsid w:val="007E4A7A"/>
    <w:rsid w:val="007F1DEC"/>
    <w:rsid w:val="007F74FA"/>
    <w:rsid w:val="00803014"/>
    <w:rsid w:val="00804872"/>
    <w:rsid w:val="0080692F"/>
    <w:rsid w:val="00810344"/>
    <w:rsid w:val="00815A6C"/>
    <w:rsid w:val="008163BC"/>
    <w:rsid w:val="00816B2E"/>
    <w:rsid w:val="00823AB6"/>
    <w:rsid w:val="00826831"/>
    <w:rsid w:val="00826A09"/>
    <w:rsid w:val="008344BE"/>
    <w:rsid w:val="00836475"/>
    <w:rsid w:val="00837EDF"/>
    <w:rsid w:val="008419B6"/>
    <w:rsid w:val="00850965"/>
    <w:rsid w:val="0085628B"/>
    <w:rsid w:val="008631A7"/>
    <w:rsid w:val="00863BF9"/>
    <w:rsid w:val="00864CC4"/>
    <w:rsid w:val="008740A5"/>
    <w:rsid w:val="008757AD"/>
    <w:rsid w:val="00877461"/>
    <w:rsid w:val="00885218"/>
    <w:rsid w:val="00885581"/>
    <w:rsid w:val="00890BCE"/>
    <w:rsid w:val="00890DFB"/>
    <w:rsid w:val="008912B0"/>
    <w:rsid w:val="008932A9"/>
    <w:rsid w:val="0089466C"/>
    <w:rsid w:val="00894723"/>
    <w:rsid w:val="0089548D"/>
    <w:rsid w:val="008974A3"/>
    <w:rsid w:val="008A2610"/>
    <w:rsid w:val="008A54EE"/>
    <w:rsid w:val="008A7CD8"/>
    <w:rsid w:val="008B4604"/>
    <w:rsid w:val="008B532F"/>
    <w:rsid w:val="008C1D89"/>
    <w:rsid w:val="008C5CFC"/>
    <w:rsid w:val="008D4FC5"/>
    <w:rsid w:val="008D54AA"/>
    <w:rsid w:val="008D747D"/>
    <w:rsid w:val="008E6DC1"/>
    <w:rsid w:val="008F1A48"/>
    <w:rsid w:val="008F7B9D"/>
    <w:rsid w:val="0090221F"/>
    <w:rsid w:val="00902EF6"/>
    <w:rsid w:val="00904D82"/>
    <w:rsid w:val="00913A6D"/>
    <w:rsid w:val="00913D18"/>
    <w:rsid w:val="00920BB8"/>
    <w:rsid w:val="00921650"/>
    <w:rsid w:val="00925373"/>
    <w:rsid w:val="00926768"/>
    <w:rsid w:val="0092715C"/>
    <w:rsid w:val="00927F9C"/>
    <w:rsid w:val="0094223E"/>
    <w:rsid w:val="00944280"/>
    <w:rsid w:val="009462C5"/>
    <w:rsid w:val="00946D60"/>
    <w:rsid w:val="00954398"/>
    <w:rsid w:val="0096146A"/>
    <w:rsid w:val="00962631"/>
    <w:rsid w:val="00973886"/>
    <w:rsid w:val="009748F2"/>
    <w:rsid w:val="00976A22"/>
    <w:rsid w:val="009819FE"/>
    <w:rsid w:val="00984C6F"/>
    <w:rsid w:val="00991B2A"/>
    <w:rsid w:val="00996668"/>
    <w:rsid w:val="00996905"/>
    <w:rsid w:val="009A470D"/>
    <w:rsid w:val="009B6429"/>
    <w:rsid w:val="009C14ED"/>
    <w:rsid w:val="009C15D7"/>
    <w:rsid w:val="009C29C3"/>
    <w:rsid w:val="009C6E51"/>
    <w:rsid w:val="009C7366"/>
    <w:rsid w:val="009C797A"/>
    <w:rsid w:val="009D571E"/>
    <w:rsid w:val="009D77BF"/>
    <w:rsid w:val="009D7FB5"/>
    <w:rsid w:val="009E305F"/>
    <w:rsid w:val="009E56D3"/>
    <w:rsid w:val="009F174F"/>
    <w:rsid w:val="009F431B"/>
    <w:rsid w:val="009F4D6F"/>
    <w:rsid w:val="00A043F1"/>
    <w:rsid w:val="00A10C0B"/>
    <w:rsid w:val="00A12777"/>
    <w:rsid w:val="00A17032"/>
    <w:rsid w:val="00A175A6"/>
    <w:rsid w:val="00A179C8"/>
    <w:rsid w:val="00A22DAC"/>
    <w:rsid w:val="00A305DD"/>
    <w:rsid w:val="00A37668"/>
    <w:rsid w:val="00A41AF0"/>
    <w:rsid w:val="00A42896"/>
    <w:rsid w:val="00A44DCE"/>
    <w:rsid w:val="00A47737"/>
    <w:rsid w:val="00A55B2D"/>
    <w:rsid w:val="00A611B9"/>
    <w:rsid w:val="00A73119"/>
    <w:rsid w:val="00A75F64"/>
    <w:rsid w:val="00A762D6"/>
    <w:rsid w:val="00A77064"/>
    <w:rsid w:val="00A81822"/>
    <w:rsid w:val="00A81AA4"/>
    <w:rsid w:val="00A82200"/>
    <w:rsid w:val="00A84524"/>
    <w:rsid w:val="00A84ADC"/>
    <w:rsid w:val="00A875FC"/>
    <w:rsid w:val="00A90B30"/>
    <w:rsid w:val="00A920F6"/>
    <w:rsid w:val="00A92BB4"/>
    <w:rsid w:val="00A965CD"/>
    <w:rsid w:val="00AA6D22"/>
    <w:rsid w:val="00AB4790"/>
    <w:rsid w:val="00AB7844"/>
    <w:rsid w:val="00AB7B73"/>
    <w:rsid w:val="00AD044D"/>
    <w:rsid w:val="00AD34D1"/>
    <w:rsid w:val="00AD50F1"/>
    <w:rsid w:val="00AD6B72"/>
    <w:rsid w:val="00AD7888"/>
    <w:rsid w:val="00AE0902"/>
    <w:rsid w:val="00AE2246"/>
    <w:rsid w:val="00AF0800"/>
    <w:rsid w:val="00AF095E"/>
    <w:rsid w:val="00AF3735"/>
    <w:rsid w:val="00AF77E5"/>
    <w:rsid w:val="00B0642F"/>
    <w:rsid w:val="00B13CC6"/>
    <w:rsid w:val="00B2185C"/>
    <w:rsid w:val="00B30CD8"/>
    <w:rsid w:val="00B3379A"/>
    <w:rsid w:val="00B409E5"/>
    <w:rsid w:val="00B41130"/>
    <w:rsid w:val="00B4383D"/>
    <w:rsid w:val="00B4729A"/>
    <w:rsid w:val="00B51903"/>
    <w:rsid w:val="00B556DA"/>
    <w:rsid w:val="00B61C60"/>
    <w:rsid w:val="00B64DDC"/>
    <w:rsid w:val="00B6711A"/>
    <w:rsid w:val="00B6798A"/>
    <w:rsid w:val="00B72FC8"/>
    <w:rsid w:val="00B73A4D"/>
    <w:rsid w:val="00B73D52"/>
    <w:rsid w:val="00B77015"/>
    <w:rsid w:val="00B80069"/>
    <w:rsid w:val="00B8157F"/>
    <w:rsid w:val="00B81734"/>
    <w:rsid w:val="00B8612B"/>
    <w:rsid w:val="00B91CD0"/>
    <w:rsid w:val="00B9290F"/>
    <w:rsid w:val="00B953E8"/>
    <w:rsid w:val="00B96446"/>
    <w:rsid w:val="00BA4A23"/>
    <w:rsid w:val="00BB5FD1"/>
    <w:rsid w:val="00BB6106"/>
    <w:rsid w:val="00BC2186"/>
    <w:rsid w:val="00BC29F2"/>
    <w:rsid w:val="00BC3363"/>
    <w:rsid w:val="00BC337A"/>
    <w:rsid w:val="00BC35ED"/>
    <w:rsid w:val="00BD60BD"/>
    <w:rsid w:val="00BE0A7D"/>
    <w:rsid w:val="00BF06BD"/>
    <w:rsid w:val="00BF253A"/>
    <w:rsid w:val="00C012D9"/>
    <w:rsid w:val="00C01647"/>
    <w:rsid w:val="00C0562F"/>
    <w:rsid w:val="00C065E1"/>
    <w:rsid w:val="00C15747"/>
    <w:rsid w:val="00C17003"/>
    <w:rsid w:val="00C247E9"/>
    <w:rsid w:val="00C25AD4"/>
    <w:rsid w:val="00C34B8B"/>
    <w:rsid w:val="00C35C7C"/>
    <w:rsid w:val="00C36E09"/>
    <w:rsid w:val="00C36F29"/>
    <w:rsid w:val="00C50317"/>
    <w:rsid w:val="00C54AEC"/>
    <w:rsid w:val="00C5649A"/>
    <w:rsid w:val="00C60D93"/>
    <w:rsid w:val="00C62FE6"/>
    <w:rsid w:val="00C63DCB"/>
    <w:rsid w:val="00C64FBF"/>
    <w:rsid w:val="00C6685B"/>
    <w:rsid w:val="00C729D0"/>
    <w:rsid w:val="00C7491B"/>
    <w:rsid w:val="00C80CC4"/>
    <w:rsid w:val="00C80F7F"/>
    <w:rsid w:val="00C96C20"/>
    <w:rsid w:val="00CA67FF"/>
    <w:rsid w:val="00CB11C1"/>
    <w:rsid w:val="00CB36A0"/>
    <w:rsid w:val="00CB7D59"/>
    <w:rsid w:val="00CC12BE"/>
    <w:rsid w:val="00CC484E"/>
    <w:rsid w:val="00CC5C74"/>
    <w:rsid w:val="00CD18F3"/>
    <w:rsid w:val="00CD1F4D"/>
    <w:rsid w:val="00CD4129"/>
    <w:rsid w:val="00CE2719"/>
    <w:rsid w:val="00CE2862"/>
    <w:rsid w:val="00CF67E7"/>
    <w:rsid w:val="00D21E6C"/>
    <w:rsid w:val="00D32077"/>
    <w:rsid w:val="00D35532"/>
    <w:rsid w:val="00D364DF"/>
    <w:rsid w:val="00D37D17"/>
    <w:rsid w:val="00D41783"/>
    <w:rsid w:val="00D43782"/>
    <w:rsid w:val="00D4555C"/>
    <w:rsid w:val="00D57140"/>
    <w:rsid w:val="00D60DF5"/>
    <w:rsid w:val="00D6107E"/>
    <w:rsid w:val="00D63141"/>
    <w:rsid w:val="00D659A2"/>
    <w:rsid w:val="00D67906"/>
    <w:rsid w:val="00D756D8"/>
    <w:rsid w:val="00D76B67"/>
    <w:rsid w:val="00D847F7"/>
    <w:rsid w:val="00D84B74"/>
    <w:rsid w:val="00D857D0"/>
    <w:rsid w:val="00D916AB"/>
    <w:rsid w:val="00D919A9"/>
    <w:rsid w:val="00D97137"/>
    <w:rsid w:val="00DA0883"/>
    <w:rsid w:val="00DA095F"/>
    <w:rsid w:val="00DA70C9"/>
    <w:rsid w:val="00DC02DE"/>
    <w:rsid w:val="00DC1DCB"/>
    <w:rsid w:val="00DC2784"/>
    <w:rsid w:val="00DD3EB1"/>
    <w:rsid w:val="00DD413C"/>
    <w:rsid w:val="00DD4D55"/>
    <w:rsid w:val="00DD5D66"/>
    <w:rsid w:val="00DE3E24"/>
    <w:rsid w:val="00DE54B5"/>
    <w:rsid w:val="00DE6347"/>
    <w:rsid w:val="00DF629E"/>
    <w:rsid w:val="00E01782"/>
    <w:rsid w:val="00E027E6"/>
    <w:rsid w:val="00E04E6E"/>
    <w:rsid w:val="00E05AD8"/>
    <w:rsid w:val="00E11306"/>
    <w:rsid w:val="00E1322A"/>
    <w:rsid w:val="00E16210"/>
    <w:rsid w:val="00E21FF6"/>
    <w:rsid w:val="00E30114"/>
    <w:rsid w:val="00E30E0F"/>
    <w:rsid w:val="00E3287E"/>
    <w:rsid w:val="00E369FA"/>
    <w:rsid w:val="00E37352"/>
    <w:rsid w:val="00E531A2"/>
    <w:rsid w:val="00E6666A"/>
    <w:rsid w:val="00E70D02"/>
    <w:rsid w:val="00E72D3B"/>
    <w:rsid w:val="00E83F26"/>
    <w:rsid w:val="00E848CD"/>
    <w:rsid w:val="00E85142"/>
    <w:rsid w:val="00E87D5C"/>
    <w:rsid w:val="00E90DF3"/>
    <w:rsid w:val="00E92E93"/>
    <w:rsid w:val="00EA154C"/>
    <w:rsid w:val="00EA3DAC"/>
    <w:rsid w:val="00EA5F04"/>
    <w:rsid w:val="00EA6A23"/>
    <w:rsid w:val="00EA77A9"/>
    <w:rsid w:val="00EB4D71"/>
    <w:rsid w:val="00EB7D47"/>
    <w:rsid w:val="00EC0ECE"/>
    <w:rsid w:val="00EC385F"/>
    <w:rsid w:val="00ED1B9D"/>
    <w:rsid w:val="00ED24A1"/>
    <w:rsid w:val="00ED41AE"/>
    <w:rsid w:val="00EE3D26"/>
    <w:rsid w:val="00EF43DA"/>
    <w:rsid w:val="00EF7086"/>
    <w:rsid w:val="00F14812"/>
    <w:rsid w:val="00F14FD2"/>
    <w:rsid w:val="00F2042B"/>
    <w:rsid w:val="00F21636"/>
    <w:rsid w:val="00F26786"/>
    <w:rsid w:val="00F30A96"/>
    <w:rsid w:val="00F31F6E"/>
    <w:rsid w:val="00F321BA"/>
    <w:rsid w:val="00F32795"/>
    <w:rsid w:val="00F333D0"/>
    <w:rsid w:val="00F407E4"/>
    <w:rsid w:val="00F40D79"/>
    <w:rsid w:val="00F41031"/>
    <w:rsid w:val="00F4375E"/>
    <w:rsid w:val="00F568BE"/>
    <w:rsid w:val="00F617EA"/>
    <w:rsid w:val="00F61914"/>
    <w:rsid w:val="00F66B44"/>
    <w:rsid w:val="00F80216"/>
    <w:rsid w:val="00F82C3A"/>
    <w:rsid w:val="00F872E1"/>
    <w:rsid w:val="00F91B5B"/>
    <w:rsid w:val="00F974ED"/>
    <w:rsid w:val="00FB46E2"/>
    <w:rsid w:val="00FB5DF5"/>
    <w:rsid w:val="00FB73DB"/>
    <w:rsid w:val="00FC53F0"/>
    <w:rsid w:val="00FC7B10"/>
    <w:rsid w:val="00FD4827"/>
    <w:rsid w:val="00FD78FA"/>
    <w:rsid w:val="00FD7B6A"/>
    <w:rsid w:val="00FE0A08"/>
    <w:rsid w:val="00FE1EAD"/>
    <w:rsid w:val="00FE2AF0"/>
    <w:rsid w:val="00FE4659"/>
    <w:rsid w:val="00FE4746"/>
    <w:rsid w:val="00FE4A86"/>
    <w:rsid w:val="00FE513B"/>
    <w:rsid w:val="00FE5558"/>
    <w:rsid w:val="00FE7BAF"/>
    <w:rsid w:val="00FF1878"/>
    <w:rsid w:val="00FF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71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character" w:styleId="FollowedHyperlink">
    <w:name w:val="FollowedHyperlink"/>
    <w:rsid w:val="004B2283"/>
    <w:rPr>
      <w:color w:val="800080"/>
      <w:u w:val="single"/>
    </w:rPr>
  </w:style>
  <w:style w:type="paragraph" w:styleId="BlockText">
    <w:name w:val="Block Text"/>
    <w:basedOn w:val="Normal"/>
    <w:rsid w:val="004B2283"/>
    <w:pPr>
      <w:tabs>
        <w:tab w:val="left" w:pos="240"/>
      </w:tabs>
      <w:spacing w:after="60"/>
      <w:ind w:left="120" w:right="-120"/>
    </w:pPr>
    <w:rPr>
      <w:sz w:val="22"/>
    </w:rPr>
  </w:style>
  <w:style w:type="paragraph" w:styleId="HTMLPreformatted">
    <w:name w:val="HTML Preformatted"/>
    <w:basedOn w:val="Normal"/>
    <w:link w:val="HTMLPreformattedChar"/>
    <w:rsid w:val="00EF4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EF43DA"/>
    <w:rPr>
      <w:rFonts w:ascii="Courier New" w:eastAsia="Courier New" w:hAnsi="Courier New" w:cs="Courier New"/>
    </w:rPr>
  </w:style>
  <w:style w:type="paragraph" w:styleId="BalloonText">
    <w:name w:val="Balloon Text"/>
    <w:basedOn w:val="Normal"/>
    <w:link w:val="BalloonTextChar"/>
    <w:rsid w:val="00E30114"/>
    <w:rPr>
      <w:rFonts w:ascii="Tahoma" w:hAnsi="Tahoma" w:cs="Tahoma"/>
      <w:sz w:val="16"/>
      <w:szCs w:val="16"/>
    </w:rPr>
  </w:style>
  <w:style w:type="character" w:customStyle="1" w:styleId="BalloonTextChar">
    <w:name w:val="Balloon Text Char"/>
    <w:basedOn w:val="DefaultParagraphFont"/>
    <w:link w:val="BalloonText"/>
    <w:rsid w:val="00E30114"/>
    <w:rPr>
      <w:rFonts w:ascii="Tahoma" w:hAnsi="Tahoma" w:cs="Tahoma"/>
      <w:sz w:val="16"/>
      <w:szCs w:val="16"/>
    </w:rPr>
  </w:style>
  <w:style w:type="character" w:styleId="CommentReference">
    <w:name w:val="annotation reference"/>
    <w:basedOn w:val="DefaultParagraphFont"/>
    <w:rsid w:val="004D113C"/>
    <w:rPr>
      <w:sz w:val="16"/>
      <w:szCs w:val="16"/>
    </w:rPr>
  </w:style>
  <w:style w:type="paragraph" w:styleId="CommentText">
    <w:name w:val="annotation text"/>
    <w:basedOn w:val="Normal"/>
    <w:link w:val="CommentTextChar"/>
    <w:rsid w:val="004D113C"/>
  </w:style>
  <w:style w:type="character" w:customStyle="1" w:styleId="CommentTextChar">
    <w:name w:val="Comment Text Char"/>
    <w:basedOn w:val="DefaultParagraphFont"/>
    <w:link w:val="CommentText"/>
    <w:rsid w:val="004D113C"/>
  </w:style>
  <w:style w:type="paragraph" w:styleId="CommentSubject">
    <w:name w:val="annotation subject"/>
    <w:basedOn w:val="CommentText"/>
    <w:next w:val="CommentText"/>
    <w:link w:val="CommentSubjectChar"/>
    <w:rsid w:val="004D113C"/>
    <w:rPr>
      <w:b/>
      <w:bCs/>
    </w:rPr>
  </w:style>
  <w:style w:type="character" w:customStyle="1" w:styleId="CommentSubjectChar">
    <w:name w:val="Comment Subject Char"/>
    <w:basedOn w:val="CommentTextChar"/>
    <w:link w:val="CommentSubject"/>
    <w:rsid w:val="004D113C"/>
    <w:rPr>
      <w:b/>
      <w:bCs/>
    </w:rPr>
  </w:style>
  <w:style w:type="table" w:styleId="TableGrid">
    <w:name w:val="Table Grid"/>
    <w:basedOn w:val="TableNormal"/>
    <w:rsid w:val="0031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B5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5F25"/>
    <w:pPr>
      <w:overflowPunct w:val="0"/>
      <w:autoSpaceDE w:val="0"/>
      <w:autoSpaceDN w:val="0"/>
      <w:adjustRightInd w:val="0"/>
      <w:textAlignment w:val="baseline"/>
    </w:pPr>
  </w:style>
  <w:style w:type="paragraph" w:styleId="Revision">
    <w:name w:val="Revision"/>
    <w:hidden/>
    <w:uiPriority w:val="99"/>
    <w:semiHidden/>
    <w:rsid w:val="003D6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character" w:styleId="FollowedHyperlink">
    <w:name w:val="FollowedHyperlink"/>
    <w:rsid w:val="004B2283"/>
    <w:rPr>
      <w:color w:val="800080"/>
      <w:u w:val="single"/>
    </w:rPr>
  </w:style>
  <w:style w:type="paragraph" w:styleId="BlockText">
    <w:name w:val="Block Text"/>
    <w:basedOn w:val="Normal"/>
    <w:rsid w:val="004B2283"/>
    <w:pPr>
      <w:tabs>
        <w:tab w:val="left" w:pos="240"/>
      </w:tabs>
      <w:spacing w:after="60"/>
      <w:ind w:left="120" w:right="-120"/>
    </w:pPr>
    <w:rPr>
      <w:sz w:val="22"/>
    </w:rPr>
  </w:style>
  <w:style w:type="paragraph" w:styleId="HTMLPreformatted">
    <w:name w:val="HTML Preformatted"/>
    <w:basedOn w:val="Normal"/>
    <w:link w:val="HTMLPreformattedChar"/>
    <w:rsid w:val="00EF4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character" w:customStyle="1" w:styleId="HTMLPreformattedChar">
    <w:name w:val="HTML Preformatted Char"/>
    <w:basedOn w:val="DefaultParagraphFont"/>
    <w:link w:val="HTMLPreformatted"/>
    <w:rsid w:val="00EF43DA"/>
    <w:rPr>
      <w:rFonts w:ascii="Courier New" w:eastAsia="Courier New" w:hAnsi="Courier New" w:cs="Courier New"/>
    </w:rPr>
  </w:style>
  <w:style w:type="paragraph" w:styleId="BalloonText">
    <w:name w:val="Balloon Text"/>
    <w:basedOn w:val="Normal"/>
    <w:link w:val="BalloonTextChar"/>
    <w:rsid w:val="00E30114"/>
    <w:rPr>
      <w:rFonts w:ascii="Tahoma" w:hAnsi="Tahoma" w:cs="Tahoma"/>
      <w:sz w:val="16"/>
      <w:szCs w:val="16"/>
    </w:rPr>
  </w:style>
  <w:style w:type="character" w:customStyle="1" w:styleId="BalloonTextChar">
    <w:name w:val="Balloon Text Char"/>
    <w:basedOn w:val="DefaultParagraphFont"/>
    <w:link w:val="BalloonText"/>
    <w:rsid w:val="00E30114"/>
    <w:rPr>
      <w:rFonts w:ascii="Tahoma" w:hAnsi="Tahoma" w:cs="Tahoma"/>
      <w:sz w:val="16"/>
      <w:szCs w:val="16"/>
    </w:rPr>
  </w:style>
  <w:style w:type="character" w:styleId="CommentReference">
    <w:name w:val="annotation reference"/>
    <w:basedOn w:val="DefaultParagraphFont"/>
    <w:rsid w:val="004D113C"/>
    <w:rPr>
      <w:sz w:val="16"/>
      <w:szCs w:val="16"/>
    </w:rPr>
  </w:style>
  <w:style w:type="paragraph" w:styleId="CommentText">
    <w:name w:val="annotation text"/>
    <w:basedOn w:val="Normal"/>
    <w:link w:val="CommentTextChar"/>
    <w:rsid w:val="004D113C"/>
  </w:style>
  <w:style w:type="character" w:customStyle="1" w:styleId="CommentTextChar">
    <w:name w:val="Comment Text Char"/>
    <w:basedOn w:val="DefaultParagraphFont"/>
    <w:link w:val="CommentText"/>
    <w:rsid w:val="004D113C"/>
  </w:style>
  <w:style w:type="paragraph" w:styleId="CommentSubject">
    <w:name w:val="annotation subject"/>
    <w:basedOn w:val="CommentText"/>
    <w:next w:val="CommentText"/>
    <w:link w:val="CommentSubjectChar"/>
    <w:rsid w:val="004D113C"/>
    <w:rPr>
      <w:b/>
      <w:bCs/>
    </w:rPr>
  </w:style>
  <w:style w:type="character" w:customStyle="1" w:styleId="CommentSubjectChar">
    <w:name w:val="Comment Subject Char"/>
    <w:basedOn w:val="CommentTextChar"/>
    <w:link w:val="CommentSubject"/>
    <w:rsid w:val="004D113C"/>
    <w:rPr>
      <w:b/>
      <w:bCs/>
    </w:rPr>
  </w:style>
  <w:style w:type="table" w:styleId="TableGrid">
    <w:name w:val="Table Grid"/>
    <w:basedOn w:val="TableNormal"/>
    <w:rsid w:val="0031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B5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15F25"/>
    <w:pPr>
      <w:overflowPunct w:val="0"/>
      <w:autoSpaceDE w:val="0"/>
      <w:autoSpaceDN w:val="0"/>
      <w:adjustRightInd w:val="0"/>
      <w:textAlignment w:val="baseline"/>
    </w:pPr>
  </w:style>
  <w:style w:type="paragraph" w:styleId="Revision">
    <w:name w:val="Revision"/>
    <w:hidden/>
    <w:uiPriority w:val="99"/>
    <w:semiHidden/>
    <w:rsid w:val="003D6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2890">
      <w:bodyDiv w:val="1"/>
      <w:marLeft w:val="0"/>
      <w:marRight w:val="0"/>
      <w:marTop w:val="0"/>
      <w:marBottom w:val="0"/>
      <w:divBdr>
        <w:top w:val="none" w:sz="0" w:space="0" w:color="auto"/>
        <w:left w:val="none" w:sz="0" w:space="0" w:color="auto"/>
        <w:bottom w:val="none" w:sz="0" w:space="0" w:color="auto"/>
        <w:right w:val="none" w:sz="0" w:space="0" w:color="auto"/>
      </w:divBdr>
    </w:div>
    <w:div w:id="212621771">
      <w:bodyDiv w:val="1"/>
      <w:marLeft w:val="0"/>
      <w:marRight w:val="0"/>
      <w:marTop w:val="0"/>
      <w:marBottom w:val="0"/>
      <w:divBdr>
        <w:top w:val="none" w:sz="0" w:space="0" w:color="auto"/>
        <w:left w:val="none" w:sz="0" w:space="0" w:color="auto"/>
        <w:bottom w:val="none" w:sz="0" w:space="0" w:color="auto"/>
        <w:right w:val="none" w:sz="0" w:space="0" w:color="auto"/>
      </w:divBdr>
    </w:div>
    <w:div w:id="395207525">
      <w:bodyDiv w:val="1"/>
      <w:marLeft w:val="0"/>
      <w:marRight w:val="0"/>
      <w:marTop w:val="0"/>
      <w:marBottom w:val="0"/>
      <w:divBdr>
        <w:top w:val="none" w:sz="0" w:space="0" w:color="auto"/>
        <w:left w:val="none" w:sz="0" w:space="0" w:color="auto"/>
        <w:bottom w:val="none" w:sz="0" w:space="0" w:color="auto"/>
        <w:right w:val="none" w:sz="0" w:space="0" w:color="auto"/>
      </w:divBdr>
    </w:div>
    <w:div w:id="746850120">
      <w:bodyDiv w:val="1"/>
      <w:marLeft w:val="0"/>
      <w:marRight w:val="0"/>
      <w:marTop w:val="0"/>
      <w:marBottom w:val="0"/>
      <w:divBdr>
        <w:top w:val="none" w:sz="0" w:space="0" w:color="auto"/>
        <w:left w:val="none" w:sz="0" w:space="0" w:color="auto"/>
        <w:bottom w:val="none" w:sz="0" w:space="0" w:color="auto"/>
        <w:right w:val="none" w:sz="0" w:space="0" w:color="auto"/>
      </w:divBdr>
    </w:div>
    <w:div w:id="885945364">
      <w:bodyDiv w:val="1"/>
      <w:marLeft w:val="0"/>
      <w:marRight w:val="0"/>
      <w:marTop w:val="0"/>
      <w:marBottom w:val="0"/>
      <w:divBdr>
        <w:top w:val="none" w:sz="0" w:space="0" w:color="auto"/>
        <w:left w:val="none" w:sz="0" w:space="0" w:color="auto"/>
        <w:bottom w:val="none" w:sz="0" w:space="0" w:color="auto"/>
        <w:right w:val="none" w:sz="0" w:space="0" w:color="auto"/>
      </w:divBdr>
    </w:div>
    <w:div w:id="948314935">
      <w:bodyDiv w:val="1"/>
      <w:marLeft w:val="0"/>
      <w:marRight w:val="0"/>
      <w:marTop w:val="0"/>
      <w:marBottom w:val="450"/>
      <w:divBdr>
        <w:top w:val="none" w:sz="0" w:space="0" w:color="auto"/>
        <w:left w:val="none" w:sz="0" w:space="0" w:color="auto"/>
        <w:bottom w:val="none" w:sz="0" w:space="0" w:color="auto"/>
        <w:right w:val="none" w:sz="0" w:space="0" w:color="auto"/>
      </w:divBdr>
      <w:divsChild>
        <w:div w:id="1199245323">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239292305">
      <w:bodyDiv w:val="1"/>
      <w:marLeft w:val="0"/>
      <w:marRight w:val="0"/>
      <w:marTop w:val="0"/>
      <w:marBottom w:val="0"/>
      <w:divBdr>
        <w:top w:val="none" w:sz="0" w:space="0" w:color="auto"/>
        <w:left w:val="none" w:sz="0" w:space="0" w:color="auto"/>
        <w:bottom w:val="none" w:sz="0" w:space="0" w:color="auto"/>
        <w:right w:val="none" w:sz="0" w:space="0" w:color="auto"/>
      </w:divBdr>
    </w:div>
    <w:div w:id="1243569108">
      <w:bodyDiv w:val="1"/>
      <w:marLeft w:val="0"/>
      <w:marRight w:val="0"/>
      <w:marTop w:val="0"/>
      <w:marBottom w:val="0"/>
      <w:divBdr>
        <w:top w:val="none" w:sz="0" w:space="0" w:color="auto"/>
        <w:left w:val="none" w:sz="0" w:space="0" w:color="auto"/>
        <w:bottom w:val="none" w:sz="0" w:space="0" w:color="auto"/>
        <w:right w:val="none" w:sz="0" w:space="0" w:color="auto"/>
      </w:divBdr>
    </w:div>
    <w:div w:id="1345938105">
      <w:bodyDiv w:val="1"/>
      <w:marLeft w:val="0"/>
      <w:marRight w:val="0"/>
      <w:marTop w:val="0"/>
      <w:marBottom w:val="0"/>
      <w:divBdr>
        <w:top w:val="none" w:sz="0" w:space="0" w:color="auto"/>
        <w:left w:val="none" w:sz="0" w:space="0" w:color="auto"/>
        <w:bottom w:val="none" w:sz="0" w:space="0" w:color="auto"/>
        <w:right w:val="none" w:sz="0" w:space="0" w:color="auto"/>
      </w:divBdr>
    </w:div>
    <w:div w:id="1868179558">
      <w:bodyDiv w:val="1"/>
      <w:marLeft w:val="0"/>
      <w:marRight w:val="0"/>
      <w:marTop w:val="0"/>
      <w:marBottom w:val="0"/>
      <w:divBdr>
        <w:top w:val="none" w:sz="0" w:space="0" w:color="auto"/>
        <w:left w:val="none" w:sz="0" w:space="0" w:color="auto"/>
        <w:bottom w:val="none" w:sz="0" w:space="0" w:color="auto"/>
        <w:right w:val="none" w:sz="0" w:space="0" w:color="auto"/>
      </w:divBdr>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D6E4C-C3EA-475D-8F7E-FDB4F2067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4204</Words>
  <Characters>23965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2017-10-31T14:46:00Z</dcterms:created>
  <dcterms:modified xsi:type="dcterms:W3CDTF">2017-10-31T14:46:00Z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