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1F" w:rsidRDefault="00F3251F" w:rsidP="00F3251F">
      <w:pPr>
        <w:widowControl w:val="0"/>
        <w:spacing w:after="120"/>
        <w:jc w:val="center"/>
        <w:rPr>
          <w:b/>
          <w:bCs/>
          <w:szCs w:val="24"/>
        </w:rPr>
      </w:pPr>
      <w:bookmarkStart w:id="0" w:name="_GoBack"/>
      <w:bookmarkEnd w:id="0"/>
      <w:r>
        <w:rPr>
          <w:b/>
          <w:bCs/>
          <w:szCs w:val="24"/>
        </w:rPr>
        <w:t>SUPPORTING JUSTIFICATION – Part B</w:t>
      </w:r>
    </w:p>
    <w:p w:rsidR="00F3251F" w:rsidRDefault="00F3251F" w:rsidP="00F3251F">
      <w:pPr>
        <w:jc w:val="center"/>
        <w:rPr>
          <w:b/>
          <w:bCs/>
          <w:szCs w:val="24"/>
        </w:rPr>
      </w:pPr>
      <w:r w:rsidRPr="00D32AF6">
        <w:rPr>
          <w:b/>
          <w:bCs/>
          <w:szCs w:val="24"/>
        </w:rPr>
        <w:t>The Impact of Commute Times on the Fatigue and Safety of Locomotive Engineers</w:t>
      </w:r>
      <w:r w:rsidR="007521E3">
        <w:rPr>
          <w:b/>
          <w:bCs/>
          <w:szCs w:val="24"/>
        </w:rPr>
        <w:t xml:space="preserve"> and Conductors</w:t>
      </w:r>
    </w:p>
    <w:p w:rsidR="00F3251F" w:rsidRDefault="00F3251F" w:rsidP="00F3251F">
      <w:pPr>
        <w:jc w:val="center"/>
        <w:rPr>
          <w:b/>
          <w:bCs/>
          <w:szCs w:val="24"/>
        </w:rPr>
      </w:pPr>
      <w:r>
        <w:rPr>
          <w:b/>
          <w:bCs/>
          <w:szCs w:val="24"/>
        </w:rPr>
        <w:t xml:space="preserve">OMB No. </w:t>
      </w:r>
      <w:r w:rsidR="00DC40E4">
        <w:rPr>
          <w:b/>
          <w:bCs/>
          <w:szCs w:val="24"/>
        </w:rPr>
        <w:t>2130-NEW</w:t>
      </w:r>
    </w:p>
    <w:p w:rsidR="00F3251F" w:rsidRDefault="00F3251F" w:rsidP="00F3251F">
      <w:pPr>
        <w:jc w:val="center"/>
        <w:rPr>
          <w:b/>
          <w:szCs w:val="24"/>
          <w:u w:val="single"/>
        </w:rPr>
      </w:pPr>
      <w:r>
        <w:rPr>
          <w:b/>
          <w:bCs/>
          <w:szCs w:val="24"/>
        </w:rPr>
        <w:t>Form Number FRA F 6180.158</w:t>
      </w:r>
    </w:p>
    <w:p w:rsidR="00F3251F" w:rsidRDefault="00F3251F" w:rsidP="00F3251F">
      <w:pPr>
        <w:jc w:val="center"/>
        <w:rPr>
          <w:b/>
          <w:bCs/>
          <w:szCs w:val="24"/>
        </w:rPr>
      </w:pPr>
    </w:p>
    <w:p w:rsidR="00F3251F" w:rsidRPr="004D72A8" w:rsidRDefault="00F3251F" w:rsidP="004D72A8">
      <w:pPr>
        <w:pStyle w:val="ListParagraph"/>
        <w:numPr>
          <w:ilvl w:val="0"/>
          <w:numId w:val="2"/>
        </w:numPr>
        <w:spacing w:after="120"/>
        <w:rPr>
          <w:b/>
          <w:szCs w:val="24"/>
        </w:rPr>
      </w:pPr>
      <w:r w:rsidRPr="004D72A8">
        <w:rPr>
          <w:b/>
          <w:szCs w:val="24"/>
          <w:u w:val="single"/>
        </w:rPr>
        <w:t>Description of sampling method to be used.</w:t>
      </w:r>
      <w:r w:rsidRPr="004D72A8">
        <w:rPr>
          <w:b/>
          <w:szCs w:val="24"/>
        </w:rPr>
        <w:t xml:space="preserve">  </w:t>
      </w:r>
    </w:p>
    <w:p w:rsidR="003A1E6E" w:rsidRDefault="00B06B0B" w:rsidP="003A1E6E">
      <w:pPr>
        <w:spacing w:after="120"/>
        <w:ind w:left="720"/>
      </w:pPr>
      <w:r>
        <w:t xml:space="preserve">The potential respondent universe is the </w:t>
      </w:r>
      <w:r w:rsidR="003F5FFD">
        <w:t>69</w:t>
      </w:r>
      <w:r>
        <w:t xml:space="preserve">,000 locomotive engineers </w:t>
      </w:r>
      <w:r w:rsidR="007521E3">
        <w:t xml:space="preserve">and conductors </w:t>
      </w:r>
      <w:r>
        <w:t>in the United States</w:t>
      </w:r>
      <w:r w:rsidR="00AD4DA0">
        <w:t>. The rail industry in the U.S. is highly unionized; thus, potential respondents will be recruited through multiple rail labor unions. The Brotherhood of Locomotive Engineers (BLET) and the International Association of Sheet Metal, Air, Rail and Transportation (SMART) Workers</w:t>
      </w:r>
      <w:r w:rsidR="00E42E67">
        <w:t xml:space="preserve"> are two of the largest railroad operating unions in North America with more than 150,000 members. Both of these unions represent rail workers other than locomotive engineers</w:t>
      </w:r>
      <w:r w:rsidR="007521E3">
        <w:t xml:space="preserve"> and conductors</w:t>
      </w:r>
      <w:r w:rsidR="00E42E67">
        <w:t>, such as trainmen; thus, the survey will incorporate a screening question at the beginning to ensure potential respondents who are completing the survey are locomotive engineers</w:t>
      </w:r>
      <w:r w:rsidR="007521E3">
        <w:t xml:space="preserve"> or conductors</w:t>
      </w:r>
      <w:r w:rsidR="00E42E67">
        <w:t>. Working with the rail labor unions represents the most ideal and effective method to distribute the survey as widely as possible.</w:t>
      </w:r>
      <w:r w:rsidR="000C5E2D">
        <w:t xml:space="preserve"> Representatives from the BLET</w:t>
      </w:r>
      <w:r w:rsidR="003A1E6E">
        <w:t xml:space="preserve"> and SMART Transportation Division</w:t>
      </w:r>
      <w:r w:rsidR="000C5E2D">
        <w:t xml:space="preserve"> have agreed to assist with distribution of the survey to their members and discussions are currently underway with</w:t>
      </w:r>
      <w:r w:rsidR="003A1E6E">
        <w:t xml:space="preserve"> a number of other organizations [e.g., Railroad Workers United (RWU) and the Association of American Railroads (AAR)] to secure their assistance with the data collection effort.</w:t>
      </w:r>
    </w:p>
    <w:p w:rsidR="001866A5" w:rsidRDefault="003A1E6E" w:rsidP="00D60075">
      <w:pPr>
        <w:spacing w:after="120"/>
        <w:ind w:left="720"/>
      </w:pPr>
      <w:r>
        <w:t>This collection has not been conducted previously, so the res</w:t>
      </w:r>
      <w:r w:rsidR="00D51B04">
        <w:t>ponse rate must be estimated fro</w:t>
      </w:r>
      <w:r>
        <w:t>m other similar efforts.</w:t>
      </w:r>
      <w:r w:rsidR="00D51B04">
        <w:t xml:space="preserve"> </w:t>
      </w:r>
      <w:r w:rsidR="001C1FB0">
        <w:t xml:space="preserve">This study is not targeting a representative sample, but rather a convenience sample. </w:t>
      </w:r>
      <w:r w:rsidR="001C1FB0" w:rsidRPr="001C1FB0">
        <w:t>Email recruitment is likely to result in response rates lower than face-to-face recruitment. Pilot test response rates from the Commercial Driver Safety Risk Factors Study</w:t>
      </w:r>
      <w:r w:rsidR="001C1FB0">
        <w:t xml:space="preserve"> conducted by the VTTI research team</w:t>
      </w:r>
      <w:r w:rsidR="001C1FB0" w:rsidRPr="001C1FB0">
        <w:t>, which used a similar email recruitment method (i.e., identifying potential participants from an email distribution list) had a ~15% response rate (Hickman et al.</w:t>
      </w:r>
      <w:r w:rsidR="001C1FB0">
        <w:t>,</w:t>
      </w:r>
      <w:r w:rsidR="001C1FB0" w:rsidRPr="001C1FB0">
        <w:t xml:space="preserve"> under Agency review).</w:t>
      </w:r>
      <w:r w:rsidR="004730E2">
        <w:rPr>
          <w:rStyle w:val="FootnoteReference"/>
        </w:rPr>
        <w:footnoteReference w:id="1"/>
      </w:r>
      <w:r w:rsidR="001C1FB0" w:rsidRPr="001C1FB0">
        <w:t xml:space="preserve"> </w:t>
      </w:r>
      <w:r w:rsidR="001C1FB0">
        <w:t>This data collection effort</w:t>
      </w:r>
      <w:r w:rsidR="001C1FB0" w:rsidRPr="001C1FB0">
        <w:t xml:space="preserve"> will use a simila</w:t>
      </w:r>
      <w:r w:rsidR="001C1FB0">
        <w:t>r strategy</w:t>
      </w:r>
      <w:r w:rsidR="001C1FB0" w:rsidRPr="001C1FB0">
        <w:t xml:space="preserve">; however, a higher response rate </w:t>
      </w:r>
      <w:r w:rsidR="001C1FB0">
        <w:t xml:space="preserve">may be expected </w:t>
      </w:r>
      <w:r w:rsidR="001C1FB0" w:rsidRPr="001C1FB0">
        <w:t xml:space="preserve">given </w:t>
      </w:r>
      <w:r w:rsidR="001C1FB0">
        <w:t>the</w:t>
      </w:r>
      <w:r w:rsidR="001C1FB0" w:rsidRPr="001C1FB0">
        <w:t xml:space="preserve"> support from </w:t>
      </w:r>
      <w:r w:rsidR="001C1FB0">
        <w:t xml:space="preserve">the </w:t>
      </w:r>
      <w:r w:rsidR="001C1FB0" w:rsidRPr="001C1FB0">
        <w:t>rail unions. More specifically, the email recruitment letter will come from a known entity (i.e., rail union) rather than an unknown entity (i.e., the VTTI research team). Thus, the 15% response rate</w:t>
      </w:r>
      <w:r w:rsidR="004D72A8">
        <w:t xml:space="preserve"> may be viewed</w:t>
      </w:r>
      <w:r w:rsidR="001C1FB0" w:rsidRPr="001C1FB0">
        <w:t xml:space="preserve"> as the minimum response rate, which will result in approximately </w:t>
      </w:r>
      <w:r w:rsidR="000C5E2D">
        <w:t>10,350</w:t>
      </w:r>
      <w:r w:rsidR="001C1FB0" w:rsidRPr="001C1FB0">
        <w:t xml:space="preserve"> completed surveys.</w:t>
      </w:r>
      <w:r w:rsidR="000F2D1A">
        <w:t xml:space="preserve"> </w:t>
      </w:r>
      <w:r w:rsidR="001866A5">
        <w:t xml:space="preserve"> </w:t>
      </w:r>
    </w:p>
    <w:p w:rsidR="004D72A8" w:rsidRDefault="004D72A8" w:rsidP="00B87CC9">
      <w:pPr>
        <w:pStyle w:val="ListParagraph"/>
        <w:numPr>
          <w:ilvl w:val="0"/>
          <w:numId w:val="2"/>
        </w:numPr>
        <w:spacing w:after="120"/>
        <w:rPr>
          <w:b/>
          <w:szCs w:val="24"/>
        </w:rPr>
      </w:pPr>
      <w:r w:rsidRPr="004D72A8">
        <w:rPr>
          <w:b/>
          <w:szCs w:val="24"/>
          <w:u w:val="single"/>
        </w:rPr>
        <w:t>Description of procedures for information collection, including statistical methodology for stratification and sample selection</w:t>
      </w:r>
      <w:r w:rsidRPr="004D72A8">
        <w:rPr>
          <w:b/>
          <w:szCs w:val="24"/>
        </w:rPr>
        <w:t>.</w:t>
      </w:r>
    </w:p>
    <w:p w:rsidR="005E1E4C" w:rsidRDefault="005E1E4C" w:rsidP="007C6378">
      <w:pPr>
        <w:spacing w:after="120"/>
        <w:ind w:left="720"/>
      </w:pPr>
      <w:r>
        <w:t>The survey will be conducted online</w:t>
      </w:r>
      <w:r w:rsidRPr="00BB643D">
        <w:t xml:space="preserve"> us</w:t>
      </w:r>
      <w:r>
        <w:t>ing</w:t>
      </w:r>
      <w:r w:rsidRPr="00BB643D">
        <w:t xml:space="preserve"> the </w:t>
      </w:r>
      <w:r>
        <w:t>online</w:t>
      </w:r>
      <w:r w:rsidRPr="00BB643D">
        <w:t xml:space="preserve"> tool</w:t>
      </w:r>
      <w:r>
        <w:t xml:space="preserve"> Qualtrics to perform the</w:t>
      </w:r>
      <w:r w:rsidRPr="00BB643D">
        <w:t xml:space="preserve"> data collection. </w:t>
      </w:r>
      <w:r>
        <w:t>Q</w:t>
      </w:r>
      <w:r w:rsidRPr="00BB643D">
        <w:t xml:space="preserve">ualtrics is a </w:t>
      </w:r>
      <w:r>
        <w:t xml:space="preserve">survey </w:t>
      </w:r>
      <w:r w:rsidRPr="00BB643D">
        <w:t xml:space="preserve">service provided </w:t>
      </w:r>
      <w:r>
        <w:t>through</w:t>
      </w:r>
      <w:r w:rsidRPr="00BB643D">
        <w:t xml:space="preserve"> Virginia Tech</w:t>
      </w:r>
      <w:r>
        <w:t>.</w:t>
      </w:r>
      <w:r w:rsidRPr="00BB643D">
        <w:t xml:space="preserve"> </w:t>
      </w:r>
      <w:r>
        <w:t xml:space="preserve">The </w:t>
      </w:r>
      <w:r w:rsidRPr="00BB643D">
        <w:t>VTTI</w:t>
      </w:r>
      <w:r>
        <w:t xml:space="preserve"> research team</w:t>
      </w:r>
      <w:r w:rsidRPr="00BB643D">
        <w:t xml:space="preserve"> has successfully used Qualtrics to create and administer </w:t>
      </w:r>
      <w:r>
        <w:t>online</w:t>
      </w:r>
      <w:r w:rsidRPr="00BB643D">
        <w:t xml:space="preserve"> surveys in the past.</w:t>
      </w:r>
      <w:r w:rsidR="007C6378">
        <w:t xml:space="preserve"> </w:t>
      </w:r>
    </w:p>
    <w:p w:rsidR="00D60075" w:rsidRPr="0070287A" w:rsidRDefault="00D60075" w:rsidP="00D60075">
      <w:pPr>
        <w:spacing w:after="120"/>
        <w:ind w:left="720"/>
        <w:rPr>
          <w:sz w:val="22"/>
        </w:rPr>
      </w:pPr>
      <w:r>
        <w:lastRenderedPageBreak/>
        <w:t>To ensure a 15% response rate will provide a large enough sample size to obtain a representative sample of the population of locomotive engineers</w:t>
      </w:r>
      <w:r w:rsidR="007521E3">
        <w:t xml:space="preserve"> and conductors</w:t>
      </w:r>
      <w:r>
        <w:t xml:space="preserve"> in the U.S., the following calculations were completed using the industry standard of 95% confidence intervals. A 50/50 distribution of proportions is assumed because it is the most conservative and this study is not focused on testing any particular population differences.</w:t>
      </w:r>
      <w:r>
        <w:rPr>
          <w:sz w:val="22"/>
        </w:rPr>
        <w:t xml:space="preserve"> </w:t>
      </w:r>
      <w:r>
        <w:t>Sampling error is directly related to acceptable margin of error and for this study we are setting this at +/- 2%. This low margin of error adds to the precision of our understanding of this population, although it does increase the number of responses necessary.</w:t>
      </w:r>
    </w:p>
    <w:p w:rsidR="00D60075" w:rsidRDefault="00D60075" w:rsidP="00D60075">
      <w:pPr>
        <w:spacing w:after="120"/>
        <w:ind w:left="720"/>
      </w:pPr>
      <w:r>
        <w:t>The following formula is used to compute sample size (Dillman, 2007, p.206):</w:t>
      </w:r>
      <w:r w:rsidR="004730E2">
        <w:rPr>
          <w:rStyle w:val="FootnoteReference"/>
        </w:rPr>
        <w:footnoteReference w:id="2"/>
      </w:r>
    </w:p>
    <w:p w:rsidR="00D60075" w:rsidRDefault="00D60075" w:rsidP="00D60075">
      <w:pPr>
        <w:ind w:left="720"/>
      </w:pPr>
      <w:r>
        <w:t xml:space="preserve">n = </w:t>
      </w:r>
      <w:r>
        <w:rPr>
          <w:u w:val="single"/>
        </w:rPr>
        <w:t>            (N) (p) (1-p)          .</w:t>
      </w:r>
      <w:r>
        <w:t>                                                   Equation (1)</w:t>
      </w:r>
    </w:p>
    <w:p w:rsidR="00D60075" w:rsidRDefault="00D60075" w:rsidP="00D60075">
      <w:pPr>
        <w:spacing w:after="120"/>
        <w:ind w:left="720"/>
      </w:pPr>
      <w:r>
        <w:t>         (N – 1) (B/C)</w:t>
      </w:r>
      <w:r>
        <w:rPr>
          <w:vertAlign w:val="superscript"/>
        </w:rPr>
        <w:t>2</w:t>
      </w:r>
      <w:r>
        <w:t xml:space="preserve"> + (p) (1-p)</w:t>
      </w:r>
    </w:p>
    <w:p w:rsidR="00D60075" w:rsidRDefault="00D60075" w:rsidP="00D60075">
      <w:pPr>
        <w:ind w:left="1440" w:hanging="360"/>
      </w:pPr>
      <w:r>
        <w:t>n = sample size needed</w:t>
      </w:r>
    </w:p>
    <w:p w:rsidR="00D60075" w:rsidRDefault="00D60075" w:rsidP="00D60075">
      <w:pPr>
        <w:ind w:left="1440" w:hanging="360"/>
      </w:pPr>
      <w:r>
        <w:t>N = population size</w:t>
      </w:r>
    </w:p>
    <w:p w:rsidR="00D60075" w:rsidRDefault="00D60075" w:rsidP="00D60075">
      <w:pPr>
        <w:ind w:left="1440" w:hanging="360"/>
      </w:pPr>
      <w:r>
        <w:t>p = proportion of population differences</w:t>
      </w:r>
    </w:p>
    <w:p w:rsidR="00D60075" w:rsidRDefault="00D60075" w:rsidP="00D60075">
      <w:pPr>
        <w:ind w:left="1440" w:hanging="360"/>
      </w:pPr>
      <w:r>
        <w:t>B = acceptable amount of sampling error</w:t>
      </w:r>
    </w:p>
    <w:p w:rsidR="00D60075" w:rsidRDefault="00D60075" w:rsidP="00D60075">
      <w:pPr>
        <w:spacing w:after="120"/>
        <w:ind w:left="1440" w:hanging="360"/>
      </w:pPr>
      <w:r>
        <w:t>C = Z statistic associated with the confidence level; 1.96 for 95% level</w:t>
      </w:r>
    </w:p>
    <w:p w:rsidR="00D60075" w:rsidRDefault="00D60075" w:rsidP="00D60075">
      <w:pPr>
        <w:spacing w:after="120"/>
        <w:ind w:left="720"/>
      </w:pPr>
      <w:r>
        <w:t xml:space="preserve">Using an estimated </w:t>
      </w:r>
      <w:r w:rsidR="000C5E2D">
        <w:t>69</w:t>
      </w:r>
      <w:r>
        <w:t>,000 locomotive engineers</w:t>
      </w:r>
      <w:r w:rsidR="007521E3">
        <w:t xml:space="preserve"> and conductors</w:t>
      </w:r>
      <w:r>
        <w:t xml:space="preserve"> with a 2% margin of error, the following computation (Equation 2) estimates a sample size of 2,</w:t>
      </w:r>
      <w:r w:rsidR="00F37D64">
        <w:t>3</w:t>
      </w:r>
      <w:r w:rsidR="000C5E2D">
        <w:t>2</w:t>
      </w:r>
      <w:r w:rsidR="00F37D64">
        <w:t>0</w:t>
      </w:r>
      <w:r>
        <w:t>.</w:t>
      </w:r>
    </w:p>
    <w:p w:rsidR="00D60075" w:rsidRDefault="00D60075" w:rsidP="00D60075">
      <w:pPr>
        <w:ind w:left="720"/>
      </w:pPr>
      <w:r>
        <w:t xml:space="preserve">n = </w:t>
      </w:r>
      <w:r>
        <w:rPr>
          <w:u w:val="single"/>
        </w:rPr>
        <w:t>            </w:t>
      </w:r>
      <w:r w:rsidR="000C5E2D">
        <w:rPr>
          <w:u w:val="single"/>
        </w:rPr>
        <w:t>69</w:t>
      </w:r>
      <w:r>
        <w:rPr>
          <w:u w:val="single"/>
        </w:rPr>
        <w:t>,000 * .5 * (1-.5)          .</w:t>
      </w:r>
      <w:r>
        <w:t>                                         Equation (2)</w:t>
      </w:r>
    </w:p>
    <w:p w:rsidR="00D60075" w:rsidRDefault="00D60075" w:rsidP="00D60075">
      <w:pPr>
        <w:spacing w:after="240"/>
        <w:ind w:left="720"/>
      </w:pPr>
      <w:r>
        <w:t>         (</w:t>
      </w:r>
      <w:r w:rsidR="000C5E2D">
        <w:t>69</w:t>
      </w:r>
      <w:r>
        <w:t>,000 – 1) (.02/1.96)</w:t>
      </w:r>
      <w:r>
        <w:rPr>
          <w:vertAlign w:val="superscript"/>
        </w:rPr>
        <w:t>2</w:t>
      </w:r>
      <w:r>
        <w:t xml:space="preserve"> + (.5) * (1-.5)</w:t>
      </w:r>
      <w:bookmarkStart w:id="1" w:name="_Toc258447818"/>
      <w:bookmarkEnd w:id="1"/>
    </w:p>
    <w:p w:rsidR="00B87CC9" w:rsidRPr="007C6378" w:rsidRDefault="00D60075" w:rsidP="007C6378">
      <w:pPr>
        <w:ind w:left="720"/>
      </w:pPr>
      <w:r>
        <w:t>Thus, a 15% response rate, if attained, is more than adequate for the requirements of this project.</w:t>
      </w:r>
    </w:p>
    <w:p w:rsidR="00B87CC9" w:rsidRDefault="00B87CC9" w:rsidP="00B87CC9">
      <w:pPr>
        <w:pStyle w:val="ListParagraph"/>
        <w:rPr>
          <w:b/>
          <w:szCs w:val="24"/>
        </w:rPr>
      </w:pPr>
    </w:p>
    <w:p w:rsidR="00FD1CBA" w:rsidRDefault="00B87CC9" w:rsidP="00FD1CBA">
      <w:pPr>
        <w:pStyle w:val="ListParagraph"/>
        <w:widowControl w:val="0"/>
        <w:numPr>
          <w:ilvl w:val="0"/>
          <w:numId w:val="2"/>
        </w:numPr>
        <w:spacing w:after="120"/>
        <w:rPr>
          <w:b/>
          <w:szCs w:val="24"/>
        </w:rPr>
      </w:pPr>
      <w:r w:rsidRPr="00B87CC9">
        <w:rPr>
          <w:b/>
          <w:szCs w:val="24"/>
          <w:u w:val="single"/>
        </w:rPr>
        <w:t>Description of methods to maximize response rate and to deal with non-response issues</w:t>
      </w:r>
      <w:r w:rsidRPr="00B87CC9">
        <w:rPr>
          <w:b/>
          <w:szCs w:val="24"/>
        </w:rPr>
        <w:t xml:space="preserve">. </w:t>
      </w:r>
    </w:p>
    <w:p w:rsidR="00B87CC9" w:rsidRDefault="00FD1CBA" w:rsidP="00FD1CBA">
      <w:pPr>
        <w:widowControl w:val="0"/>
        <w:spacing w:after="120"/>
        <w:ind w:left="720"/>
        <w:rPr>
          <w:szCs w:val="24"/>
        </w:rPr>
      </w:pPr>
      <w:r w:rsidRPr="00FD1CBA">
        <w:rPr>
          <w:szCs w:val="24"/>
        </w:rPr>
        <w:t xml:space="preserve">This survey data collection effort will be carried out in collaboration with relevant </w:t>
      </w:r>
      <w:r>
        <w:rPr>
          <w:szCs w:val="24"/>
        </w:rPr>
        <w:t xml:space="preserve">rail labor unions. </w:t>
      </w:r>
      <w:r w:rsidRPr="003C1001">
        <w:rPr>
          <w:szCs w:val="24"/>
        </w:rPr>
        <w:t xml:space="preserve">Their support of the effort and acknowledgement of the importance of the information will be of considerable assistance in eliciting </w:t>
      </w:r>
      <w:r>
        <w:rPr>
          <w:szCs w:val="24"/>
        </w:rPr>
        <w:t xml:space="preserve">railroad employee cooperation. </w:t>
      </w:r>
      <w:r w:rsidRPr="003C1001">
        <w:rPr>
          <w:szCs w:val="24"/>
        </w:rPr>
        <w:t xml:space="preserve">They will be involved in initial requests for </w:t>
      </w:r>
      <w:r w:rsidR="000C5E2D">
        <w:rPr>
          <w:szCs w:val="24"/>
        </w:rPr>
        <w:t xml:space="preserve">cooperation and in follow-up </w:t>
      </w:r>
      <w:r w:rsidRPr="003C1001">
        <w:rPr>
          <w:szCs w:val="24"/>
        </w:rPr>
        <w:t>communications and reminders.</w:t>
      </w:r>
      <w:r w:rsidR="00B87CC9" w:rsidRPr="00FD1CBA">
        <w:rPr>
          <w:szCs w:val="24"/>
        </w:rPr>
        <w:t xml:space="preserve"> </w:t>
      </w:r>
    </w:p>
    <w:p w:rsidR="00FD1CBA" w:rsidRPr="003C1001" w:rsidRDefault="00FD1CBA" w:rsidP="00FD1CBA">
      <w:pPr>
        <w:spacing w:after="120"/>
        <w:ind w:left="720"/>
        <w:rPr>
          <w:szCs w:val="24"/>
        </w:rPr>
      </w:pPr>
      <w:r>
        <w:rPr>
          <w:szCs w:val="24"/>
        </w:rPr>
        <w:t>A standard introductory email will be created by the VTTI research team. This email</w:t>
      </w:r>
      <w:r w:rsidRPr="00327364">
        <w:rPr>
          <w:szCs w:val="24"/>
        </w:rPr>
        <w:t xml:space="preserve"> will alert the population that they may receive an invitatio</w:t>
      </w:r>
      <w:r>
        <w:rPr>
          <w:szCs w:val="24"/>
        </w:rPr>
        <w:t>n to participate in the survey.</w:t>
      </w:r>
      <w:r w:rsidRPr="00327364">
        <w:rPr>
          <w:szCs w:val="24"/>
        </w:rPr>
        <w:t xml:space="preserve"> </w:t>
      </w:r>
      <w:r>
        <w:rPr>
          <w:szCs w:val="24"/>
        </w:rPr>
        <w:t>VTTI</w:t>
      </w:r>
      <w:r w:rsidRPr="00327364">
        <w:rPr>
          <w:szCs w:val="24"/>
        </w:rPr>
        <w:t xml:space="preserve"> will also create and distribute to the labor unions the invitation </w:t>
      </w:r>
      <w:r>
        <w:rPr>
          <w:szCs w:val="24"/>
        </w:rPr>
        <w:t xml:space="preserve">email </w:t>
      </w:r>
      <w:r w:rsidRPr="00327364">
        <w:rPr>
          <w:szCs w:val="24"/>
        </w:rPr>
        <w:t xml:space="preserve">and the reminder </w:t>
      </w:r>
      <w:r>
        <w:rPr>
          <w:szCs w:val="24"/>
        </w:rPr>
        <w:t>emails</w:t>
      </w:r>
      <w:r w:rsidRPr="00327364">
        <w:rPr>
          <w:szCs w:val="24"/>
        </w:rPr>
        <w:t xml:space="preserve"> – to </w:t>
      </w:r>
      <w:r>
        <w:rPr>
          <w:szCs w:val="24"/>
        </w:rPr>
        <w:t>e</w:t>
      </w:r>
      <w:r w:rsidRPr="00327364">
        <w:rPr>
          <w:szCs w:val="24"/>
        </w:rPr>
        <w:t>nsure that all potential participants recei</w:t>
      </w:r>
      <w:r>
        <w:rPr>
          <w:szCs w:val="24"/>
        </w:rPr>
        <w:t xml:space="preserve">ve the same information. </w:t>
      </w:r>
      <w:r w:rsidRPr="00327364">
        <w:rPr>
          <w:szCs w:val="24"/>
        </w:rPr>
        <w:t xml:space="preserve">Additionally, unions may publicize the survey via union newsletters and at union meetings.  </w:t>
      </w:r>
    </w:p>
    <w:p w:rsidR="00FD1CBA" w:rsidRDefault="00FD1CBA" w:rsidP="00FD1CBA">
      <w:pPr>
        <w:widowControl w:val="0"/>
        <w:spacing w:after="120"/>
        <w:ind w:left="720"/>
        <w:rPr>
          <w:szCs w:val="24"/>
        </w:rPr>
      </w:pPr>
      <w:r>
        <w:rPr>
          <w:szCs w:val="24"/>
        </w:rPr>
        <w:t xml:space="preserve">The introductory emails sent to respondents will come from labor union leaders using official email addresses. The introductory emails will explicitly state the purpose of the study and the estimated time to complete the survey. The letters will also stress that no </w:t>
      </w:r>
      <w:r>
        <w:rPr>
          <w:szCs w:val="24"/>
        </w:rPr>
        <w:lastRenderedPageBreak/>
        <w:t>special preparation is needed to participate. The survey will be extensively pilot tested to ensure the questions use simple and straightforward language.</w:t>
      </w:r>
    </w:p>
    <w:p w:rsidR="00FD1CBA" w:rsidRDefault="00FD1CBA" w:rsidP="005E1E4C">
      <w:pPr>
        <w:widowControl w:val="0"/>
        <w:spacing w:after="120"/>
        <w:ind w:left="720"/>
        <w:rPr>
          <w:szCs w:val="24"/>
        </w:rPr>
      </w:pPr>
      <w:r>
        <w:rPr>
          <w:szCs w:val="24"/>
        </w:rPr>
        <w:t xml:space="preserve">Union leaders will encourage participation by indicating that the survey data will be used to design targeted safety campaigns, and peer to peer interventions.  By completing the survey, railroad employees will be able to influence how these interventions are designed and implemented.  The opportunity to influence these interventions should provide more than adequate motivation for participation.  </w:t>
      </w:r>
      <w:r w:rsidR="000C5E2D">
        <w:rPr>
          <w:szCs w:val="24"/>
        </w:rPr>
        <w:t>Having</w:t>
      </w:r>
      <w:r>
        <w:rPr>
          <w:szCs w:val="24"/>
        </w:rPr>
        <w:t xml:space="preserve"> the request come from labor union leaders rather than from FRA or railroad management will increase the likelihood of participation. </w:t>
      </w:r>
      <w:r w:rsidR="000C5E2D">
        <w:rPr>
          <w:szCs w:val="24"/>
        </w:rPr>
        <w:t>Additionally, respondents will be given the option to enter a raffle to win one of twenty $50 gift cards as a reward for their time and effort in completing the survey.</w:t>
      </w:r>
    </w:p>
    <w:p w:rsidR="00592FE4" w:rsidRDefault="00592FE4" w:rsidP="005E1E4C">
      <w:pPr>
        <w:ind w:firstLine="720"/>
      </w:pPr>
      <w:r>
        <w:t xml:space="preserve">In </w:t>
      </w:r>
      <w:r w:rsidR="005E1E4C">
        <w:t>summary</w:t>
      </w:r>
      <w:r>
        <w:t>, the</w:t>
      </w:r>
      <w:r w:rsidR="005E1E4C">
        <w:t xml:space="preserve"> following steps will </w:t>
      </w:r>
      <w:r>
        <w:t>be taken:</w:t>
      </w:r>
    </w:p>
    <w:p w:rsidR="00592FE4" w:rsidRDefault="00592FE4" w:rsidP="00592FE4">
      <w:pPr>
        <w:pStyle w:val="FMCSABullet"/>
        <w:numPr>
          <w:ilvl w:val="0"/>
          <w:numId w:val="5"/>
        </w:numPr>
        <w:rPr>
          <w:rFonts w:ascii="Times New Roman" w:hAnsi="Times New Roman"/>
          <w:color w:val="auto"/>
          <w:sz w:val="24"/>
          <w:szCs w:val="24"/>
        </w:rPr>
      </w:pPr>
      <w:r>
        <w:rPr>
          <w:rFonts w:ascii="Times New Roman" w:hAnsi="Times New Roman"/>
          <w:color w:val="auto"/>
          <w:sz w:val="24"/>
          <w:szCs w:val="24"/>
        </w:rPr>
        <w:t>Distribution of study summary. Summary will describe the procedures and goals of the study in simple terms.</w:t>
      </w:r>
    </w:p>
    <w:p w:rsidR="00592FE4" w:rsidRDefault="00592FE4" w:rsidP="00592FE4">
      <w:pPr>
        <w:pStyle w:val="FMCSABullet"/>
        <w:numPr>
          <w:ilvl w:val="0"/>
          <w:numId w:val="5"/>
        </w:numPr>
        <w:rPr>
          <w:rFonts w:ascii="Times New Roman" w:hAnsi="Times New Roman"/>
          <w:color w:val="auto"/>
          <w:sz w:val="24"/>
          <w:szCs w:val="24"/>
        </w:rPr>
      </w:pPr>
      <w:r>
        <w:rPr>
          <w:rFonts w:ascii="Times New Roman" w:hAnsi="Times New Roman"/>
          <w:color w:val="auto"/>
          <w:sz w:val="24"/>
          <w:szCs w:val="24"/>
        </w:rPr>
        <w:t>Participants will have the option of completing the survey through a secure internet site or via a paper version.</w:t>
      </w:r>
    </w:p>
    <w:p w:rsidR="00592FE4" w:rsidRDefault="00592FE4" w:rsidP="00592FE4">
      <w:pPr>
        <w:pStyle w:val="FMCSABullet"/>
        <w:numPr>
          <w:ilvl w:val="0"/>
          <w:numId w:val="5"/>
        </w:numPr>
        <w:rPr>
          <w:rFonts w:ascii="Times New Roman" w:hAnsi="Times New Roman"/>
          <w:color w:val="auto"/>
          <w:sz w:val="24"/>
          <w:szCs w:val="24"/>
        </w:rPr>
      </w:pPr>
      <w:r w:rsidRPr="00AE542B">
        <w:rPr>
          <w:rFonts w:ascii="Times New Roman" w:hAnsi="Times New Roman"/>
          <w:color w:val="auto"/>
          <w:sz w:val="24"/>
          <w:szCs w:val="24"/>
        </w:rPr>
        <w:t xml:space="preserve">Descriptions of the </w:t>
      </w:r>
      <w:r>
        <w:rPr>
          <w:rFonts w:ascii="Times New Roman" w:hAnsi="Times New Roman"/>
          <w:color w:val="auto"/>
          <w:sz w:val="24"/>
          <w:szCs w:val="24"/>
        </w:rPr>
        <w:t>survey</w:t>
      </w:r>
      <w:r w:rsidRPr="00AE542B">
        <w:rPr>
          <w:rFonts w:ascii="Times New Roman" w:hAnsi="Times New Roman"/>
          <w:color w:val="auto"/>
          <w:sz w:val="24"/>
          <w:szCs w:val="24"/>
        </w:rPr>
        <w:t xml:space="preserve"> will de-emphasize the government’s role in the </w:t>
      </w:r>
      <w:r>
        <w:rPr>
          <w:rFonts w:ascii="Times New Roman" w:hAnsi="Times New Roman"/>
          <w:color w:val="auto"/>
          <w:sz w:val="24"/>
          <w:szCs w:val="24"/>
        </w:rPr>
        <w:t>survey</w:t>
      </w:r>
      <w:r w:rsidRPr="00AE542B">
        <w:rPr>
          <w:rFonts w:ascii="Times New Roman" w:hAnsi="Times New Roman"/>
          <w:color w:val="auto"/>
          <w:sz w:val="24"/>
          <w:szCs w:val="24"/>
        </w:rPr>
        <w:t xml:space="preserve"> and e</w:t>
      </w:r>
      <w:r>
        <w:rPr>
          <w:rFonts w:ascii="Times New Roman" w:hAnsi="Times New Roman"/>
          <w:color w:val="auto"/>
          <w:sz w:val="24"/>
          <w:szCs w:val="24"/>
        </w:rPr>
        <w:t>mphasize University sponsorship</w:t>
      </w:r>
      <w:r w:rsidRPr="00AE542B">
        <w:rPr>
          <w:rFonts w:ascii="Times New Roman" w:hAnsi="Times New Roman"/>
          <w:color w:val="auto"/>
          <w:sz w:val="24"/>
          <w:szCs w:val="24"/>
        </w:rPr>
        <w:t>.</w:t>
      </w:r>
      <w:r>
        <w:rPr>
          <w:rFonts w:ascii="Times New Roman" w:hAnsi="Times New Roman"/>
          <w:color w:val="auto"/>
          <w:sz w:val="24"/>
          <w:szCs w:val="24"/>
        </w:rPr>
        <w:t xml:space="preserve"> The rationale for this is that given the authoritative role of the government in imposing regulations on the transportation industry, these rail workers may feel more comfortable discussing issues such as fatigue and safety with third-party researchers who do not have authority over them. </w:t>
      </w:r>
    </w:p>
    <w:p w:rsidR="00592FE4" w:rsidRDefault="00592FE4" w:rsidP="00592FE4">
      <w:pPr>
        <w:pStyle w:val="FMCSABullet"/>
        <w:numPr>
          <w:ilvl w:val="0"/>
          <w:numId w:val="5"/>
        </w:numPr>
        <w:rPr>
          <w:rFonts w:ascii="Times New Roman" w:hAnsi="Times New Roman"/>
          <w:color w:val="auto"/>
          <w:sz w:val="24"/>
          <w:szCs w:val="24"/>
        </w:rPr>
      </w:pPr>
      <w:r>
        <w:rPr>
          <w:rFonts w:ascii="Times New Roman" w:hAnsi="Times New Roman"/>
          <w:color w:val="auto"/>
          <w:sz w:val="24"/>
          <w:szCs w:val="24"/>
        </w:rPr>
        <w:t xml:space="preserve">The initial recruitment email containing the survey information and link to the secure survey site will also provide the </w:t>
      </w:r>
      <w:r w:rsidRPr="00AE542B">
        <w:rPr>
          <w:rFonts w:ascii="Times New Roman" w:hAnsi="Times New Roman"/>
          <w:color w:val="auto"/>
          <w:sz w:val="24"/>
          <w:szCs w:val="24"/>
        </w:rPr>
        <w:t xml:space="preserve">name </w:t>
      </w:r>
      <w:r>
        <w:rPr>
          <w:rFonts w:ascii="Times New Roman" w:hAnsi="Times New Roman"/>
          <w:color w:val="auto"/>
          <w:sz w:val="24"/>
          <w:szCs w:val="24"/>
        </w:rPr>
        <w:t xml:space="preserve">and contact details </w:t>
      </w:r>
      <w:r w:rsidRPr="00AE542B">
        <w:rPr>
          <w:rFonts w:ascii="Times New Roman" w:hAnsi="Times New Roman"/>
          <w:color w:val="auto"/>
          <w:sz w:val="24"/>
          <w:szCs w:val="24"/>
        </w:rPr>
        <w:t xml:space="preserve">of the </w:t>
      </w:r>
      <w:r>
        <w:rPr>
          <w:rFonts w:ascii="Times New Roman" w:hAnsi="Times New Roman"/>
          <w:color w:val="auto"/>
          <w:sz w:val="24"/>
          <w:szCs w:val="24"/>
        </w:rPr>
        <w:t>Principal Investigator from VTTI</w:t>
      </w:r>
      <w:r w:rsidRPr="00AE542B">
        <w:rPr>
          <w:rFonts w:ascii="Times New Roman" w:hAnsi="Times New Roman"/>
          <w:color w:val="auto"/>
          <w:sz w:val="24"/>
          <w:szCs w:val="24"/>
        </w:rPr>
        <w:t>.</w:t>
      </w:r>
    </w:p>
    <w:p w:rsidR="00592FE4" w:rsidRPr="00592FE4" w:rsidRDefault="00592FE4" w:rsidP="00592FE4">
      <w:pPr>
        <w:pStyle w:val="FMCSABullet"/>
        <w:numPr>
          <w:ilvl w:val="0"/>
          <w:numId w:val="5"/>
        </w:numPr>
        <w:spacing w:after="120"/>
        <w:rPr>
          <w:rFonts w:ascii="Times New Roman" w:hAnsi="Times New Roman"/>
          <w:color w:val="auto"/>
          <w:sz w:val="24"/>
          <w:szCs w:val="24"/>
        </w:rPr>
      </w:pPr>
      <w:r>
        <w:rPr>
          <w:rFonts w:ascii="Times New Roman" w:hAnsi="Times New Roman"/>
          <w:color w:val="auto"/>
          <w:sz w:val="24"/>
          <w:szCs w:val="24"/>
        </w:rPr>
        <w:t>Measures have been designed to provide the most essential and important information relating to fatigue and safety while minimizing items that may be considered offensive or intrusive.</w:t>
      </w:r>
    </w:p>
    <w:p w:rsidR="00592FE4" w:rsidRPr="003F7FB9" w:rsidRDefault="00592FE4" w:rsidP="00FD1CBA">
      <w:pPr>
        <w:shd w:val="clear" w:color="auto" w:fill="FFFFFF"/>
        <w:spacing w:after="120"/>
        <w:ind w:firstLine="720"/>
        <w:rPr>
          <w:color w:val="000000"/>
        </w:rPr>
      </w:pPr>
      <w:r w:rsidRPr="003F7FB9">
        <w:rPr>
          <w:color w:val="000000"/>
        </w:rPr>
        <w:t xml:space="preserve">There </w:t>
      </w:r>
      <w:r w:rsidR="00FD1CBA">
        <w:rPr>
          <w:color w:val="000000"/>
        </w:rPr>
        <w:t>are limited options</w:t>
      </w:r>
      <w:r w:rsidRPr="003F7FB9">
        <w:rPr>
          <w:color w:val="000000"/>
        </w:rPr>
        <w:t xml:space="preserve"> to deal with nonresponse bias</w:t>
      </w:r>
      <w:r w:rsidR="00FD1CBA">
        <w:rPr>
          <w:color w:val="000000"/>
        </w:rPr>
        <w:t xml:space="preserve"> in this case</w:t>
      </w:r>
      <w:r w:rsidRPr="003F7FB9">
        <w:rPr>
          <w:color w:val="000000"/>
        </w:rPr>
        <w:t xml:space="preserve">. These include: </w:t>
      </w:r>
    </w:p>
    <w:p w:rsidR="00592FE4" w:rsidRPr="003F7FB9" w:rsidRDefault="00592FE4" w:rsidP="00592FE4">
      <w:pPr>
        <w:numPr>
          <w:ilvl w:val="0"/>
          <w:numId w:val="6"/>
        </w:numPr>
        <w:shd w:val="clear" w:color="auto" w:fill="FFFFFF"/>
        <w:rPr>
          <w:color w:val="000000"/>
        </w:rPr>
      </w:pPr>
      <w:r w:rsidRPr="003F7FB9">
        <w:rPr>
          <w:rStyle w:val="Emphasis"/>
          <w:i w:val="0"/>
          <w:color w:val="000000"/>
        </w:rPr>
        <w:t>Generalize</w:t>
      </w:r>
      <w:r w:rsidR="00FD1CBA">
        <w:rPr>
          <w:rStyle w:val="Emphasis"/>
          <w:i w:val="0"/>
          <w:color w:val="000000"/>
        </w:rPr>
        <w:t xml:space="preserve"> results</w:t>
      </w:r>
      <w:r w:rsidRPr="003F7FB9">
        <w:rPr>
          <w:rStyle w:val="Emphasis"/>
          <w:i w:val="0"/>
          <w:color w:val="000000"/>
        </w:rPr>
        <w:t xml:space="preserve"> to the respondents only</w:t>
      </w:r>
      <w:r w:rsidRPr="003F7FB9">
        <w:rPr>
          <w:i/>
          <w:color w:val="000000"/>
        </w:rPr>
        <w:t>.</w:t>
      </w:r>
      <w:r w:rsidRPr="003F7FB9">
        <w:rPr>
          <w:color w:val="000000"/>
        </w:rPr>
        <w:t xml:space="preserve"> This strategy avoids making erroneous inferences about the larger population.</w:t>
      </w:r>
    </w:p>
    <w:p w:rsidR="00592FE4" w:rsidRPr="003F7FB9" w:rsidRDefault="00FD1CBA" w:rsidP="00592FE4">
      <w:pPr>
        <w:numPr>
          <w:ilvl w:val="0"/>
          <w:numId w:val="6"/>
        </w:numPr>
        <w:shd w:val="clear" w:color="auto" w:fill="FFFFFF"/>
        <w:rPr>
          <w:color w:val="000000"/>
        </w:rPr>
      </w:pPr>
      <w:r>
        <w:rPr>
          <w:rStyle w:val="Emphasis"/>
          <w:i w:val="0"/>
          <w:color w:val="000000"/>
        </w:rPr>
        <w:t>Send reminder emails to</w:t>
      </w:r>
      <w:r w:rsidR="00592FE4" w:rsidRPr="003F7FB9">
        <w:rPr>
          <w:rStyle w:val="Emphasis"/>
          <w:i w:val="0"/>
          <w:color w:val="000000"/>
        </w:rPr>
        <w:t xml:space="preserve"> nonrespondents</w:t>
      </w:r>
      <w:r w:rsidR="00592FE4" w:rsidRPr="003F7FB9">
        <w:rPr>
          <w:i/>
          <w:color w:val="000000"/>
        </w:rPr>
        <w:t>.</w:t>
      </w:r>
      <w:r w:rsidR="00592FE4" w:rsidRPr="003F7FB9">
        <w:rPr>
          <w:color w:val="000000"/>
        </w:rPr>
        <w:t xml:space="preserve"> </w:t>
      </w:r>
      <w:r w:rsidR="00592FE4">
        <w:rPr>
          <w:color w:val="000000"/>
        </w:rPr>
        <w:t xml:space="preserve">Nonrespondents will be contacted to assess </w:t>
      </w:r>
      <w:r w:rsidR="00592FE4" w:rsidRPr="003F7FB9">
        <w:rPr>
          <w:color w:val="000000"/>
        </w:rPr>
        <w:t xml:space="preserve">why </w:t>
      </w:r>
      <w:r w:rsidR="00592FE4">
        <w:rPr>
          <w:color w:val="000000"/>
        </w:rPr>
        <w:t xml:space="preserve">they </w:t>
      </w:r>
      <w:r w:rsidR="00592FE4" w:rsidRPr="003F7FB9">
        <w:rPr>
          <w:color w:val="000000"/>
        </w:rPr>
        <w:t xml:space="preserve">did not respond </w:t>
      </w:r>
      <w:r w:rsidR="00592FE4">
        <w:rPr>
          <w:color w:val="000000"/>
        </w:rPr>
        <w:t>to h</w:t>
      </w:r>
      <w:r w:rsidR="00592FE4" w:rsidRPr="003F7FB9">
        <w:rPr>
          <w:color w:val="000000"/>
        </w:rPr>
        <w:t>elp determine the extent of response bias. Nonrespondents who cannot be contacted can continue to bias the sample estimates.</w:t>
      </w:r>
    </w:p>
    <w:p w:rsidR="00592FE4" w:rsidRPr="003F7FB9" w:rsidRDefault="00592FE4" w:rsidP="00592FE4">
      <w:pPr>
        <w:numPr>
          <w:ilvl w:val="0"/>
          <w:numId w:val="6"/>
        </w:numPr>
        <w:shd w:val="clear" w:color="auto" w:fill="FFFFFF"/>
        <w:rPr>
          <w:color w:val="000000"/>
        </w:rPr>
      </w:pPr>
      <w:r w:rsidRPr="005969FA">
        <w:rPr>
          <w:rStyle w:val="Emphasis"/>
          <w:i w:val="0"/>
          <w:color w:val="000000"/>
        </w:rPr>
        <w:t xml:space="preserve">Compare data </w:t>
      </w:r>
      <w:r w:rsidR="00390D60">
        <w:rPr>
          <w:rStyle w:val="Emphasis"/>
          <w:i w:val="0"/>
          <w:color w:val="000000"/>
        </w:rPr>
        <w:t xml:space="preserve">from union membership </w:t>
      </w:r>
      <w:r w:rsidRPr="005969FA">
        <w:rPr>
          <w:rStyle w:val="Emphasis"/>
          <w:i w:val="0"/>
          <w:color w:val="000000"/>
        </w:rPr>
        <w:t>on respondents and nonrespondents</w:t>
      </w:r>
      <w:r w:rsidRPr="005969FA">
        <w:rPr>
          <w:i/>
          <w:color w:val="000000"/>
        </w:rPr>
        <w:t>.</w:t>
      </w:r>
      <w:r w:rsidRPr="003F7FB9">
        <w:rPr>
          <w:color w:val="000000"/>
        </w:rPr>
        <w:t xml:space="preserve"> If data</w:t>
      </w:r>
      <w:r>
        <w:rPr>
          <w:color w:val="000000"/>
        </w:rPr>
        <w:t xml:space="preserve"> (</w:t>
      </w:r>
      <w:r w:rsidRPr="003F7FB9">
        <w:rPr>
          <w:color w:val="000000"/>
        </w:rPr>
        <w:t xml:space="preserve">e.g., </w:t>
      </w:r>
      <w:r w:rsidR="00390D60">
        <w:rPr>
          <w:color w:val="000000"/>
        </w:rPr>
        <w:t>gender, age, race) is available,</w:t>
      </w:r>
      <w:r w:rsidRPr="003F7FB9">
        <w:rPr>
          <w:color w:val="000000"/>
        </w:rPr>
        <w:t xml:space="preserve"> the composition of respondents </w:t>
      </w:r>
      <w:r>
        <w:rPr>
          <w:color w:val="000000"/>
        </w:rPr>
        <w:t xml:space="preserve">will be </w:t>
      </w:r>
      <w:r w:rsidRPr="003F7FB9">
        <w:rPr>
          <w:color w:val="000000"/>
        </w:rPr>
        <w:t>compared with that of nonrespondents to see if there are any differences. The presence of differences indicates response bias and that caution is necessary in making inferences.</w:t>
      </w:r>
    </w:p>
    <w:p w:rsidR="00B87CC9" w:rsidRPr="006C455C" w:rsidRDefault="00390D60" w:rsidP="005E1E4C">
      <w:pPr>
        <w:pStyle w:val="FMCSABullet"/>
        <w:numPr>
          <w:ilvl w:val="0"/>
          <w:numId w:val="0"/>
        </w:numPr>
        <w:spacing w:after="240"/>
        <w:ind w:left="720"/>
        <w:rPr>
          <w:rFonts w:ascii="Times New Roman" w:hAnsi="Times New Roman"/>
          <w:color w:val="auto"/>
          <w:sz w:val="24"/>
          <w:szCs w:val="24"/>
        </w:rPr>
      </w:pPr>
      <w:r w:rsidRPr="00390D60">
        <w:rPr>
          <w:rFonts w:ascii="Times New Roman" w:hAnsi="Times New Roman"/>
          <w:color w:val="auto"/>
          <w:sz w:val="24"/>
          <w:szCs w:val="24"/>
        </w:rPr>
        <w:t xml:space="preserve">In addition, </w:t>
      </w:r>
      <w:r>
        <w:rPr>
          <w:rFonts w:ascii="Times New Roman" w:hAnsi="Times New Roman"/>
          <w:color w:val="auto"/>
          <w:sz w:val="24"/>
          <w:szCs w:val="24"/>
        </w:rPr>
        <w:t>a small number of</w:t>
      </w:r>
      <w:r w:rsidRPr="00390D60">
        <w:rPr>
          <w:rFonts w:ascii="Times New Roman" w:hAnsi="Times New Roman"/>
          <w:color w:val="auto"/>
          <w:sz w:val="24"/>
          <w:szCs w:val="24"/>
        </w:rPr>
        <w:t xml:space="preserve"> focus groups </w:t>
      </w:r>
      <w:r>
        <w:rPr>
          <w:rFonts w:ascii="Times New Roman" w:hAnsi="Times New Roman"/>
          <w:color w:val="auto"/>
          <w:sz w:val="24"/>
          <w:szCs w:val="24"/>
        </w:rPr>
        <w:t xml:space="preserve">will be conducted </w:t>
      </w:r>
      <w:r w:rsidRPr="00390D60">
        <w:rPr>
          <w:rFonts w:ascii="Times New Roman" w:hAnsi="Times New Roman"/>
          <w:color w:val="auto"/>
          <w:sz w:val="24"/>
          <w:szCs w:val="24"/>
        </w:rPr>
        <w:t>to elicit expert judgment concerning the validity of the results of the survey</w:t>
      </w:r>
      <w:r>
        <w:rPr>
          <w:rFonts w:ascii="Times New Roman" w:hAnsi="Times New Roman"/>
          <w:color w:val="auto"/>
          <w:sz w:val="24"/>
          <w:szCs w:val="24"/>
        </w:rPr>
        <w:t xml:space="preserve"> and to delve deeper into the issue of commute times and the resulting impact on fatigue and safety.</w:t>
      </w:r>
      <w:r w:rsidRPr="00390D60">
        <w:rPr>
          <w:rFonts w:ascii="Times New Roman" w:hAnsi="Times New Roman"/>
          <w:color w:val="auto"/>
          <w:sz w:val="24"/>
          <w:szCs w:val="24"/>
        </w:rPr>
        <w:t xml:space="preserve"> The focus groups will </w:t>
      </w:r>
      <w:r>
        <w:rPr>
          <w:rFonts w:ascii="Times New Roman" w:hAnsi="Times New Roman"/>
          <w:color w:val="auto"/>
          <w:sz w:val="24"/>
          <w:szCs w:val="24"/>
        </w:rPr>
        <w:t>comprise</w:t>
      </w:r>
      <w:r w:rsidRPr="00390D60">
        <w:rPr>
          <w:rFonts w:ascii="Times New Roman" w:hAnsi="Times New Roman"/>
          <w:color w:val="auto"/>
          <w:sz w:val="24"/>
          <w:szCs w:val="24"/>
        </w:rPr>
        <w:t xml:space="preserve"> of </w:t>
      </w:r>
      <w:r>
        <w:rPr>
          <w:rFonts w:ascii="Times New Roman" w:hAnsi="Times New Roman"/>
          <w:color w:val="auto"/>
          <w:sz w:val="24"/>
          <w:szCs w:val="24"/>
        </w:rPr>
        <w:t>locomotive engineers</w:t>
      </w:r>
      <w:r w:rsidRPr="00390D60">
        <w:rPr>
          <w:rFonts w:ascii="Times New Roman" w:hAnsi="Times New Roman"/>
          <w:color w:val="auto"/>
          <w:sz w:val="24"/>
          <w:szCs w:val="24"/>
        </w:rPr>
        <w:t xml:space="preserve">, </w:t>
      </w:r>
      <w:r>
        <w:rPr>
          <w:rFonts w:ascii="Times New Roman" w:hAnsi="Times New Roman"/>
          <w:color w:val="auto"/>
          <w:sz w:val="24"/>
          <w:szCs w:val="24"/>
        </w:rPr>
        <w:t>safety managers,</w:t>
      </w:r>
      <w:r w:rsidRPr="00390D60">
        <w:rPr>
          <w:rFonts w:ascii="Times New Roman" w:hAnsi="Times New Roman"/>
          <w:color w:val="auto"/>
          <w:sz w:val="24"/>
          <w:szCs w:val="24"/>
        </w:rPr>
        <w:t xml:space="preserve"> </w:t>
      </w:r>
      <w:r>
        <w:rPr>
          <w:rFonts w:ascii="Times New Roman" w:hAnsi="Times New Roman"/>
          <w:color w:val="auto"/>
          <w:sz w:val="24"/>
          <w:szCs w:val="24"/>
        </w:rPr>
        <w:t>union representatives</w:t>
      </w:r>
      <w:r w:rsidRPr="00390D60">
        <w:rPr>
          <w:rFonts w:ascii="Times New Roman" w:hAnsi="Times New Roman"/>
          <w:color w:val="auto"/>
          <w:sz w:val="24"/>
          <w:szCs w:val="24"/>
        </w:rPr>
        <w:t xml:space="preserve">, and </w:t>
      </w:r>
      <w:r w:rsidR="006C455C">
        <w:rPr>
          <w:rFonts w:ascii="Times New Roman" w:hAnsi="Times New Roman"/>
          <w:color w:val="auto"/>
          <w:sz w:val="24"/>
          <w:szCs w:val="24"/>
        </w:rPr>
        <w:t>rail industry representatives</w:t>
      </w:r>
      <w:r w:rsidRPr="00390D60">
        <w:rPr>
          <w:rFonts w:ascii="Times New Roman" w:hAnsi="Times New Roman"/>
          <w:color w:val="auto"/>
          <w:sz w:val="24"/>
          <w:szCs w:val="24"/>
        </w:rPr>
        <w:t xml:space="preserve"> familiar with </w:t>
      </w:r>
      <w:r w:rsidR="006C455C">
        <w:rPr>
          <w:rFonts w:ascii="Times New Roman" w:hAnsi="Times New Roman"/>
          <w:color w:val="auto"/>
          <w:sz w:val="24"/>
          <w:szCs w:val="24"/>
        </w:rPr>
        <w:t xml:space="preserve">engineer job functions. </w:t>
      </w:r>
      <w:r w:rsidRPr="00390D60">
        <w:rPr>
          <w:rFonts w:ascii="Times New Roman" w:hAnsi="Times New Roman"/>
          <w:color w:val="auto"/>
          <w:sz w:val="24"/>
          <w:szCs w:val="24"/>
        </w:rPr>
        <w:t>The focus groups will be asked to e</w:t>
      </w:r>
      <w:r w:rsidR="006C455C">
        <w:rPr>
          <w:rFonts w:ascii="Times New Roman" w:hAnsi="Times New Roman"/>
          <w:color w:val="auto"/>
          <w:sz w:val="24"/>
          <w:szCs w:val="24"/>
        </w:rPr>
        <w:t>laborate on</w:t>
      </w:r>
      <w:r w:rsidRPr="00390D60">
        <w:rPr>
          <w:rFonts w:ascii="Times New Roman" w:hAnsi="Times New Roman"/>
          <w:color w:val="auto"/>
          <w:sz w:val="24"/>
          <w:szCs w:val="24"/>
        </w:rPr>
        <w:t xml:space="preserve"> </w:t>
      </w:r>
      <w:r w:rsidR="006C455C">
        <w:rPr>
          <w:rFonts w:ascii="Times New Roman" w:hAnsi="Times New Roman"/>
          <w:color w:val="auto"/>
          <w:sz w:val="24"/>
          <w:szCs w:val="24"/>
        </w:rPr>
        <w:t xml:space="preserve">key findings from </w:t>
      </w:r>
      <w:r w:rsidRPr="00390D60">
        <w:rPr>
          <w:rFonts w:ascii="Times New Roman" w:hAnsi="Times New Roman"/>
          <w:color w:val="auto"/>
          <w:sz w:val="24"/>
          <w:szCs w:val="24"/>
        </w:rPr>
        <w:t>the</w:t>
      </w:r>
      <w:r w:rsidR="006C455C">
        <w:rPr>
          <w:rFonts w:ascii="Times New Roman" w:hAnsi="Times New Roman"/>
          <w:color w:val="auto"/>
          <w:sz w:val="24"/>
          <w:szCs w:val="24"/>
        </w:rPr>
        <w:t xml:space="preserve"> survey to allow for a more in-depth understanding of the issues faced by locomotive engineers and possible ways to mitigate them.</w:t>
      </w:r>
    </w:p>
    <w:p w:rsidR="00B87CC9" w:rsidRDefault="00B87CC9" w:rsidP="00C04033">
      <w:pPr>
        <w:pStyle w:val="ListParagraph"/>
        <w:widowControl w:val="0"/>
        <w:numPr>
          <w:ilvl w:val="0"/>
          <w:numId w:val="2"/>
        </w:numPr>
        <w:spacing w:after="120"/>
        <w:rPr>
          <w:b/>
          <w:szCs w:val="24"/>
        </w:rPr>
      </w:pPr>
      <w:r w:rsidRPr="00B87CC9">
        <w:rPr>
          <w:b/>
          <w:szCs w:val="24"/>
          <w:u w:val="single"/>
        </w:rPr>
        <w:t>Describe any test procedures for procedures or methods to be undertaken</w:t>
      </w:r>
      <w:r w:rsidRPr="00B87CC9">
        <w:rPr>
          <w:b/>
          <w:szCs w:val="24"/>
        </w:rPr>
        <w:t xml:space="preserve">. </w:t>
      </w:r>
    </w:p>
    <w:p w:rsidR="00B87CC9" w:rsidRPr="00C04033" w:rsidRDefault="00C04033" w:rsidP="00C04033">
      <w:pPr>
        <w:widowControl w:val="0"/>
        <w:spacing w:after="240"/>
        <w:ind w:left="720"/>
        <w:rPr>
          <w:szCs w:val="24"/>
        </w:rPr>
      </w:pPr>
      <w:r w:rsidRPr="00C04033">
        <w:rPr>
          <w:szCs w:val="24"/>
        </w:rPr>
        <w:t xml:space="preserve">A pilot </w:t>
      </w:r>
      <w:r>
        <w:rPr>
          <w:szCs w:val="24"/>
        </w:rPr>
        <w:t>survey with no more than 9 participants will be conducted to refine the data collection procedure and instruments. This will ensure questions are appropriately worded to acquire the desired information and the online survey is working correctly. Participants in the pilot survey will not be compensated but their feedback will help to make sure the project is a success.</w:t>
      </w:r>
    </w:p>
    <w:p w:rsidR="00B87CC9" w:rsidRDefault="00B87CC9" w:rsidP="004D72A8">
      <w:pPr>
        <w:pStyle w:val="ListParagraph"/>
        <w:numPr>
          <w:ilvl w:val="0"/>
          <w:numId w:val="2"/>
        </w:numPr>
        <w:rPr>
          <w:b/>
          <w:szCs w:val="24"/>
        </w:rPr>
      </w:pPr>
      <w:r w:rsidRPr="00255B3F">
        <w:rPr>
          <w:b/>
          <w:szCs w:val="24"/>
          <w:u w:val="single"/>
        </w:rPr>
        <w:t>Provide name and phone number of individuals consulted on statistical aspects of study design and other persons who will collect/analyze information for agency</w:t>
      </w:r>
      <w:r w:rsidRPr="00255B3F">
        <w:rPr>
          <w:b/>
          <w:szCs w:val="24"/>
        </w:rPr>
        <w:t xml:space="preserve">.  </w:t>
      </w:r>
    </w:p>
    <w:p w:rsidR="004D72A8" w:rsidRDefault="00C04033" w:rsidP="004D72A8">
      <w:pPr>
        <w:spacing w:before="120"/>
        <w:ind w:left="720"/>
        <w:rPr>
          <w:szCs w:val="24"/>
        </w:rPr>
      </w:pPr>
      <w:r>
        <w:rPr>
          <w:szCs w:val="24"/>
        </w:rPr>
        <w:t>FRA has contracted the services of Virginia Tech Transportation Institute for the conduct of this study. VTTI will be responsible for data collection, information coding, and analysis.</w:t>
      </w:r>
    </w:p>
    <w:p w:rsidR="00C04033" w:rsidRDefault="00C04033" w:rsidP="00FB50E2">
      <w:pPr>
        <w:spacing w:before="120" w:after="120"/>
        <w:ind w:left="720"/>
        <w:rPr>
          <w:szCs w:val="24"/>
        </w:rPr>
      </w:pPr>
      <w:r>
        <w:rPr>
          <w:szCs w:val="24"/>
        </w:rPr>
        <w:t>The primary point of contact from VTTI for this work is:</w:t>
      </w:r>
    </w:p>
    <w:p w:rsidR="00C04033" w:rsidRDefault="00C04033" w:rsidP="00FB50E2">
      <w:pPr>
        <w:ind w:left="720"/>
        <w:rPr>
          <w:szCs w:val="24"/>
        </w:rPr>
      </w:pPr>
      <w:r>
        <w:rPr>
          <w:szCs w:val="24"/>
        </w:rPr>
        <w:t>Naomi Dunn, Ph.D.</w:t>
      </w:r>
    </w:p>
    <w:p w:rsidR="00C04033" w:rsidRDefault="00FB50E2" w:rsidP="00FB50E2">
      <w:pPr>
        <w:ind w:left="720"/>
        <w:rPr>
          <w:szCs w:val="24"/>
        </w:rPr>
      </w:pPr>
      <w:r>
        <w:rPr>
          <w:szCs w:val="24"/>
        </w:rPr>
        <w:t>Ph: (540) 231-1064</w:t>
      </w:r>
    </w:p>
    <w:p w:rsidR="00FB50E2" w:rsidRPr="004D72A8" w:rsidRDefault="00FB50E2" w:rsidP="00FB50E2">
      <w:pPr>
        <w:ind w:left="720"/>
        <w:rPr>
          <w:szCs w:val="24"/>
        </w:rPr>
      </w:pPr>
      <w:r>
        <w:rPr>
          <w:szCs w:val="24"/>
        </w:rPr>
        <w:t>ndunn@vtti.vt.edu</w:t>
      </w:r>
    </w:p>
    <w:sectPr w:rsidR="00FB50E2" w:rsidRPr="004D72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0E2" w:rsidRDefault="004730E2" w:rsidP="004730E2">
      <w:r>
        <w:separator/>
      </w:r>
    </w:p>
  </w:endnote>
  <w:endnote w:type="continuationSeparator" w:id="0">
    <w:p w:rsidR="004730E2" w:rsidRDefault="004730E2" w:rsidP="0047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0E2" w:rsidRDefault="004730E2" w:rsidP="004730E2">
      <w:r>
        <w:separator/>
      </w:r>
    </w:p>
  </w:footnote>
  <w:footnote w:type="continuationSeparator" w:id="0">
    <w:p w:rsidR="004730E2" w:rsidRDefault="004730E2" w:rsidP="004730E2">
      <w:r>
        <w:continuationSeparator/>
      </w:r>
    </w:p>
  </w:footnote>
  <w:footnote w:id="1">
    <w:p w:rsidR="004730E2" w:rsidRPr="004730E2" w:rsidRDefault="004730E2" w:rsidP="004730E2">
      <w:pPr>
        <w:ind w:left="-72" w:hanging="288"/>
        <w:rPr>
          <w:b/>
          <w:bCs/>
          <w:szCs w:val="24"/>
        </w:rPr>
      </w:pPr>
      <w:r>
        <w:rPr>
          <w:rStyle w:val="FootnoteReference"/>
        </w:rPr>
        <w:footnoteRef/>
      </w:r>
      <w:r>
        <w:t xml:space="preserve"> </w:t>
      </w:r>
      <w:r w:rsidRPr="004730E2">
        <w:rPr>
          <w:sz w:val="20"/>
        </w:rPr>
        <w:t xml:space="preserve">Hickman, J.S., Mabry, J.E., Glenn, L., Guo, F., Mao, H., Hanowski, R.J., Whiteman, J., Herbert, W. (under Agency review). </w:t>
      </w:r>
      <w:r w:rsidRPr="004730E2">
        <w:rPr>
          <w:i/>
          <w:sz w:val="20"/>
        </w:rPr>
        <w:t>Commercial Driver Study Risk Factors Study (CDSRF).</w:t>
      </w:r>
      <w:r w:rsidRPr="004730E2">
        <w:rPr>
          <w:sz w:val="20"/>
        </w:rPr>
        <w:t xml:space="preserve"> Washington, DC: Federal Moto</w:t>
      </w:r>
      <w:r>
        <w:rPr>
          <w:sz w:val="20"/>
        </w:rPr>
        <w:t>r Carrier Safety Administration.</w:t>
      </w:r>
    </w:p>
  </w:footnote>
  <w:footnote w:id="2">
    <w:p w:rsidR="004730E2" w:rsidRPr="004730E2" w:rsidRDefault="004730E2">
      <w:pPr>
        <w:pStyle w:val="FootnoteText"/>
      </w:pPr>
      <w:r>
        <w:rPr>
          <w:rStyle w:val="FootnoteReference"/>
        </w:rPr>
        <w:footnoteRef/>
      </w:r>
      <w:r>
        <w:t xml:space="preserve"> Dillman, D. (2007). </w:t>
      </w:r>
      <w:r>
        <w:rPr>
          <w:i/>
        </w:rPr>
        <w:t>Mail and Internet Surveys: The Tailored Design Method.</w:t>
      </w:r>
      <w:r>
        <w:t xml:space="preserve"> Wiley: USA.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407E5"/>
    <w:multiLevelType w:val="multilevel"/>
    <w:tmpl w:val="AA8EA36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2A89777A"/>
    <w:multiLevelType w:val="hybridMultilevel"/>
    <w:tmpl w:val="49222A4E"/>
    <w:lvl w:ilvl="0" w:tplc="65E22C0C">
      <w:start w:val="1"/>
      <w:numFmt w:val="bullet"/>
      <w:pStyle w:val="FMCSABullet"/>
      <w:lvlText w:val=""/>
      <w:lvlJc w:val="left"/>
      <w:pPr>
        <w:tabs>
          <w:tab w:val="num" w:pos="360"/>
        </w:tabs>
        <w:ind w:left="360" w:hanging="360"/>
      </w:pPr>
      <w:rPr>
        <w:rFonts w:ascii="Symbol" w:hAnsi="Symbol"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C8E7B62"/>
    <w:multiLevelType w:val="hybridMultilevel"/>
    <w:tmpl w:val="847C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87667"/>
    <w:multiLevelType w:val="hybridMultilevel"/>
    <w:tmpl w:val="4DE8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2E2ACF"/>
    <w:multiLevelType w:val="hybridMultilevel"/>
    <w:tmpl w:val="1A603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B155D1"/>
    <w:multiLevelType w:val="hybridMultilevel"/>
    <w:tmpl w:val="9BAA613A"/>
    <w:lvl w:ilvl="0" w:tplc="C90426C0">
      <w:start w:val="1"/>
      <w:numFmt w:val="bullet"/>
      <w:lvlText w:val=""/>
      <w:lvlJc w:val="left"/>
      <w:pPr>
        <w:tabs>
          <w:tab w:val="num" w:pos="6120"/>
        </w:tabs>
        <w:ind w:left="6120" w:hanging="360"/>
      </w:pPr>
      <w:rPr>
        <w:rFonts w:ascii="Symbol" w:hAnsi="Symbol" w:hint="default"/>
        <w:color w:val="auto"/>
      </w:rPr>
    </w:lvl>
    <w:lvl w:ilvl="1" w:tplc="F2A8A34A" w:tentative="1">
      <w:start w:val="1"/>
      <w:numFmt w:val="bullet"/>
      <w:lvlText w:val="o"/>
      <w:lvlJc w:val="left"/>
      <w:pPr>
        <w:tabs>
          <w:tab w:val="num" w:pos="6480"/>
        </w:tabs>
        <w:ind w:left="6480" w:hanging="360"/>
      </w:pPr>
      <w:rPr>
        <w:rFonts w:ascii="Courier New" w:hAnsi="Courier New" w:hint="default"/>
      </w:rPr>
    </w:lvl>
    <w:lvl w:ilvl="2" w:tplc="FAFACE4A" w:tentative="1">
      <w:start w:val="1"/>
      <w:numFmt w:val="bullet"/>
      <w:lvlText w:val=""/>
      <w:lvlJc w:val="left"/>
      <w:pPr>
        <w:tabs>
          <w:tab w:val="num" w:pos="7200"/>
        </w:tabs>
        <w:ind w:left="7200" w:hanging="360"/>
      </w:pPr>
      <w:rPr>
        <w:rFonts w:ascii="Wingdings" w:hAnsi="Wingdings" w:hint="default"/>
      </w:rPr>
    </w:lvl>
    <w:lvl w:ilvl="3" w:tplc="A4D6499E" w:tentative="1">
      <w:start w:val="1"/>
      <w:numFmt w:val="bullet"/>
      <w:lvlText w:val=""/>
      <w:lvlJc w:val="left"/>
      <w:pPr>
        <w:tabs>
          <w:tab w:val="num" w:pos="7920"/>
        </w:tabs>
        <w:ind w:left="7920" w:hanging="360"/>
      </w:pPr>
      <w:rPr>
        <w:rFonts w:ascii="Symbol" w:hAnsi="Symbol" w:hint="default"/>
      </w:rPr>
    </w:lvl>
    <w:lvl w:ilvl="4" w:tplc="854ACE50" w:tentative="1">
      <w:start w:val="1"/>
      <w:numFmt w:val="bullet"/>
      <w:lvlText w:val="o"/>
      <w:lvlJc w:val="left"/>
      <w:pPr>
        <w:tabs>
          <w:tab w:val="num" w:pos="8640"/>
        </w:tabs>
        <w:ind w:left="8640" w:hanging="360"/>
      </w:pPr>
      <w:rPr>
        <w:rFonts w:ascii="Courier New" w:hAnsi="Courier New" w:hint="default"/>
      </w:rPr>
    </w:lvl>
    <w:lvl w:ilvl="5" w:tplc="5490B0F6" w:tentative="1">
      <w:start w:val="1"/>
      <w:numFmt w:val="bullet"/>
      <w:lvlText w:val=""/>
      <w:lvlJc w:val="left"/>
      <w:pPr>
        <w:tabs>
          <w:tab w:val="num" w:pos="9360"/>
        </w:tabs>
        <w:ind w:left="9360" w:hanging="360"/>
      </w:pPr>
      <w:rPr>
        <w:rFonts w:ascii="Wingdings" w:hAnsi="Wingdings" w:hint="default"/>
      </w:rPr>
    </w:lvl>
    <w:lvl w:ilvl="6" w:tplc="685C0216" w:tentative="1">
      <w:start w:val="1"/>
      <w:numFmt w:val="bullet"/>
      <w:lvlText w:val=""/>
      <w:lvlJc w:val="left"/>
      <w:pPr>
        <w:tabs>
          <w:tab w:val="num" w:pos="10080"/>
        </w:tabs>
        <w:ind w:left="10080" w:hanging="360"/>
      </w:pPr>
      <w:rPr>
        <w:rFonts w:ascii="Symbol" w:hAnsi="Symbol" w:hint="default"/>
      </w:rPr>
    </w:lvl>
    <w:lvl w:ilvl="7" w:tplc="3F50315C" w:tentative="1">
      <w:start w:val="1"/>
      <w:numFmt w:val="bullet"/>
      <w:lvlText w:val="o"/>
      <w:lvlJc w:val="left"/>
      <w:pPr>
        <w:tabs>
          <w:tab w:val="num" w:pos="10800"/>
        </w:tabs>
        <w:ind w:left="10800" w:hanging="360"/>
      </w:pPr>
      <w:rPr>
        <w:rFonts w:ascii="Courier New" w:hAnsi="Courier New" w:hint="default"/>
      </w:rPr>
    </w:lvl>
    <w:lvl w:ilvl="8" w:tplc="10E0C216" w:tentative="1">
      <w:start w:val="1"/>
      <w:numFmt w:val="bullet"/>
      <w:lvlText w:val=""/>
      <w:lvlJc w:val="left"/>
      <w:pPr>
        <w:tabs>
          <w:tab w:val="num" w:pos="11520"/>
        </w:tabs>
        <w:ind w:left="11520" w:hanging="360"/>
      </w:pPr>
      <w:rPr>
        <w:rFonts w:ascii="Wingdings" w:hAnsi="Wingdings" w:hint="default"/>
      </w:rPr>
    </w:lvl>
  </w:abstractNum>
  <w:abstractNum w:abstractNumId="6">
    <w:nsid w:val="7C8D7F33"/>
    <w:multiLevelType w:val="hybridMultilevel"/>
    <w:tmpl w:val="7CE830BA"/>
    <w:lvl w:ilvl="0" w:tplc="981621F4">
      <w:start w:val="1"/>
      <w:numFmt w:val="decimal"/>
      <w:lvlText w:val="%1."/>
      <w:lvlJc w:val="left"/>
      <w:pPr>
        <w:ind w:left="720" w:hanging="360"/>
      </w:pPr>
      <w:rPr>
        <w:rFonts w:ascii="Times New Roman" w:hAnsi="Times New Roman" w:cs="Times New Roman" w:hint="default"/>
        <w:b w:val="0"/>
        <w:i w:val="0"/>
        <w:color w:val="auto"/>
        <w:sz w:val="24"/>
        <w:szCs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1F"/>
    <w:rsid w:val="000C5E2D"/>
    <w:rsid w:val="000F2D1A"/>
    <w:rsid w:val="001866A5"/>
    <w:rsid w:val="001C1FB0"/>
    <w:rsid w:val="001E6D80"/>
    <w:rsid w:val="00390D60"/>
    <w:rsid w:val="0039245C"/>
    <w:rsid w:val="003A1E6E"/>
    <w:rsid w:val="003F5FFD"/>
    <w:rsid w:val="004730E2"/>
    <w:rsid w:val="004D72A8"/>
    <w:rsid w:val="00592FE4"/>
    <w:rsid w:val="005E1E4C"/>
    <w:rsid w:val="005F4076"/>
    <w:rsid w:val="006C455C"/>
    <w:rsid w:val="006F28E9"/>
    <w:rsid w:val="0070287A"/>
    <w:rsid w:val="00732EAA"/>
    <w:rsid w:val="007521E3"/>
    <w:rsid w:val="007C6378"/>
    <w:rsid w:val="009D2B69"/>
    <w:rsid w:val="00AD4DA0"/>
    <w:rsid w:val="00B06B0B"/>
    <w:rsid w:val="00B87CC9"/>
    <w:rsid w:val="00C04033"/>
    <w:rsid w:val="00C6427D"/>
    <w:rsid w:val="00D422D6"/>
    <w:rsid w:val="00D51B04"/>
    <w:rsid w:val="00D60075"/>
    <w:rsid w:val="00DC40E4"/>
    <w:rsid w:val="00E42E67"/>
    <w:rsid w:val="00EF62AF"/>
    <w:rsid w:val="00F3251F"/>
    <w:rsid w:val="00F37D64"/>
    <w:rsid w:val="00FB50E2"/>
    <w:rsid w:val="00FD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1F"/>
    <w:pPr>
      <w:spacing w:after="0" w:line="240" w:lineRule="auto"/>
    </w:pPr>
    <w:rPr>
      <w:rFonts w:ascii="Times New Roman" w:eastAsia="Times New Roman" w:hAnsi="Times New Roman" w:cs="Times New Roman"/>
      <w:sz w:val="24"/>
      <w:szCs w:val="20"/>
    </w:rPr>
  </w:style>
  <w:style w:type="paragraph" w:styleId="Heading1">
    <w:name w:val="heading 1"/>
    <w:aliases w:val="HEADING 1"/>
    <w:basedOn w:val="Normal"/>
    <w:link w:val="Heading1Char"/>
    <w:uiPriority w:val="9"/>
    <w:qFormat/>
    <w:rsid w:val="005F4076"/>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5F4076"/>
    <w:rPr>
      <w:rFonts w:ascii="Times New Roman" w:eastAsiaTheme="majorEastAsia" w:hAnsi="Times New Roman" w:cstheme="majorBidi"/>
      <w:b/>
      <w:sz w:val="32"/>
      <w:szCs w:val="32"/>
    </w:rPr>
  </w:style>
  <w:style w:type="paragraph" w:styleId="ListParagraph">
    <w:name w:val="List Paragraph"/>
    <w:basedOn w:val="Normal"/>
    <w:uiPriority w:val="34"/>
    <w:qFormat/>
    <w:rsid w:val="004D72A8"/>
    <w:pPr>
      <w:ind w:left="720"/>
      <w:contextualSpacing/>
    </w:pPr>
  </w:style>
  <w:style w:type="paragraph" w:customStyle="1" w:styleId="FMCSABullet">
    <w:name w:val="FMCSA  Bullet"/>
    <w:basedOn w:val="Normal"/>
    <w:uiPriority w:val="99"/>
    <w:rsid w:val="00592FE4"/>
    <w:pPr>
      <w:numPr>
        <w:numId w:val="3"/>
      </w:numPr>
      <w:spacing w:before="120"/>
    </w:pPr>
    <w:rPr>
      <w:rFonts w:ascii="Book Antiqua" w:hAnsi="Book Antiqua"/>
      <w:color w:val="000000"/>
      <w:sz w:val="22"/>
      <w:szCs w:val="22"/>
    </w:rPr>
  </w:style>
  <w:style w:type="character" w:styleId="Emphasis">
    <w:name w:val="Emphasis"/>
    <w:uiPriority w:val="20"/>
    <w:qFormat/>
    <w:rsid w:val="00592FE4"/>
    <w:rPr>
      <w:i/>
      <w:iCs/>
    </w:rPr>
  </w:style>
  <w:style w:type="paragraph" w:styleId="FootnoteText">
    <w:name w:val="footnote text"/>
    <w:basedOn w:val="Normal"/>
    <w:link w:val="FootnoteTextChar"/>
    <w:uiPriority w:val="99"/>
    <w:semiHidden/>
    <w:unhideWhenUsed/>
    <w:rsid w:val="004730E2"/>
    <w:rPr>
      <w:sz w:val="20"/>
    </w:rPr>
  </w:style>
  <w:style w:type="character" w:customStyle="1" w:styleId="FootnoteTextChar">
    <w:name w:val="Footnote Text Char"/>
    <w:basedOn w:val="DefaultParagraphFont"/>
    <w:link w:val="FootnoteText"/>
    <w:uiPriority w:val="99"/>
    <w:semiHidden/>
    <w:rsid w:val="004730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730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1F"/>
    <w:pPr>
      <w:spacing w:after="0" w:line="240" w:lineRule="auto"/>
    </w:pPr>
    <w:rPr>
      <w:rFonts w:ascii="Times New Roman" w:eastAsia="Times New Roman" w:hAnsi="Times New Roman" w:cs="Times New Roman"/>
      <w:sz w:val="24"/>
      <w:szCs w:val="20"/>
    </w:rPr>
  </w:style>
  <w:style w:type="paragraph" w:styleId="Heading1">
    <w:name w:val="heading 1"/>
    <w:aliases w:val="HEADING 1"/>
    <w:basedOn w:val="Normal"/>
    <w:link w:val="Heading1Char"/>
    <w:uiPriority w:val="9"/>
    <w:qFormat/>
    <w:rsid w:val="005F4076"/>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5F4076"/>
    <w:rPr>
      <w:rFonts w:ascii="Times New Roman" w:eastAsiaTheme="majorEastAsia" w:hAnsi="Times New Roman" w:cstheme="majorBidi"/>
      <w:b/>
      <w:sz w:val="32"/>
      <w:szCs w:val="32"/>
    </w:rPr>
  </w:style>
  <w:style w:type="paragraph" w:styleId="ListParagraph">
    <w:name w:val="List Paragraph"/>
    <w:basedOn w:val="Normal"/>
    <w:uiPriority w:val="34"/>
    <w:qFormat/>
    <w:rsid w:val="004D72A8"/>
    <w:pPr>
      <w:ind w:left="720"/>
      <w:contextualSpacing/>
    </w:pPr>
  </w:style>
  <w:style w:type="paragraph" w:customStyle="1" w:styleId="FMCSABullet">
    <w:name w:val="FMCSA  Bullet"/>
    <w:basedOn w:val="Normal"/>
    <w:uiPriority w:val="99"/>
    <w:rsid w:val="00592FE4"/>
    <w:pPr>
      <w:numPr>
        <w:numId w:val="3"/>
      </w:numPr>
      <w:spacing w:before="120"/>
    </w:pPr>
    <w:rPr>
      <w:rFonts w:ascii="Book Antiqua" w:hAnsi="Book Antiqua"/>
      <w:color w:val="000000"/>
      <w:sz w:val="22"/>
      <w:szCs w:val="22"/>
    </w:rPr>
  </w:style>
  <w:style w:type="character" w:styleId="Emphasis">
    <w:name w:val="Emphasis"/>
    <w:uiPriority w:val="20"/>
    <w:qFormat/>
    <w:rsid w:val="00592FE4"/>
    <w:rPr>
      <w:i/>
      <w:iCs/>
    </w:rPr>
  </w:style>
  <w:style w:type="paragraph" w:styleId="FootnoteText">
    <w:name w:val="footnote text"/>
    <w:basedOn w:val="Normal"/>
    <w:link w:val="FootnoteTextChar"/>
    <w:uiPriority w:val="99"/>
    <w:semiHidden/>
    <w:unhideWhenUsed/>
    <w:rsid w:val="004730E2"/>
    <w:rPr>
      <w:sz w:val="20"/>
    </w:rPr>
  </w:style>
  <w:style w:type="character" w:customStyle="1" w:styleId="FootnoteTextChar">
    <w:name w:val="Footnote Text Char"/>
    <w:basedOn w:val="DefaultParagraphFont"/>
    <w:link w:val="FootnoteText"/>
    <w:uiPriority w:val="99"/>
    <w:semiHidden/>
    <w:rsid w:val="004730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73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3074">
      <w:bodyDiv w:val="1"/>
      <w:marLeft w:val="0"/>
      <w:marRight w:val="0"/>
      <w:marTop w:val="0"/>
      <w:marBottom w:val="0"/>
      <w:divBdr>
        <w:top w:val="none" w:sz="0" w:space="0" w:color="auto"/>
        <w:left w:val="none" w:sz="0" w:space="0" w:color="auto"/>
        <w:bottom w:val="none" w:sz="0" w:space="0" w:color="auto"/>
        <w:right w:val="none" w:sz="0" w:space="0" w:color="auto"/>
      </w:divBdr>
    </w:div>
    <w:div w:id="63984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3FCF-CD59-48EF-8DB4-F701914F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Dunn</dc:creator>
  <cp:keywords/>
  <dc:description/>
  <cp:lastModifiedBy>SYSTEM</cp:lastModifiedBy>
  <cp:revision>2</cp:revision>
  <dcterms:created xsi:type="dcterms:W3CDTF">2019-05-06T18:33:00Z</dcterms:created>
  <dcterms:modified xsi:type="dcterms:W3CDTF">2019-05-06T18:33:00Z</dcterms:modified>
</cp:coreProperties>
</file>