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DCFC6" w14:textId="77777777" w:rsidR="007542FE" w:rsidRDefault="007542FE" w:rsidP="00456D68">
      <w:pPr>
        <w:pStyle w:val="Title2"/>
      </w:pPr>
      <w:bookmarkStart w:id="0" w:name="_GoBack"/>
      <w:bookmarkEnd w:id="0"/>
      <w:r>
        <w:t>SUPPORTING STATEMENT</w:t>
      </w:r>
    </w:p>
    <w:p w14:paraId="6FA8A343" w14:textId="5473E929" w:rsidR="007542FE" w:rsidRDefault="007542FE" w:rsidP="00456D68">
      <w:pPr>
        <w:pStyle w:val="Subtitle2"/>
      </w:pPr>
      <w:r>
        <w:t>OMB</w:t>
      </w:r>
      <w:r w:rsidR="002C5FD4">
        <w:t xml:space="preserve"> Control Number </w:t>
      </w:r>
      <w:r>
        <w:t>2120-</w:t>
      </w:r>
      <w:r w:rsidR="00FB5778">
        <w:t>NEW</w:t>
      </w:r>
    </w:p>
    <w:p w14:paraId="338C345B" w14:textId="270CA9D9" w:rsidR="007542FE" w:rsidRDefault="007542FE" w:rsidP="00456D68">
      <w:pPr>
        <w:pStyle w:val="Subtitle2"/>
      </w:pPr>
      <w:r>
        <w:t>TITLE 14, CODE OF FEDERAL REGULATIONS, PARTS 401, 413,</w:t>
      </w:r>
      <w:r w:rsidR="00604699">
        <w:t xml:space="preserve"> 450</w:t>
      </w:r>
      <w:r>
        <w:t>:</w:t>
      </w:r>
      <w:r w:rsidR="00456D68">
        <w:t xml:space="preserve"> </w:t>
      </w:r>
      <w:r w:rsidR="00604699">
        <w:t>LAUNCH AND REENTRY LICENSING REQUIR</w:t>
      </w:r>
      <w:r w:rsidR="005E7A35">
        <w:t>E</w:t>
      </w:r>
      <w:r w:rsidR="00604699">
        <w:t>MENTS</w:t>
      </w:r>
    </w:p>
    <w:p w14:paraId="24C15A02" w14:textId="62FA8203" w:rsidR="007542FE" w:rsidRPr="00E75A07" w:rsidRDefault="00D02B72" w:rsidP="004B5C34">
      <w:pPr>
        <w:pStyle w:val="Heading3"/>
      </w:pPr>
      <w:r w:rsidRPr="00E75A07">
        <w:t xml:space="preserve">A. </w:t>
      </w:r>
      <w:r w:rsidR="007542FE" w:rsidRPr="00E75A07">
        <w:t>Justification</w:t>
      </w:r>
      <w:r w:rsidR="007542FE" w:rsidRPr="002901FF">
        <w:rPr>
          <w:rStyle w:val="FootnoteReference"/>
        </w:rPr>
        <w:footnoteReference w:id="2"/>
      </w:r>
    </w:p>
    <w:p w14:paraId="4ABC303B" w14:textId="77777777" w:rsidR="005F31D8" w:rsidRPr="007F772A" w:rsidRDefault="005F31D8" w:rsidP="00C624B4">
      <w:pPr>
        <w:pStyle w:val="Heading3"/>
      </w:pPr>
    </w:p>
    <w:p w14:paraId="4F6622AE" w14:textId="5A4F4AEE" w:rsidR="008877A9" w:rsidRPr="00207033" w:rsidRDefault="00D02B72" w:rsidP="00C624B4">
      <w:pPr>
        <w:pStyle w:val="Heading3"/>
      </w:pPr>
      <w:r w:rsidRPr="00207033">
        <w:t xml:space="preserve">1. </w:t>
      </w:r>
      <w:r w:rsidR="007542FE" w:rsidRPr="00207033">
        <w:t xml:space="preserve">Explain the circumstances that make collection of information necessary.  Identify any legal or administrative requirements that </w:t>
      </w:r>
      <w:r w:rsidR="008877A9" w:rsidRPr="00207033">
        <w:t xml:space="preserve">necessitate the collection. </w:t>
      </w:r>
    </w:p>
    <w:p w14:paraId="2EFA7FDA" w14:textId="77777777" w:rsidR="005F31D8" w:rsidRPr="005F31D8" w:rsidRDefault="005F31D8" w:rsidP="00207033">
      <w:pPr>
        <w:pStyle w:val="BodyText"/>
      </w:pPr>
    </w:p>
    <w:p w14:paraId="24FB9AF1" w14:textId="516EA784" w:rsidR="008D6D50" w:rsidRPr="00B6757E" w:rsidRDefault="008544DC" w:rsidP="00C624B4">
      <w:pPr>
        <w:pStyle w:val="Heading3"/>
        <w:rPr>
          <w:b w:val="0"/>
        </w:rPr>
      </w:pPr>
      <w:r w:rsidRPr="00B6757E">
        <w:rPr>
          <w:b w:val="0"/>
        </w:rPr>
        <w:t xml:space="preserve">51 U.S.C. Chapter 509 requires </w:t>
      </w:r>
      <w:r w:rsidR="005F31D8" w:rsidRPr="00B6757E">
        <w:rPr>
          <w:b w:val="0"/>
        </w:rPr>
        <w:t xml:space="preserve">that </w:t>
      </w:r>
      <w:r w:rsidRPr="00B6757E">
        <w:rPr>
          <w:b w:val="0"/>
        </w:rPr>
        <w:t>the FAA oversee commercial space activities in the United States</w:t>
      </w:r>
      <w:r w:rsidR="005F31D8" w:rsidRPr="00B6757E">
        <w:rPr>
          <w:b w:val="0"/>
        </w:rPr>
        <w:t>,</w:t>
      </w:r>
      <w:r w:rsidRPr="00B6757E">
        <w:rPr>
          <w:b w:val="0"/>
        </w:rPr>
        <w:t xml:space="preserve"> or </w:t>
      </w:r>
      <w:r w:rsidR="005F31D8" w:rsidRPr="00B6757E">
        <w:rPr>
          <w:b w:val="0"/>
        </w:rPr>
        <w:t xml:space="preserve">conducted </w:t>
      </w:r>
      <w:r w:rsidRPr="00B6757E">
        <w:rPr>
          <w:b w:val="0"/>
        </w:rPr>
        <w:t>by U</w:t>
      </w:r>
      <w:r w:rsidR="005F31D8" w:rsidRPr="00B6757E">
        <w:rPr>
          <w:b w:val="0"/>
        </w:rPr>
        <w:t xml:space="preserve">nited </w:t>
      </w:r>
      <w:r w:rsidRPr="00B6757E">
        <w:rPr>
          <w:b w:val="0"/>
        </w:rPr>
        <w:t>S</w:t>
      </w:r>
      <w:r w:rsidR="005F31D8" w:rsidRPr="00B6757E">
        <w:rPr>
          <w:b w:val="0"/>
        </w:rPr>
        <w:t>tates</w:t>
      </w:r>
      <w:r w:rsidRPr="00B6757E">
        <w:rPr>
          <w:b w:val="0"/>
        </w:rPr>
        <w:t xml:space="preserve"> citizens </w:t>
      </w:r>
      <w:r w:rsidR="005F31D8" w:rsidRPr="00B6757E">
        <w:rPr>
          <w:b w:val="0"/>
        </w:rPr>
        <w:t xml:space="preserve">abroad, </w:t>
      </w:r>
      <w:r w:rsidRPr="00B6757E">
        <w:rPr>
          <w:b w:val="0"/>
        </w:rPr>
        <w:t xml:space="preserve">to ensure they do not unduly jeopardize the public health and safety, safety of property, or national security or foreign policy interests of the United States. Generally speaking, </w:t>
      </w:r>
      <w:r w:rsidR="00610673" w:rsidRPr="00B6757E">
        <w:rPr>
          <w:b w:val="0"/>
        </w:rPr>
        <w:t>C</w:t>
      </w:r>
      <w:r w:rsidRPr="00B6757E">
        <w:rPr>
          <w:b w:val="0"/>
        </w:rPr>
        <w:t xml:space="preserve">hapter 509 requires a license to launch or reenter a vehicle in the United States or for a U.S. citizen to launch or reenter a vehicle outside the United States. </w:t>
      </w:r>
      <w:r w:rsidR="000B2890" w:rsidRPr="00B6757E">
        <w:rPr>
          <w:b w:val="0"/>
        </w:rPr>
        <w:t>FAA regulations, i</w:t>
      </w:r>
      <w:r w:rsidR="0001010E" w:rsidRPr="00B6757E">
        <w:rPr>
          <w:b w:val="0"/>
        </w:rPr>
        <w:t>ncluding those proposed in 14 C</w:t>
      </w:r>
      <w:r w:rsidR="000B2890" w:rsidRPr="00B6757E">
        <w:rPr>
          <w:b w:val="0"/>
        </w:rPr>
        <w:t>FR part 450, would ensure launch and reentry operations are consistent with this statutory mandate.</w:t>
      </w:r>
      <w:r w:rsidR="003309C3" w:rsidRPr="00B6757E">
        <w:rPr>
          <w:b w:val="0"/>
        </w:rPr>
        <w:t xml:space="preserve"> </w:t>
      </w:r>
    </w:p>
    <w:p w14:paraId="744525FC" w14:textId="77777777" w:rsidR="00E830ED" w:rsidRPr="00B6757E" w:rsidRDefault="00E830ED" w:rsidP="00B33C53">
      <w:pPr>
        <w:pStyle w:val="BodyText"/>
      </w:pPr>
    </w:p>
    <w:p w14:paraId="1CCCA913" w14:textId="2ED3CC9B" w:rsidR="008D1317" w:rsidRPr="00B6757E" w:rsidRDefault="0001010E" w:rsidP="004B5C34">
      <w:pPr>
        <w:pStyle w:val="Heading3"/>
        <w:rPr>
          <w:b w:val="0"/>
        </w:rPr>
      </w:pPr>
      <w:r w:rsidRPr="00B6757E">
        <w:rPr>
          <w:b w:val="0"/>
        </w:rPr>
        <w:t xml:space="preserve">The FAA </w:t>
      </w:r>
      <w:r w:rsidR="008D6D50" w:rsidRPr="00B6757E">
        <w:rPr>
          <w:b w:val="0"/>
        </w:rPr>
        <w:t>proposed</w:t>
      </w:r>
      <w:r w:rsidRPr="00B6757E">
        <w:rPr>
          <w:b w:val="0"/>
        </w:rPr>
        <w:t xml:space="preserve"> part 450 to consolidate and </w:t>
      </w:r>
      <w:r w:rsidR="008D6D50" w:rsidRPr="00B6757E">
        <w:rPr>
          <w:b w:val="0"/>
        </w:rPr>
        <w:t xml:space="preserve">update </w:t>
      </w:r>
      <w:r w:rsidRPr="00B6757E">
        <w:rPr>
          <w:b w:val="0"/>
        </w:rPr>
        <w:t xml:space="preserve">licensing </w:t>
      </w:r>
      <w:r w:rsidR="008D6D50" w:rsidRPr="00B6757E">
        <w:rPr>
          <w:b w:val="0"/>
        </w:rPr>
        <w:t xml:space="preserve">and operational </w:t>
      </w:r>
      <w:r w:rsidRPr="00B6757E">
        <w:rPr>
          <w:b w:val="0"/>
        </w:rPr>
        <w:t xml:space="preserve">requirements currently codified in </w:t>
      </w:r>
      <w:r w:rsidR="008D1317" w:rsidRPr="00B6757E">
        <w:rPr>
          <w:b w:val="0"/>
        </w:rPr>
        <w:t>parts 415, 417, 431, and 435</w:t>
      </w:r>
      <w:r w:rsidRPr="00B6757E">
        <w:rPr>
          <w:b w:val="0"/>
        </w:rPr>
        <w:t xml:space="preserve">. The FAA collected information for those parts pursuant to </w:t>
      </w:r>
      <w:r w:rsidR="008D1317" w:rsidRPr="00B6757E">
        <w:rPr>
          <w:b w:val="0"/>
        </w:rPr>
        <w:t xml:space="preserve">OMB Control Numbers </w:t>
      </w:r>
      <w:r w:rsidR="00FD600D" w:rsidRPr="00B6757E">
        <w:rPr>
          <w:b w:val="0"/>
        </w:rPr>
        <w:t xml:space="preserve">2120-0608 and </w:t>
      </w:r>
      <w:r w:rsidR="004C0319" w:rsidRPr="00B6757E">
        <w:rPr>
          <w:b w:val="0"/>
        </w:rPr>
        <w:t>2120-0643</w:t>
      </w:r>
      <w:r w:rsidR="008D1317" w:rsidRPr="00B6757E">
        <w:rPr>
          <w:b w:val="0"/>
        </w:rPr>
        <w:t>.</w:t>
      </w:r>
      <w:r w:rsidR="00E830ED" w:rsidRPr="00B6757E">
        <w:rPr>
          <w:b w:val="0"/>
        </w:rPr>
        <w:t xml:space="preserve"> Consistent with this consolidation approach, the FAA now seeks to consolidate document collection under a single </w:t>
      </w:r>
      <w:r w:rsidR="00CA23F8" w:rsidRPr="00B6757E">
        <w:rPr>
          <w:b w:val="0"/>
        </w:rPr>
        <w:t>new</w:t>
      </w:r>
      <w:r w:rsidR="00E830ED" w:rsidRPr="00B6757E">
        <w:rPr>
          <w:b w:val="0"/>
        </w:rPr>
        <w:t xml:space="preserve"> OMB Control Number. To that end, the </w:t>
      </w:r>
      <w:r w:rsidR="00CA23F8" w:rsidRPr="00B6757E">
        <w:rPr>
          <w:b w:val="0"/>
        </w:rPr>
        <w:t>new</w:t>
      </w:r>
      <w:r w:rsidR="00E830ED" w:rsidRPr="00B6757E">
        <w:rPr>
          <w:b w:val="0"/>
        </w:rPr>
        <w:t xml:space="preserve"> OMB Control Number would document the FAA’s collection of information pursuant to parts 413 and 450.</w:t>
      </w:r>
    </w:p>
    <w:p w14:paraId="074925C8" w14:textId="77777777" w:rsidR="00E830ED" w:rsidRPr="007B4CED" w:rsidRDefault="00E830ED" w:rsidP="00B33C53">
      <w:pPr>
        <w:pStyle w:val="BodyText"/>
      </w:pPr>
    </w:p>
    <w:p w14:paraId="254A2113" w14:textId="29DE16D3" w:rsidR="00E75A07" w:rsidRDefault="00E830ED" w:rsidP="00B33C53">
      <w:pPr>
        <w:pStyle w:val="BodyText"/>
      </w:pPr>
      <w:r>
        <w:t>14 CFR p</w:t>
      </w:r>
      <w:r w:rsidR="007D307E">
        <w:t>arts 413</w:t>
      </w:r>
      <w:r w:rsidR="00782FA1">
        <w:t xml:space="preserve"> </w:t>
      </w:r>
      <w:r w:rsidR="007D307E">
        <w:t xml:space="preserve">and </w:t>
      </w:r>
      <w:r w:rsidR="00604699">
        <w:t>450</w:t>
      </w:r>
      <w:r w:rsidR="00A05B45">
        <w:t xml:space="preserve"> </w:t>
      </w:r>
      <w:r w:rsidR="00972B03">
        <w:t xml:space="preserve">collectively </w:t>
      </w:r>
      <w:r w:rsidR="007B4CED">
        <w:t>identify information applicants must submit for a vehicle operator license</w:t>
      </w:r>
      <w:r w:rsidR="007D307E">
        <w:t xml:space="preserve">. </w:t>
      </w:r>
      <w:r w:rsidR="00BA048C">
        <w:t>Part</w:t>
      </w:r>
      <w:r w:rsidR="00FA7DF7">
        <w:t xml:space="preserve"> 413</w:t>
      </w:r>
      <w:r w:rsidR="00D11ADD">
        <w:t xml:space="preserve"> (</w:t>
      </w:r>
      <w:r w:rsidR="00A05B45">
        <w:t>§</w:t>
      </w:r>
      <w:r w:rsidR="00361DF7">
        <w:t xml:space="preserve"> </w:t>
      </w:r>
      <w:r w:rsidR="00D11ADD">
        <w:t xml:space="preserve">413.7) </w:t>
      </w:r>
      <w:r w:rsidR="007B4CED">
        <w:t xml:space="preserve">sets the manner </w:t>
      </w:r>
      <w:r w:rsidR="00D11ADD">
        <w:t xml:space="preserve">for </w:t>
      </w:r>
      <w:r w:rsidR="007B4CED">
        <w:t xml:space="preserve">submitting an </w:t>
      </w:r>
      <w:r w:rsidR="00D11ADD">
        <w:t>application</w:t>
      </w:r>
      <w:r w:rsidR="00661BE7">
        <w:t xml:space="preserve">. </w:t>
      </w:r>
      <w:r w:rsidR="00D10F2F">
        <w:t xml:space="preserve">Part 450 </w:t>
      </w:r>
      <w:r w:rsidR="00661BE7">
        <w:t>S</w:t>
      </w:r>
      <w:r w:rsidR="00D11ADD">
        <w:t xml:space="preserve">ubpart B </w:t>
      </w:r>
      <w:r w:rsidR="00A05B45">
        <w:t>(Requirements to obtain a vehicle operator license)</w:t>
      </w:r>
      <w:r w:rsidR="00D10F2F">
        <w:t xml:space="preserve"> sets the broad application requirements to obtain a vehicle operator license. </w:t>
      </w:r>
      <w:r w:rsidR="002F51C6">
        <w:t xml:space="preserve">For example, </w:t>
      </w:r>
      <w:r w:rsidR="00D11ADD">
        <w:t>§</w:t>
      </w:r>
      <w:r w:rsidR="00361DF7">
        <w:t xml:space="preserve"> </w:t>
      </w:r>
      <w:r w:rsidR="00D11ADD">
        <w:t>450.41</w:t>
      </w:r>
      <w:r w:rsidR="002F51C6">
        <w:t xml:space="preserve"> sets requirements for policy review</w:t>
      </w:r>
      <w:r w:rsidR="00D11ADD">
        <w:t xml:space="preserve">, </w:t>
      </w:r>
      <w:r w:rsidR="00A74CA0">
        <w:t xml:space="preserve">§ </w:t>
      </w:r>
      <w:r w:rsidR="00D11ADD">
        <w:t>450.43</w:t>
      </w:r>
      <w:r w:rsidR="002F51C6">
        <w:t xml:space="preserve"> for payload review</w:t>
      </w:r>
      <w:r w:rsidR="00D11ADD">
        <w:t xml:space="preserve">, </w:t>
      </w:r>
      <w:r w:rsidR="00A74CA0">
        <w:t xml:space="preserve">§ </w:t>
      </w:r>
      <w:r w:rsidR="00D11ADD">
        <w:t>450.45</w:t>
      </w:r>
      <w:r w:rsidR="002F51C6">
        <w:t xml:space="preserve"> covers safety</w:t>
      </w:r>
      <w:r w:rsidR="00D11ADD">
        <w:t xml:space="preserve">, and </w:t>
      </w:r>
      <w:r w:rsidR="00A74CA0">
        <w:t xml:space="preserve">§ </w:t>
      </w:r>
      <w:r w:rsidR="00D11ADD">
        <w:t>450.47</w:t>
      </w:r>
      <w:r w:rsidR="002F51C6">
        <w:t xml:space="preserve"> addresses environmental requirements.</w:t>
      </w:r>
      <w:r w:rsidR="00D11ADD">
        <w:t xml:space="preserve"> </w:t>
      </w:r>
      <w:r w:rsidR="00811C81">
        <w:t>Part 450</w:t>
      </w:r>
      <w:r w:rsidR="00D11ADD">
        <w:t xml:space="preserve"> subpart C </w:t>
      </w:r>
      <w:r w:rsidR="00A05B45">
        <w:t xml:space="preserve">(Safety requirements) </w:t>
      </w:r>
      <w:r w:rsidR="002F51C6">
        <w:t xml:space="preserve">focuses on </w:t>
      </w:r>
      <w:r w:rsidR="000906B9">
        <w:t>safety requirements</w:t>
      </w:r>
      <w:r w:rsidR="002F51C6">
        <w:t>, some of which must be satisfied by the time of application while others apply post-license.</w:t>
      </w:r>
      <w:r w:rsidR="000906B9">
        <w:t xml:space="preserve"> </w:t>
      </w:r>
      <w:r w:rsidR="002F51C6">
        <w:t xml:space="preserve">Applicants must therefore provide the FAA information showing regulatory compliance both as part of the application and after the FAA grants a license. Part 450 </w:t>
      </w:r>
      <w:r w:rsidR="00263326">
        <w:t>subpart D (</w:t>
      </w:r>
      <w:r w:rsidR="00263326" w:rsidRPr="003C4393">
        <w:t xml:space="preserve">Terms and </w:t>
      </w:r>
      <w:r w:rsidR="00123547">
        <w:t>conditions</w:t>
      </w:r>
      <w:r w:rsidR="00263326" w:rsidRPr="003C4393">
        <w:t xml:space="preserve"> of a </w:t>
      </w:r>
      <w:r w:rsidR="00123547">
        <w:t>v</w:t>
      </w:r>
      <w:r w:rsidR="00263326" w:rsidRPr="003C4393">
        <w:t xml:space="preserve">ehicle </w:t>
      </w:r>
      <w:r w:rsidR="00123547">
        <w:t>o</w:t>
      </w:r>
      <w:r w:rsidR="00263326" w:rsidRPr="003C4393">
        <w:t xml:space="preserve">perator </w:t>
      </w:r>
      <w:r w:rsidR="00123547">
        <w:t>l</w:t>
      </w:r>
      <w:r w:rsidR="00263326" w:rsidRPr="003C4393">
        <w:t>icense</w:t>
      </w:r>
      <w:r w:rsidR="00263326">
        <w:t>)</w:t>
      </w:r>
      <w:r w:rsidR="00263326" w:rsidRPr="003C4393">
        <w:t xml:space="preserve"> </w:t>
      </w:r>
      <w:r w:rsidR="00263326">
        <w:t>contains requirements for continuing accuracy of a license</w:t>
      </w:r>
      <w:r w:rsidR="003B163A">
        <w:t xml:space="preserve"> and </w:t>
      </w:r>
      <w:r w:rsidR="00263326">
        <w:t xml:space="preserve">application </w:t>
      </w:r>
      <w:r w:rsidR="003B163A">
        <w:t xml:space="preserve">for </w:t>
      </w:r>
      <w:r w:rsidR="00263326">
        <w:t>modification</w:t>
      </w:r>
      <w:r w:rsidR="003B163A">
        <w:t xml:space="preserve"> of a license</w:t>
      </w:r>
      <w:r w:rsidR="002F51C6">
        <w:t xml:space="preserve"> (</w:t>
      </w:r>
      <w:r w:rsidR="00A74CA0">
        <w:t xml:space="preserve">§ </w:t>
      </w:r>
      <w:r w:rsidR="002F51C6">
        <w:t>450.211)</w:t>
      </w:r>
      <w:r w:rsidR="00263326">
        <w:t xml:space="preserve">, </w:t>
      </w:r>
      <w:r w:rsidR="00FE75E1">
        <w:t xml:space="preserve">preflight </w:t>
      </w:r>
      <w:r w:rsidR="00263326">
        <w:t>reporting</w:t>
      </w:r>
      <w:r w:rsidR="002F51C6">
        <w:t xml:space="preserve"> (</w:t>
      </w:r>
      <w:r w:rsidR="00A74CA0">
        <w:t xml:space="preserve">§ </w:t>
      </w:r>
      <w:r w:rsidR="002F51C6">
        <w:t>450.213)</w:t>
      </w:r>
      <w:r w:rsidR="00263326">
        <w:t>, post-flight reporting</w:t>
      </w:r>
      <w:r w:rsidR="002F51C6">
        <w:t xml:space="preserve"> (</w:t>
      </w:r>
      <w:r w:rsidR="00A74CA0">
        <w:t xml:space="preserve">§ </w:t>
      </w:r>
      <w:r w:rsidR="002F51C6">
        <w:t>450.215)</w:t>
      </w:r>
      <w:r w:rsidR="00263326">
        <w:t>, and registration of space objects</w:t>
      </w:r>
      <w:r w:rsidR="002F51C6">
        <w:t xml:space="preserve"> (</w:t>
      </w:r>
      <w:r w:rsidR="00A74CA0">
        <w:t xml:space="preserve">§ </w:t>
      </w:r>
      <w:r w:rsidR="002F51C6">
        <w:t>450.217</w:t>
      </w:r>
      <w:r w:rsidR="00A74CA0">
        <w:t>.</w:t>
      </w:r>
      <w:r w:rsidR="002F51C6">
        <w:t>)</w:t>
      </w:r>
      <w:r w:rsidR="00263326">
        <w:t xml:space="preserve"> </w:t>
      </w:r>
    </w:p>
    <w:p w14:paraId="6B49DA46" w14:textId="77777777" w:rsidR="00E75A07" w:rsidRDefault="00E75A07" w:rsidP="00B33C53">
      <w:pPr>
        <w:pStyle w:val="BodyText"/>
      </w:pPr>
    </w:p>
    <w:p w14:paraId="6A042A92" w14:textId="25DEC1A3" w:rsidR="00E75A07" w:rsidRDefault="00E75A07" w:rsidP="00B33C53">
      <w:pPr>
        <w:pStyle w:val="BodyText"/>
      </w:pPr>
      <w:r>
        <w:t xml:space="preserve">The FAA expects the information received under prior </w:t>
      </w:r>
      <w:r w:rsidRPr="008574B6">
        <w:t>OMB Control Numbers 2120-0608 and 2120-0643</w:t>
      </w:r>
      <w:r>
        <w:t xml:space="preserve"> to be substantively similar to the information received under the new OMB control number.</w:t>
      </w:r>
    </w:p>
    <w:p w14:paraId="08930A0B" w14:textId="6E954B50" w:rsidR="00A05B45" w:rsidRDefault="00A05B45" w:rsidP="00B33C53">
      <w:pPr>
        <w:pStyle w:val="BodyText"/>
      </w:pPr>
    </w:p>
    <w:p w14:paraId="5B0A5EC2" w14:textId="695FC6CF" w:rsidR="007542FE" w:rsidRPr="00207033" w:rsidRDefault="00D02B72" w:rsidP="004B5C34">
      <w:pPr>
        <w:pStyle w:val="Heading3"/>
      </w:pPr>
      <w:r w:rsidRPr="00207033">
        <w:t xml:space="preserve">2. </w:t>
      </w:r>
      <w:r w:rsidR="007542FE" w:rsidRPr="00207033">
        <w:t>Indicate how, by whom, and for what purpose the information is to be used.  Except for a new collection, indicate the actual use the agency has made of the information received from the current collection.</w:t>
      </w:r>
    </w:p>
    <w:p w14:paraId="420BF413" w14:textId="77777777" w:rsidR="005F31D8" w:rsidRPr="005F31D8" w:rsidRDefault="005F31D8" w:rsidP="00207033">
      <w:pPr>
        <w:pStyle w:val="BodyText"/>
      </w:pPr>
    </w:p>
    <w:p w14:paraId="7348E08F" w14:textId="529926FD" w:rsidR="00EB0BA6" w:rsidRDefault="00187321" w:rsidP="00B33C53">
      <w:pPr>
        <w:pStyle w:val="BodyText"/>
      </w:pPr>
      <w:r>
        <w:t>The</w:t>
      </w:r>
      <w:r w:rsidR="007542FE">
        <w:t xml:space="preserve"> </w:t>
      </w:r>
      <w:r w:rsidR="005F31D8">
        <w:t>FAA’s Office of Commercial Space Transportation (</w:t>
      </w:r>
      <w:r w:rsidR="007542FE">
        <w:t>AST</w:t>
      </w:r>
      <w:r w:rsidR="005F31D8">
        <w:t>)</w:t>
      </w:r>
      <w:r w:rsidR="007542FE">
        <w:t xml:space="preserve"> </w:t>
      </w:r>
      <w:r w:rsidR="005F31D8">
        <w:t xml:space="preserve">uses the information to ensure commercial space activities in the United States, or conducted by United States citizens abroad, do not unduly jeopardize the public health and safety, safety of property, or national security or foreign policy interests of the United States. </w:t>
      </w:r>
      <w:r w:rsidR="00CF2545">
        <w:t>AST us</w:t>
      </w:r>
      <w:r w:rsidR="0087586C">
        <w:t xml:space="preserve">es the data to assess the risk to public health and safety, and the safety of property. Risk must remain within the limits set in FAA regulations. </w:t>
      </w:r>
      <w:r w:rsidR="00EB0BA6">
        <w:t>AST shares o</w:t>
      </w:r>
      <w:r w:rsidR="00532037">
        <w:t xml:space="preserve">ther information </w:t>
      </w:r>
      <w:r w:rsidR="00EB0BA6">
        <w:t>w</w:t>
      </w:r>
      <w:r w:rsidR="00532037">
        <w:t xml:space="preserve">ith government partners </w:t>
      </w:r>
      <w:r w:rsidR="00EB0BA6">
        <w:t xml:space="preserve">(e.g., NASA, DOD, Department of State) </w:t>
      </w:r>
      <w:r w:rsidR="00532037">
        <w:t>during payload and policy reviews to ensure the proposed activities do not present unacceptable national security or foreign policy implications</w:t>
      </w:r>
      <w:r w:rsidR="00EB0BA6">
        <w:t xml:space="preserve"> for the United States</w:t>
      </w:r>
      <w:r w:rsidR="00532037">
        <w:t xml:space="preserve">. </w:t>
      </w:r>
    </w:p>
    <w:p w14:paraId="7546FED0" w14:textId="77777777" w:rsidR="00EB0BA6" w:rsidRDefault="00EB0BA6" w:rsidP="00B33C53">
      <w:pPr>
        <w:pStyle w:val="BodyText"/>
      </w:pPr>
    </w:p>
    <w:p w14:paraId="488D9FEA" w14:textId="78D27BE6" w:rsidR="0028339C" w:rsidRDefault="00E75A07" w:rsidP="00B33C53">
      <w:pPr>
        <w:pStyle w:val="BodyText"/>
      </w:pPr>
      <w:r>
        <w:t xml:space="preserve">The FAA collects information </w:t>
      </w:r>
      <w:r w:rsidR="007542FE">
        <w:t xml:space="preserve">before and after the issuance of </w:t>
      </w:r>
      <w:r w:rsidR="007D307E">
        <w:t xml:space="preserve">a </w:t>
      </w:r>
      <w:r w:rsidR="0052685E">
        <w:t xml:space="preserve">vehicle operator </w:t>
      </w:r>
      <w:r w:rsidR="007542FE">
        <w:t>license. An applicant's license proposal is assessed in terms of significant policy issues affecting the national security, foreign policy interests, or international obligations of the United States. Information collected allow</w:t>
      </w:r>
      <w:r w:rsidR="007D307E">
        <w:t>s</w:t>
      </w:r>
      <w:r w:rsidR="007542FE">
        <w:t xml:space="preserve"> AST to make a preliminary assessment of a </w:t>
      </w:r>
      <w:r w:rsidR="0052685E">
        <w:t xml:space="preserve">proposed </w:t>
      </w:r>
      <w:r w:rsidR="007542FE">
        <w:t xml:space="preserve">launch </w:t>
      </w:r>
      <w:r w:rsidR="0052685E">
        <w:t xml:space="preserve">or reentry </w:t>
      </w:r>
      <w:r w:rsidR="007542FE">
        <w:t>prior to beginning general licensing application procedures. After favorable review by AST of an applicant’s proposal in terms of policy implications, the applicant must demonstrate that it can safely launch</w:t>
      </w:r>
      <w:r w:rsidR="0052685E">
        <w:t xml:space="preserve">, including with a payload if any, or reenter </w:t>
      </w:r>
      <w:r w:rsidR="007542FE">
        <w:t xml:space="preserve">its vehicle. </w:t>
      </w:r>
      <w:r w:rsidR="007542FE" w:rsidRPr="00BE46A8">
        <w:t xml:space="preserve">To this end, </w:t>
      </w:r>
      <w:r w:rsidR="007D307E" w:rsidRPr="00BE46A8">
        <w:t>AST’s s</w:t>
      </w:r>
      <w:r w:rsidR="007542FE" w:rsidRPr="00BE46A8">
        <w:t xml:space="preserve">afety </w:t>
      </w:r>
      <w:r w:rsidR="007D307E" w:rsidRPr="00BE46A8">
        <w:t>e</w:t>
      </w:r>
      <w:r w:rsidR="007542FE" w:rsidRPr="00BE46A8">
        <w:t>valuation process</w:t>
      </w:r>
      <w:r w:rsidR="007D307E" w:rsidRPr="00BE46A8">
        <w:t xml:space="preserve"> requires </w:t>
      </w:r>
      <w:r w:rsidR="007542FE" w:rsidRPr="00BE46A8">
        <w:t>an applicant to submit information</w:t>
      </w:r>
      <w:r w:rsidR="00C31E20" w:rsidRPr="00BE46A8">
        <w:t xml:space="preserve"> that includes a description of its </w:t>
      </w:r>
      <w:r w:rsidR="00991CAF" w:rsidRPr="0081344C">
        <w:t xml:space="preserve">system </w:t>
      </w:r>
      <w:r w:rsidR="007542FE" w:rsidRPr="00BE46A8">
        <w:t>safety program</w:t>
      </w:r>
      <w:r w:rsidR="00C31E20" w:rsidRPr="0081344C">
        <w:t>,</w:t>
      </w:r>
      <w:r w:rsidR="00991CAF" w:rsidRPr="00BE46A8">
        <w:t xml:space="preserve"> hazard control strategy</w:t>
      </w:r>
      <w:r w:rsidR="00C31E20" w:rsidRPr="00BE46A8">
        <w:t>,</w:t>
      </w:r>
      <w:r w:rsidR="00991CAF" w:rsidRPr="00BE46A8">
        <w:t xml:space="preserve"> </w:t>
      </w:r>
      <w:r w:rsidR="007542FE" w:rsidRPr="00BE46A8">
        <w:t xml:space="preserve">and </w:t>
      </w:r>
      <w:r w:rsidR="00991CAF" w:rsidRPr="0081344C">
        <w:t>mishap response</w:t>
      </w:r>
      <w:r w:rsidR="00D04D8D">
        <w:t xml:space="preserve"> plan</w:t>
      </w:r>
      <w:r w:rsidR="00B02436" w:rsidRPr="0081344C">
        <w:t>.</w:t>
      </w:r>
      <w:r w:rsidR="007542FE" w:rsidRPr="00BE46A8">
        <w:t xml:space="preserve"> </w:t>
      </w:r>
      <w:r w:rsidR="0028339C">
        <w:t xml:space="preserve">Also, </w:t>
      </w:r>
      <w:r w:rsidR="007F3BBB">
        <w:t xml:space="preserve">operators must meet preflight and post-flight reporting requirements. </w:t>
      </w:r>
    </w:p>
    <w:p w14:paraId="2F8DCF67" w14:textId="77777777" w:rsidR="00EB0BA6" w:rsidRDefault="00EB0BA6" w:rsidP="00B33C53">
      <w:pPr>
        <w:pStyle w:val="BodyText"/>
      </w:pPr>
    </w:p>
    <w:p w14:paraId="0F80DF3E" w14:textId="54800D0A" w:rsidR="00193646" w:rsidRDefault="0028339C" w:rsidP="00B33C53">
      <w:pPr>
        <w:pStyle w:val="BodyText"/>
      </w:pPr>
      <w:r>
        <w:t xml:space="preserve">Additionally, </w:t>
      </w:r>
      <w:r w:rsidRPr="00D04D8D">
        <w:t xml:space="preserve">Article IV of the 1975 Convention on Registration of Objects Launched Into Outer Space </w:t>
      </w:r>
      <w:r w:rsidR="00845914">
        <w:t>(Registration of Space Objects)</w:t>
      </w:r>
      <w:r w:rsidRPr="0028339C">
        <w:t xml:space="preserve">, to which the United States is a signatory, requires details about the orbit of each space object. </w:t>
      </w:r>
      <w:r>
        <w:t xml:space="preserve">To meet this obligation, the FAA requires operators to </w:t>
      </w:r>
      <w:r w:rsidR="00193646" w:rsidRPr="00D04D8D">
        <w:t xml:space="preserve">register </w:t>
      </w:r>
      <w:r w:rsidRPr="00D04D8D">
        <w:t xml:space="preserve">with AST </w:t>
      </w:r>
      <w:r w:rsidR="00193646" w:rsidRPr="00D04D8D">
        <w:t xml:space="preserve">the name and mission of </w:t>
      </w:r>
      <w:r w:rsidR="00193646">
        <w:t>any</w:t>
      </w:r>
      <w:r w:rsidR="00193646" w:rsidRPr="00D04D8D">
        <w:t xml:space="preserve"> payload.</w:t>
      </w:r>
      <w:r w:rsidR="00193646">
        <w:t xml:space="preserve"> </w:t>
      </w:r>
    </w:p>
    <w:p w14:paraId="4F812CB2" w14:textId="77777777" w:rsidR="003A4279" w:rsidRDefault="003A4279" w:rsidP="00B33C53">
      <w:pPr>
        <w:pStyle w:val="BodyText"/>
      </w:pPr>
    </w:p>
    <w:p w14:paraId="761F2805" w14:textId="32BFEAE8" w:rsidR="007D307E" w:rsidRDefault="007542FE" w:rsidP="00B33C53">
      <w:pPr>
        <w:pStyle w:val="BodyText"/>
      </w:pPr>
      <w:r w:rsidRPr="00BE46A8">
        <w:t xml:space="preserve">Further, </w:t>
      </w:r>
      <w:r w:rsidR="00D766B6" w:rsidRPr="00BE46A8">
        <w:t>according to</w:t>
      </w:r>
      <w:r w:rsidRPr="00BE46A8">
        <w:t xml:space="preserve"> the requirements of the National Environmental Policies Act, 42 U.S.C. § 4321, et. seq., (NEPA), the Council on Environmental Quality Regulations for Implementing the Procedural Provisions of NEPA, 40 CFR Parts 1500-1508, and the DOT's Procedures for Considering Environmental Impacts, (that is, DOT Order 5610.1C), applicants </w:t>
      </w:r>
      <w:r w:rsidR="00717411">
        <w:t>must</w:t>
      </w:r>
      <w:r w:rsidRPr="00BE46A8">
        <w:t xml:space="preserve"> submit environmental information to AST</w:t>
      </w:r>
      <w:r w:rsidR="00D766B6" w:rsidRPr="00BE46A8">
        <w:t xml:space="preserve">. </w:t>
      </w:r>
      <w:r w:rsidRPr="00BE46A8">
        <w:t xml:space="preserve">This includes information concerning proposed new launch </w:t>
      </w:r>
      <w:r w:rsidR="00B02436" w:rsidRPr="00BE46A8">
        <w:t xml:space="preserve">or reentry </w:t>
      </w:r>
      <w:r w:rsidRPr="00BE46A8">
        <w:t xml:space="preserve">sites and launch </w:t>
      </w:r>
      <w:r w:rsidR="00B02436" w:rsidRPr="00BE46A8">
        <w:t xml:space="preserve">or reentry </w:t>
      </w:r>
      <w:r w:rsidRPr="00BE46A8">
        <w:t xml:space="preserve">vehicles not currently described in the environmental impact statements, as well as payloads that may have significant environmental impacts </w:t>
      </w:r>
      <w:r w:rsidR="00D766B6" w:rsidRPr="00BE46A8">
        <w:t>if</w:t>
      </w:r>
      <w:r w:rsidRPr="00BE46A8">
        <w:t xml:space="preserve"> a launch </w:t>
      </w:r>
      <w:r w:rsidR="00717411">
        <w:t xml:space="preserve">or reentry </w:t>
      </w:r>
      <w:r w:rsidRPr="00BE46A8">
        <w:t>accident</w:t>
      </w:r>
      <w:r w:rsidR="00D766B6" w:rsidRPr="00BE46A8">
        <w:t xml:space="preserve"> occurs</w:t>
      </w:r>
      <w:r w:rsidRPr="00BE46A8">
        <w:t>.</w:t>
      </w:r>
    </w:p>
    <w:p w14:paraId="7C41C99E" w14:textId="77777777" w:rsidR="00E75A07" w:rsidRPr="00BE46A8" w:rsidRDefault="00E75A07" w:rsidP="00B33C53">
      <w:pPr>
        <w:pStyle w:val="BodyText"/>
      </w:pPr>
    </w:p>
    <w:p w14:paraId="0D184132" w14:textId="501CF887" w:rsidR="007542FE" w:rsidRPr="00207033" w:rsidRDefault="00D02B72" w:rsidP="004B5C34">
      <w:pPr>
        <w:pStyle w:val="Heading3"/>
      </w:pPr>
      <w:r w:rsidRPr="00207033">
        <w:lastRenderedPageBreak/>
        <w:t xml:space="preserve">3. </w:t>
      </w:r>
      <w:r w:rsidR="007542FE" w:rsidRPr="00207033">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027725FE" w14:textId="77777777" w:rsidR="00E75A07" w:rsidRPr="00E75A07" w:rsidRDefault="00E75A07" w:rsidP="00207033">
      <w:pPr>
        <w:pStyle w:val="BodyText"/>
      </w:pPr>
    </w:p>
    <w:p w14:paraId="7689CD5D" w14:textId="6F758F75" w:rsidR="00E10458" w:rsidRDefault="008261CC" w:rsidP="00B33C53">
      <w:pPr>
        <w:pStyle w:val="BodyText"/>
      </w:pPr>
      <w:r>
        <w:t xml:space="preserve">The FAA collects most of its information electronically, mainly through electronic mail. </w:t>
      </w:r>
    </w:p>
    <w:p w14:paraId="4A5C9220" w14:textId="77777777" w:rsidR="003A4279" w:rsidRDefault="003A4279" w:rsidP="00B33C53">
      <w:pPr>
        <w:pStyle w:val="BodyText"/>
      </w:pPr>
    </w:p>
    <w:p w14:paraId="5A2782BD" w14:textId="42043AAF" w:rsidR="0067088F" w:rsidRPr="00207033" w:rsidRDefault="00D02B72" w:rsidP="004B5C34">
      <w:pPr>
        <w:pStyle w:val="Heading3"/>
      </w:pPr>
      <w:r w:rsidRPr="00207033">
        <w:t xml:space="preserve">4. </w:t>
      </w:r>
      <w:r w:rsidR="007542FE" w:rsidRPr="00207033">
        <w:t xml:space="preserve">Describe efforts to identify duplication.  Show specifically why any similar information already available cannot be used or modified for use for the purposes described in Item 2 above. </w:t>
      </w:r>
    </w:p>
    <w:p w14:paraId="1F985D73" w14:textId="4A7A8AB1" w:rsidR="007542FE" w:rsidRDefault="007542FE" w:rsidP="000403BB">
      <w:pPr>
        <w:pStyle w:val="Heading3"/>
      </w:pPr>
      <w:r>
        <w:t xml:space="preserve"> </w:t>
      </w:r>
    </w:p>
    <w:p w14:paraId="3345D793" w14:textId="3EC08036" w:rsidR="007542FE" w:rsidRDefault="007542FE" w:rsidP="00B33C53">
      <w:pPr>
        <w:pStyle w:val="BodyText"/>
      </w:pPr>
      <w:r>
        <w:t>T</w:t>
      </w:r>
      <w:r w:rsidR="007B1634">
        <w:t xml:space="preserve">he FAA works with other government partners and regulated entities to identify areas of duplication. To the extent areas are identified and in order to </w:t>
      </w:r>
      <w:r>
        <w:t xml:space="preserve">decrease industry burden, the </w:t>
      </w:r>
      <w:r w:rsidR="007B1634">
        <w:t xml:space="preserve">FAA encourages regulated entities to </w:t>
      </w:r>
      <w:r>
        <w:t xml:space="preserve">submit </w:t>
      </w:r>
      <w:r w:rsidR="007B1634">
        <w:t xml:space="preserve">the previously submitted </w:t>
      </w:r>
      <w:r>
        <w:t>documentation</w:t>
      </w:r>
      <w:r w:rsidR="007B1634">
        <w:t xml:space="preserve"> to the FAA in its original format. </w:t>
      </w:r>
      <w:r w:rsidR="00C36403">
        <w:t xml:space="preserve">In general, an applicant can submit information in any format. </w:t>
      </w:r>
      <w:r w:rsidR="00BC2D9E">
        <w:t xml:space="preserve">Unique information </w:t>
      </w:r>
      <w:r>
        <w:t>routinely constitutes a small portion of the data collected.</w:t>
      </w:r>
      <w:r w:rsidR="00BC2D9E">
        <w:t xml:space="preserve"> </w:t>
      </w:r>
      <w:r>
        <w:t xml:space="preserve">Furthermore, </w:t>
      </w:r>
      <w:r w:rsidR="000403BB">
        <w:t>instead of resubmitting a document to the FAA, the FAA allows a regulated entity to reference previously-submitted materials (highlighting any changes).</w:t>
      </w:r>
    </w:p>
    <w:p w14:paraId="54C79530" w14:textId="77777777" w:rsidR="004B5C34" w:rsidRDefault="004B5C34" w:rsidP="00B33C53">
      <w:pPr>
        <w:pStyle w:val="BodyText"/>
      </w:pPr>
    </w:p>
    <w:p w14:paraId="196BF13B" w14:textId="2EC15AD3" w:rsidR="007542FE" w:rsidRPr="004B5C34" w:rsidRDefault="00D02B72" w:rsidP="004B5C34">
      <w:pPr>
        <w:pStyle w:val="Heading3"/>
      </w:pPr>
      <w:r w:rsidRPr="004B5C34">
        <w:t xml:space="preserve">5. </w:t>
      </w:r>
      <w:r w:rsidR="007542FE" w:rsidRPr="004B5C34">
        <w:t xml:space="preserve">If the collection of information impacts small businesses or other small entities, describe any methods used to minimize burden on small businesses or other small entities.  </w:t>
      </w:r>
    </w:p>
    <w:p w14:paraId="4AC622D9" w14:textId="77777777" w:rsidR="004B5C34" w:rsidRPr="004B5C34" w:rsidRDefault="004B5C34" w:rsidP="007873F2">
      <w:pPr>
        <w:pStyle w:val="BodyText"/>
      </w:pPr>
    </w:p>
    <w:p w14:paraId="67A89B93" w14:textId="77777777" w:rsidR="00B6757E" w:rsidRDefault="00A8290F" w:rsidP="00B33C53">
      <w:pPr>
        <w:pStyle w:val="BodyText"/>
      </w:pPr>
      <w:r w:rsidRPr="00156BA8">
        <w:t xml:space="preserve">Pursuant to the Regulatory Flexibility Act of 1980 (RFA), </w:t>
      </w:r>
      <w:r>
        <w:t>FAA</w:t>
      </w:r>
      <w:r w:rsidRPr="00156BA8">
        <w:t xml:space="preserve"> </w:t>
      </w:r>
      <w:r>
        <w:t>found that regulations establishing this collection will</w:t>
      </w:r>
      <w:r w:rsidRPr="00156BA8">
        <w:t xml:space="preserve"> not have a significant economic impact on a substan</w:t>
      </w:r>
      <w:r>
        <w:t xml:space="preserve">tial number of small entities. </w:t>
      </w:r>
      <w:r w:rsidRPr="00156BA8">
        <w:t xml:space="preserve">The regulations </w:t>
      </w:r>
      <w:r>
        <w:t xml:space="preserve">establishing this collection </w:t>
      </w:r>
      <w:r w:rsidRPr="00156BA8">
        <w:t>are written to allow flexibility and innovation.</w:t>
      </w:r>
      <w:r>
        <w:rPr>
          <w:rStyle w:val="FootnoteReference"/>
        </w:rPr>
        <w:footnoteReference w:id="3"/>
      </w:r>
    </w:p>
    <w:p w14:paraId="5D552B15" w14:textId="19C105CF" w:rsidR="00E6216C" w:rsidRDefault="00BB47B4" w:rsidP="00B33C53">
      <w:pPr>
        <w:pStyle w:val="BodyText"/>
      </w:pPr>
      <w:r w:rsidRPr="00163876">
        <w:t xml:space="preserve"> </w:t>
      </w:r>
    </w:p>
    <w:p w14:paraId="1AAA91A1" w14:textId="1684F7F2" w:rsidR="007542FE" w:rsidRDefault="00D02B72" w:rsidP="004B5C34">
      <w:pPr>
        <w:pStyle w:val="Heading3"/>
      </w:pPr>
      <w:r>
        <w:t xml:space="preserve">6. </w:t>
      </w:r>
      <w:r w:rsidR="007542FE">
        <w:t>Describe the consequence to Federal programs or policy activities if the collection is not conducted or is conducted less frequently, as well as any technical or legal obstacles to reducing burden.</w:t>
      </w:r>
    </w:p>
    <w:p w14:paraId="3BA07DCB" w14:textId="77777777" w:rsidR="00B302D6" w:rsidRDefault="00B302D6" w:rsidP="00B33C53">
      <w:pPr>
        <w:pStyle w:val="BodyText"/>
      </w:pPr>
    </w:p>
    <w:p w14:paraId="1CA18B02" w14:textId="3EAFCA1F" w:rsidR="007542FE" w:rsidRDefault="00B302D6" w:rsidP="00B33C53">
      <w:pPr>
        <w:pStyle w:val="BodyText"/>
      </w:pPr>
      <w:r>
        <w:t xml:space="preserve">If the FAA were not to collect this information, it would not be able to </w:t>
      </w:r>
      <w:r w:rsidR="00C87800">
        <w:t xml:space="preserve">meet its statutory </w:t>
      </w:r>
      <w:r>
        <w:t>obligation</w:t>
      </w:r>
      <w:r w:rsidR="00C87800">
        <w:t xml:space="preserve"> to </w:t>
      </w:r>
      <w:r>
        <w:t>ensure commercial space activities safeguard</w:t>
      </w:r>
      <w:r w:rsidR="00C87800">
        <w:t xml:space="preserve"> public </w:t>
      </w:r>
      <w:r w:rsidR="0073269F">
        <w:t xml:space="preserve">health and </w:t>
      </w:r>
      <w:r w:rsidR="00C87800">
        <w:t>safety</w:t>
      </w:r>
      <w:r>
        <w:t>,</w:t>
      </w:r>
      <w:r w:rsidR="0073269F">
        <w:t xml:space="preserve"> safety of property</w:t>
      </w:r>
      <w:r>
        <w:t>, national security or foreign policy interests of the United States</w:t>
      </w:r>
      <w:r w:rsidR="00C36403">
        <w:t>.</w:t>
      </w:r>
      <w:r w:rsidR="00C87800">
        <w:t xml:space="preserve"> </w:t>
      </w:r>
    </w:p>
    <w:p w14:paraId="3C0CB660" w14:textId="77777777" w:rsidR="00B302D6" w:rsidRDefault="00B302D6" w:rsidP="00B33C53">
      <w:pPr>
        <w:pStyle w:val="BodyText"/>
      </w:pPr>
    </w:p>
    <w:p w14:paraId="7C5E8412" w14:textId="2F34C38E" w:rsidR="007542FE" w:rsidRDefault="00D02B72" w:rsidP="004B5C34">
      <w:pPr>
        <w:pStyle w:val="Heading3"/>
      </w:pPr>
      <w:r>
        <w:t xml:space="preserve">7. </w:t>
      </w:r>
      <w:r w:rsidR="007542FE">
        <w:t>Explain any special circumstances that would cause the requirement to be inconsistent with guidelines 5 CFR 1320.5(d)(2)(i)-(viii).</w:t>
      </w:r>
    </w:p>
    <w:p w14:paraId="7324EC0D" w14:textId="77777777" w:rsidR="003B327D" w:rsidRDefault="003B327D" w:rsidP="00B33C53">
      <w:pPr>
        <w:pStyle w:val="BodyText"/>
      </w:pPr>
    </w:p>
    <w:p w14:paraId="50FD9728" w14:textId="223D7797" w:rsidR="007542FE" w:rsidRDefault="003B327D" w:rsidP="00B33C53">
      <w:pPr>
        <w:pStyle w:val="BodyText"/>
      </w:pPr>
      <w:r>
        <w:lastRenderedPageBreak/>
        <w:t>No special circumstances exist preventing consistency with</w:t>
      </w:r>
      <w:r w:rsidR="007542FE" w:rsidRPr="00504BD9">
        <w:t xml:space="preserve"> the guidelines in 5 CFR 1320.5(d)(2)(i)-(viii).  </w:t>
      </w:r>
    </w:p>
    <w:p w14:paraId="7253B14F" w14:textId="77777777" w:rsidR="003B327D" w:rsidRPr="00504BD9" w:rsidRDefault="003B327D" w:rsidP="00B33C53">
      <w:pPr>
        <w:pStyle w:val="BodyText"/>
      </w:pPr>
    </w:p>
    <w:p w14:paraId="2B9CB3AC" w14:textId="30CC43EC" w:rsidR="007542FE" w:rsidRDefault="00D02B72" w:rsidP="004B5C34">
      <w:pPr>
        <w:pStyle w:val="Heading3"/>
      </w:pPr>
      <w:r>
        <w:t xml:space="preserve">8. </w:t>
      </w:r>
      <w:r w:rsidR="007542FE">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5E562AA" w14:textId="77777777" w:rsidR="003B327D" w:rsidRDefault="003B327D" w:rsidP="00B33C53">
      <w:pPr>
        <w:pStyle w:val="BodyText"/>
      </w:pPr>
    </w:p>
    <w:p w14:paraId="35A594AB" w14:textId="355E2E62" w:rsidR="007542FE" w:rsidRDefault="007542FE" w:rsidP="00B33C53">
      <w:pPr>
        <w:pStyle w:val="BodyText"/>
      </w:pPr>
      <w:r w:rsidRPr="00CD4748">
        <w:t xml:space="preserve">A notice was published in the Federal Register on </w:t>
      </w:r>
      <w:r w:rsidR="00DF56AC">
        <w:t>May 9</w:t>
      </w:r>
      <w:r w:rsidR="00CD4748">
        <w:t>,</w:t>
      </w:r>
      <w:r w:rsidR="008C0399" w:rsidRPr="00CD4748">
        <w:t xml:space="preserve"> </w:t>
      </w:r>
      <w:r w:rsidR="00CD4748" w:rsidRPr="00CD4748">
        <w:t>201</w:t>
      </w:r>
      <w:r w:rsidR="00CD4748">
        <w:t>9</w:t>
      </w:r>
      <w:r w:rsidR="00CD4748" w:rsidRPr="00CD4748">
        <w:t xml:space="preserve"> </w:t>
      </w:r>
      <w:r w:rsidR="008C0399" w:rsidRPr="00CD4748">
        <w:t>(</w:t>
      </w:r>
      <w:r w:rsidR="00DF56AC">
        <w:t>84</w:t>
      </w:r>
      <w:r w:rsidR="00CD4748" w:rsidRPr="00CD4748">
        <w:t xml:space="preserve"> </w:t>
      </w:r>
      <w:r w:rsidR="008C0399" w:rsidRPr="00CD4748">
        <w:t xml:space="preserve">FR </w:t>
      </w:r>
      <w:r w:rsidR="00DF56AC">
        <w:t>20461</w:t>
      </w:r>
      <w:r w:rsidR="008C0399" w:rsidRPr="00CD4748">
        <w:t>)</w:t>
      </w:r>
      <w:r w:rsidR="00CD4748">
        <w:t xml:space="preserve"> that requested comments on this </w:t>
      </w:r>
      <w:r w:rsidR="000F08AB">
        <w:t>Paperwork Reduction Act (</w:t>
      </w:r>
      <w:r w:rsidR="00CD4748">
        <w:t>PRA</w:t>
      </w:r>
      <w:r w:rsidR="000F08AB">
        <w:t>)</w:t>
      </w:r>
      <w:r w:rsidR="00CD4748">
        <w:t xml:space="preserve"> </w:t>
      </w:r>
      <w:r w:rsidR="000F08AB">
        <w:t xml:space="preserve">collection of information </w:t>
      </w:r>
      <w:r w:rsidR="00CD4748">
        <w:t xml:space="preserve">by </w:t>
      </w:r>
      <w:r w:rsidR="00DF56AC">
        <w:t>July 8, 2019</w:t>
      </w:r>
      <w:r w:rsidR="00CD4748">
        <w:t>.</w:t>
      </w:r>
    </w:p>
    <w:p w14:paraId="584AA43A" w14:textId="77777777" w:rsidR="003B327D" w:rsidRPr="00CD4748" w:rsidRDefault="003B327D" w:rsidP="00B33C53">
      <w:pPr>
        <w:pStyle w:val="BodyText"/>
      </w:pPr>
    </w:p>
    <w:p w14:paraId="2C452D07" w14:textId="34989784" w:rsidR="007542FE" w:rsidRDefault="00D02B72" w:rsidP="004B5C34">
      <w:pPr>
        <w:pStyle w:val="Heading3"/>
      </w:pPr>
      <w:r>
        <w:t xml:space="preserve">9. </w:t>
      </w:r>
      <w:r w:rsidR="007542FE">
        <w:t>Explain any decisions to provide any payment as gift to respondents, other than remuneration of contractors or grantees.</w:t>
      </w:r>
    </w:p>
    <w:p w14:paraId="451F2019" w14:textId="77777777" w:rsidR="002B6E16" w:rsidRDefault="002B6E16" w:rsidP="00B33C53">
      <w:pPr>
        <w:pStyle w:val="BodyText"/>
      </w:pPr>
    </w:p>
    <w:p w14:paraId="74DD3544" w14:textId="70F1C908" w:rsidR="007542FE" w:rsidRDefault="007542FE" w:rsidP="00B33C53">
      <w:pPr>
        <w:pStyle w:val="BodyText"/>
      </w:pPr>
      <w:r>
        <w:t>No decision was made to provide payments or special compensation to respondents.</w:t>
      </w:r>
    </w:p>
    <w:p w14:paraId="76C898A8" w14:textId="77777777" w:rsidR="002B6E16" w:rsidRDefault="002B6E16" w:rsidP="00B33C53">
      <w:pPr>
        <w:pStyle w:val="BodyText"/>
      </w:pPr>
    </w:p>
    <w:p w14:paraId="655155BB" w14:textId="4E7FAB26" w:rsidR="007542FE" w:rsidRDefault="00D02B72" w:rsidP="004B5C34">
      <w:pPr>
        <w:pStyle w:val="Heading3"/>
      </w:pPr>
      <w:r>
        <w:t xml:space="preserve">10. </w:t>
      </w:r>
      <w:r w:rsidR="007542FE">
        <w:t>Describe any assurance of confidentiality provided to respondents and the basis for the assurance in statute, regulation, or agency policy.</w:t>
      </w:r>
    </w:p>
    <w:p w14:paraId="7FBA8C7F" w14:textId="77777777" w:rsidR="002B6E16" w:rsidRDefault="002B6E16" w:rsidP="00D02B72">
      <w:pPr>
        <w:spacing w:after="120" w:line="276" w:lineRule="auto"/>
        <w:rPr>
          <w:rFonts w:eastAsia="Calibri"/>
        </w:rPr>
      </w:pPr>
    </w:p>
    <w:p w14:paraId="7C52D3A7" w14:textId="52ECDCAE" w:rsidR="0052172E" w:rsidRPr="0052172E" w:rsidRDefault="0052172E" w:rsidP="00D02B72">
      <w:pPr>
        <w:spacing w:after="120" w:line="276" w:lineRule="auto"/>
        <w:rPr>
          <w:rFonts w:eastAsia="Calibri"/>
        </w:rPr>
      </w:pPr>
      <w:r w:rsidRPr="0052172E">
        <w:rPr>
          <w:rFonts w:eastAsia="Calibri"/>
        </w:rPr>
        <w:t xml:space="preserve">14 CFR § 413.9 Confidentiality, </w:t>
      </w:r>
      <w:r w:rsidR="00533145">
        <w:rPr>
          <w:rFonts w:eastAsia="Calibri"/>
        </w:rPr>
        <w:t>provides that:</w:t>
      </w:r>
    </w:p>
    <w:p w14:paraId="108E9D04" w14:textId="386C1B04" w:rsidR="0052172E" w:rsidRPr="0052172E" w:rsidRDefault="0052172E" w:rsidP="00D02B72">
      <w:pPr>
        <w:autoSpaceDE w:val="0"/>
        <w:autoSpaceDN w:val="0"/>
        <w:adjustRightInd w:val="0"/>
        <w:rPr>
          <w:rFonts w:eastAsia="Calibri"/>
          <w:i/>
        </w:rPr>
      </w:pPr>
      <w:r w:rsidRPr="0052172E">
        <w:rPr>
          <w:rFonts w:eastAsia="Calibri"/>
          <w:i/>
        </w:rPr>
        <w:t>(a) Any person furnishing information or data to the FAA ma</w:t>
      </w:r>
      <w:r w:rsidR="00DF56AC">
        <w:rPr>
          <w:rFonts w:eastAsia="Calibri"/>
          <w:i/>
        </w:rPr>
        <w:t xml:space="preserve">y request in writing that trade </w:t>
      </w:r>
      <w:r w:rsidRPr="0052172E">
        <w:rPr>
          <w:rFonts w:eastAsia="Calibri"/>
          <w:i/>
        </w:rPr>
        <w:t>secrets or proprietary commercial or financial data be treated as confidential. The request must be made at the time the information or data is submitted, and state the period of time for which confidential treatment is desired.</w:t>
      </w:r>
    </w:p>
    <w:p w14:paraId="4A2A52EE" w14:textId="77777777" w:rsidR="0052172E" w:rsidRPr="0052172E" w:rsidRDefault="0052172E" w:rsidP="0052172E">
      <w:pPr>
        <w:autoSpaceDE w:val="0"/>
        <w:autoSpaceDN w:val="0"/>
        <w:adjustRightInd w:val="0"/>
        <w:ind w:left="450"/>
        <w:rPr>
          <w:rFonts w:eastAsia="Calibri"/>
          <w:i/>
        </w:rPr>
      </w:pPr>
    </w:p>
    <w:p w14:paraId="54BC624E" w14:textId="77777777" w:rsidR="0052172E" w:rsidRPr="0052172E" w:rsidRDefault="0052172E" w:rsidP="0052172E">
      <w:pPr>
        <w:autoSpaceDE w:val="0"/>
        <w:autoSpaceDN w:val="0"/>
        <w:adjustRightInd w:val="0"/>
        <w:ind w:left="450"/>
        <w:rPr>
          <w:rFonts w:eastAsia="Calibri"/>
          <w:i/>
        </w:rPr>
      </w:pPr>
      <w:r w:rsidRPr="0052172E">
        <w:rPr>
          <w:rFonts w:eastAsia="Calibri"/>
          <w:i/>
        </w:rPr>
        <w:t>(b) Information or data for which any person or agency requests confidentiality must be clearly marked with an identifying legend, such as "Proprietary Information," "Proprietary Commercial Information," "Trade Secret," or " Confidential Treatment Requested." Where this marking proves impracticable, a cover sheet containing the identifying legend must be securely attached to the compilation of information or data for which confidential treatment is requested.</w:t>
      </w:r>
    </w:p>
    <w:p w14:paraId="5A142F1D" w14:textId="77777777" w:rsidR="0052172E" w:rsidRPr="0052172E" w:rsidRDefault="0052172E" w:rsidP="0052172E">
      <w:pPr>
        <w:autoSpaceDE w:val="0"/>
        <w:autoSpaceDN w:val="0"/>
        <w:adjustRightInd w:val="0"/>
        <w:ind w:left="450"/>
        <w:rPr>
          <w:rFonts w:eastAsia="Calibri"/>
          <w:i/>
        </w:rPr>
      </w:pPr>
    </w:p>
    <w:p w14:paraId="53605123" w14:textId="77777777" w:rsidR="0052172E" w:rsidRPr="0052172E" w:rsidRDefault="0052172E" w:rsidP="0052172E">
      <w:pPr>
        <w:autoSpaceDE w:val="0"/>
        <w:autoSpaceDN w:val="0"/>
        <w:adjustRightInd w:val="0"/>
        <w:ind w:left="450"/>
        <w:rPr>
          <w:rFonts w:eastAsia="Calibri"/>
          <w:i/>
        </w:rPr>
      </w:pPr>
      <w:r w:rsidRPr="0052172E">
        <w:rPr>
          <w:rFonts w:eastAsia="Calibri"/>
          <w:i/>
        </w:rPr>
        <w:t>(c) If a person requests that previously submitted information or data be treated confidentially, the FAA will do so to the extent practicable in light of any prior distribution of the information or data.</w:t>
      </w:r>
    </w:p>
    <w:p w14:paraId="3115913E" w14:textId="77777777" w:rsidR="0052172E" w:rsidRPr="0052172E" w:rsidRDefault="0052172E" w:rsidP="0052172E">
      <w:pPr>
        <w:autoSpaceDE w:val="0"/>
        <w:autoSpaceDN w:val="0"/>
        <w:adjustRightInd w:val="0"/>
        <w:ind w:left="450"/>
        <w:rPr>
          <w:rFonts w:eastAsia="Calibri"/>
          <w:i/>
        </w:rPr>
      </w:pPr>
    </w:p>
    <w:p w14:paraId="2371D616" w14:textId="783593F0" w:rsidR="0052172E" w:rsidRDefault="0052172E" w:rsidP="0052172E">
      <w:pPr>
        <w:autoSpaceDE w:val="0"/>
        <w:autoSpaceDN w:val="0"/>
        <w:adjustRightInd w:val="0"/>
        <w:ind w:left="450"/>
        <w:rPr>
          <w:rFonts w:eastAsia="Calibri"/>
          <w:i/>
        </w:rPr>
      </w:pPr>
      <w:r w:rsidRPr="0052172E">
        <w:rPr>
          <w:rFonts w:eastAsia="Calibri"/>
          <w:i/>
        </w:rPr>
        <w:t>(d) Information or data for which confidential treatment has been requested or information or data that qualifies for exemption under section 552(b)(4) of Title 5, United States Code, will not be disclosed to the public unless the Associate Administrator determines that the withholding of the information or data is contrary to the public or national interest.</w:t>
      </w:r>
    </w:p>
    <w:p w14:paraId="3A795001" w14:textId="77777777" w:rsidR="00533145" w:rsidRPr="0052172E" w:rsidRDefault="00533145" w:rsidP="0052172E">
      <w:pPr>
        <w:autoSpaceDE w:val="0"/>
        <w:autoSpaceDN w:val="0"/>
        <w:adjustRightInd w:val="0"/>
        <w:ind w:left="450"/>
        <w:rPr>
          <w:rFonts w:eastAsia="Calibri"/>
          <w:i/>
        </w:rPr>
      </w:pPr>
    </w:p>
    <w:p w14:paraId="612EC64F" w14:textId="4214A8B0" w:rsidR="007542FE" w:rsidRDefault="00D02B72" w:rsidP="004B5C34">
      <w:pPr>
        <w:pStyle w:val="Heading3"/>
      </w:pPr>
      <w:r>
        <w:t xml:space="preserve">11. </w:t>
      </w:r>
      <w:r w:rsidR="007542FE">
        <w:t>Provide additional justification for any questions of a sensitive nature.</w:t>
      </w:r>
    </w:p>
    <w:p w14:paraId="29A79FAA" w14:textId="77777777" w:rsidR="00533145" w:rsidRDefault="00533145" w:rsidP="00B33C53">
      <w:pPr>
        <w:pStyle w:val="BodyText"/>
      </w:pPr>
    </w:p>
    <w:p w14:paraId="5A7AA701" w14:textId="4E98CA32" w:rsidR="007542FE" w:rsidRDefault="007542FE" w:rsidP="00B33C53">
      <w:pPr>
        <w:pStyle w:val="BodyText"/>
      </w:pPr>
      <w:r>
        <w:t>No sensitive information is required.</w:t>
      </w:r>
    </w:p>
    <w:p w14:paraId="06B964A3" w14:textId="77777777" w:rsidR="00533145" w:rsidRDefault="00533145" w:rsidP="00B33C53">
      <w:pPr>
        <w:pStyle w:val="BodyText"/>
      </w:pPr>
    </w:p>
    <w:p w14:paraId="2E65B731" w14:textId="2B06C428" w:rsidR="007542FE" w:rsidRDefault="00D02B72" w:rsidP="004B5C34">
      <w:pPr>
        <w:pStyle w:val="Heading3"/>
      </w:pPr>
      <w:r>
        <w:lastRenderedPageBreak/>
        <w:t xml:space="preserve">12. </w:t>
      </w:r>
      <w:r w:rsidR="007542FE">
        <w:t>Provide estimates of the hour burden of the collection of information.</w:t>
      </w:r>
    </w:p>
    <w:p w14:paraId="6BD7D3BB" w14:textId="77777777" w:rsidR="00533145" w:rsidRDefault="00533145" w:rsidP="00B33C53">
      <w:pPr>
        <w:pStyle w:val="BodyText"/>
      </w:pPr>
    </w:p>
    <w:p w14:paraId="6258BA88" w14:textId="6E847DB7" w:rsidR="001204BB" w:rsidRPr="00294E5C" w:rsidRDefault="001204BB" w:rsidP="00B33C53">
      <w:pPr>
        <w:pStyle w:val="BodyText"/>
      </w:pPr>
      <w:r w:rsidRPr="00294E5C">
        <w:t xml:space="preserve">The FAA provides estimates of hour burden and costs </w:t>
      </w:r>
      <w:r w:rsidR="00AF11C9">
        <w:t xml:space="preserve">to </w:t>
      </w:r>
      <w:r w:rsidR="00AF11C9" w:rsidRPr="00AF11C9">
        <w:rPr>
          <w:u w:val="single"/>
        </w:rPr>
        <w:t>industry</w:t>
      </w:r>
      <w:r w:rsidR="00AF11C9">
        <w:t xml:space="preserve"> </w:t>
      </w:r>
      <w:r w:rsidRPr="00294E5C">
        <w:t xml:space="preserve">in this section and </w:t>
      </w:r>
      <w:r w:rsidR="002C3164">
        <w:t xml:space="preserve">provides </w:t>
      </w:r>
      <w:r w:rsidRPr="00294E5C">
        <w:t xml:space="preserve">estimates </w:t>
      </w:r>
      <w:r w:rsidR="002C3164">
        <w:t xml:space="preserve">of </w:t>
      </w:r>
      <w:r w:rsidRPr="00294E5C">
        <w:t xml:space="preserve">hour burden and costs </w:t>
      </w:r>
      <w:r w:rsidR="00AF11C9">
        <w:t xml:space="preserve">to the Federal Government (FAA) </w:t>
      </w:r>
      <w:r w:rsidR="004E5E04">
        <w:t>in item</w:t>
      </w:r>
      <w:r w:rsidRPr="00294E5C">
        <w:t xml:space="preserve"> 14 below.  </w:t>
      </w:r>
      <w:r w:rsidR="004E5E04">
        <w:t xml:space="preserve">Cumulative industry and FAA hour burden and costs are summarized at the end of both items 12 and 14. </w:t>
      </w:r>
    </w:p>
    <w:p w14:paraId="16179F90" w14:textId="77777777" w:rsidR="00F46067" w:rsidRDefault="00F46067" w:rsidP="00B33C53">
      <w:pPr>
        <w:pStyle w:val="BodyText"/>
      </w:pPr>
    </w:p>
    <w:p w14:paraId="3D7F33C9" w14:textId="63DADB85" w:rsidR="0061127E" w:rsidRPr="00294E5C" w:rsidRDefault="007542FE" w:rsidP="00B33C53">
      <w:pPr>
        <w:pStyle w:val="BodyText"/>
      </w:pPr>
      <w:r w:rsidRPr="00294E5C">
        <w:t xml:space="preserve">The burden to industry for collecting information to comply with </w:t>
      </w:r>
      <w:r w:rsidR="00916742" w:rsidRPr="00294E5C">
        <w:t xml:space="preserve">14 CFR </w:t>
      </w:r>
      <w:r w:rsidRPr="00294E5C">
        <w:t>parts 413</w:t>
      </w:r>
      <w:r w:rsidR="00504BD9" w:rsidRPr="00294E5C">
        <w:t xml:space="preserve"> </w:t>
      </w:r>
      <w:r w:rsidRPr="00294E5C">
        <w:t xml:space="preserve">and </w:t>
      </w:r>
      <w:r w:rsidR="00504BD9" w:rsidRPr="00294E5C">
        <w:t xml:space="preserve">450 </w:t>
      </w:r>
      <w:r w:rsidR="0000201C" w:rsidRPr="00294E5C">
        <w:t>to obtain, maintain, and renew</w:t>
      </w:r>
      <w:r w:rsidRPr="00294E5C">
        <w:t xml:space="preserve"> a </w:t>
      </w:r>
      <w:r w:rsidR="00504BD9" w:rsidRPr="00294E5C">
        <w:t>vehicle operator license</w:t>
      </w:r>
      <w:r w:rsidRPr="00294E5C">
        <w:t xml:space="preserve"> involves several principal activities. These activities include pre-application consultation with </w:t>
      </w:r>
      <w:r w:rsidR="001E70F1" w:rsidRPr="00294E5C">
        <w:t>A</w:t>
      </w:r>
      <w:r w:rsidRPr="00294E5C">
        <w:t xml:space="preserve">ST, preparation of the application, and resolution of questions associated with the application. The application process </w:t>
      </w:r>
      <w:r w:rsidR="001B4C76" w:rsidRPr="00294E5C">
        <w:t xml:space="preserve">has been streamlined </w:t>
      </w:r>
      <w:r w:rsidR="00504BD9" w:rsidRPr="00294E5C">
        <w:t xml:space="preserve">to </w:t>
      </w:r>
      <w:r w:rsidR="00891C52" w:rsidRPr="00294E5C">
        <w:t xml:space="preserve">consolidate separate types of </w:t>
      </w:r>
      <w:r w:rsidR="0073269F" w:rsidRPr="00294E5C">
        <w:t xml:space="preserve">launch and reentry </w:t>
      </w:r>
      <w:r w:rsidR="00891C52" w:rsidRPr="00294E5C">
        <w:t>licenses</w:t>
      </w:r>
      <w:r w:rsidR="0073269F" w:rsidRPr="00294E5C">
        <w:t xml:space="preserve"> </w:t>
      </w:r>
      <w:r w:rsidR="0061127E" w:rsidRPr="00294E5C">
        <w:t xml:space="preserve">into </w:t>
      </w:r>
      <w:r w:rsidR="00891C52" w:rsidRPr="00294E5C">
        <w:t xml:space="preserve">a </w:t>
      </w:r>
      <w:r w:rsidR="0061127E" w:rsidRPr="00294E5C">
        <w:t xml:space="preserve">single vehicle operator </w:t>
      </w:r>
      <w:r w:rsidR="00891C52" w:rsidRPr="00294E5C">
        <w:t>license</w:t>
      </w:r>
      <w:r w:rsidR="0061127E" w:rsidRPr="00294E5C">
        <w:t>.</w:t>
      </w:r>
      <w:r w:rsidR="00891C52" w:rsidRPr="00294E5C">
        <w:t xml:space="preserve"> </w:t>
      </w:r>
      <w:r w:rsidR="0061127E" w:rsidRPr="00294E5C">
        <w:t xml:space="preserve">In addition, </w:t>
      </w:r>
      <w:r w:rsidR="0073269F" w:rsidRPr="00294E5C">
        <w:t xml:space="preserve">under the streamlined application process, </w:t>
      </w:r>
      <w:r w:rsidR="001B4C76" w:rsidRPr="00294E5C">
        <w:t>an applicant, according to §</w:t>
      </w:r>
      <w:r w:rsidR="00361DF7" w:rsidRPr="00294E5C">
        <w:t xml:space="preserve"> </w:t>
      </w:r>
      <w:r w:rsidR="001B4C76" w:rsidRPr="00294E5C">
        <w:t xml:space="preserve">450.33, </w:t>
      </w:r>
      <w:r w:rsidR="0061127E" w:rsidRPr="00294E5C">
        <w:t xml:space="preserve">may </w:t>
      </w:r>
      <w:r w:rsidR="001B4C76" w:rsidRPr="00294E5C">
        <w:t xml:space="preserve">submit its application in increments and the FAA </w:t>
      </w:r>
      <w:r w:rsidR="0061127E" w:rsidRPr="00294E5C">
        <w:t>may</w:t>
      </w:r>
      <w:r w:rsidR="001B4C76" w:rsidRPr="00294E5C">
        <w:t xml:space="preserve"> make incremental determinations. </w:t>
      </w:r>
    </w:p>
    <w:p w14:paraId="0FE292B8" w14:textId="3F204B7A" w:rsidR="00F46067" w:rsidRDefault="00F46067" w:rsidP="00B33C53">
      <w:pPr>
        <w:pStyle w:val="BodyText"/>
      </w:pPr>
    </w:p>
    <w:p w14:paraId="0F31A6E0" w14:textId="23124B61" w:rsidR="007542FE" w:rsidRPr="00294E5C" w:rsidRDefault="007542FE" w:rsidP="00B33C53">
      <w:pPr>
        <w:pStyle w:val="BodyText"/>
      </w:pPr>
      <w:r w:rsidRPr="00294E5C">
        <w:t xml:space="preserve">The FAA estimates that the hour burden to industry for the collection of information necessary to comply with </w:t>
      </w:r>
      <w:r w:rsidR="00916742" w:rsidRPr="00294E5C">
        <w:t>14 CFR parts 413</w:t>
      </w:r>
      <w:r w:rsidR="0061127E" w:rsidRPr="00294E5C">
        <w:t xml:space="preserve"> </w:t>
      </w:r>
      <w:r w:rsidR="00916742" w:rsidRPr="00294E5C">
        <w:t xml:space="preserve">and </w:t>
      </w:r>
      <w:r w:rsidR="0061127E" w:rsidRPr="00294E5C">
        <w:t xml:space="preserve">450 </w:t>
      </w:r>
      <w:r w:rsidRPr="00294E5C">
        <w:t>in order to complete and submit a</w:t>
      </w:r>
      <w:r w:rsidR="0061127E" w:rsidRPr="00294E5C">
        <w:t xml:space="preserve">n </w:t>
      </w:r>
      <w:r w:rsidRPr="00294E5C">
        <w:t>application</w:t>
      </w:r>
      <w:r w:rsidR="0061127E" w:rsidRPr="00294E5C">
        <w:t xml:space="preserve"> for a vehicle operator license</w:t>
      </w:r>
      <w:r w:rsidRPr="00294E5C">
        <w:t xml:space="preserve"> can be as many as </w:t>
      </w:r>
      <w:r w:rsidR="00BE3F3B" w:rsidRPr="00294E5C">
        <w:t>2,903</w:t>
      </w:r>
      <w:r w:rsidRPr="00294E5C">
        <w:t xml:space="preserve"> hours. Further, the FAA estimates that the hour burden to industry for the collection of information necessary to support a </w:t>
      </w:r>
      <w:r w:rsidR="00867B0B" w:rsidRPr="00294E5C">
        <w:t>license modification is roughly 1,</w:t>
      </w:r>
      <w:r w:rsidR="00BE3F3B" w:rsidRPr="00294E5C">
        <w:t>452</w:t>
      </w:r>
      <w:r w:rsidR="00867B0B" w:rsidRPr="00294E5C">
        <w:t xml:space="preserve"> hours and a </w:t>
      </w:r>
      <w:r w:rsidRPr="00294E5C">
        <w:t xml:space="preserve">license renewal application can be as many as </w:t>
      </w:r>
      <w:r w:rsidR="002168B3" w:rsidRPr="00294E5C">
        <w:t>2</w:t>
      </w:r>
      <w:r w:rsidR="00BE3F3B" w:rsidRPr="00294E5C">
        <w:t>90</w:t>
      </w:r>
      <w:r w:rsidRPr="00294E5C">
        <w:t xml:space="preserve"> hours.</w:t>
      </w:r>
      <w:r w:rsidRPr="00294E5C">
        <w:rPr>
          <w:rStyle w:val="FootnoteReference"/>
        </w:rPr>
        <w:footnoteReference w:id="4"/>
      </w:r>
      <w:r w:rsidRPr="00294E5C">
        <w:t xml:space="preserve">  </w:t>
      </w:r>
    </w:p>
    <w:p w14:paraId="7EDB8B34" w14:textId="1077EC1A" w:rsidR="007542FE" w:rsidRDefault="007542FE" w:rsidP="00B33C53">
      <w:pPr>
        <w:pStyle w:val="BodyText"/>
      </w:pPr>
      <w:r w:rsidRPr="00294E5C">
        <w:t>Industry b</w:t>
      </w:r>
      <w:r w:rsidR="00DF1903" w:rsidRPr="00294E5C">
        <w:t>ase salary is estimated to be $</w:t>
      </w:r>
      <w:r w:rsidR="00B04A65" w:rsidRPr="00294E5C">
        <w:t>115,294</w:t>
      </w:r>
      <w:r w:rsidR="000F08AB" w:rsidRPr="00294E5C">
        <w:t>.</w:t>
      </w:r>
      <w:r w:rsidRPr="00294E5C">
        <w:rPr>
          <w:rStyle w:val="FootnoteReference"/>
        </w:rPr>
        <w:footnoteReference w:id="5"/>
      </w:r>
      <w:r w:rsidRPr="00294E5C">
        <w:t xml:space="preserve"> </w:t>
      </w:r>
      <w:r w:rsidR="00867B0B" w:rsidRPr="00294E5C">
        <w:t xml:space="preserve">Base salary is </w:t>
      </w:r>
      <w:r w:rsidR="00C32173" w:rsidRPr="00294E5C">
        <w:t xml:space="preserve">adjusted </w:t>
      </w:r>
      <w:r w:rsidR="00707052" w:rsidRPr="00294E5C">
        <w:t xml:space="preserve">with </w:t>
      </w:r>
      <w:r w:rsidR="00867B0B" w:rsidRPr="00294E5C">
        <w:t xml:space="preserve">the commercial fringe </w:t>
      </w:r>
      <w:r w:rsidR="00C32173" w:rsidRPr="00294E5C">
        <w:t xml:space="preserve">benefit </w:t>
      </w:r>
      <w:r w:rsidR="00867B0B" w:rsidRPr="00294E5C">
        <w:t>rate based on</w:t>
      </w:r>
      <w:r w:rsidRPr="00294E5C">
        <w:t xml:space="preserve"> information available from the </w:t>
      </w:r>
      <w:r w:rsidR="00B04A65" w:rsidRPr="00294E5C">
        <w:t>Bureau of Labor Stati</w:t>
      </w:r>
      <w:r w:rsidR="00D51BB5" w:rsidRPr="00294E5C">
        <w:t>stic</w:t>
      </w:r>
      <w:r w:rsidR="00B04A65" w:rsidRPr="00294E5C">
        <w:t>s</w:t>
      </w:r>
      <w:r w:rsidR="00D51BB5" w:rsidRPr="00294E5C">
        <w:t>.</w:t>
      </w:r>
      <w:r w:rsidRPr="00294E5C">
        <w:t xml:space="preserve">  As summarized in Table 1, this results in an estimated industry salary of $</w:t>
      </w:r>
      <w:r w:rsidR="00B04A65" w:rsidRPr="00294E5C">
        <w:t>169,062</w:t>
      </w:r>
      <w:r w:rsidR="00002491" w:rsidRPr="00294E5C">
        <w:t xml:space="preserve"> that includes total employer compensation costs of wages and benefits</w:t>
      </w:r>
      <w:r w:rsidRPr="00294E5C">
        <w:t>; accord</w:t>
      </w:r>
      <w:r w:rsidR="00DF1903" w:rsidRPr="00294E5C">
        <w:t>ingly, hourly labor costs are $</w:t>
      </w:r>
      <w:r w:rsidRPr="00294E5C">
        <w:t xml:space="preserve"> (calculated as $</w:t>
      </w:r>
      <w:r w:rsidR="00B04A65" w:rsidRPr="00294E5C">
        <w:t>169,062</w:t>
      </w:r>
      <w:r w:rsidRPr="00294E5C">
        <w:t xml:space="preserve"> </w:t>
      </w:r>
      <w:r w:rsidRPr="00294E5C">
        <w:rPr>
          <w:rFonts w:ascii="Tahoma" w:hAnsi="Tahoma" w:cs="Tahoma"/>
        </w:rPr>
        <w:t>÷</w:t>
      </w:r>
      <w:r w:rsidR="00DF1903" w:rsidRPr="00294E5C">
        <w:t xml:space="preserve"> 2,080 = $</w:t>
      </w:r>
      <w:r w:rsidR="00B04A65" w:rsidRPr="00294E5C">
        <w:t>81.28</w:t>
      </w:r>
      <w:r w:rsidRPr="00294E5C">
        <w:t>).</w:t>
      </w:r>
    </w:p>
    <w:p w14:paraId="63A955AB" w14:textId="77777777" w:rsidR="00B6757E" w:rsidRPr="00294E5C" w:rsidRDefault="00B6757E" w:rsidP="00B33C53">
      <w:pPr>
        <w:pStyle w:val="BodyText"/>
      </w:pPr>
    </w:p>
    <w:p w14:paraId="4778540F" w14:textId="5E47D33D" w:rsidR="007542FE" w:rsidRDefault="004F4562" w:rsidP="004B5C34">
      <w:pPr>
        <w:pStyle w:val="Heading3"/>
      </w:pPr>
      <w:bookmarkStart w:id="1" w:name="_Toc38678150"/>
      <w:bookmarkStart w:id="2" w:name="_Toc71093546"/>
      <w:r w:rsidRPr="00BB47B4">
        <w:t xml:space="preserve">TABLE 1. </w:t>
      </w:r>
      <w:r w:rsidR="007542FE" w:rsidRPr="00BB47B4">
        <w:t>Private Sector Fringe Benefit Factor</w:t>
      </w:r>
      <w:bookmarkEnd w:id="1"/>
      <w:bookmarkEnd w:id="2"/>
      <w:r w:rsidR="007542FE" w:rsidRPr="00BB47B4">
        <w:t xml:space="preserve"> and </w:t>
      </w:r>
      <w:r w:rsidR="00750466">
        <w:t>Total Compensation</w:t>
      </w:r>
      <w:r w:rsidR="007542FE" w:rsidRPr="00BB47B4">
        <w:t xml:space="preserve"> Salary</w:t>
      </w:r>
    </w:p>
    <w:p w14:paraId="5F1D6A6B" w14:textId="77777777" w:rsidR="00B6757E" w:rsidRPr="00B6757E" w:rsidRDefault="00B6757E" w:rsidP="00B6757E">
      <w:pPr>
        <w:pStyle w:val="BodyTex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261"/>
        <w:gridCol w:w="3006"/>
      </w:tblGrid>
      <w:tr w:rsidR="007542FE" w:rsidRPr="00BB47B4" w14:paraId="1DD71930" w14:textId="77777777" w:rsidTr="000F08AB">
        <w:trPr>
          <w:cantSplit/>
          <w:trHeight w:val="399"/>
          <w:jc w:val="center"/>
        </w:trPr>
        <w:tc>
          <w:tcPr>
            <w:tcW w:w="5261" w:type="dxa"/>
            <w:shd w:val="pct10" w:color="auto" w:fill="auto"/>
          </w:tcPr>
          <w:p w14:paraId="6E3D9B30" w14:textId="77777777" w:rsidR="007542FE" w:rsidRPr="00BB47B4" w:rsidRDefault="007542FE" w:rsidP="00065D43">
            <w:pPr>
              <w:pStyle w:val="Heading6"/>
            </w:pPr>
            <w:r w:rsidRPr="00BB47B4">
              <w:t>Category</w:t>
            </w:r>
          </w:p>
        </w:tc>
        <w:tc>
          <w:tcPr>
            <w:tcW w:w="3006" w:type="dxa"/>
            <w:shd w:val="pct10" w:color="auto" w:fill="auto"/>
          </w:tcPr>
          <w:p w14:paraId="4C77752D" w14:textId="41031315" w:rsidR="007542FE" w:rsidRPr="00BB47B4" w:rsidRDefault="00750466" w:rsidP="00065D43">
            <w:pPr>
              <w:pStyle w:val="Heading6"/>
            </w:pPr>
            <w:r>
              <w:t xml:space="preserve">Estimate </w:t>
            </w:r>
          </w:p>
        </w:tc>
      </w:tr>
      <w:tr w:rsidR="007542FE" w:rsidRPr="00BB47B4" w14:paraId="799E3989" w14:textId="77777777" w:rsidTr="000F08AB">
        <w:trPr>
          <w:cantSplit/>
          <w:trHeight w:val="371"/>
          <w:jc w:val="center"/>
        </w:trPr>
        <w:tc>
          <w:tcPr>
            <w:tcW w:w="5261" w:type="dxa"/>
          </w:tcPr>
          <w:p w14:paraId="5FEE181C" w14:textId="4C2F6B58" w:rsidR="007542FE" w:rsidRPr="00BB47B4" w:rsidRDefault="007542FE" w:rsidP="006061D7">
            <w:pPr>
              <w:pStyle w:val="CellBodyLeft"/>
            </w:pPr>
            <w:r w:rsidRPr="00BB47B4">
              <w:t>Total Fringe Benefit</w:t>
            </w:r>
            <w:r w:rsidR="00E677AA">
              <w:t xml:space="preserve"> as % of Total Compensation</w:t>
            </w:r>
          </w:p>
        </w:tc>
        <w:tc>
          <w:tcPr>
            <w:tcW w:w="3006" w:type="dxa"/>
            <w:vAlign w:val="bottom"/>
          </w:tcPr>
          <w:p w14:paraId="4C1FC390" w14:textId="75FE48A2" w:rsidR="007542FE" w:rsidRPr="00BB47B4" w:rsidRDefault="00AC0B91" w:rsidP="006061D7">
            <w:pPr>
              <w:pStyle w:val="CellBodyCenter"/>
            </w:pPr>
            <w:r>
              <w:t>31.8</w:t>
            </w:r>
            <w:r w:rsidR="00867B0B" w:rsidRPr="00BB47B4">
              <w:t>0</w:t>
            </w:r>
            <w:r w:rsidR="007542FE" w:rsidRPr="00BB47B4">
              <w:t>%</w:t>
            </w:r>
          </w:p>
        </w:tc>
      </w:tr>
      <w:tr w:rsidR="007542FE" w:rsidRPr="00BB47B4" w14:paraId="303E5DCE" w14:textId="77777777" w:rsidTr="000F08AB">
        <w:trPr>
          <w:cantSplit/>
          <w:trHeight w:val="354"/>
          <w:jc w:val="center"/>
        </w:trPr>
        <w:tc>
          <w:tcPr>
            <w:tcW w:w="5261" w:type="dxa"/>
            <w:tcBorders>
              <w:bottom w:val="single" w:sz="6" w:space="0" w:color="auto"/>
            </w:tcBorders>
          </w:tcPr>
          <w:p w14:paraId="46122EE3" w14:textId="1F1DF727" w:rsidR="007542FE" w:rsidRPr="00BB47B4" w:rsidRDefault="007542FE" w:rsidP="00750466">
            <w:pPr>
              <w:pStyle w:val="CellBodyLeft"/>
            </w:pPr>
            <w:r w:rsidRPr="00BB47B4">
              <w:t xml:space="preserve">Industry </w:t>
            </w:r>
            <w:r w:rsidR="00750466">
              <w:t>Total Compensation (</w:t>
            </w:r>
            <w:r w:rsidRPr="00BB47B4">
              <w:t>Salary</w:t>
            </w:r>
            <w:r w:rsidR="00750466">
              <w:t xml:space="preserve"> + Benefits)</w:t>
            </w:r>
            <w:r w:rsidR="000F08AB" w:rsidRPr="000F08AB">
              <w:rPr>
                <w:sz w:val="18"/>
                <w:szCs w:val="18"/>
                <w:vertAlign w:val="superscript"/>
              </w:rPr>
              <w:t>(</w:t>
            </w:r>
            <w:r w:rsidRPr="000F08AB">
              <w:rPr>
                <w:sz w:val="18"/>
                <w:szCs w:val="18"/>
                <w:vertAlign w:val="superscript"/>
              </w:rPr>
              <w:t>a</w:t>
            </w:r>
            <w:r w:rsidR="000F08AB" w:rsidRPr="000F08AB">
              <w:rPr>
                <w:sz w:val="18"/>
                <w:szCs w:val="18"/>
                <w:vertAlign w:val="superscript"/>
              </w:rPr>
              <w:t>)</w:t>
            </w:r>
          </w:p>
        </w:tc>
        <w:tc>
          <w:tcPr>
            <w:tcW w:w="3006" w:type="dxa"/>
            <w:tcBorders>
              <w:bottom w:val="single" w:sz="6" w:space="0" w:color="auto"/>
            </w:tcBorders>
          </w:tcPr>
          <w:p w14:paraId="429D8684" w14:textId="1590D941" w:rsidR="007542FE" w:rsidRPr="00BB47B4" w:rsidRDefault="007542FE" w:rsidP="006061D7">
            <w:pPr>
              <w:pStyle w:val="CellBodyCenter"/>
            </w:pPr>
            <w:r w:rsidRPr="00BB47B4">
              <w:t>$</w:t>
            </w:r>
            <w:r w:rsidR="00336428">
              <w:t>169,062</w:t>
            </w:r>
          </w:p>
        </w:tc>
      </w:tr>
      <w:tr w:rsidR="000F08AB" w:rsidRPr="00BB47B4" w14:paraId="562064D2" w14:textId="77777777" w:rsidTr="000F08AB">
        <w:trPr>
          <w:cantSplit/>
          <w:trHeight w:val="354"/>
          <w:jc w:val="center"/>
        </w:trPr>
        <w:tc>
          <w:tcPr>
            <w:tcW w:w="8267" w:type="dxa"/>
            <w:gridSpan w:val="2"/>
            <w:tcBorders>
              <w:left w:val="nil"/>
              <w:bottom w:val="nil"/>
              <w:right w:val="nil"/>
            </w:tcBorders>
          </w:tcPr>
          <w:p w14:paraId="778BA9DF" w14:textId="424B6A2F" w:rsidR="000F08AB" w:rsidRPr="000F08AB" w:rsidRDefault="000F08AB" w:rsidP="000F08AB">
            <w:pPr>
              <w:pStyle w:val="CellBodyLeft"/>
            </w:pPr>
            <w:r w:rsidRPr="000F08AB">
              <w:rPr>
                <w:sz w:val="18"/>
                <w:szCs w:val="18"/>
              </w:rPr>
              <w:t xml:space="preserve">Source:  News Release, Bureau of Labor Statistics, U.S. Department of Labor, Employer Costs For Employee Compensation - September 2018, </w:t>
            </w:r>
            <w:hyperlink r:id="rId12" w:history="1">
              <w:r w:rsidRPr="000F08AB">
                <w:rPr>
                  <w:rStyle w:val="Hyperlink"/>
                  <w:sz w:val="18"/>
                  <w:szCs w:val="18"/>
                </w:rPr>
                <w:t>https://www.bls.gov/news.release/pdf/ecec.pdf</w:t>
              </w:r>
            </w:hyperlink>
            <w:r>
              <w:rPr>
                <w:sz w:val="18"/>
                <w:szCs w:val="18"/>
              </w:rPr>
              <w:t>.</w:t>
            </w:r>
          </w:p>
          <w:p w14:paraId="4400D4C9" w14:textId="49C7A08D" w:rsidR="000F08AB" w:rsidRPr="007B0FBB" w:rsidRDefault="000F08AB" w:rsidP="00776205">
            <w:pPr>
              <w:pStyle w:val="TableNotes"/>
            </w:pPr>
            <w:r w:rsidRPr="007B0FBB">
              <w:t>(a) Calculated as $55.43 × 1.46627567 = $81.28, then $81.28 * 2,080 = $169,062.</w:t>
            </w:r>
          </w:p>
          <w:p w14:paraId="6A804693" w14:textId="6B914585" w:rsidR="000F08AB" w:rsidRPr="00BB47B4" w:rsidRDefault="000F08AB" w:rsidP="006061D7">
            <w:pPr>
              <w:pStyle w:val="CellBodyCenter"/>
            </w:pPr>
          </w:p>
        </w:tc>
      </w:tr>
    </w:tbl>
    <w:p w14:paraId="6BA6F9AC" w14:textId="6AF7516A" w:rsidR="004A2B29" w:rsidRPr="00294E5C" w:rsidRDefault="007542FE" w:rsidP="00B33C53">
      <w:pPr>
        <w:pStyle w:val="BodyText"/>
      </w:pPr>
      <w:r w:rsidRPr="00294E5C">
        <w:t>Multiplying the industry collection of information hourly burden by the industry hourly labor cost yields $</w:t>
      </w:r>
      <w:r w:rsidR="00143B4E" w:rsidRPr="00294E5C">
        <w:t>23</w:t>
      </w:r>
      <w:r w:rsidR="007550A3" w:rsidRPr="00294E5C">
        <w:t>5</w:t>
      </w:r>
      <w:r w:rsidR="00143B4E" w:rsidRPr="00294E5C">
        <w:t>,</w:t>
      </w:r>
      <w:r w:rsidR="00920B77" w:rsidRPr="00294E5C">
        <w:t>956</w:t>
      </w:r>
      <w:r w:rsidRPr="00294E5C">
        <w:t xml:space="preserve"> (calculated as 2,</w:t>
      </w:r>
      <w:r w:rsidR="00920B77" w:rsidRPr="00294E5C">
        <w:t>903</w:t>
      </w:r>
      <w:r w:rsidRPr="00294E5C">
        <w:t xml:space="preserve"> × $</w:t>
      </w:r>
      <w:r w:rsidR="00143B4E" w:rsidRPr="00294E5C">
        <w:t>81.28</w:t>
      </w:r>
      <w:r w:rsidRPr="00294E5C">
        <w:t xml:space="preserve"> = $</w:t>
      </w:r>
      <w:r w:rsidR="00143B4E" w:rsidRPr="00294E5C">
        <w:t>23</w:t>
      </w:r>
      <w:r w:rsidR="007550A3" w:rsidRPr="00294E5C">
        <w:t>5</w:t>
      </w:r>
      <w:r w:rsidR="00143B4E" w:rsidRPr="00294E5C">
        <w:t>,</w:t>
      </w:r>
      <w:r w:rsidR="00920B77" w:rsidRPr="00294E5C">
        <w:t>956</w:t>
      </w:r>
      <w:r w:rsidRPr="00294E5C">
        <w:t xml:space="preserve">) per initial application, </w:t>
      </w:r>
      <w:r w:rsidR="00C562D4" w:rsidRPr="00294E5C">
        <w:t>$</w:t>
      </w:r>
      <w:r w:rsidR="007550A3" w:rsidRPr="00294E5C">
        <w:t>117,978</w:t>
      </w:r>
      <w:r w:rsidR="00C562D4" w:rsidRPr="00294E5C">
        <w:t xml:space="preserve"> for a major license modification application (calculated as 50% of the initial application cost) </w:t>
      </w:r>
      <w:r w:rsidRPr="00294E5C">
        <w:t>and $</w:t>
      </w:r>
      <w:r w:rsidR="00143B4E" w:rsidRPr="00294E5C">
        <w:t>23,</w:t>
      </w:r>
      <w:r w:rsidR="007550A3" w:rsidRPr="00294E5C">
        <w:t>596</w:t>
      </w:r>
      <w:r w:rsidR="00FB5393" w:rsidRPr="00294E5C">
        <w:t xml:space="preserve"> </w:t>
      </w:r>
      <w:r w:rsidR="00C562D4" w:rsidRPr="00294E5C">
        <w:t xml:space="preserve">for a license renewal application </w:t>
      </w:r>
      <w:r w:rsidRPr="00294E5C">
        <w:t xml:space="preserve">(calculated as </w:t>
      </w:r>
      <w:r w:rsidR="00C878D4" w:rsidRPr="00294E5C">
        <w:t>10% of the initial application cost</w:t>
      </w:r>
      <w:r w:rsidRPr="00294E5C">
        <w:t xml:space="preserve">).  </w:t>
      </w:r>
    </w:p>
    <w:p w14:paraId="4379CD0A" w14:textId="012714FF" w:rsidR="005E55F1" w:rsidRPr="00294E5C" w:rsidRDefault="004A2B29" w:rsidP="00B33C53">
      <w:pPr>
        <w:pStyle w:val="BodyText"/>
      </w:pPr>
      <w:r w:rsidRPr="00294E5C">
        <w:t>The FAA e</w:t>
      </w:r>
      <w:r w:rsidR="00575686" w:rsidRPr="00294E5C">
        <w:t>xpects</w:t>
      </w:r>
      <w:r w:rsidRPr="00294E5C">
        <w:t xml:space="preserve"> cost estimates to vary widely</w:t>
      </w:r>
      <w:r w:rsidR="00575686" w:rsidRPr="00294E5C">
        <w:t xml:space="preserve"> by the number of applications since commercial space transportation is a rapidly evolving industry. The industry’s growth through technological innovation and the development of new markets increases the challenges associated with estimating a</w:t>
      </w:r>
      <w:r w:rsidR="005A7AB8" w:rsidRPr="00294E5C">
        <w:t>n annual</w:t>
      </w:r>
      <w:r w:rsidR="00002491" w:rsidRPr="00294E5C">
        <w:t>,</w:t>
      </w:r>
      <w:r w:rsidR="00575686" w:rsidRPr="00294E5C">
        <w:t xml:space="preserve"> finite number of initial</w:t>
      </w:r>
      <w:r w:rsidR="005A7AB8" w:rsidRPr="00294E5C">
        <w:t xml:space="preserve">, modification and renewal </w:t>
      </w:r>
      <w:r w:rsidR="00575686" w:rsidRPr="00294E5C">
        <w:t>applications.</w:t>
      </w:r>
      <w:r w:rsidR="005A7AB8" w:rsidRPr="00294E5C">
        <w:t xml:space="preserve">  Therefore, the FAA provides a low and high range of burden estimates based on a range of </w:t>
      </w:r>
      <w:r w:rsidR="00F97D73" w:rsidRPr="00294E5C">
        <w:t xml:space="preserve">potential </w:t>
      </w:r>
      <w:r w:rsidR="005A7AB8" w:rsidRPr="00294E5C">
        <w:t>annual applications.</w:t>
      </w:r>
      <w:r w:rsidR="00F97D73" w:rsidRPr="00294E5C">
        <w:rPr>
          <w:rStyle w:val="FootnoteReference"/>
        </w:rPr>
        <w:footnoteReference w:id="6"/>
      </w:r>
      <w:r w:rsidR="005A7AB8" w:rsidRPr="00294E5C">
        <w:t xml:space="preserve"> The FAA provides an average </w:t>
      </w:r>
      <w:r w:rsidR="000B4ACF" w:rsidRPr="00294E5C">
        <w:t>for</w:t>
      </w:r>
      <w:r w:rsidR="005A7AB8" w:rsidRPr="00294E5C">
        <w:t xml:space="preserve"> the primary estimate for reporting </w:t>
      </w:r>
      <w:r w:rsidR="00002491" w:rsidRPr="00294E5C">
        <w:t>to OMB and in a notice for public comment published in the Federal Register</w:t>
      </w:r>
      <w:r w:rsidR="005A7AB8" w:rsidRPr="00294E5C">
        <w:t>.</w:t>
      </w:r>
    </w:p>
    <w:p w14:paraId="60C5979B" w14:textId="77777777" w:rsidR="001204BB" w:rsidRDefault="001204BB" w:rsidP="00B33C53">
      <w:pPr>
        <w:pStyle w:val="BodyText"/>
      </w:pPr>
    </w:p>
    <w:p w14:paraId="0C317392" w14:textId="7E0D56BD" w:rsidR="005E55F1" w:rsidRPr="00B6757E" w:rsidRDefault="005E55F1" w:rsidP="00B33C53">
      <w:pPr>
        <w:pStyle w:val="BodyText"/>
        <w:rPr>
          <w:u w:val="single"/>
        </w:rPr>
      </w:pPr>
      <w:r w:rsidRPr="00B6757E">
        <w:rPr>
          <w:u w:val="single"/>
        </w:rPr>
        <w:t>Low Range</w:t>
      </w:r>
    </w:p>
    <w:p w14:paraId="6E5E2917" w14:textId="5E247520" w:rsidR="00D90B83" w:rsidRDefault="007542FE" w:rsidP="00B33C53">
      <w:pPr>
        <w:pStyle w:val="BodyText"/>
      </w:pPr>
      <w:r w:rsidRPr="00294E5C">
        <w:t xml:space="preserve">Multiplying the application cost by the estimated </w:t>
      </w:r>
      <w:r w:rsidR="00143B4E" w:rsidRPr="00294E5C">
        <w:t xml:space="preserve">low range of </w:t>
      </w:r>
      <w:r w:rsidRPr="00294E5C">
        <w:t xml:space="preserve">annual number of applications yields the </w:t>
      </w:r>
      <w:r w:rsidR="00F46067">
        <w:t xml:space="preserve">total </w:t>
      </w:r>
      <w:r w:rsidRPr="00294E5C">
        <w:t xml:space="preserve">annual information collection cost burden to industry associated with the </w:t>
      </w:r>
      <w:r w:rsidR="009C20A6" w:rsidRPr="00294E5C">
        <w:t>regulations</w:t>
      </w:r>
      <w:r w:rsidRPr="00294E5C">
        <w:t xml:space="preserve"> — $</w:t>
      </w:r>
      <w:r w:rsidR="007550A3" w:rsidRPr="00294E5C">
        <w:t>707,868</w:t>
      </w:r>
      <w:r w:rsidRPr="00294E5C">
        <w:t xml:space="preserve"> for initial license applications</w:t>
      </w:r>
      <w:r w:rsidR="00C562D4" w:rsidRPr="00294E5C">
        <w:t>, $</w:t>
      </w:r>
      <w:r w:rsidR="007550A3" w:rsidRPr="00294E5C">
        <w:t>707,868</w:t>
      </w:r>
      <w:r w:rsidR="00C562D4" w:rsidRPr="00294E5C">
        <w:t xml:space="preserve"> for major license modifications,</w:t>
      </w:r>
      <w:r w:rsidRPr="00294E5C">
        <w:t xml:space="preserve"> and $</w:t>
      </w:r>
      <w:r w:rsidR="007550A3" w:rsidRPr="00294E5C">
        <w:t>47,191</w:t>
      </w:r>
      <w:r w:rsidRPr="00294E5C">
        <w:t xml:space="preserve"> for renewal applications. This is summarized in Table 2</w:t>
      </w:r>
      <w:r w:rsidR="00143B4E" w:rsidRPr="00294E5C">
        <w:t>a</w:t>
      </w:r>
      <w:r w:rsidRPr="00294E5C">
        <w:t>.</w:t>
      </w:r>
    </w:p>
    <w:p w14:paraId="43807C1F" w14:textId="77777777" w:rsidR="00D90B83" w:rsidRDefault="00D90B83" w:rsidP="00B33C53">
      <w:pPr>
        <w:pStyle w:val="BodyText"/>
      </w:pPr>
    </w:p>
    <w:p w14:paraId="511C2FD0" w14:textId="6FA84393" w:rsidR="00817204" w:rsidRDefault="00817204" w:rsidP="00B33C53">
      <w:pPr>
        <w:pStyle w:val="BodyText"/>
      </w:pPr>
      <w:r>
        <w:t>For the low range, t</w:t>
      </w:r>
      <w:r w:rsidRPr="007B0FBB">
        <w:t xml:space="preserve">he total annual </w:t>
      </w:r>
      <w:r w:rsidR="00D90B83">
        <w:t xml:space="preserve">hour </w:t>
      </w:r>
      <w:r w:rsidRPr="007B0FBB">
        <w:t>burden to industry is 17,998 hours</w:t>
      </w:r>
      <w:r w:rsidR="00D90B83">
        <w:t xml:space="preserve"> and the total annual cost to industry is </w:t>
      </w:r>
      <w:r w:rsidR="00D90B83" w:rsidRPr="00D90B83">
        <w:t>$1,462,927</w:t>
      </w:r>
      <w:r w:rsidR="00D90B83">
        <w:t>.</w:t>
      </w:r>
    </w:p>
    <w:p w14:paraId="2535491A" w14:textId="77777777" w:rsidR="00B6757E" w:rsidRPr="00817204" w:rsidRDefault="00B6757E" w:rsidP="00B33C53">
      <w:pPr>
        <w:pStyle w:val="BodyText"/>
      </w:pPr>
    </w:p>
    <w:p w14:paraId="00B5148E" w14:textId="41BEC1ED" w:rsidR="007550A3" w:rsidRDefault="00DC7862" w:rsidP="004B5C34">
      <w:pPr>
        <w:pStyle w:val="Heading3"/>
      </w:pPr>
      <w:r w:rsidRPr="00BB47B4">
        <w:t>TABLE 2</w:t>
      </w:r>
      <w:r>
        <w:t>a</w:t>
      </w:r>
      <w:r w:rsidRPr="00BB47B4">
        <w:t xml:space="preserve">.  </w:t>
      </w:r>
      <w:r>
        <w:t xml:space="preserve">Low Range </w:t>
      </w:r>
      <w:r w:rsidR="00BD074C">
        <w:t xml:space="preserve">for </w:t>
      </w:r>
      <w:r w:rsidR="00750466">
        <w:t>B</w:t>
      </w:r>
      <w:r w:rsidRPr="00BB47B4">
        <w:t xml:space="preserve">urden </w:t>
      </w:r>
      <w:r w:rsidR="00750466">
        <w:t xml:space="preserve">&amp; Costs </w:t>
      </w:r>
      <w:r w:rsidRPr="00BB47B4">
        <w:t>to Industry</w:t>
      </w:r>
      <w:r w:rsidR="00A10612">
        <w:t>*</w:t>
      </w:r>
    </w:p>
    <w:tbl>
      <w:tblPr>
        <w:tblW w:w="9624" w:type="dxa"/>
        <w:tblInd w:w="-10" w:type="dxa"/>
        <w:tblLook w:val="04A0" w:firstRow="1" w:lastRow="0" w:firstColumn="1" w:lastColumn="0" w:noHBand="0" w:noVBand="1"/>
      </w:tblPr>
      <w:tblGrid>
        <w:gridCol w:w="1980"/>
        <w:gridCol w:w="1762"/>
        <w:gridCol w:w="1980"/>
        <w:gridCol w:w="2072"/>
        <w:gridCol w:w="1830"/>
      </w:tblGrid>
      <w:tr w:rsidR="00766820" w14:paraId="3CF44144" w14:textId="77777777" w:rsidTr="00E736E3">
        <w:trPr>
          <w:trHeight w:val="370"/>
          <w:tblHeader/>
        </w:trPr>
        <w:tc>
          <w:tcPr>
            <w:tcW w:w="198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14:paraId="3CA71529" w14:textId="77777777" w:rsidR="00766820" w:rsidRDefault="00766820">
            <w:pPr>
              <w:jc w:val="center"/>
              <w:rPr>
                <w:rFonts w:ascii="Arial" w:hAnsi="Arial" w:cs="Arial"/>
                <w:b/>
                <w:bCs/>
                <w:color w:val="000000"/>
              </w:rPr>
            </w:pPr>
            <w:r>
              <w:rPr>
                <w:rFonts w:ascii="Arial" w:hAnsi="Arial" w:cs="Arial"/>
                <w:b/>
                <w:bCs/>
                <w:color w:val="000000"/>
              </w:rPr>
              <w:t>Category</w:t>
            </w:r>
          </w:p>
        </w:tc>
        <w:tc>
          <w:tcPr>
            <w:tcW w:w="7644" w:type="dxa"/>
            <w:gridSpan w:val="4"/>
            <w:tcBorders>
              <w:top w:val="single" w:sz="8" w:space="0" w:color="auto"/>
              <w:left w:val="nil"/>
              <w:bottom w:val="single" w:sz="8" w:space="0" w:color="auto"/>
              <w:right w:val="single" w:sz="8" w:space="0" w:color="auto"/>
            </w:tcBorders>
            <w:shd w:val="clear" w:color="000000" w:fill="E6E6E6"/>
            <w:vAlign w:val="center"/>
            <w:hideMark/>
          </w:tcPr>
          <w:p w14:paraId="6956AB3D" w14:textId="32686966" w:rsidR="00766820" w:rsidRDefault="00766820" w:rsidP="00766820">
            <w:pPr>
              <w:jc w:val="center"/>
              <w:rPr>
                <w:rFonts w:ascii="Arial" w:hAnsi="Arial" w:cs="Arial"/>
                <w:b/>
                <w:bCs/>
                <w:color w:val="000000"/>
              </w:rPr>
            </w:pPr>
            <w:r>
              <w:rPr>
                <w:rFonts w:ascii="Arial" w:hAnsi="Arial" w:cs="Arial"/>
                <w:b/>
                <w:bCs/>
                <w:color w:val="000000"/>
              </w:rPr>
              <w:t>Hour Burden &amp; Costs </w:t>
            </w:r>
          </w:p>
        </w:tc>
      </w:tr>
      <w:tr w:rsidR="000C0278" w14:paraId="5AAF1627" w14:textId="77777777" w:rsidTr="009E1EF6">
        <w:trPr>
          <w:trHeight w:val="561"/>
          <w:tblHeader/>
        </w:trPr>
        <w:tc>
          <w:tcPr>
            <w:tcW w:w="1980" w:type="dxa"/>
            <w:vMerge/>
            <w:tcBorders>
              <w:top w:val="single" w:sz="8" w:space="0" w:color="auto"/>
              <w:left w:val="single" w:sz="8" w:space="0" w:color="auto"/>
              <w:bottom w:val="single" w:sz="8" w:space="0" w:color="000000"/>
              <w:right w:val="single" w:sz="8" w:space="0" w:color="auto"/>
            </w:tcBorders>
            <w:vAlign w:val="center"/>
            <w:hideMark/>
          </w:tcPr>
          <w:p w14:paraId="01789C15" w14:textId="77777777" w:rsidR="007550A3" w:rsidRDefault="007550A3">
            <w:pPr>
              <w:rPr>
                <w:rFonts w:ascii="Arial" w:hAnsi="Arial" w:cs="Arial"/>
                <w:b/>
                <w:bCs/>
                <w:color w:val="000000"/>
              </w:rPr>
            </w:pPr>
          </w:p>
        </w:tc>
        <w:tc>
          <w:tcPr>
            <w:tcW w:w="1762" w:type="dxa"/>
            <w:tcBorders>
              <w:top w:val="nil"/>
              <w:left w:val="nil"/>
              <w:bottom w:val="nil"/>
              <w:right w:val="single" w:sz="8" w:space="0" w:color="auto"/>
            </w:tcBorders>
            <w:shd w:val="clear" w:color="000000" w:fill="E6E6E6"/>
            <w:vAlign w:val="center"/>
            <w:hideMark/>
          </w:tcPr>
          <w:p w14:paraId="0B0884F5" w14:textId="77777777" w:rsidR="007550A3" w:rsidRDefault="007550A3">
            <w:pPr>
              <w:jc w:val="center"/>
              <w:rPr>
                <w:rFonts w:ascii="Arial" w:hAnsi="Arial" w:cs="Arial"/>
                <w:b/>
                <w:bCs/>
                <w:color w:val="000000"/>
              </w:rPr>
            </w:pPr>
            <w:r>
              <w:rPr>
                <w:rFonts w:ascii="Arial" w:hAnsi="Arial" w:cs="Arial"/>
                <w:b/>
                <w:bCs/>
                <w:color w:val="000000"/>
              </w:rPr>
              <w:t>Initial</w:t>
            </w:r>
          </w:p>
        </w:tc>
        <w:tc>
          <w:tcPr>
            <w:tcW w:w="1980" w:type="dxa"/>
            <w:vMerge w:val="restart"/>
            <w:tcBorders>
              <w:top w:val="nil"/>
              <w:left w:val="single" w:sz="8" w:space="0" w:color="auto"/>
              <w:bottom w:val="single" w:sz="8" w:space="0" w:color="000000"/>
              <w:right w:val="single" w:sz="8" w:space="0" w:color="auto"/>
            </w:tcBorders>
            <w:shd w:val="clear" w:color="000000" w:fill="E6E6E6"/>
            <w:vAlign w:val="center"/>
            <w:hideMark/>
          </w:tcPr>
          <w:p w14:paraId="60E16EBD" w14:textId="1B6FBBA6" w:rsidR="007550A3" w:rsidRDefault="007550A3">
            <w:pPr>
              <w:jc w:val="center"/>
              <w:rPr>
                <w:rFonts w:ascii="Arial" w:hAnsi="Arial" w:cs="Arial"/>
                <w:b/>
                <w:bCs/>
                <w:color w:val="000000"/>
              </w:rPr>
            </w:pPr>
            <w:r>
              <w:rPr>
                <w:rFonts w:ascii="Arial" w:hAnsi="Arial" w:cs="Arial"/>
                <w:b/>
                <w:bCs/>
                <w:color w:val="000000"/>
              </w:rPr>
              <w:t>Modification Application</w:t>
            </w:r>
            <w:r w:rsidR="00A10612" w:rsidRPr="00A10612">
              <w:rPr>
                <w:rFonts w:ascii="Arial" w:hAnsi="Arial" w:cs="Arial"/>
                <w:b/>
                <w:bCs/>
                <w:color w:val="000000"/>
                <w:vertAlign w:val="superscript"/>
              </w:rPr>
              <w:t>(</w:t>
            </w:r>
            <w:r w:rsidRPr="00A10612">
              <w:rPr>
                <w:rFonts w:ascii="Arial" w:hAnsi="Arial" w:cs="Arial"/>
                <w:b/>
                <w:bCs/>
                <w:color w:val="000000"/>
                <w:vertAlign w:val="superscript"/>
              </w:rPr>
              <w:t>a</w:t>
            </w:r>
            <w:r w:rsidR="00A10612" w:rsidRPr="00A10612">
              <w:rPr>
                <w:rFonts w:ascii="Arial" w:hAnsi="Arial" w:cs="Arial"/>
                <w:b/>
                <w:bCs/>
                <w:color w:val="000000"/>
                <w:vertAlign w:val="superscript"/>
              </w:rPr>
              <w:t>)</w:t>
            </w:r>
          </w:p>
        </w:tc>
        <w:tc>
          <w:tcPr>
            <w:tcW w:w="2072" w:type="dxa"/>
            <w:tcBorders>
              <w:top w:val="nil"/>
              <w:left w:val="nil"/>
              <w:bottom w:val="nil"/>
              <w:right w:val="single" w:sz="8" w:space="0" w:color="auto"/>
            </w:tcBorders>
            <w:shd w:val="clear" w:color="000000" w:fill="E6E6E6"/>
            <w:vAlign w:val="center"/>
            <w:hideMark/>
          </w:tcPr>
          <w:p w14:paraId="436235CB" w14:textId="77777777" w:rsidR="007550A3" w:rsidRDefault="007550A3">
            <w:pPr>
              <w:jc w:val="center"/>
              <w:rPr>
                <w:rFonts w:ascii="Arial" w:hAnsi="Arial" w:cs="Arial"/>
                <w:b/>
                <w:bCs/>
                <w:color w:val="000000"/>
              </w:rPr>
            </w:pPr>
            <w:r>
              <w:rPr>
                <w:rFonts w:ascii="Arial" w:hAnsi="Arial" w:cs="Arial"/>
                <w:b/>
                <w:bCs/>
                <w:color w:val="000000"/>
              </w:rPr>
              <w:t>Renewal</w:t>
            </w:r>
          </w:p>
        </w:tc>
        <w:tc>
          <w:tcPr>
            <w:tcW w:w="1830" w:type="dxa"/>
            <w:vMerge w:val="restart"/>
            <w:tcBorders>
              <w:top w:val="nil"/>
              <w:left w:val="single" w:sz="8" w:space="0" w:color="auto"/>
              <w:bottom w:val="single" w:sz="8" w:space="0" w:color="000000"/>
              <w:right w:val="single" w:sz="8" w:space="0" w:color="auto"/>
            </w:tcBorders>
            <w:shd w:val="clear" w:color="000000" w:fill="E6E6E6"/>
            <w:vAlign w:val="center"/>
            <w:hideMark/>
          </w:tcPr>
          <w:p w14:paraId="29B688E9" w14:textId="77777777" w:rsidR="007550A3" w:rsidRDefault="007550A3">
            <w:pPr>
              <w:jc w:val="center"/>
              <w:rPr>
                <w:rFonts w:ascii="Arial" w:hAnsi="Arial" w:cs="Arial"/>
                <w:b/>
                <w:bCs/>
                <w:color w:val="000000"/>
              </w:rPr>
            </w:pPr>
            <w:r>
              <w:rPr>
                <w:rFonts w:ascii="Arial" w:hAnsi="Arial" w:cs="Arial"/>
                <w:b/>
                <w:bCs/>
                <w:color w:val="000000"/>
              </w:rPr>
              <w:t>Total</w:t>
            </w:r>
          </w:p>
        </w:tc>
      </w:tr>
      <w:tr w:rsidR="007550A3" w14:paraId="01577255" w14:textId="77777777" w:rsidTr="000C0278">
        <w:trPr>
          <w:trHeight w:val="609"/>
        </w:trPr>
        <w:tc>
          <w:tcPr>
            <w:tcW w:w="1980" w:type="dxa"/>
            <w:vMerge/>
            <w:tcBorders>
              <w:top w:val="single" w:sz="8" w:space="0" w:color="auto"/>
              <w:left w:val="single" w:sz="8" w:space="0" w:color="auto"/>
              <w:bottom w:val="single" w:sz="8" w:space="0" w:color="000000"/>
              <w:right w:val="single" w:sz="8" w:space="0" w:color="auto"/>
            </w:tcBorders>
            <w:vAlign w:val="center"/>
            <w:hideMark/>
          </w:tcPr>
          <w:p w14:paraId="09F1C943" w14:textId="77777777" w:rsidR="007550A3" w:rsidRDefault="007550A3">
            <w:pPr>
              <w:rPr>
                <w:rFonts w:ascii="Arial" w:hAnsi="Arial" w:cs="Arial"/>
                <w:b/>
                <w:bCs/>
                <w:color w:val="000000"/>
              </w:rPr>
            </w:pPr>
          </w:p>
        </w:tc>
        <w:tc>
          <w:tcPr>
            <w:tcW w:w="1762" w:type="dxa"/>
            <w:tcBorders>
              <w:top w:val="nil"/>
              <w:left w:val="nil"/>
              <w:bottom w:val="single" w:sz="8" w:space="0" w:color="auto"/>
              <w:right w:val="single" w:sz="8" w:space="0" w:color="auto"/>
            </w:tcBorders>
            <w:shd w:val="clear" w:color="000000" w:fill="E6E6E6"/>
            <w:vAlign w:val="center"/>
            <w:hideMark/>
          </w:tcPr>
          <w:p w14:paraId="1BC2C2D1" w14:textId="77777777" w:rsidR="007550A3" w:rsidRDefault="007550A3">
            <w:pPr>
              <w:jc w:val="center"/>
              <w:rPr>
                <w:rFonts w:ascii="Arial" w:hAnsi="Arial" w:cs="Arial"/>
                <w:b/>
                <w:bCs/>
                <w:color w:val="000000"/>
              </w:rPr>
            </w:pPr>
            <w:r>
              <w:rPr>
                <w:rFonts w:ascii="Arial" w:hAnsi="Arial" w:cs="Arial"/>
                <w:b/>
                <w:bCs/>
                <w:color w:val="000000"/>
              </w:rPr>
              <w:t>Application</w:t>
            </w:r>
          </w:p>
        </w:tc>
        <w:tc>
          <w:tcPr>
            <w:tcW w:w="1980" w:type="dxa"/>
            <w:vMerge/>
            <w:tcBorders>
              <w:top w:val="nil"/>
              <w:left w:val="single" w:sz="8" w:space="0" w:color="auto"/>
              <w:bottom w:val="single" w:sz="8" w:space="0" w:color="000000"/>
              <w:right w:val="single" w:sz="8" w:space="0" w:color="auto"/>
            </w:tcBorders>
            <w:vAlign w:val="center"/>
            <w:hideMark/>
          </w:tcPr>
          <w:p w14:paraId="19B89D9A" w14:textId="77777777" w:rsidR="007550A3" w:rsidRDefault="007550A3">
            <w:pPr>
              <w:rPr>
                <w:rFonts w:ascii="Arial" w:hAnsi="Arial" w:cs="Arial"/>
                <w:b/>
                <w:bCs/>
                <w:color w:val="000000"/>
              </w:rPr>
            </w:pPr>
          </w:p>
        </w:tc>
        <w:tc>
          <w:tcPr>
            <w:tcW w:w="2072" w:type="dxa"/>
            <w:tcBorders>
              <w:top w:val="nil"/>
              <w:left w:val="nil"/>
              <w:bottom w:val="single" w:sz="8" w:space="0" w:color="auto"/>
              <w:right w:val="single" w:sz="8" w:space="0" w:color="auto"/>
            </w:tcBorders>
            <w:shd w:val="clear" w:color="000000" w:fill="E6E6E6"/>
            <w:vAlign w:val="center"/>
            <w:hideMark/>
          </w:tcPr>
          <w:p w14:paraId="5A82CFF8" w14:textId="4EB52808" w:rsidR="007550A3" w:rsidRDefault="007550A3">
            <w:pPr>
              <w:jc w:val="center"/>
              <w:rPr>
                <w:rFonts w:ascii="Arial" w:hAnsi="Arial" w:cs="Arial"/>
                <w:b/>
                <w:bCs/>
                <w:color w:val="000000"/>
              </w:rPr>
            </w:pPr>
            <w:r>
              <w:rPr>
                <w:rFonts w:ascii="Arial" w:hAnsi="Arial" w:cs="Arial"/>
                <w:b/>
                <w:bCs/>
                <w:color w:val="000000"/>
              </w:rPr>
              <w:t>Application</w:t>
            </w:r>
            <w:r w:rsidR="00A10612" w:rsidRPr="00A10612">
              <w:rPr>
                <w:rFonts w:ascii="Arial" w:hAnsi="Arial" w:cs="Arial"/>
                <w:b/>
                <w:bCs/>
                <w:color w:val="000000"/>
                <w:vertAlign w:val="superscript"/>
              </w:rPr>
              <w:t>(</w:t>
            </w:r>
            <w:r w:rsidRPr="00A10612">
              <w:rPr>
                <w:rFonts w:ascii="Arial" w:hAnsi="Arial" w:cs="Arial"/>
                <w:b/>
                <w:bCs/>
                <w:color w:val="000000"/>
                <w:vertAlign w:val="superscript"/>
              </w:rPr>
              <w:t>b</w:t>
            </w:r>
            <w:r w:rsidR="00A10612" w:rsidRPr="00A10612">
              <w:rPr>
                <w:rFonts w:ascii="Arial" w:hAnsi="Arial" w:cs="Arial"/>
                <w:b/>
                <w:bCs/>
                <w:color w:val="000000"/>
                <w:vertAlign w:val="superscript"/>
              </w:rPr>
              <w:t>)</w:t>
            </w:r>
          </w:p>
        </w:tc>
        <w:tc>
          <w:tcPr>
            <w:tcW w:w="1830" w:type="dxa"/>
            <w:vMerge/>
            <w:tcBorders>
              <w:top w:val="nil"/>
              <w:left w:val="single" w:sz="8" w:space="0" w:color="auto"/>
              <w:bottom w:val="single" w:sz="8" w:space="0" w:color="000000"/>
              <w:right w:val="single" w:sz="8" w:space="0" w:color="auto"/>
            </w:tcBorders>
            <w:vAlign w:val="center"/>
            <w:hideMark/>
          </w:tcPr>
          <w:p w14:paraId="677151AE" w14:textId="77777777" w:rsidR="007550A3" w:rsidRDefault="007550A3">
            <w:pPr>
              <w:rPr>
                <w:rFonts w:ascii="Arial" w:hAnsi="Arial" w:cs="Arial"/>
                <w:b/>
                <w:bCs/>
                <w:color w:val="000000"/>
              </w:rPr>
            </w:pPr>
          </w:p>
        </w:tc>
      </w:tr>
      <w:tr w:rsidR="007550A3" w14:paraId="34A877BD" w14:textId="77777777" w:rsidTr="000C0278">
        <w:trPr>
          <w:trHeight w:val="836"/>
        </w:trPr>
        <w:tc>
          <w:tcPr>
            <w:tcW w:w="1980" w:type="dxa"/>
            <w:tcBorders>
              <w:top w:val="nil"/>
              <w:left w:val="single" w:sz="8" w:space="0" w:color="auto"/>
              <w:bottom w:val="single" w:sz="8" w:space="0" w:color="auto"/>
              <w:right w:val="single" w:sz="8" w:space="0" w:color="auto"/>
            </w:tcBorders>
            <w:shd w:val="clear" w:color="auto" w:fill="auto"/>
            <w:vAlign w:val="center"/>
            <w:hideMark/>
          </w:tcPr>
          <w:p w14:paraId="12C9CC7F" w14:textId="77777777" w:rsidR="007550A3" w:rsidRDefault="007550A3">
            <w:pPr>
              <w:rPr>
                <w:rFonts w:ascii="Arial" w:hAnsi="Arial" w:cs="Arial"/>
                <w:color w:val="000000"/>
                <w:sz w:val="22"/>
                <w:szCs w:val="22"/>
              </w:rPr>
            </w:pPr>
            <w:r>
              <w:rPr>
                <w:rFonts w:ascii="Arial" w:hAnsi="Arial" w:cs="Arial"/>
                <w:color w:val="000000"/>
                <w:sz w:val="22"/>
                <w:szCs w:val="22"/>
              </w:rPr>
              <w:t>Hours required to submit each application</w:t>
            </w:r>
          </w:p>
        </w:tc>
        <w:tc>
          <w:tcPr>
            <w:tcW w:w="1762" w:type="dxa"/>
            <w:tcBorders>
              <w:top w:val="nil"/>
              <w:left w:val="nil"/>
              <w:bottom w:val="single" w:sz="8" w:space="0" w:color="auto"/>
              <w:right w:val="single" w:sz="8" w:space="0" w:color="auto"/>
            </w:tcBorders>
            <w:shd w:val="clear" w:color="auto" w:fill="auto"/>
            <w:vAlign w:val="center"/>
            <w:hideMark/>
          </w:tcPr>
          <w:p w14:paraId="62B6DEA8" w14:textId="77777777" w:rsidR="007550A3" w:rsidRDefault="007550A3">
            <w:pPr>
              <w:jc w:val="center"/>
              <w:rPr>
                <w:rFonts w:ascii="Arial" w:hAnsi="Arial" w:cs="Arial"/>
                <w:color w:val="000000"/>
                <w:sz w:val="22"/>
                <w:szCs w:val="22"/>
              </w:rPr>
            </w:pPr>
            <w:r>
              <w:rPr>
                <w:rFonts w:ascii="Arial" w:hAnsi="Arial" w:cs="Arial"/>
                <w:color w:val="000000"/>
                <w:sz w:val="22"/>
                <w:szCs w:val="22"/>
              </w:rPr>
              <w:t>2,903</w:t>
            </w:r>
          </w:p>
        </w:tc>
        <w:tc>
          <w:tcPr>
            <w:tcW w:w="1980" w:type="dxa"/>
            <w:tcBorders>
              <w:top w:val="nil"/>
              <w:left w:val="nil"/>
              <w:bottom w:val="single" w:sz="8" w:space="0" w:color="auto"/>
              <w:right w:val="single" w:sz="8" w:space="0" w:color="auto"/>
            </w:tcBorders>
            <w:shd w:val="clear" w:color="auto" w:fill="auto"/>
            <w:vAlign w:val="center"/>
            <w:hideMark/>
          </w:tcPr>
          <w:p w14:paraId="1C88B30E" w14:textId="77777777" w:rsidR="007550A3" w:rsidRDefault="007550A3">
            <w:pPr>
              <w:jc w:val="center"/>
              <w:rPr>
                <w:rFonts w:ascii="Arial" w:hAnsi="Arial" w:cs="Arial"/>
                <w:color w:val="000000"/>
                <w:sz w:val="22"/>
                <w:szCs w:val="22"/>
              </w:rPr>
            </w:pPr>
            <w:r>
              <w:rPr>
                <w:rFonts w:ascii="Arial" w:hAnsi="Arial" w:cs="Arial"/>
                <w:color w:val="000000"/>
                <w:sz w:val="22"/>
                <w:szCs w:val="22"/>
              </w:rPr>
              <w:t>1,452</w:t>
            </w:r>
          </w:p>
        </w:tc>
        <w:tc>
          <w:tcPr>
            <w:tcW w:w="2072" w:type="dxa"/>
            <w:tcBorders>
              <w:top w:val="nil"/>
              <w:left w:val="nil"/>
              <w:bottom w:val="single" w:sz="8" w:space="0" w:color="auto"/>
              <w:right w:val="single" w:sz="8" w:space="0" w:color="auto"/>
            </w:tcBorders>
            <w:shd w:val="clear" w:color="auto" w:fill="auto"/>
            <w:vAlign w:val="center"/>
            <w:hideMark/>
          </w:tcPr>
          <w:p w14:paraId="4349DDFA" w14:textId="77777777" w:rsidR="007550A3" w:rsidRDefault="007550A3">
            <w:pPr>
              <w:jc w:val="center"/>
              <w:rPr>
                <w:rFonts w:ascii="Arial" w:hAnsi="Arial" w:cs="Arial"/>
                <w:color w:val="000000"/>
                <w:sz w:val="22"/>
                <w:szCs w:val="22"/>
              </w:rPr>
            </w:pPr>
            <w:r>
              <w:rPr>
                <w:rFonts w:ascii="Arial" w:hAnsi="Arial" w:cs="Arial"/>
                <w:color w:val="000000"/>
                <w:sz w:val="22"/>
                <w:szCs w:val="22"/>
              </w:rPr>
              <w:t>290</w:t>
            </w:r>
          </w:p>
        </w:tc>
        <w:tc>
          <w:tcPr>
            <w:tcW w:w="1830" w:type="dxa"/>
            <w:tcBorders>
              <w:top w:val="nil"/>
              <w:left w:val="nil"/>
              <w:bottom w:val="single" w:sz="8" w:space="0" w:color="auto"/>
              <w:right w:val="single" w:sz="8" w:space="0" w:color="auto"/>
            </w:tcBorders>
            <w:shd w:val="clear" w:color="auto" w:fill="auto"/>
            <w:vAlign w:val="center"/>
            <w:hideMark/>
          </w:tcPr>
          <w:p w14:paraId="03D59B03" w14:textId="31EB9057" w:rsidR="007550A3" w:rsidRDefault="007550A3">
            <w:pPr>
              <w:jc w:val="center"/>
              <w:rPr>
                <w:rFonts w:ascii="Arial" w:hAnsi="Arial" w:cs="Arial"/>
                <w:color w:val="000000"/>
                <w:sz w:val="22"/>
                <w:szCs w:val="22"/>
              </w:rPr>
            </w:pPr>
            <w:r>
              <w:rPr>
                <w:rFonts w:ascii="Arial" w:hAnsi="Arial" w:cs="Arial"/>
                <w:color w:val="000000"/>
                <w:sz w:val="22"/>
                <w:szCs w:val="22"/>
              </w:rPr>
              <w:t> </w:t>
            </w:r>
            <w:r w:rsidR="00294E5C">
              <w:rPr>
                <w:rFonts w:ascii="Arial" w:hAnsi="Arial" w:cs="Arial"/>
                <w:color w:val="000000"/>
                <w:sz w:val="22"/>
                <w:szCs w:val="22"/>
              </w:rPr>
              <w:t>n/a</w:t>
            </w:r>
          </w:p>
        </w:tc>
      </w:tr>
      <w:tr w:rsidR="007550A3" w14:paraId="417B17E3" w14:textId="77777777" w:rsidTr="000C0278">
        <w:trPr>
          <w:trHeight w:val="883"/>
        </w:trPr>
        <w:tc>
          <w:tcPr>
            <w:tcW w:w="1980" w:type="dxa"/>
            <w:tcBorders>
              <w:top w:val="nil"/>
              <w:left w:val="single" w:sz="8" w:space="0" w:color="auto"/>
              <w:bottom w:val="single" w:sz="8" w:space="0" w:color="auto"/>
              <w:right w:val="single" w:sz="8" w:space="0" w:color="auto"/>
            </w:tcBorders>
            <w:shd w:val="clear" w:color="auto" w:fill="auto"/>
            <w:vAlign w:val="center"/>
            <w:hideMark/>
          </w:tcPr>
          <w:p w14:paraId="3E066999" w14:textId="60D9231A" w:rsidR="007550A3" w:rsidRDefault="007550A3">
            <w:pPr>
              <w:rPr>
                <w:rFonts w:ascii="Arial" w:hAnsi="Arial" w:cs="Arial"/>
                <w:color w:val="000000"/>
                <w:sz w:val="22"/>
                <w:szCs w:val="22"/>
              </w:rPr>
            </w:pPr>
            <w:r>
              <w:rPr>
                <w:rFonts w:ascii="Arial" w:hAnsi="Arial" w:cs="Arial"/>
                <w:color w:val="000000"/>
                <w:sz w:val="22"/>
                <w:szCs w:val="22"/>
              </w:rPr>
              <w:t xml:space="preserve">Number of applications per respondent </w:t>
            </w:r>
            <w:r w:rsidR="00A10612" w:rsidRPr="009E1EF6">
              <w:rPr>
                <w:rFonts w:ascii="Arial" w:hAnsi="Arial" w:cs="Arial"/>
                <w:color w:val="000000"/>
                <w:sz w:val="22"/>
                <w:szCs w:val="22"/>
                <w:vertAlign w:val="superscript"/>
              </w:rPr>
              <w:t>(</w:t>
            </w:r>
            <w:r>
              <w:rPr>
                <w:rFonts w:ascii="Arial" w:hAnsi="Arial" w:cs="Arial"/>
                <w:color w:val="000000"/>
                <w:sz w:val="22"/>
                <w:szCs w:val="22"/>
                <w:vertAlign w:val="superscript"/>
              </w:rPr>
              <w:t>d</w:t>
            </w:r>
            <w:r w:rsidR="00A10612">
              <w:rPr>
                <w:rFonts w:ascii="Arial" w:hAnsi="Arial" w:cs="Arial"/>
                <w:color w:val="000000"/>
                <w:sz w:val="22"/>
                <w:szCs w:val="22"/>
                <w:vertAlign w:val="superscript"/>
              </w:rPr>
              <w:t>)</w:t>
            </w:r>
          </w:p>
        </w:tc>
        <w:tc>
          <w:tcPr>
            <w:tcW w:w="1762" w:type="dxa"/>
            <w:tcBorders>
              <w:top w:val="nil"/>
              <w:left w:val="nil"/>
              <w:bottom w:val="single" w:sz="8" w:space="0" w:color="auto"/>
              <w:right w:val="single" w:sz="8" w:space="0" w:color="auto"/>
            </w:tcBorders>
            <w:shd w:val="clear" w:color="auto" w:fill="auto"/>
            <w:vAlign w:val="center"/>
            <w:hideMark/>
          </w:tcPr>
          <w:p w14:paraId="170DE78E" w14:textId="77777777" w:rsidR="007550A3" w:rsidRDefault="007550A3">
            <w:pPr>
              <w:jc w:val="center"/>
              <w:rPr>
                <w:rFonts w:ascii="Arial" w:hAnsi="Arial" w:cs="Arial"/>
                <w:color w:val="000000"/>
                <w:sz w:val="22"/>
                <w:szCs w:val="22"/>
              </w:rPr>
            </w:pPr>
            <w:r>
              <w:rPr>
                <w:rFonts w:ascii="Arial" w:hAnsi="Arial" w:cs="Arial"/>
                <w:color w:val="000000"/>
                <w:sz w:val="22"/>
                <w:szCs w:val="22"/>
              </w:rPr>
              <w:t>1</w:t>
            </w:r>
          </w:p>
        </w:tc>
        <w:tc>
          <w:tcPr>
            <w:tcW w:w="1980" w:type="dxa"/>
            <w:tcBorders>
              <w:top w:val="nil"/>
              <w:left w:val="nil"/>
              <w:bottom w:val="single" w:sz="8" w:space="0" w:color="auto"/>
              <w:right w:val="single" w:sz="8" w:space="0" w:color="auto"/>
            </w:tcBorders>
            <w:shd w:val="clear" w:color="auto" w:fill="auto"/>
            <w:vAlign w:val="center"/>
            <w:hideMark/>
          </w:tcPr>
          <w:p w14:paraId="0B78E551" w14:textId="77777777" w:rsidR="007550A3" w:rsidRDefault="007550A3">
            <w:pPr>
              <w:jc w:val="center"/>
              <w:rPr>
                <w:rFonts w:ascii="Arial" w:hAnsi="Arial" w:cs="Arial"/>
                <w:color w:val="000000"/>
                <w:sz w:val="22"/>
                <w:szCs w:val="22"/>
              </w:rPr>
            </w:pPr>
            <w:r>
              <w:rPr>
                <w:rFonts w:ascii="Arial" w:hAnsi="Arial" w:cs="Arial"/>
                <w:color w:val="000000"/>
                <w:sz w:val="22"/>
                <w:szCs w:val="22"/>
              </w:rPr>
              <w:t>1</w:t>
            </w:r>
          </w:p>
        </w:tc>
        <w:tc>
          <w:tcPr>
            <w:tcW w:w="2072" w:type="dxa"/>
            <w:tcBorders>
              <w:top w:val="nil"/>
              <w:left w:val="nil"/>
              <w:bottom w:val="single" w:sz="8" w:space="0" w:color="auto"/>
              <w:right w:val="single" w:sz="8" w:space="0" w:color="auto"/>
            </w:tcBorders>
            <w:shd w:val="clear" w:color="auto" w:fill="auto"/>
            <w:vAlign w:val="center"/>
            <w:hideMark/>
          </w:tcPr>
          <w:p w14:paraId="380206C7" w14:textId="77777777" w:rsidR="007550A3" w:rsidRDefault="007550A3">
            <w:pPr>
              <w:jc w:val="center"/>
              <w:rPr>
                <w:rFonts w:ascii="Arial" w:hAnsi="Arial" w:cs="Arial"/>
                <w:color w:val="000000"/>
                <w:sz w:val="22"/>
                <w:szCs w:val="22"/>
              </w:rPr>
            </w:pPr>
            <w:r>
              <w:rPr>
                <w:rFonts w:ascii="Arial" w:hAnsi="Arial" w:cs="Arial"/>
                <w:color w:val="000000"/>
                <w:sz w:val="22"/>
                <w:szCs w:val="22"/>
              </w:rPr>
              <w:t>1</w:t>
            </w:r>
          </w:p>
        </w:tc>
        <w:tc>
          <w:tcPr>
            <w:tcW w:w="1830" w:type="dxa"/>
            <w:tcBorders>
              <w:top w:val="nil"/>
              <w:left w:val="nil"/>
              <w:bottom w:val="single" w:sz="8" w:space="0" w:color="auto"/>
              <w:right w:val="single" w:sz="8" w:space="0" w:color="auto"/>
            </w:tcBorders>
            <w:shd w:val="clear" w:color="auto" w:fill="auto"/>
            <w:vAlign w:val="center"/>
            <w:hideMark/>
          </w:tcPr>
          <w:p w14:paraId="40CADC88" w14:textId="239A62C4" w:rsidR="007550A3" w:rsidRDefault="00294E5C">
            <w:pPr>
              <w:jc w:val="center"/>
              <w:rPr>
                <w:rFonts w:ascii="Arial" w:hAnsi="Arial" w:cs="Arial"/>
                <w:color w:val="000000"/>
                <w:sz w:val="22"/>
                <w:szCs w:val="22"/>
              </w:rPr>
            </w:pPr>
            <w:r>
              <w:rPr>
                <w:rFonts w:ascii="Arial" w:hAnsi="Arial" w:cs="Arial"/>
                <w:color w:val="000000"/>
                <w:sz w:val="22"/>
                <w:szCs w:val="22"/>
              </w:rPr>
              <w:t>n/a</w:t>
            </w:r>
            <w:r w:rsidR="007550A3">
              <w:rPr>
                <w:rFonts w:ascii="Arial" w:hAnsi="Arial" w:cs="Arial"/>
                <w:color w:val="000000"/>
                <w:sz w:val="22"/>
                <w:szCs w:val="22"/>
              </w:rPr>
              <w:t> </w:t>
            </w:r>
          </w:p>
        </w:tc>
      </w:tr>
      <w:tr w:rsidR="007550A3" w14:paraId="28DFED7A" w14:textId="77777777" w:rsidTr="000C0278">
        <w:trPr>
          <w:trHeight w:val="609"/>
        </w:trPr>
        <w:tc>
          <w:tcPr>
            <w:tcW w:w="1980" w:type="dxa"/>
            <w:tcBorders>
              <w:top w:val="nil"/>
              <w:left w:val="single" w:sz="8" w:space="0" w:color="auto"/>
              <w:bottom w:val="single" w:sz="8" w:space="0" w:color="auto"/>
              <w:right w:val="single" w:sz="8" w:space="0" w:color="auto"/>
            </w:tcBorders>
            <w:shd w:val="clear" w:color="auto" w:fill="auto"/>
            <w:vAlign w:val="center"/>
            <w:hideMark/>
          </w:tcPr>
          <w:p w14:paraId="2A502812" w14:textId="6873E866" w:rsidR="007550A3" w:rsidRDefault="007550A3">
            <w:pPr>
              <w:rPr>
                <w:rFonts w:ascii="Arial" w:hAnsi="Arial" w:cs="Arial"/>
                <w:color w:val="000000"/>
                <w:sz w:val="22"/>
                <w:szCs w:val="22"/>
              </w:rPr>
            </w:pPr>
            <w:r>
              <w:rPr>
                <w:rFonts w:ascii="Arial" w:hAnsi="Arial" w:cs="Arial"/>
                <w:color w:val="000000"/>
                <w:sz w:val="22"/>
                <w:szCs w:val="22"/>
              </w:rPr>
              <w:t>Annual number of applications</w:t>
            </w:r>
            <w:r w:rsidRPr="009E1EF6">
              <w:rPr>
                <w:rFonts w:ascii="Arial" w:hAnsi="Arial" w:cs="Arial"/>
                <w:color w:val="000000"/>
                <w:sz w:val="22"/>
                <w:szCs w:val="22"/>
                <w:vertAlign w:val="superscript"/>
              </w:rPr>
              <w:t xml:space="preserve"> </w:t>
            </w:r>
            <w:r w:rsidR="009E1EF6" w:rsidRPr="009E1EF6">
              <w:rPr>
                <w:rFonts w:ascii="Arial" w:hAnsi="Arial" w:cs="Arial"/>
                <w:color w:val="000000"/>
                <w:sz w:val="22"/>
                <w:szCs w:val="22"/>
                <w:vertAlign w:val="superscript"/>
              </w:rPr>
              <w:t>(c)</w:t>
            </w:r>
          </w:p>
        </w:tc>
        <w:tc>
          <w:tcPr>
            <w:tcW w:w="1762" w:type="dxa"/>
            <w:tcBorders>
              <w:top w:val="nil"/>
              <w:left w:val="nil"/>
              <w:bottom w:val="single" w:sz="8" w:space="0" w:color="auto"/>
              <w:right w:val="single" w:sz="8" w:space="0" w:color="auto"/>
            </w:tcBorders>
            <w:shd w:val="clear" w:color="auto" w:fill="auto"/>
            <w:vAlign w:val="center"/>
            <w:hideMark/>
          </w:tcPr>
          <w:p w14:paraId="601E14C0" w14:textId="77777777" w:rsidR="007550A3" w:rsidRDefault="007550A3">
            <w:pPr>
              <w:jc w:val="center"/>
              <w:rPr>
                <w:rFonts w:ascii="Arial" w:hAnsi="Arial" w:cs="Arial"/>
                <w:color w:val="000000"/>
                <w:sz w:val="22"/>
                <w:szCs w:val="22"/>
              </w:rPr>
            </w:pPr>
            <w:r>
              <w:rPr>
                <w:rFonts w:ascii="Arial" w:hAnsi="Arial" w:cs="Arial"/>
                <w:color w:val="000000"/>
                <w:sz w:val="22"/>
                <w:szCs w:val="22"/>
              </w:rPr>
              <w:t>3</w:t>
            </w:r>
          </w:p>
        </w:tc>
        <w:tc>
          <w:tcPr>
            <w:tcW w:w="1980" w:type="dxa"/>
            <w:tcBorders>
              <w:top w:val="nil"/>
              <w:left w:val="nil"/>
              <w:bottom w:val="single" w:sz="8" w:space="0" w:color="auto"/>
              <w:right w:val="single" w:sz="8" w:space="0" w:color="auto"/>
            </w:tcBorders>
            <w:shd w:val="clear" w:color="auto" w:fill="auto"/>
            <w:vAlign w:val="center"/>
            <w:hideMark/>
          </w:tcPr>
          <w:p w14:paraId="7D0EFE43" w14:textId="77777777" w:rsidR="007550A3" w:rsidRDefault="007550A3">
            <w:pPr>
              <w:jc w:val="center"/>
              <w:rPr>
                <w:rFonts w:ascii="Arial" w:hAnsi="Arial" w:cs="Arial"/>
                <w:color w:val="000000"/>
                <w:sz w:val="22"/>
                <w:szCs w:val="22"/>
              </w:rPr>
            </w:pPr>
            <w:r>
              <w:rPr>
                <w:rFonts w:ascii="Arial" w:hAnsi="Arial" w:cs="Arial"/>
                <w:color w:val="000000"/>
                <w:sz w:val="22"/>
                <w:szCs w:val="22"/>
              </w:rPr>
              <w:t>6</w:t>
            </w:r>
          </w:p>
        </w:tc>
        <w:tc>
          <w:tcPr>
            <w:tcW w:w="2072" w:type="dxa"/>
            <w:tcBorders>
              <w:top w:val="nil"/>
              <w:left w:val="nil"/>
              <w:bottom w:val="single" w:sz="8" w:space="0" w:color="auto"/>
              <w:right w:val="single" w:sz="8" w:space="0" w:color="auto"/>
            </w:tcBorders>
            <w:shd w:val="clear" w:color="auto" w:fill="auto"/>
            <w:vAlign w:val="center"/>
            <w:hideMark/>
          </w:tcPr>
          <w:p w14:paraId="433D3B7D" w14:textId="77777777" w:rsidR="007550A3" w:rsidRDefault="007550A3">
            <w:pPr>
              <w:jc w:val="center"/>
              <w:rPr>
                <w:rFonts w:ascii="Arial" w:hAnsi="Arial" w:cs="Arial"/>
                <w:color w:val="000000"/>
                <w:sz w:val="22"/>
                <w:szCs w:val="22"/>
              </w:rPr>
            </w:pPr>
            <w:r>
              <w:rPr>
                <w:rFonts w:ascii="Arial" w:hAnsi="Arial" w:cs="Arial"/>
                <w:color w:val="000000"/>
                <w:sz w:val="22"/>
                <w:szCs w:val="22"/>
              </w:rPr>
              <w:t>2</w:t>
            </w:r>
          </w:p>
        </w:tc>
        <w:tc>
          <w:tcPr>
            <w:tcW w:w="1830" w:type="dxa"/>
            <w:tcBorders>
              <w:top w:val="nil"/>
              <w:left w:val="nil"/>
              <w:bottom w:val="single" w:sz="8" w:space="0" w:color="auto"/>
              <w:right w:val="single" w:sz="8" w:space="0" w:color="auto"/>
            </w:tcBorders>
            <w:shd w:val="clear" w:color="auto" w:fill="auto"/>
            <w:vAlign w:val="center"/>
            <w:hideMark/>
          </w:tcPr>
          <w:p w14:paraId="1F1FFAA9" w14:textId="77777777" w:rsidR="007550A3" w:rsidRDefault="007550A3">
            <w:pPr>
              <w:jc w:val="center"/>
              <w:rPr>
                <w:rFonts w:ascii="Arial" w:hAnsi="Arial" w:cs="Arial"/>
                <w:color w:val="000000"/>
                <w:sz w:val="22"/>
                <w:szCs w:val="22"/>
              </w:rPr>
            </w:pPr>
            <w:r>
              <w:rPr>
                <w:rFonts w:ascii="Arial" w:hAnsi="Arial" w:cs="Arial"/>
                <w:color w:val="000000"/>
                <w:sz w:val="22"/>
                <w:szCs w:val="22"/>
              </w:rPr>
              <w:t>11</w:t>
            </w:r>
          </w:p>
        </w:tc>
      </w:tr>
      <w:tr w:rsidR="007550A3" w14:paraId="2109D080" w14:textId="77777777" w:rsidTr="000C0278">
        <w:trPr>
          <w:trHeight w:val="298"/>
        </w:trPr>
        <w:tc>
          <w:tcPr>
            <w:tcW w:w="1980" w:type="dxa"/>
            <w:tcBorders>
              <w:top w:val="nil"/>
              <w:left w:val="single" w:sz="8" w:space="0" w:color="auto"/>
              <w:bottom w:val="single" w:sz="8" w:space="0" w:color="auto"/>
              <w:right w:val="single" w:sz="8" w:space="0" w:color="auto"/>
            </w:tcBorders>
            <w:shd w:val="clear" w:color="auto" w:fill="auto"/>
            <w:vAlign w:val="center"/>
            <w:hideMark/>
          </w:tcPr>
          <w:p w14:paraId="31A6311F" w14:textId="75C991F2" w:rsidR="007550A3" w:rsidRDefault="004E5E04">
            <w:pPr>
              <w:rPr>
                <w:rFonts w:ascii="Arial" w:hAnsi="Arial" w:cs="Arial"/>
                <w:color w:val="000000"/>
                <w:sz w:val="22"/>
                <w:szCs w:val="22"/>
              </w:rPr>
            </w:pPr>
            <w:r>
              <w:rPr>
                <w:rFonts w:ascii="Arial" w:hAnsi="Arial" w:cs="Arial"/>
                <w:color w:val="000000"/>
                <w:sz w:val="22"/>
                <w:szCs w:val="22"/>
              </w:rPr>
              <w:t>Total h</w:t>
            </w:r>
            <w:r w:rsidR="007550A3">
              <w:rPr>
                <w:rFonts w:ascii="Arial" w:hAnsi="Arial" w:cs="Arial"/>
                <w:color w:val="000000"/>
                <w:sz w:val="22"/>
                <w:szCs w:val="22"/>
              </w:rPr>
              <w:t>ours</w:t>
            </w:r>
          </w:p>
        </w:tc>
        <w:tc>
          <w:tcPr>
            <w:tcW w:w="1762" w:type="dxa"/>
            <w:tcBorders>
              <w:top w:val="nil"/>
              <w:left w:val="nil"/>
              <w:bottom w:val="single" w:sz="8" w:space="0" w:color="auto"/>
              <w:right w:val="single" w:sz="8" w:space="0" w:color="auto"/>
            </w:tcBorders>
            <w:shd w:val="clear" w:color="auto" w:fill="auto"/>
            <w:vAlign w:val="center"/>
            <w:hideMark/>
          </w:tcPr>
          <w:p w14:paraId="4FB736E5" w14:textId="77777777" w:rsidR="007550A3" w:rsidRDefault="007550A3">
            <w:pPr>
              <w:jc w:val="center"/>
              <w:rPr>
                <w:rFonts w:ascii="Arial" w:hAnsi="Arial" w:cs="Arial"/>
                <w:color w:val="000000"/>
                <w:sz w:val="22"/>
                <w:szCs w:val="22"/>
              </w:rPr>
            </w:pPr>
            <w:r>
              <w:rPr>
                <w:rFonts w:ascii="Arial" w:hAnsi="Arial" w:cs="Arial"/>
                <w:color w:val="000000"/>
                <w:sz w:val="22"/>
                <w:szCs w:val="22"/>
              </w:rPr>
              <w:t>8,709</w:t>
            </w:r>
          </w:p>
        </w:tc>
        <w:tc>
          <w:tcPr>
            <w:tcW w:w="1980" w:type="dxa"/>
            <w:tcBorders>
              <w:top w:val="nil"/>
              <w:left w:val="nil"/>
              <w:bottom w:val="single" w:sz="8" w:space="0" w:color="auto"/>
              <w:right w:val="single" w:sz="8" w:space="0" w:color="auto"/>
            </w:tcBorders>
            <w:shd w:val="clear" w:color="auto" w:fill="auto"/>
            <w:vAlign w:val="center"/>
            <w:hideMark/>
          </w:tcPr>
          <w:p w14:paraId="42C1D7B7" w14:textId="5C20A3EC" w:rsidR="007550A3" w:rsidRDefault="007550A3" w:rsidP="00931F3E">
            <w:pPr>
              <w:jc w:val="center"/>
              <w:rPr>
                <w:rFonts w:ascii="Arial" w:hAnsi="Arial" w:cs="Arial"/>
                <w:color w:val="000000"/>
                <w:sz w:val="22"/>
                <w:szCs w:val="22"/>
              </w:rPr>
            </w:pPr>
            <w:r>
              <w:rPr>
                <w:rFonts w:ascii="Arial" w:hAnsi="Arial" w:cs="Arial"/>
                <w:color w:val="000000"/>
                <w:sz w:val="22"/>
                <w:szCs w:val="22"/>
              </w:rPr>
              <w:t>8,7</w:t>
            </w:r>
            <w:r w:rsidR="008B7E18">
              <w:rPr>
                <w:rFonts w:ascii="Arial" w:hAnsi="Arial" w:cs="Arial"/>
                <w:color w:val="000000"/>
                <w:sz w:val="22"/>
                <w:szCs w:val="22"/>
              </w:rPr>
              <w:t>09</w:t>
            </w:r>
          </w:p>
        </w:tc>
        <w:tc>
          <w:tcPr>
            <w:tcW w:w="2072" w:type="dxa"/>
            <w:tcBorders>
              <w:top w:val="nil"/>
              <w:left w:val="nil"/>
              <w:bottom w:val="single" w:sz="8" w:space="0" w:color="auto"/>
              <w:right w:val="single" w:sz="8" w:space="0" w:color="auto"/>
            </w:tcBorders>
            <w:shd w:val="clear" w:color="auto" w:fill="auto"/>
            <w:vAlign w:val="center"/>
            <w:hideMark/>
          </w:tcPr>
          <w:p w14:paraId="217D703B" w14:textId="77777777" w:rsidR="007550A3" w:rsidRDefault="007550A3">
            <w:pPr>
              <w:jc w:val="center"/>
              <w:rPr>
                <w:rFonts w:ascii="Arial" w:hAnsi="Arial" w:cs="Arial"/>
                <w:color w:val="000000"/>
                <w:sz w:val="22"/>
                <w:szCs w:val="22"/>
              </w:rPr>
            </w:pPr>
            <w:r>
              <w:rPr>
                <w:rFonts w:ascii="Arial" w:hAnsi="Arial" w:cs="Arial"/>
                <w:color w:val="000000"/>
                <w:sz w:val="22"/>
                <w:szCs w:val="22"/>
              </w:rPr>
              <w:t>580</w:t>
            </w:r>
          </w:p>
        </w:tc>
        <w:tc>
          <w:tcPr>
            <w:tcW w:w="1830" w:type="dxa"/>
            <w:tcBorders>
              <w:top w:val="nil"/>
              <w:left w:val="nil"/>
              <w:bottom w:val="single" w:sz="8" w:space="0" w:color="auto"/>
              <w:right w:val="single" w:sz="8" w:space="0" w:color="auto"/>
            </w:tcBorders>
            <w:shd w:val="clear" w:color="auto" w:fill="auto"/>
            <w:vAlign w:val="center"/>
            <w:hideMark/>
          </w:tcPr>
          <w:p w14:paraId="64475EB9" w14:textId="6C463D35" w:rsidR="007550A3" w:rsidRDefault="008B7E18">
            <w:pPr>
              <w:jc w:val="center"/>
              <w:rPr>
                <w:rFonts w:ascii="Arial" w:hAnsi="Arial" w:cs="Arial"/>
                <w:color w:val="000000"/>
                <w:sz w:val="22"/>
                <w:szCs w:val="22"/>
              </w:rPr>
            </w:pPr>
            <w:r>
              <w:rPr>
                <w:rFonts w:ascii="Arial" w:hAnsi="Arial" w:cs="Arial"/>
                <w:color w:val="000000"/>
                <w:sz w:val="22"/>
                <w:szCs w:val="22"/>
              </w:rPr>
              <w:t>17</w:t>
            </w:r>
            <w:r w:rsidR="000C0278">
              <w:rPr>
                <w:rFonts w:ascii="Arial" w:hAnsi="Arial" w:cs="Arial"/>
                <w:color w:val="000000"/>
                <w:sz w:val="22"/>
                <w:szCs w:val="22"/>
              </w:rPr>
              <w:t>,</w:t>
            </w:r>
            <w:r>
              <w:rPr>
                <w:rFonts w:ascii="Arial" w:hAnsi="Arial" w:cs="Arial"/>
                <w:color w:val="000000"/>
                <w:sz w:val="22"/>
                <w:szCs w:val="22"/>
              </w:rPr>
              <w:t>998</w:t>
            </w:r>
          </w:p>
        </w:tc>
      </w:tr>
      <w:tr w:rsidR="007550A3" w14:paraId="7BBACAC2" w14:textId="77777777" w:rsidTr="000C0278">
        <w:trPr>
          <w:trHeight w:val="561"/>
        </w:trPr>
        <w:tc>
          <w:tcPr>
            <w:tcW w:w="1980" w:type="dxa"/>
            <w:tcBorders>
              <w:top w:val="nil"/>
              <w:left w:val="single" w:sz="8" w:space="0" w:color="auto"/>
              <w:bottom w:val="single" w:sz="8" w:space="0" w:color="auto"/>
              <w:right w:val="single" w:sz="8" w:space="0" w:color="auto"/>
            </w:tcBorders>
            <w:shd w:val="clear" w:color="auto" w:fill="auto"/>
            <w:vAlign w:val="center"/>
            <w:hideMark/>
          </w:tcPr>
          <w:p w14:paraId="10908A8E" w14:textId="77777777" w:rsidR="007550A3" w:rsidRDefault="007550A3">
            <w:pPr>
              <w:rPr>
                <w:rFonts w:ascii="Arial" w:hAnsi="Arial" w:cs="Arial"/>
                <w:color w:val="000000"/>
                <w:sz w:val="22"/>
                <w:szCs w:val="22"/>
              </w:rPr>
            </w:pPr>
            <w:r>
              <w:rPr>
                <w:rFonts w:ascii="Arial" w:hAnsi="Arial" w:cs="Arial"/>
                <w:color w:val="000000"/>
                <w:sz w:val="22"/>
                <w:szCs w:val="22"/>
              </w:rPr>
              <w:t>Cost per application</w:t>
            </w:r>
          </w:p>
        </w:tc>
        <w:tc>
          <w:tcPr>
            <w:tcW w:w="1762" w:type="dxa"/>
            <w:tcBorders>
              <w:top w:val="nil"/>
              <w:left w:val="nil"/>
              <w:bottom w:val="single" w:sz="8" w:space="0" w:color="auto"/>
              <w:right w:val="single" w:sz="8" w:space="0" w:color="auto"/>
            </w:tcBorders>
            <w:shd w:val="clear" w:color="auto" w:fill="auto"/>
            <w:vAlign w:val="center"/>
            <w:hideMark/>
          </w:tcPr>
          <w:p w14:paraId="14202B14" w14:textId="77777777" w:rsidR="007550A3" w:rsidRDefault="007550A3">
            <w:pPr>
              <w:jc w:val="center"/>
              <w:rPr>
                <w:rFonts w:ascii="Arial" w:hAnsi="Arial" w:cs="Arial"/>
                <w:color w:val="000000"/>
                <w:sz w:val="22"/>
                <w:szCs w:val="22"/>
              </w:rPr>
            </w:pPr>
            <w:r>
              <w:rPr>
                <w:rFonts w:ascii="Arial" w:hAnsi="Arial" w:cs="Arial"/>
                <w:color w:val="000000"/>
                <w:sz w:val="22"/>
                <w:szCs w:val="22"/>
              </w:rPr>
              <w:t xml:space="preserve">$235,956 </w:t>
            </w:r>
          </w:p>
        </w:tc>
        <w:tc>
          <w:tcPr>
            <w:tcW w:w="1980" w:type="dxa"/>
            <w:tcBorders>
              <w:top w:val="nil"/>
              <w:left w:val="nil"/>
              <w:bottom w:val="single" w:sz="8" w:space="0" w:color="auto"/>
              <w:right w:val="single" w:sz="8" w:space="0" w:color="auto"/>
            </w:tcBorders>
            <w:shd w:val="clear" w:color="auto" w:fill="auto"/>
            <w:vAlign w:val="center"/>
            <w:hideMark/>
          </w:tcPr>
          <w:p w14:paraId="3121484D" w14:textId="77777777" w:rsidR="007550A3" w:rsidRDefault="007550A3">
            <w:pPr>
              <w:jc w:val="center"/>
              <w:rPr>
                <w:rFonts w:ascii="Arial" w:hAnsi="Arial" w:cs="Arial"/>
                <w:color w:val="000000"/>
                <w:sz w:val="22"/>
                <w:szCs w:val="22"/>
              </w:rPr>
            </w:pPr>
            <w:r>
              <w:rPr>
                <w:rFonts w:ascii="Arial" w:hAnsi="Arial" w:cs="Arial"/>
                <w:color w:val="000000"/>
                <w:sz w:val="22"/>
                <w:szCs w:val="22"/>
              </w:rPr>
              <w:t xml:space="preserve">$117,978 </w:t>
            </w:r>
          </w:p>
        </w:tc>
        <w:tc>
          <w:tcPr>
            <w:tcW w:w="2072" w:type="dxa"/>
            <w:tcBorders>
              <w:top w:val="nil"/>
              <w:left w:val="nil"/>
              <w:bottom w:val="single" w:sz="8" w:space="0" w:color="auto"/>
              <w:right w:val="single" w:sz="8" w:space="0" w:color="auto"/>
            </w:tcBorders>
            <w:shd w:val="clear" w:color="auto" w:fill="auto"/>
            <w:vAlign w:val="center"/>
            <w:hideMark/>
          </w:tcPr>
          <w:p w14:paraId="64DF87FD" w14:textId="77777777" w:rsidR="007550A3" w:rsidRDefault="007550A3">
            <w:pPr>
              <w:jc w:val="center"/>
              <w:rPr>
                <w:rFonts w:ascii="Arial" w:hAnsi="Arial" w:cs="Arial"/>
                <w:color w:val="000000"/>
                <w:sz w:val="22"/>
                <w:szCs w:val="22"/>
              </w:rPr>
            </w:pPr>
            <w:r>
              <w:rPr>
                <w:rFonts w:ascii="Arial" w:hAnsi="Arial" w:cs="Arial"/>
                <w:color w:val="000000"/>
                <w:sz w:val="22"/>
                <w:szCs w:val="22"/>
              </w:rPr>
              <w:t xml:space="preserve">$23,596 </w:t>
            </w:r>
          </w:p>
        </w:tc>
        <w:tc>
          <w:tcPr>
            <w:tcW w:w="1830" w:type="dxa"/>
            <w:tcBorders>
              <w:top w:val="nil"/>
              <w:left w:val="nil"/>
              <w:bottom w:val="single" w:sz="8" w:space="0" w:color="auto"/>
              <w:right w:val="single" w:sz="8" w:space="0" w:color="auto"/>
            </w:tcBorders>
            <w:shd w:val="clear" w:color="auto" w:fill="auto"/>
            <w:vAlign w:val="center"/>
            <w:hideMark/>
          </w:tcPr>
          <w:p w14:paraId="6E70E2D4" w14:textId="1CD9C1EB" w:rsidR="007550A3" w:rsidRDefault="00294E5C" w:rsidP="00294E5C">
            <w:pPr>
              <w:jc w:val="center"/>
              <w:rPr>
                <w:rFonts w:ascii="Arial" w:hAnsi="Arial" w:cs="Arial"/>
                <w:color w:val="000000"/>
                <w:sz w:val="22"/>
                <w:szCs w:val="22"/>
              </w:rPr>
            </w:pPr>
            <w:r>
              <w:rPr>
                <w:rFonts w:ascii="Arial" w:hAnsi="Arial" w:cs="Arial"/>
                <w:color w:val="000000"/>
                <w:sz w:val="22"/>
                <w:szCs w:val="22"/>
              </w:rPr>
              <w:t>n/a</w:t>
            </w:r>
          </w:p>
        </w:tc>
      </w:tr>
      <w:tr w:rsidR="007550A3" w14:paraId="61619BA9" w14:textId="77777777" w:rsidTr="000C0278">
        <w:trPr>
          <w:trHeight w:val="334"/>
        </w:trPr>
        <w:tc>
          <w:tcPr>
            <w:tcW w:w="1980" w:type="dxa"/>
            <w:tcBorders>
              <w:top w:val="nil"/>
              <w:left w:val="single" w:sz="8" w:space="0" w:color="auto"/>
              <w:bottom w:val="single" w:sz="8" w:space="0" w:color="auto"/>
              <w:right w:val="single" w:sz="8" w:space="0" w:color="auto"/>
            </w:tcBorders>
            <w:shd w:val="clear" w:color="auto" w:fill="auto"/>
            <w:vAlign w:val="center"/>
            <w:hideMark/>
          </w:tcPr>
          <w:p w14:paraId="48017C79" w14:textId="3AB8ED06" w:rsidR="007550A3" w:rsidRDefault="007550A3">
            <w:pPr>
              <w:rPr>
                <w:rFonts w:ascii="Arial" w:hAnsi="Arial" w:cs="Arial"/>
                <w:color w:val="000000"/>
                <w:sz w:val="22"/>
                <w:szCs w:val="22"/>
              </w:rPr>
            </w:pPr>
            <w:r>
              <w:rPr>
                <w:rFonts w:ascii="Arial" w:hAnsi="Arial" w:cs="Arial"/>
                <w:color w:val="000000"/>
                <w:sz w:val="22"/>
                <w:szCs w:val="22"/>
              </w:rPr>
              <w:t xml:space="preserve">Annual cost </w:t>
            </w:r>
            <w:r w:rsidR="009E1EF6" w:rsidRPr="009E1EF6">
              <w:rPr>
                <w:rFonts w:ascii="Arial" w:hAnsi="Arial" w:cs="Arial"/>
                <w:color w:val="000000"/>
                <w:sz w:val="22"/>
                <w:szCs w:val="22"/>
                <w:vertAlign w:val="superscript"/>
              </w:rPr>
              <w:t>(</w:t>
            </w:r>
            <w:r w:rsidRPr="009E1EF6">
              <w:rPr>
                <w:rFonts w:ascii="Arial" w:hAnsi="Arial" w:cs="Arial"/>
                <w:color w:val="000000"/>
                <w:sz w:val="22"/>
                <w:szCs w:val="22"/>
                <w:vertAlign w:val="superscript"/>
              </w:rPr>
              <w:t>d</w:t>
            </w:r>
            <w:r w:rsidR="009E1EF6" w:rsidRPr="009E1EF6">
              <w:rPr>
                <w:rFonts w:ascii="Arial" w:hAnsi="Arial" w:cs="Arial"/>
                <w:color w:val="000000"/>
                <w:sz w:val="22"/>
                <w:szCs w:val="22"/>
                <w:vertAlign w:val="superscript"/>
              </w:rPr>
              <w:t>)</w:t>
            </w:r>
          </w:p>
        </w:tc>
        <w:tc>
          <w:tcPr>
            <w:tcW w:w="1762" w:type="dxa"/>
            <w:tcBorders>
              <w:top w:val="nil"/>
              <w:left w:val="nil"/>
              <w:bottom w:val="single" w:sz="8" w:space="0" w:color="auto"/>
              <w:right w:val="single" w:sz="8" w:space="0" w:color="auto"/>
            </w:tcBorders>
            <w:shd w:val="clear" w:color="auto" w:fill="auto"/>
            <w:vAlign w:val="center"/>
            <w:hideMark/>
          </w:tcPr>
          <w:p w14:paraId="7C10FB81" w14:textId="77777777" w:rsidR="007550A3" w:rsidRDefault="007550A3">
            <w:pPr>
              <w:jc w:val="center"/>
              <w:rPr>
                <w:rFonts w:ascii="Arial" w:hAnsi="Arial" w:cs="Arial"/>
                <w:color w:val="000000"/>
                <w:sz w:val="22"/>
                <w:szCs w:val="22"/>
              </w:rPr>
            </w:pPr>
            <w:r>
              <w:rPr>
                <w:rFonts w:ascii="Arial" w:hAnsi="Arial" w:cs="Arial"/>
                <w:color w:val="000000"/>
                <w:sz w:val="22"/>
                <w:szCs w:val="22"/>
              </w:rPr>
              <w:t xml:space="preserve">$707,868 </w:t>
            </w:r>
          </w:p>
        </w:tc>
        <w:tc>
          <w:tcPr>
            <w:tcW w:w="1980" w:type="dxa"/>
            <w:tcBorders>
              <w:top w:val="nil"/>
              <w:left w:val="nil"/>
              <w:bottom w:val="single" w:sz="8" w:space="0" w:color="auto"/>
              <w:right w:val="single" w:sz="8" w:space="0" w:color="auto"/>
            </w:tcBorders>
            <w:shd w:val="clear" w:color="auto" w:fill="auto"/>
            <w:vAlign w:val="center"/>
            <w:hideMark/>
          </w:tcPr>
          <w:p w14:paraId="328D83FE" w14:textId="77777777" w:rsidR="007550A3" w:rsidRDefault="007550A3">
            <w:pPr>
              <w:jc w:val="center"/>
              <w:rPr>
                <w:rFonts w:ascii="Arial" w:hAnsi="Arial" w:cs="Arial"/>
                <w:color w:val="000000"/>
                <w:sz w:val="22"/>
                <w:szCs w:val="22"/>
              </w:rPr>
            </w:pPr>
            <w:r>
              <w:rPr>
                <w:rFonts w:ascii="Arial" w:hAnsi="Arial" w:cs="Arial"/>
                <w:color w:val="000000"/>
                <w:sz w:val="22"/>
                <w:szCs w:val="22"/>
              </w:rPr>
              <w:t xml:space="preserve">$707,868 </w:t>
            </w:r>
          </w:p>
        </w:tc>
        <w:tc>
          <w:tcPr>
            <w:tcW w:w="2072" w:type="dxa"/>
            <w:tcBorders>
              <w:top w:val="nil"/>
              <w:left w:val="nil"/>
              <w:bottom w:val="single" w:sz="8" w:space="0" w:color="auto"/>
              <w:right w:val="single" w:sz="8" w:space="0" w:color="auto"/>
            </w:tcBorders>
            <w:shd w:val="clear" w:color="auto" w:fill="auto"/>
            <w:vAlign w:val="center"/>
            <w:hideMark/>
          </w:tcPr>
          <w:p w14:paraId="7A0D7220" w14:textId="77777777" w:rsidR="007550A3" w:rsidRDefault="007550A3">
            <w:pPr>
              <w:jc w:val="center"/>
              <w:rPr>
                <w:rFonts w:ascii="Arial" w:hAnsi="Arial" w:cs="Arial"/>
                <w:color w:val="000000"/>
                <w:sz w:val="22"/>
                <w:szCs w:val="22"/>
              </w:rPr>
            </w:pPr>
            <w:r>
              <w:rPr>
                <w:rFonts w:ascii="Arial" w:hAnsi="Arial" w:cs="Arial"/>
                <w:color w:val="000000"/>
                <w:sz w:val="22"/>
                <w:szCs w:val="22"/>
              </w:rPr>
              <w:t xml:space="preserve">$47,191 </w:t>
            </w:r>
          </w:p>
        </w:tc>
        <w:tc>
          <w:tcPr>
            <w:tcW w:w="1830" w:type="dxa"/>
            <w:tcBorders>
              <w:top w:val="nil"/>
              <w:left w:val="nil"/>
              <w:bottom w:val="single" w:sz="8" w:space="0" w:color="auto"/>
              <w:right w:val="single" w:sz="8" w:space="0" w:color="auto"/>
            </w:tcBorders>
            <w:shd w:val="clear" w:color="auto" w:fill="auto"/>
            <w:vAlign w:val="center"/>
            <w:hideMark/>
          </w:tcPr>
          <w:p w14:paraId="70E02112" w14:textId="304886D9" w:rsidR="007550A3" w:rsidRDefault="007550A3">
            <w:pPr>
              <w:jc w:val="center"/>
              <w:rPr>
                <w:rFonts w:ascii="Arial" w:hAnsi="Arial" w:cs="Arial"/>
                <w:color w:val="000000"/>
                <w:sz w:val="22"/>
                <w:szCs w:val="22"/>
              </w:rPr>
            </w:pPr>
            <w:r>
              <w:rPr>
                <w:rFonts w:ascii="Arial" w:hAnsi="Arial" w:cs="Arial"/>
                <w:color w:val="000000"/>
                <w:sz w:val="22"/>
                <w:szCs w:val="22"/>
              </w:rPr>
              <w:t> </w:t>
            </w:r>
            <w:r w:rsidR="00294E5C">
              <w:rPr>
                <w:rFonts w:ascii="Arial" w:hAnsi="Arial" w:cs="Arial"/>
                <w:color w:val="000000"/>
                <w:sz w:val="22"/>
                <w:szCs w:val="22"/>
              </w:rPr>
              <w:t>$1,462,927</w:t>
            </w:r>
          </w:p>
        </w:tc>
      </w:tr>
    </w:tbl>
    <w:p w14:paraId="0EAC822B" w14:textId="7021FE41" w:rsidR="00004C11" w:rsidRPr="009E1EF6" w:rsidRDefault="009E1EF6" w:rsidP="00776205">
      <w:pPr>
        <w:pStyle w:val="TableNotes"/>
      </w:pPr>
      <w:r w:rsidRPr="009E1EF6">
        <w:t>*</w:t>
      </w:r>
      <w:r w:rsidR="00A10612" w:rsidRPr="009E1EF6">
        <w:t xml:space="preserve">Estimates may not total </w:t>
      </w:r>
      <w:r w:rsidR="00004C11" w:rsidRPr="009E1EF6">
        <w:t>due to rounding.</w:t>
      </w:r>
      <w:r w:rsidR="006752D1">
        <w:t xml:space="preserve"> “n/a” indicates total not applicable for category.</w:t>
      </w:r>
    </w:p>
    <w:p w14:paraId="37A168D3" w14:textId="03A929F1" w:rsidR="00004C11" w:rsidRPr="009E1EF6" w:rsidRDefault="00A10612" w:rsidP="00776205">
      <w:pPr>
        <w:pStyle w:val="TableNotes"/>
      </w:pPr>
      <w:r w:rsidRPr="009E1EF6">
        <w:t>Table notes:</w:t>
      </w:r>
    </w:p>
    <w:p w14:paraId="43F440D2" w14:textId="03DB919F" w:rsidR="00C562D4" w:rsidRPr="009E1EF6" w:rsidRDefault="00A10612" w:rsidP="00776205">
      <w:pPr>
        <w:pStyle w:val="TableNotes"/>
      </w:pPr>
      <w:r w:rsidRPr="009E1EF6">
        <w:rPr>
          <w:vertAlign w:val="superscript"/>
        </w:rPr>
        <w:t>(</w:t>
      </w:r>
      <w:r w:rsidR="00C562D4" w:rsidRPr="009E1EF6">
        <w:rPr>
          <w:vertAlign w:val="superscript"/>
        </w:rPr>
        <w:t>a</w:t>
      </w:r>
      <w:r w:rsidRPr="009E1EF6">
        <w:rPr>
          <w:vertAlign w:val="superscript"/>
        </w:rPr>
        <w:t>)</w:t>
      </w:r>
      <w:r w:rsidR="00C562D4" w:rsidRPr="009E1EF6">
        <w:t xml:space="preserve"> Includes major modifications to existing licenses.</w:t>
      </w:r>
      <w:r w:rsidR="00C617B9" w:rsidRPr="009E1EF6">
        <w:tab/>
      </w:r>
    </w:p>
    <w:p w14:paraId="0C678D43" w14:textId="0FC50234" w:rsidR="007542FE" w:rsidRPr="009E1EF6" w:rsidRDefault="00A10612" w:rsidP="00776205">
      <w:pPr>
        <w:pStyle w:val="TableNotes"/>
      </w:pPr>
      <w:r w:rsidRPr="009E1EF6">
        <w:rPr>
          <w:vertAlign w:val="superscript"/>
        </w:rPr>
        <w:t>(</w:t>
      </w:r>
      <w:r w:rsidR="00C562D4" w:rsidRPr="009E1EF6">
        <w:rPr>
          <w:vertAlign w:val="superscript"/>
        </w:rPr>
        <w:t>b</w:t>
      </w:r>
      <w:r w:rsidRPr="009E1EF6">
        <w:rPr>
          <w:vertAlign w:val="superscript"/>
        </w:rPr>
        <w:t>)</w:t>
      </w:r>
      <w:r w:rsidR="007542FE" w:rsidRPr="009E1EF6">
        <w:t xml:space="preserve"> Renewal of a license application is voluntary; a license is approved for five years.</w:t>
      </w:r>
    </w:p>
    <w:p w14:paraId="7BA2F610" w14:textId="0C17EAA7" w:rsidR="007542FE" w:rsidRPr="009E1EF6" w:rsidRDefault="00A10612" w:rsidP="00776205">
      <w:pPr>
        <w:pStyle w:val="TableNotes"/>
      </w:pPr>
      <w:r w:rsidRPr="009E1EF6">
        <w:rPr>
          <w:vertAlign w:val="superscript"/>
        </w:rPr>
        <w:t>(c)</w:t>
      </w:r>
      <w:r w:rsidR="007542FE" w:rsidRPr="009E1EF6">
        <w:t xml:space="preserve"> Federal Aviation Administration, Office of Commercial Space Transportation (FAA/AST), </w:t>
      </w:r>
      <w:r w:rsidR="006B4C58" w:rsidRPr="009E1EF6">
        <w:t>2018</w:t>
      </w:r>
      <w:r w:rsidR="007542FE" w:rsidRPr="009E1EF6">
        <w:t>.</w:t>
      </w:r>
    </w:p>
    <w:p w14:paraId="3B9C303D" w14:textId="31EA0C57" w:rsidR="00013003" w:rsidRPr="009E1EF6" w:rsidRDefault="00A10612" w:rsidP="00776205">
      <w:pPr>
        <w:pStyle w:val="TableNotes"/>
      </w:pPr>
      <w:r w:rsidRPr="009E1EF6">
        <w:rPr>
          <w:vertAlign w:val="superscript"/>
        </w:rPr>
        <w:t>(</w:t>
      </w:r>
      <w:r w:rsidR="00C562D4" w:rsidRPr="009E1EF6">
        <w:rPr>
          <w:vertAlign w:val="superscript"/>
        </w:rPr>
        <w:t>d</w:t>
      </w:r>
      <w:r w:rsidRPr="009E1EF6">
        <w:rPr>
          <w:vertAlign w:val="superscript"/>
        </w:rPr>
        <w:t>)</w:t>
      </w:r>
      <w:r w:rsidR="007542FE" w:rsidRPr="009E1EF6">
        <w:t xml:space="preserve"> Industry total cost per annum calculated as $</w:t>
      </w:r>
      <w:r w:rsidRPr="009E1EF6">
        <w:rPr>
          <w:color w:val="000000"/>
        </w:rPr>
        <w:t xml:space="preserve">235,956 </w:t>
      </w:r>
      <w:r w:rsidRPr="009E1EF6">
        <w:t>×</w:t>
      </w:r>
      <w:r w:rsidR="007542FE" w:rsidRPr="009E1EF6">
        <w:t xml:space="preserve"> </w:t>
      </w:r>
      <w:r w:rsidR="006B4C58" w:rsidRPr="009E1EF6">
        <w:t>3</w:t>
      </w:r>
      <w:r w:rsidR="007542FE" w:rsidRPr="009E1EF6">
        <w:t xml:space="preserve"> = $</w:t>
      </w:r>
      <w:r w:rsidR="008B7E18" w:rsidRPr="009E1EF6">
        <w:rPr>
          <w:color w:val="000000"/>
        </w:rPr>
        <w:t>707,868</w:t>
      </w:r>
      <w:r w:rsidR="0037432B" w:rsidRPr="009E1EF6">
        <w:t xml:space="preserve"> for initial applications, </w:t>
      </w:r>
      <w:r w:rsidR="00C562D4" w:rsidRPr="009E1EF6">
        <w:t xml:space="preserve">major modification applications are calculated as 50% of the initial application cost, or </w:t>
      </w:r>
      <w:r w:rsidR="00FA3404" w:rsidRPr="009E1EF6">
        <w:t>$</w:t>
      </w:r>
      <w:r w:rsidR="008B7E18" w:rsidRPr="009E1EF6">
        <w:rPr>
          <w:color w:val="000000"/>
        </w:rPr>
        <w:t>117,978</w:t>
      </w:r>
      <w:r w:rsidR="00FA3404" w:rsidRPr="009E1EF6">
        <w:t xml:space="preserve"> x </w:t>
      </w:r>
      <w:r w:rsidR="006B4C58" w:rsidRPr="009E1EF6">
        <w:t>6</w:t>
      </w:r>
      <w:r w:rsidR="00FA3404" w:rsidRPr="009E1EF6">
        <w:t xml:space="preserve"> </w:t>
      </w:r>
      <w:r w:rsidR="006B4C58" w:rsidRPr="009E1EF6">
        <w:t>=</w:t>
      </w:r>
      <w:r w:rsidR="00FA3404" w:rsidRPr="009E1EF6">
        <w:t xml:space="preserve"> $</w:t>
      </w:r>
      <w:r w:rsidR="008B7E18" w:rsidRPr="009E1EF6">
        <w:rPr>
          <w:color w:val="000000"/>
        </w:rPr>
        <w:t>707,868</w:t>
      </w:r>
      <w:r w:rsidR="00FA3404" w:rsidRPr="009E1EF6">
        <w:t xml:space="preserve">, </w:t>
      </w:r>
      <w:r w:rsidR="0037432B" w:rsidRPr="009E1EF6">
        <w:t xml:space="preserve">and renewal applications are </w:t>
      </w:r>
      <w:r w:rsidR="007542FE" w:rsidRPr="009E1EF6">
        <w:t xml:space="preserve">calculated as </w:t>
      </w:r>
      <w:r w:rsidR="0037432B" w:rsidRPr="009E1EF6">
        <w:t xml:space="preserve">10% of the initial application cost, or </w:t>
      </w:r>
      <w:r w:rsidR="007542FE" w:rsidRPr="009E1EF6">
        <w:t>$</w:t>
      </w:r>
      <w:r w:rsidR="008B7E18" w:rsidRPr="009E1EF6">
        <w:rPr>
          <w:color w:val="000000"/>
        </w:rPr>
        <w:t>23,596</w:t>
      </w:r>
      <w:r w:rsidR="00FA3404" w:rsidRPr="009E1EF6">
        <w:t xml:space="preserve"> x </w:t>
      </w:r>
      <w:r w:rsidR="006B4C58" w:rsidRPr="009E1EF6">
        <w:t>2</w:t>
      </w:r>
      <w:r w:rsidR="00FA3404" w:rsidRPr="009E1EF6">
        <w:t xml:space="preserve"> = $</w:t>
      </w:r>
      <w:r w:rsidR="008B7E18" w:rsidRPr="009E1EF6">
        <w:rPr>
          <w:color w:val="000000"/>
        </w:rPr>
        <w:t>47,191</w:t>
      </w:r>
      <w:r w:rsidR="007542FE" w:rsidRPr="009E1EF6">
        <w:t xml:space="preserve"> for renewal applications.</w:t>
      </w:r>
      <w:r w:rsidRPr="009E1EF6">
        <w:t xml:space="preserve"> </w:t>
      </w:r>
    </w:p>
    <w:p w14:paraId="612E3266" w14:textId="77777777" w:rsidR="00BC5FEB" w:rsidRDefault="00BC5FEB" w:rsidP="00776205">
      <w:pPr>
        <w:pStyle w:val="TableNotes"/>
      </w:pPr>
    </w:p>
    <w:p w14:paraId="35101AC1" w14:textId="7D8B006F" w:rsidR="00BC5FEB" w:rsidRPr="002F3F9F" w:rsidRDefault="00BC5FEB" w:rsidP="00776205">
      <w:pPr>
        <w:pStyle w:val="TableNotes"/>
      </w:pPr>
    </w:p>
    <w:p w14:paraId="5D06785E" w14:textId="1890D482" w:rsidR="005E55F1" w:rsidRPr="005E55F1" w:rsidRDefault="005E55F1" w:rsidP="00776205">
      <w:pPr>
        <w:pStyle w:val="TableNotes"/>
        <w:rPr>
          <w:sz w:val="24"/>
          <w:szCs w:val="24"/>
          <w:u w:val="single"/>
        </w:rPr>
      </w:pPr>
      <w:r w:rsidRPr="005E55F1">
        <w:rPr>
          <w:sz w:val="24"/>
          <w:szCs w:val="24"/>
          <w:u w:val="single"/>
        </w:rPr>
        <w:t>High Range</w:t>
      </w:r>
    </w:p>
    <w:p w14:paraId="14066BE8" w14:textId="5FA217FB" w:rsidR="005E55F1" w:rsidRDefault="005E55F1" w:rsidP="00776205">
      <w:pPr>
        <w:pStyle w:val="TableNotes"/>
        <w:rPr>
          <w:sz w:val="24"/>
          <w:szCs w:val="24"/>
        </w:rPr>
      </w:pPr>
    </w:p>
    <w:p w14:paraId="71F11336" w14:textId="5DB008F5" w:rsidR="00817204" w:rsidRDefault="009E1EF6" w:rsidP="00D90B83">
      <w:pPr>
        <w:pStyle w:val="TableNotes"/>
        <w:rPr>
          <w:sz w:val="24"/>
          <w:szCs w:val="24"/>
        </w:rPr>
      </w:pPr>
      <w:r w:rsidRPr="007B0FBB">
        <w:rPr>
          <w:sz w:val="24"/>
          <w:szCs w:val="24"/>
        </w:rPr>
        <w:t xml:space="preserve">Multiplying the application cost by the estimated high range of annual number of applications yields the </w:t>
      </w:r>
      <w:r w:rsidR="00F46067">
        <w:rPr>
          <w:sz w:val="24"/>
          <w:szCs w:val="24"/>
        </w:rPr>
        <w:t xml:space="preserve">total </w:t>
      </w:r>
      <w:r w:rsidRPr="007B0FBB">
        <w:rPr>
          <w:sz w:val="24"/>
          <w:szCs w:val="24"/>
        </w:rPr>
        <w:t>annual information collection cost burden to industry associated with the regulations — $</w:t>
      </w:r>
      <w:r w:rsidRPr="007B0FBB">
        <w:rPr>
          <w:color w:val="000000"/>
          <w:sz w:val="24"/>
          <w:szCs w:val="24"/>
        </w:rPr>
        <w:t xml:space="preserve">1,415,735 </w:t>
      </w:r>
      <w:r w:rsidRPr="007B0FBB">
        <w:rPr>
          <w:sz w:val="24"/>
          <w:szCs w:val="24"/>
        </w:rPr>
        <w:t>for initial license applications, $</w:t>
      </w:r>
      <w:r w:rsidRPr="007B0FBB">
        <w:rPr>
          <w:color w:val="000000"/>
          <w:sz w:val="24"/>
          <w:szCs w:val="24"/>
        </w:rPr>
        <w:t xml:space="preserve">1,415,735 </w:t>
      </w:r>
      <w:r w:rsidRPr="007B0FBB">
        <w:rPr>
          <w:sz w:val="24"/>
          <w:szCs w:val="24"/>
        </w:rPr>
        <w:t xml:space="preserve"> for major license modifications, and $94,285 for renewal applications.  This is summarized in Table 2b.</w:t>
      </w:r>
    </w:p>
    <w:p w14:paraId="52CB7AD1" w14:textId="77777777" w:rsidR="00D90B83" w:rsidRPr="00D90B83" w:rsidRDefault="00D90B83" w:rsidP="00D90B83">
      <w:pPr>
        <w:pStyle w:val="TableNotes"/>
        <w:rPr>
          <w:sz w:val="24"/>
          <w:szCs w:val="24"/>
        </w:rPr>
      </w:pPr>
    </w:p>
    <w:p w14:paraId="437B006D" w14:textId="58F65A12" w:rsidR="000C0278" w:rsidRPr="00817204" w:rsidRDefault="00817204" w:rsidP="00817204">
      <w:pPr>
        <w:pStyle w:val="TableNotes"/>
        <w:rPr>
          <w:sz w:val="24"/>
          <w:szCs w:val="24"/>
        </w:rPr>
      </w:pPr>
      <w:r>
        <w:rPr>
          <w:sz w:val="24"/>
          <w:szCs w:val="24"/>
        </w:rPr>
        <w:t>For the high range, t</w:t>
      </w:r>
      <w:r w:rsidRPr="007B0FBB">
        <w:rPr>
          <w:sz w:val="24"/>
          <w:szCs w:val="24"/>
        </w:rPr>
        <w:t xml:space="preserve">he total annual </w:t>
      </w:r>
      <w:r w:rsidR="00D90B83">
        <w:rPr>
          <w:sz w:val="24"/>
          <w:szCs w:val="24"/>
        </w:rPr>
        <w:t xml:space="preserve">hour </w:t>
      </w:r>
      <w:r w:rsidRPr="007B0FBB">
        <w:rPr>
          <w:sz w:val="24"/>
          <w:szCs w:val="24"/>
        </w:rPr>
        <w:t>burden to industry is 36,002 hours</w:t>
      </w:r>
      <w:r w:rsidR="00D90B83">
        <w:rPr>
          <w:sz w:val="24"/>
          <w:szCs w:val="24"/>
        </w:rPr>
        <w:t xml:space="preserve"> and the total annual cost to industry is $</w:t>
      </w:r>
      <w:r w:rsidR="00D90B83" w:rsidRPr="00D90B83">
        <w:rPr>
          <w:sz w:val="24"/>
          <w:szCs w:val="24"/>
        </w:rPr>
        <w:t>2,925,755</w:t>
      </w:r>
      <w:r w:rsidR="00D90B83">
        <w:rPr>
          <w:sz w:val="24"/>
          <w:szCs w:val="24"/>
        </w:rPr>
        <w:t>.</w:t>
      </w:r>
      <w:r w:rsidR="00D90B83" w:rsidRPr="00D90B83">
        <w:rPr>
          <w:sz w:val="24"/>
          <w:szCs w:val="24"/>
        </w:rPr>
        <w:t xml:space="preserve"> </w:t>
      </w:r>
      <w:r w:rsidR="006530E6" w:rsidRPr="007B0FBB">
        <w:rPr>
          <w:sz w:val="24"/>
          <w:szCs w:val="24"/>
        </w:rPr>
        <w:br w:type="page"/>
      </w:r>
    </w:p>
    <w:p w14:paraId="4810E6CC" w14:textId="77777777" w:rsidR="000C0278" w:rsidRDefault="000C0278" w:rsidP="00776205">
      <w:pPr>
        <w:pStyle w:val="TableNotes"/>
      </w:pPr>
    </w:p>
    <w:p w14:paraId="05F1711C" w14:textId="07C44A4B" w:rsidR="00B76E0C" w:rsidRDefault="00DC7862" w:rsidP="004B5C34">
      <w:pPr>
        <w:pStyle w:val="Heading3"/>
      </w:pPr>
      <w:r w:rsidRPr="00BB47B4">
        <w:t>TABLE 2</w:t>
      </w:r>
      <w:r>
        <w:t>b</w:t>
      </w:r>
      <w:r w:rsidRPr="00BB47B4">
        <w:t xml:space="preserve">.  </w:t>
      </w:r>
      <w:r>
        <w:t xml:space="preserve">High Range </w:t>
      </w:r>
      <w:r w:rsidR="00BD074C">
        <w:t xml:space="preserve">for </w:t>
      </w:r>
      <w:r w:rsidRPr="00BB47B4">
        <w:t xml:space="preserve">Burden </w:t>
      </w:r>
      <w:r w:rsidR="00750466">
        <w:t xml:space="preserve">&amp; Costs </w:t>
      </w:r>
      <w:r w:rsidRPr="00BB47B4">
        <w:t>to Industry</w:t>
      </w:r>
      <w:r w:rsidR="009E1EF6">
        <w:t>*</w:t>
      </w:r>
    </w:p>
    <w:p w14:paraId="1062D0A1" w14:textId="77777777" w:rsidR="00B6757E" w:rsidRPr="00B6757E" w:rsidRDefault="00B6757E" w:rsidP="00B6757E">
      <w:pPr>
        <w:pStyle w:val="BodyText"/>
      </w:pPr>
    </w:p>
    <w:tbl>
      <w:tblPr>
        <w:tblW w:w="9007" w:type="dxa"/>
        <w:tblLook w:val="04A0" w:firstRow="1" w:lastRow="0" w:firstColumn="1" w:lastColumn="0" w:noHBand="0" w:noVBand="1"/>
      </w:tblPr>
      <w:tblGrid>
        <w:gridCol w:w="1672"/>
        <w:gridCol w:w="1916"/>
        <w:gridCol w:w="1899"/>
        <w:gridCol w:w="1987"/>
        <w:gridCol w:w="1533"/>
      </w:tblGrid>
      <w:tr w:rsidR="00766820" w14:paraId="76EF044F" w14:textId="77777777" w:rsidTr="00E736E3">
        <w:trPr>
          <w:trHeight w:val="300"/>
          <w:tblHeader/>
        </w:trPr>
        <w:tc>
          <w:tcPr>
            <w:tcW w:w="1672"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14:paraId="708B4B41" w14:textId="77777777" w:rsidR="00766820" w:rsidRDefault="00766820">
            <w:pPr>
              <w:jc w:val="center"/>
              <w:rPr>
                <w:rFonts w:ascii="Arial" w:hAnsi="Arial" w:cs="Arial"/>
                <w:b/>
                <w:bCs/>
                <w:color w:val="000000"/>
              </w:rPr>
            </w:pPr>
            <w:r>
              <w:rPr>
                <w:rFonts w:ascii="Arial" w:hAnsi="Arial" w:cs="Arial"/>
                <w:b/>
                <w:bCs/>
                <w:color w:val="000000"/>
              </w:rPr>
              <w:t>Category</w:t>
            </w:r>
          </w:p>
        </w:tc>
        <w:tc>
          <w:tcPr>
            <w:tcW w:w="7335" w:type="dxa"/>
            <w:gridSpan w:val="4"/>
            <w:tcBorders>
              <w:top w:val="single" w:sz="8" w:space="0" w:color="auto"/>
              <w:left w:val="nil"/>
              <w:bottom w:val="single" w:sz="8" w:space="0" w:color="auto"/>
              <w:right w:val="single" w:sz="8" w:space="0" w:color="auto"/>
            </w:tcBorders>
            <w:shd w:val="clear" w:color="000000" w:fill="E6E6E6"/>
            <w:vAlign w:val="center"/>
            <w:hideMark/>
          </w:tcPr>
          <w:p w14:paraId="7B61EDDC" w14:textId="5820BF13" w:rsidR="00766820" w:rsidRDefault="00766820" w:rsidP="00766820">
            <w:pPr>
              <w:jc w:val="center"/>
              <w:rPr>
                <w:rFonts w:ascii="Arial" w:hAnsi="Arial" w:cs="Arial"/>
                <w:b/>
                <w:bCs/>
                <w:color w:val="000000"/>
              </w:rPr>
            </w:pPr>
            <w:r>
              <w:rPr>
                <w:rFonts w:ascii="Arial" w:hAnsi="Arial" w:cs="Arial"/>
                <w:b/>
                <w:bCs/>
                <w:color w:val="000000"/>
              </w:rPr>
              <w:t>Hour Burden &amp; Costs </w:t>
            </w:r>
          </w:p>
        </w:tc>
      </w:tr>
      <w:tr w:rsidR="00B76E0C" w14:paraId="1907051D" w14:textId="77777777" w:rsidTr="00294E5C">
        <w:trPr>
          <w:trHeight w:val="300"/>
          <w:tblHeader/>
        </w:trPr>
        <w:tc>
          <w:tcPr>
            <w:tcW w:w="1672" w:type="dxa"/>
            <w:vMerge/>
            <w:tcBorders>
              <w:top w:val="single" w:sz="8" w:space="0" w:color="auto"/>
              <w:left w:val="single" w:sz="8" w:space="0" w:color="auto"/>
              <w:bottom w:val="single" w:sz="8" w:space="0" w:color="000000"/>
              <w:right w:val="single" w:sz="8" w:space="0" w:color="auto"/>
            </w:tcBorders>
            <w:vAlign w:val="center"/>
            <w:hideMark/>
          </w:tcPr>
          <w:p w14:paraId="4A854069" w14:textId="77777777" w:rsidR="00B76E0C" w:rsidRDefault="00B76E0C">
            <w:pPr>
              <w:rPr>
                <w:rFonts w:ascii="Arial" w:hAnsi="Arial" w:cs="Arial"/>
                <w:b/>
                <w:bCs/>
                <w:color w:val="000000"/>
              </w:rPr>
            </w:pPr>
          </w:p>
        </w:tc>
        <w:tc>
          <w:tcPr>
            <w:tcW w:w="1916" w:type="dxa"/>
            <w:tcBorders>
              <w:top w:val="nil"/>
              <w:left w:val="nil"/>
              <w:bottom w:val="nil"/>
              <w:right w:val="single" w:sz="8" w:space="0" w:color="auto"/>
            </w:tcBorders>
            <w:shd w:val="clear" w:color="000000" w:fill="E6E6E6"/>
            <w:vAlign w:val="center"/>
            <w:hideMark/>
          </w:tcPr>
          <w:p w14:paraId="7504E3C4" w14:textId="77777777" w:rsidR="00B76E0C" w:rsidRDefault="00B76E0C">
            <w:pPr>
              <w:jc w:val="center"/>
              <w:rPr>
                <w:rFonts w:ascii="Arial" w:hAnsi="Arial" w:cs="Arial"/>
                <w:b/>
                <w:bCs/>
                <w:color w:val="000000"/>
              </w:rPr>
            </w:pPr>
            <w:r>
              <w:rPr>
                <w:rFonts w:ascii="Arial" w:hAnsi="Arial" w:cs="Arial"/>
                <w:b/>
                <w:bCs/>
                <w:color w:val="000000"/>
              </w:rPr>
              <w:t>Initial</w:t>
            </w:r>
          </w:p>
        </w:tc>
        <w:tc>
          <w:tcPr>
            <w:tcW w:w="1899" w:type="dxa"/>
            <w:vMerge w:val="restart"/>
            <w:tcBorders>
              <w:top w:val="nil"/>
              <w:left w:val="single" w:sz="8" w:space="0" w:color="auto"/>
              <w:bottom w:val="single" w:sz="8" w:space="0" w:color="000000"/>
              <w:right w:val="single" w:sz="8" w:space="0" w:color="auto"/>
            </w:tcBorders>
            <w:shd w:val="clear" w:color="000000" w:fill="E6E6E6"/>
            <w:vAlign w:val="center"/>
            <w:hideMark/>
          </w:tcPr>
          <w:p w14:paraId="57A2DE6C" w14:textId="6B8AA5D9" w:rsidR="00B76E0C" w:rsidRDefault="00B76E0C">
            <w:pPr>
              <w:jc w:val="center"/>
              <w:rPr>
                <w:rFonts w:ascii="Arial" w:hAnsi="Arial" w:cs="Arial"/>
                <w:b/>
                <w:bCs/>
                <w:color w:val="000000"/>
              </w:rPr>
            </w:pPr>
            <w:r>
              <w:rPr>
                <w:rFonts w:ascii="Arial" w:hAnsi="Arial" w:cs="Arial"/>
                <w:b/>
                <w:bCs/>
                <w:color w:val="000000"/>
              </w:rPr>
              <w:t>Modification Application</w:t>
            </w:r>
            <w:r w:rsidR="00A10612" w:rsidRPr="00A10612">
              <w:rPr>
                <w:rFonts w:ascii="Arial" w:hAnsi="Arial" w:cs="Arial"/>
                <w:b/>
                <w:bCs/>
                <w:color w:val="000000"/>
                <w:vertAlign w:val="superscript"/>
              </w:rPr>
              <w:t>(</w:t>
            </w:r>
            <w:r>
              <w:rPr>
                <w:rFonts w:ascii="Arial" w:hAnsi="Arial" w:cs="Arial"/>
                <w:b/>
                <w:bCs/>
                <w:color w:val="000000"/>
                <w:vertAlign w:val="superscript"/>
              </w:rPr>
              <w:t>a</w:t>
            </w:r>
            <w:r w:rsidR="00A10612">
              <w:rPr>
                <w:rFonts w:ascii="Arial" w:hAnsi="Arial" w:cs="Arial"/>
                <w:b/>
                <w:bCs/>
                <w:color w:val="000000"/>
                <w:vertAlign w:val="superscript"/>
              </w:rPr>
              <w:t>)</w:t>
            </w:r>
          </w:p>
        </w:tc>
        <w:tc>
          <w:tcPr>
            <w:tcW w:w="1987" w:type="dxa"/>
            <w:tcBorders>
              <w:top w:val="nil"/>
              <w:left w:val="nil"/>
              <w:bottom w:val="nil"/>
              <w:right w:val="single" w:sz="8" w:space="0" w:color="auto"/>
            </w:tcBorders>
            <w:shd w:val="clear" w:color="000000" w:fill="E6E6E6"/>
            <w:vAlign w:val="center"/>
            <w:hideMark/>
          </w:tcPr>
          <w:p w14:paraId="1E3BB7C4" w14:textId="77777777" w:rsidR="00B76E0C" w:rsidRDefault="00B76E0C">
            <w:pPr>
              <w:jc w:val="center"/>
              <w:rPr>
                <w:rFonts w:ascii="Arial" w:hAnsi="Arial" w:cs="Arial"/>
                <w:b/>
                <w:bCs/>
                <w:color w:val="000000"/>
              </w:rPr>
            </w:pPr>
            <w:r>
              <w:rPr>
                <w:rFonts w:ascii="Arial" w:hAnsi="Arial" w:cs="Arial"/>
                <w:b/>
                <w:bCs/>
                <w:color w:val="000000"/>
              </w:rPr>
              <w:t>Renewal</w:t>
            </w:r>
          </w:p>
        </w:tc>
        <w:tc>
          <w:tcPr>
            <w:tcW w:w="1533" w:type="dxa"/>
            <w:vMerge w:val="restart"/>
            <w:tcBorders>
              <w:top w:val="nil"/>
              <w:left w:val="single" w:sz="8" w:space="0" w:color="auto"/>
              <w:bottom w:val="single" w:sz="8" w:space="0" w:color="000000"/>
              <w:right w:val="single" w:sz="8" w:space="0" w:color="auto"/>
            </w:tcBorders>
            <w:shd w:val="clear" w:color="000000" w:fill="E6E6E6"/>
            <w:vAlign w:val="center"/>
            <w:hideMark/>
          </w:tcPr>
          <w:p w14:paraId="7405AE92" w14:textId="77777777" w:rsidR="00B76E0C" w:rsidRDefault="00B76E0C">
            <w:pPr>
              <w:jc w:val="center"/>
              <w:rPr>
                <w:rFonts w:ascii="Arial" w:hAnsi="Arial" w:cs="Arial"/>
                <w:b/>
                <w:bCs/>
                <w:color w:val="000000"/>
              </w:rPr>
            </w:pPr>
            <w:r>
              <w:rPr>
                <w:rFonts w:ascii="Arial" w:hAnsi="Arial" w:cs="Arial"/>
                <w:b/>
                <w:bCs/>
                <w:color w:val="000000"/>
              </w:rPr>
              <w:t>Total</w:t>
            </w:r>
          </w:p>
        </w:tc>
      </w:tr>
      <w:tr w:rsidR="00B76E0C" w14:paraId="4A654AE7" w14:textId="77777777" w:rsidTr="00766820">
        <w:trPr>
          <w:trHeight w:val="345"/>
        </w:trPr>
        <w:tc>
          <w:tcPr>
            <w:tcW w:w="1672" w:type="dxa"/>
            <w:vMerge/>
            <w:tcBorders>
              <w:top w:val="single" w:sz="8" w:space="0" w:color="auto"/>
              <w:left w:val="single" w:sz="8" w:space="0" w:color="auto"/>
              <w:bottom w:val="single" w:sz="8" w:space="0" w:color="000000"/>
              <w:right w:val="single" w:sz="8" w:space="0" w:color="auto"/>
            </w:tcBorders>
            <w:vAlign w:val="center"/>
            <w:hideMark/>
          </w:tcPr>
          <w:p w14:paraId="3D5BD691" w14:textId="77777777" w:rsidR="00B76E0C" w:rsidRDefault="00B76E0C">
            <w:pPr>
              <w:rPr>
                <w:rFonts w:ascii="Arial" w:hAnsi="Arial" w:cs="Arial"/>
                <w:b/>
                <w:bCs/>
                <w:color w:val="000000"/>
              </w:rPr>
            </w:pPr>
          </w:p>
        </w:tc>
        <w:tc>
          <w:tcPr>
            <w:tcW w:w="1916" w:type="dxa"/>
            <w:tcBorders>
              <w:top w:val="nil"/>
              <w:left w:val="nil"/>
              <w:bottom w:val="single" w:sz="8" w:space="0" w:color="auto"/>
              <w:right w:val="single" w:sz="8" w:space="0" w:color="auto"/>
            </w:tcBorders>
            <w:shd w:val="clear" w:color="000000" w:fill="E6E6E6"/>
            <w:vAlign w:val="center"/>
            <w:hideMark/>
          </w:tcPr>
          <w:p w14:paraId="074358E3" w14:textId="77777777" w:rsidR="00B76E0C" w:rsidRDefault="00B76E0C">
            <w:pPr>
              <w:jc w:val="center"/>
              <w:rPr>
                <w:rFonts w:ascii="Arial" w:hAnsi="Arial" w:cs="Arial"/>
                <w:b/>
                <w:bCs/>
                <w:color w:val="000000"/>
              </w:rPr>
            </w:pPr>
            <w:r>
              <w:rPr>
                <w:rFonts w:ascii="Arial" w:hAnsi="Arial" w:cs="Arial"/>
                <w:b/>
                <w:bCs/>
                <w:color w:val="000000"/>
              </w:rPr>
              <w:t>Application</w:t>
            </w:r>
          </w:p>
        </w:tc>
        <w:tc>
          <w:tcPr>
            <w:tcW w:w="1899" w:type="dxa"/>
            <w:vMerge/>
            <w:tcBorders>
              <w:top w:val="nil"/>
              <w:left w:val="single" w:sz="8" w:space="0" w:color="auto"/>
              <w:bottom w:val="single" w:sz="8" w:space="0" w:color="000000"/>
              <w:right w:val="single" w:sz="8" w:space="0" w:color="auto"/>
            </w:tcBorders>
            <w:vAlign w:val="center"/>
            <w:hideMark/>
          </w:tcPr>
          <w:p w14:paraId="3DB5B8A2" w14:textId="77777777" w:rsidR="00B76E0C" w:rsidRDefault="00B76E0C">
            <w:pPr>
              <w:rPr>
                <w:rFonts w:ascii="Arial" w:hAnsi="Arial" w:cs="Arial"/>
                <w:b/>
                <w:bCs/>
                <w:color w:val="000000"/>
              </w:rPr>
            </w:pPr>
          </w:p>
        </w:tc>
        <w:tc>
          <w:tcPr>
            <w:tcW w:w="1987" w:type="dxa"/>
            <w:tcBorders>
              <w:top w:val="nil"/>
              <w:left w:val="nil"/>
              <w:bottom w:val="single" w:sz="8" w:space="0" w:color="auto"/>
              <w:right w:val="single" w:sz="8" w:space="0" w:color="auto"/>
            </w:tcBorders>
            <w:shd w:val="clear" w:color="000000" w:fill="E6E6E6"/>
            <w:vAlign w:val="center"/>
            <w:hideMark/>
          </w:tcPr>
          <w:p w14:paraId="7F78F338" w14:textId="352488C3" w:rsidR="00B76E0C" w:rsidRDefault="00B76E0C">
            <w:pPr>
              <w:jc w:val="center"/>
              <w:rPr>
                <w:rFonts w:ascii="Arial" w:hAnsi="Arial" w:cs="Arial"/>
                <w:b/>
                <w:bCs/>
                <w:color w:val="000000"/>
              </w:rPr>
            </w:pPr>
            <w:r>
              <w:rPr>
                <w:rFonts w:ascii="Arial" w:hAnsi="Arial" w:cs="Arial"/>
                <w:b/>
                <w:bCs/>
                <w:color w:val="000000"/>
              </w:rPr>
              <w:t>Application</w:t>
            </w:r>
            <w:r w:rsidR="00A10612" w:rsidRPr="00A10612">
              <w:rPr>
                <w:rFonts w:ascii="Arial" w:hAnsi="Arial" w:cs="Arial"/>
                <w:b/>
                <w:bCs/>
                <w:color w:val="000000"/>
                <w:vertAlign w:val="superscript"/>
              </w:rPr>
              <w:t>(</w:t>
            </w:r>
            <w:r>
              <w:rPr>
                <w:rFonts w:ascii="Arial" w:hAnsi="Arial" w:cs="Arial"/>
                <w:b/>
                <w:bCs/>
                <w:color w:val="000000"/>
                <w:vertAlign w:val="superscript"/>
              </w:rPr>
              <w:t>b</w:t>
            </w:r>
            <w:r w:rsidR="00A10612">
              <w:rPr>
                <w:rFonts w:ascii="Arial" w:hAnsi="Arial" w:cs="Arial"/>
                <w:b/>
                <w:bCs/>
                <w:color w:val="000000"/>
                <w:vertAlign w:val="superscript"/>
              </w:rPr>
              <w:t>)</w:t>
            </w:r>
          </w:p>
        </w:tc>
        <w:tc>
          <w:tcPr>
            <w:tcW w:w="1533" w:type="dxa"/>
            <w:vMerge/>
            <w:tcBorders>
              <w:top w:val="nil"/>
              <w:left w:val="single" w:sz="8" w:space="0" w:color="auto"/>
              <w:bottom w:val="single" w:sz="8" w:space="0" w:color="000000"/>
              <w:right w:val="single" w:sz="8" w:space="0" w:color="auto"/>
            </w:tcBorders>
            <w:vAlign w:val="center"/>
            <w:hideMark/>
          </w:tcPr>
          <w:p w14:paraId="5E179969" w14:textId="77777777" w:rsidR="00B76E0C" w:rsidRDefault="00B76E0C">
            <w:pPr>
              <w:rPr>
                <w:rFonts w:ascii="Arial" w:hAnsi="Arial" w:cs="Arial"/>
                <w:b/>
                <w:bCs/>
                <w:color w:val="000000"/>
              </w:rPr>
            </w:pPr>
          </w:p>
        </w:tc>
      </w:tr>
      <w:tr w:rsidR="00B76E0C" w14:paraId="74A1906F" w14:textId="77777777" w:rsidTr="00766820">
        <w:trPr>
          <w:trHeight w:val="779"/>
        </w:trPr>
        <w:tc>
          <w:tcPr>
            <w:tcW w:w="1672" w:type="dxa"/>
            <w:tcBorders>
              <w:top w:val="nil"/>
              <w:left w:val="single" w:sz="8" w:space="0" w:color="auto"/>
              <w:bottom w:val="single" w:sz="8" w:space="0" w:color="auto"/>
              <w:right w:val="single" w:sz="8" w:space="0" w:color="auto"/>
            </w:tcBorders>
            <w:shd w:val="clear" w:color="auto" w:fill="auto"/>
            <w:vAlign w:val="center"/>
            <w:hideMark/>
          </w:tcPr>
          <w:p w14:paraId="2AF76021" w14:textId="77777777" w:rsidR="00B76E0C" w:rsidRDefault="00B76E0C">
            <w:pPr>
              <w:rPr>
                <w:rFonts w:ascii="Arial" w:hAnsi="Arial" w:cs="Arial"/>
                <w:color w:val="000000"/>
                <w:sz w:val="22"/>
                <w:szCs w:val="22"/>
              </w:rPr>
            </w:pPr>
            <w:r>
              <w:rPr>
                <w:rFonts w:ascii="Arial" w:hAnsi="Arial" w:cs="Arial"/>
                <w:color w:val="000000"/>
                <w:sz w:val="22"/>
                <w:szCs w:val="22"/>
              </w:rPr>
              <w:t>Hours required to submit each application</w:t>
            </w:r>
          </w:p>
        </w:tc>
        <w:tc>
          <w:tcPr>
            <w:tcW w:w="1916" w:type="dxa"/>
            <w:tcBorders>
              <w:top w:val="nil"/>
              <w:left w:val="nil"/>
              <w:bottom w:val="single" w:sz="8" w:space="0" w:color="auto"/>
              <w:right w:val="single" w:sz="8" w:space="0" w:color="auto"/>
            </w:tcBorders>
            <w:shd w:val="clear" w:color="auto" w:fill="auto"/>
            <w:vAlign w:val="center"/>
            <w:hideMark/>
          </w:tcPr>
          <w:p w14:paraId="6F2F8E27" w14:textId="77777777" w:rsidR="00B76E0C" w:rsidRDefault="00B76E0C">
            <w:pPr>
              <w:jc w:val="center"/>
              <w:rPr>
                <w:rFonts w:ascii="Arial" w:hAnsi="Arial" w:cs="Arial"/>
                <w:color w:val="000000"/>
                <w:sz w:val="22"/>
                <w:szCs w:val="22"/>
              </w:rPr>
            </w:pPr>
            <w:r>
              <w:rPr>
                <w:rFonts w:ascii="Arial" w:hAnsi="Arial" w:cs="Arial"/>
                <w:color w:val="000000"/>
                <w:sz w:val="22"/>
                <w:szCs w:val="22"/>
              </w:rPr>
              <w:t>2,903</w:t>
            </w:r>
          </w:p>
        </w:tc>
        <w:tc>
          <w:tcPr>
            <w:tcW w:w="1899" w:type="dxa"/>
            <w:tcBorders>
              <w:top w:val="nil"/>
              <w:left w:val="nil"/>
              <w:bottom w:val="single" w:sz="8" w:space="0" w:color="auto"/>
              <w:right w:val="single" w:sz="8" w:space="0" w:color="auto"/>
            </w:tcBorders>
            <w:shd w:val="clear" w:color="auto" w:fill="auto"/>
            <w:vAlign w:val="center"/>
            <w:hideMark/>
          </w:tcPr>
          <w:p w14:paraId="0E6D68E7" w14:textId="77777777" w:rsidR="00B76E0C" w:rsidRDefault="00B76E0C">
            <w:pPr>
              <w:jc w:val="center"/>
              <w:rPr>
                <w:rFonts w:ascii="Arial" w:hAnsi="Arial" w:cs="Arial"/>
                <w:color w:val="000000"/>
                <w:sz w:val="22"/>
                <w:szCs w:val="22"/>
              </w:rPr>
            </w:pPr>
            <w:r>
              <w:rPr>
                <w:rFonts w:ascii="Arial" w:hAnsi="Arial" w:cs="Arial"/>
                <w:color w:val="000000"/>
                <w:sz w:val="22"/>
                <w:szCs w:val="22"/>
              </w:rPr>
              <w:t>1,452</w:t>
            </w:r>
          </w:p>
        </w:tc>
        <w:tc>
          <w:tcPr>
            <w:tcW w:w="1987" w:type="dxa"/>
            <w:tcBorders>
              <w:top w:val="nil"/>
              <w:left w:val="nil"/>
              <w:bottom w:val="single" w:sz="8" w:space="0" w:color="auto"/>
              <w:right w:val="single" w:sz="8" w:space="0" w:color="auto"/>
            </w:tcBorders>
            <w:shd w:val="clear" w:color="auto" w:fill="auto"/>
            <w:vAlign w:val="center"/>
            <w:hideMark/>
          </w:tcPr>
          <w:p w14:paraId="165E2DC7" w14:textId="77777777" w:rsidR="00B76E0C" w:rsidRDefault="00B76E0C">
            <w:pPr>
              <w:jc w:val="center"/>
              <w:rPr>
                <w:rFonts w:ascii="Arial" w:hAnsi="Arial" w:cs="Arial"/>
                <w:color w:val="000000"/>
                <w:sz w:val="22"/>
                <w:szCs w:val="22"/>
              </w:rPr>
            </w:pPr>
            <w:r>
              <w:rPr>
                <w:rFonts w:ascii="Arial" w:hAnsi="Arial" w:cs="Arial"/>
                <w:color w:val="000000"/>
                <w:sz w:val="22"/>
                <w:szCs w:val="22"/>
              </w:rPr>
              <w:t>290</w:t>
            </w:r>
          </w:p>
        </w:tc>
        <w:tc>
          <w:tcPr>
            <w:tcW w:w="1533" w:type="dxa"/>
            <w:tcBorders>
              <w:top w:val="nil"/>
              <w:left w:val="nil"/>
              <w:bottom w:val="single" w:sz="8" w:space="0" w:color="auto"/>
              <w:right w:val="single" w:sz="8" w:space="0" w:color="auto"/>
            </w:tcBorders>
            <w:shd w:val="clear" w:color="auto" w:fill="auto"/>
            <w:vAlign w:val="center"/>
            <w:hideMark/>
          </w:tcPr>
          <w:p w14:paraId="360EE630" w14:textId="18E34BD3" w:rsidR="00B76E0C" w:rsidRDefault="00294E5C">
            <w:pPr>
              <w:jc w:val="center"/>
              <w:rPr>
                <w:rFonts w:ascii="Arial" w:hAnsi="Arial" w:cs="Arial"/>
                <w:color w:val="000000"/>
                <w:sz w:val="22"/>
                <w:szCs w:val="22"/>
              </w:rPr>
            </w:pPr>
            <w:r>
              <w:rPr>
                <w:rFonts w:ascii="Arial" w:hAnsi="Arial" w:cs="Arial"/>
                <w:color w:val="000000"/>
                <w:sz w:val="22"/>
                <w:szCs w:val="22"/>
              </w:rPr>
              <w:t>n/a</w:t>
            </w:r>
            <w:r w:rsidR="00B76E0C">
              <w:rPr>
                <w:rFonts w:ascii="Arial" w:hAnsi="Arial" w:cs="Arial"/>
                <w:color w:val="000000"/>
                <w:sz w:val="22"/>
                <w:szCs w:val="22"/>
              </w:rPr>
              <w:t> </w:t>
            </w:r>
          </w:p>
        </w:tc>
      </w:tr>
      <w:tr w:rsidR="00B76E0C" w14:paraId="59C3799E" w14:textId="77777777" w:rsidTr="00766820">
        <w:trPr>
          <w:trHeight w:val="824"/>
        </w:trPr>
        <w:tc>
          <w:tcPr>
            <w:tcW w:w="1672" w:type="dxa"/>
            <w:tcBorders>
              <w:top w:val="nil"/>
              <w:left w:val="single" w:sz="8" w:space="0" w:color="auto"/>
              <w:bottom w:val="single" w:sz="8" w:space="0" w:color="auto"/>
              <w:right w:val="single" w:sz="8" w:space="0" w:color="auto"/>
            </w:tcBorders>
            <w:shd w:val="clear" w:color="auto" w:fill="auto"/>
            <w:vAlign w:val="center"/>
            <w:hideMark/>
          </w:tcPr>
          <w:p w14:paraId="752ED9B9" w14:textId="355254A6" w:rsidR="00B76E0C" w:rsidRDefault="00B76E0C">
            <w:pPr>
              <w:rPr>
                <w:rFonts w:ascii="Arial" w:hAnsi="Arial" w:cs="Arial"/>
                <w:color w:val="000000"/>
                <w:sz w:val="22"/>
                <w:szCs w:val="22"/>
              </w:rPr>
            </w:pPr>
            <w:r>
              <w:rPr>
                <w:rFonts w:ascii="Arial" w:hAnsi="Arial" w:cs="Arial"/>
                <w:color w:val="000000"/>
                <w:sz w:val="22"/>
                <w:szCs w:val="22"/>
              </w:rPr>
              <w:t>Number of applications per respondent</w:t>
            </w:r>
            <w:r w:rsidR="00A10612" w:rsidRPr="00A10612">
              <w:rPr>
                <w:rFonts w:ascii="Arial" w:hAnsi="Arial" w:cs="Arial"/>
                <w:color w:val="000000"/>
                <w:sz w:val="22"/>
                <w:szCs w:val="22"/>
                <w:vertAlign w:val="superscript"/>
              </w:rPr>
              <w:t>(</w:t>
            </w:r>
            <w:r>
              <w:rPr>
                <w:rFonts w:ascii="Arial" w:hAnsi="Arial" w:cs="Arial"/>
                <w:color w:val="000000"/>
                <w:sz w:val="22"/>
                <w:szCs w:val="22"/>
                <w:vertAlign w:val="superscript"/>
              </w:rPr>
              <w:t>d</w:t>
            </w:r>
            <w:r w:rsidR="00A10612">
              <w:rPr>
                <w:rFonts w:ascii="Arial" w:hAnsi="Arial" w:cs="Arial"/>
                <w:color w:val="000000"/>
                <w:sz w:val="22"/>
                <w:szCs w:val="22"/>
                <w:vertAlign w:val="superscript"/>
              </w:rPr>
              <w:t>)</w:t>
            </w:r>
          </w:p>
        </w:tc>
        <w:tc>
          <w:tcPr>
            <w:tcW w:w="1916" w:type="dxa"/>
            <w:tcBorders>
              <w:top w:val="nil"/>
              <w:left w:val="nil"/>
              <w:bottom w:val="single" w:sz="8" w:space="0" w:color="auto"/>
              <w:right w:val="single" w:sz="8" w:space="0" w:color="auto"/>
            </w:tcBorders>
            <w:shd w:val="clear" w:color="auto" w:fill="auto"/>
            <w:vAlign w:val="center"/>
            <w:hideMark/>
          </w:tcPr>
          <w:p w14:paraId="21638186" w14:textId="77777777" w:rsidR="00B76E0C" w:rsidRDefault="00B76E0C">
            <w:pPr>
              <w:jc w:val="center"/>
              <w:rPr>
                <w:rFonts w:ascii="Arial" w:hAnsi="Arial" w:cs="Arial"/>
                <w:color w:val="000000"/>
                <w:sz w:val="22"/>
                <w:szCs w:val="22"/>
              </w:rPr>
            </w:pPr>
            <w:r>
              <w:rPr>
                <w:rFonts w:ascii="Arial" w:hAnsi="Arial" w:cs="Arial"/>
                <w:color w:val="000000"/>
                <w:sz w:val="22"/>
                <w:szCs w:val="22"/>
              </w:rPr>
              <w:t>1</w:t>
            </w:r>
          </w:p>
        </w:tc>
        <w:tc>
          <w:tcPr>
            <w:tcW w:w="1899" w:type="dxa"/>
            <w:tcBorders>
              <w:top w:val="nil"/>
              <w:left w:val="nil"/>
              <w:bottom w:val="single" w:sz="8" w:space="0" w:color="auto"/>
              <w:right w:val="single" w:sz="8" w:space="0" w:color="auto"/>
            </w:tcBorders>
            <w:shd w:val="clear" w:color="auto" w:fill="auto"/>
            <w:vAlign w:val="center"/>
            <w:hideMark/>
          </w:tcPr>
          <w:p w14:paraId="016CBA24" w14:textId="77777777" w:rsidR="00B76E0C" w:rsidRDefault="00B76E0C">
            <w:pPr>
              <w:jc w:val="center"/>
              <w:rPr>
                <w:rFonts w:ascii="Arial" w:hAnsi="Arial" w:cs="Arial"/>
                <w:color w:val="000000"/>
                <w:sz w:val="22"/>
                <w:szCs w:val="22"/>
              </w:rPr>
            </w:pPr>
            <w:r>
              <w:rPr>
                <w:rFonts w:ascii="Arial" w:hAnsi="Arial" w:cs="Arial"/>
                <w:color w:val="000000"/>
                <w:sz w:val="22"/>
                <w:szCs w:val="22"/>
              </w:rPr>
              <w:t>1</w:t>
            </w:r>
          </w:p>
        </w:tc>
        <w:tc>
          <w:tcPr>
            <w:tcW w:w="1987" w:type="dxa"/>
            <w:tcBorders>
              <w:top w:val="nil"/>
              <w:left w:val="nil"/>
              <w:bottom w:val="single" w:sz="8" w:space="0" w:color="auto"/>
              <w:right w:val="single" w:sz="8" w:space="0" w:color="auto"/>
            </w:tcBorders>
            <w:shd w:val="clear" w:color="auto" w:fill="auto"/>
            <w:vAlign w:val="center"/>
            <w:hideMark/>
          </w:tcPr>
          <w:p w14:paraId="432D9CFE" w14:textId="77777777" w:rsidR="00B76E0C" w:rsidRDefault="00B76E0C">
            <w:pPr>
              <w:jc w:val="center"/>
              <w:rPr>
                <w:rFonts w:ascii="Arial" w:hAnsi="Arial" w:cs="Arial"/>
                <w:color w:val="000000"/>
                <w:sz w:val="22"/>
                <w:szCs w:val="22"/>
              </w:rPr>
            </w:pPr>
            <w:r>
              <w:rPr>
                <w:rFonts w:ascii="Arial" w:hAnsi="Arial" w:cs="Arial"/>
                <w:color w:val="000000"/>
                <w:sz w:val="22"/>
                <w:szCs w:val="22"/>
              </w:rPr>
              <w:t>1</w:t>
            </w:r>
          </w:p>
        </w:tc>
        <w:tc>
          <w:tcPr>
            <w:tcW w:w="1533" w:type="dxa"/>
            <w:tcBorders>
              <w:top w:val="nil"/>
              <w:left w:val="nil"/>
              <w:bottom w:val="single" w:sz="8" w:space="0" w:color="auto"/>
              <w:right w:val="single" w:sz="8" w:space="0" w:color="auto"/>
            </w:tcBorders>
            <w:shd w:val="clear" w:color="auto" w:fill="auto"/>
            <w:vAlign w:val="center"/>
            <w:hideMark/>
          </w:tcPr>
          <w:p w14:paraId="47EC92AB" w14:textId="35E2EB9A" w:rsidR="00B76E0C" w:rsidRDefault="00294E5C">
            <w:pPr>
              <w:jc w:val="center"/>
              <w:rPr>
                <w:rFonts w:ascii="Arial" w:hAnsi="Arial" w:cs="Arial"/>
                <w:color w:val="000000"/>
                <w:sz w:val="22"/>
                <w:szCs w:val="22"/>
              </w:rPr>
            </w:pPr>
            <w:r>
              <w:rPr>
                <w:rFonts w:ascii="Arial" w:hAnsi="Arial" w:cs="Arial"/>
                <w:color w:val="000000"/>
                <w:sz w:val="22"/>
                <w:szCs w:val="22"/>
              </w:rPr>
              <w:t>n/a</w:t>
            </w:r>
            <w:r w:rsidR="00B76E0C">
              <w:rPr>
                <w:rFonts w:ascii="Arial" w:hAnsi="Arial" w:cs="Arial"/>
                <w:color w:val="000000"/>
                <w:sz w:val="22"/>
                <w:szCs w:val="22"/>
              </w:rPr>
              <w:t> </w:t>
            </w:r>
          </w:p>
        </w:tc>
      </w:tr>
      <w:tr w:rsidR="00B76E0C" w14:paraId="654E09BC" w14:textId="77777777" w:rsidTr="00766820">
        <w:trPr>
          <w:trHeight w:val="567"/>
        </w:trPr>
        <w:tc>
          <w:tcPr>
            <w:tcW w:w="1672" w:type="dxa"/>
            <w:tcBorders>
              <w:top w:val="nil"/>
              <w:left w:val="single" w:sz="8" w:space="0" w:color="auto"/>
              <w:bottom w:val="single" w:sz="8" w:space="0" w:color="auto"/>
              <w:right w:val="single" w:sz="8" w:space="0" w:color="auto"/>
            </w:tcBorders>
            <w:shd w:val="clear" w:color="auto" w:fill="auto"/>
            <w:vAlign w:val="center"/>
            <w:hideMark/>
          </w:tcPr>
          <w:p w14:paraId="3B1D97E3" w14:textId="0AD4F053" w:rsidR="00B76E0C" w:rsidRDefault="00B76E0C">
            <w:pPr>
              <w:rPr>
                <w:rFonts w:ascii="Arial" w:hAnsi="Arial" w:cs="Arial"/>
                <w:color w:val="000000"/>
                <w:sz w:val="22"/>
                <w:szCs w:val="22"/>
              </w:rPr>
            </w:pPr>
            <w:r>
              <w:rPr>
                <w:rFonts w:ascii="Arial" w:hAnsi="Arial" w:cs="Arial"/>
                <w:color w:val="000000"/>
                <w:sz w:val="22"/>
                <w:szCs w:val="22"/>
              </w:rPr>
              <w:t>Annual number of applications</w:t>
            </w:r>
            <w:r w:rsidR="00A10612">
              <w:rPr>
                <w:rFonts w:ascii="Arial" w:hAnsi="Arial" w:cs="Arial"/>
                <w:color w:val="000000"/>
                <w:sz w:val="22"/>
                <w:szCs w:val="22"/>
                <w:vertAlign w:val="superscript"/>
              </w:rPr>
              <w:t>(c)</w:t>
            </w:r>
          </w:p>
        </w:tc>
        <w:tc>
          <w:tcPr>
            <w:tcW w:w="1916" w:type="dxa"/>
            <w:tcBorders>
              <w:top w:val="nil"/>
              <w:left w:val="nil"/>
              <w:bottom w:val="single" w:sz="8" w:space="0" w:color="auto"/>
              <w:right w:val="single" w:sz="8" w:space="0" w:color="auto"/>
            </w:tcBorders>
            <w:shd w:val="clear" w:color="auto" w:fill="auto"/>
            <w:vAlign w:val="center"/>
            <w:hideMark/>
          </w:tcPr>
          <w:p w14:paraId="7958B21C" w14:textId="77777777" w:rsidR="00B76E0C" w:rsidRDefault="00B76E0C">
            <w:pPr>
              <w:jc w:val="center"/>
              <w:rPr>
                <w:rFonts w:ascii="Arial" w:hAnsi="Arial" w:cs="Arial"/>
                <w:color w:val="000000"/>
                <w:sz w:val="22"/>
                <w:szCs w:val="22"/>
              </w:rPr>
            </w:pPr>
            <w:r>
              <w:rPr>
                <w:rFonts w:ascii="Arial" w:hAnsi="Arial" w:cs="Arial"/>
                <w:color w:val="000000"/>
                <w:sz w:val="22"/>
                <w:szCs w:val="22"/>
              </w:rPr>
              <w:t>6</w:t>
            </w:r>
          </w:p>
        </w:tc>
        <w:tc>
          <w:tcPr>
            <w:tcW w:w="1899" w:type="dxa"/>
            <w:tcBorders>
              <w:top w:val="nil"/>
              <w:left w:val="nil"/>
              <w:bottom w:val="single" w:sz="8" w:space="0" w:color="auto"/>
              <w:right w:val="single" w:sz="8" w:space="0" w:color="auto"/>
            </w:tcBorders>
            <w:shd w:val="clear" w:color="auto" w:fill="auto"/>
            <w:vAlign w:val="center"/>
            <w:hideMark/>
          </w:tcPr>
          <w:p w14:paraId="5AB5C36C" w14:textId="77777777" w:rsidR="00B76E0C" w:rsidRDefault="00B76E0C">
            <w:pPr>
              <w:jc w:val="center"/>
              <w:rPr>
                <w:rFonts w:ascii="Arial" w:hAnsi="Arial" w:cs="Arial"/>
                <w:color w:val="000000"/>
                <w:sz w:val="22"/>
                <w:szCs w:val="22"/>
              </w:rPr>
            </w:pPr>
            <w:r>
              <w:rPr>
                <w:rFonts w:ascii="Arial" w:hAnsi="Arial" w:cs="Arial"/>
                <w:color w:val="000000"/>
                <w:sz w:val="22"/>
                <w:szCs w:val="22"/>
              </w:rPr>
              <w:t>12</w:t>
            </w:r>
          </w:p>
        </w:tc>
        <w:tc>
          <w:tcPr>
            <w:tcW w:w="1987" w:type="dxa"/>
            <w:tcBorders>
              <w:top w:val="nil"/>
              <w:left w:val="nil"/>
              <w:bottom w:val="single" w:sz="8" w:space="0" w:color="auto"/>
              <w:right w:val="single" w:sz="8" w:space="0" w:color="auto"/>
            </w:tcBorders>
            <w:shd w:val="clear" w:color="auto" w:fill="auto"/>
            <w:vAlign w:val="center"/>
            <w:hideMark/>
          </w:tcPr>
          <w:p w14:paraId="0A16EBC4" w14:textId="77777777" w:rsidR="00B76E0C" w:rsidRDefault="00B76E0C">
            <w:pPr>
              <w:jc w:val="center"/>
              <w:rPr>
                <w:rFonts w:ascii="Arial" w:hAnsi="Arial" w:cs="Arial"/>
                <w:color w:val="000000"/>
                <w:sz w:val="22"/>
                <w:szCs w:val="22"/>
              </w:rPr>
            </w:pPr>
            <w:r>
              <w:rPr>
                <w:rFonts w:ascii="Arial" w:hAnsi="Arial" w:cs="Arial"/>
                <w:color w:val="000000"/>
                <w:sz w:val="22"/>
                <w:szCs w:val="22"/>
              </w:rPr>
              <w:t>4</w:t>
            </w:r>
          </w:p>
        </w:tc>
        <w:tc>
          <w:tcPr>
            <w:tcW w:w="1533" w:type="dxa"/>
            <w:tcBorders>
              <w:top w:val="nil"/>
              <w:left w:val="nil"/>
              <w:bottom w:val="single" w:sz="8" w:space="0" w:color="auto"/>
              <w:right w:val="single" w:sz="8" w:space="0" w:color="auto"/>
            </w:tcBorders>
            <w:shd w:val="clear" w:color="auto" w:fill="auto"/>
            <w:vAlign w:val="center"/>
            <w:hideMark/>
          </w:tcPr>
          <w:p w14:paraId="2C5F7667" w14:textId="77777777" w:rsidR="00B76E0C" w:rsidRDefault="00B76E0C">
            <w:pPr>
              <w:jc w:val="center"/>
              <w:rPr>
                <w:rFonts w:ascii="Arial" w:hAnsi="Arial" w:cs="Arial"/>
                <w:color w:val="000000"/>
                <w:sz w:val="22"/>
                <w:szCs w:val="22"/>
              </w:rPr>
            </w:pPr>
            <w:r>
              <w:rPr>
                <w:rFonts w:ascii="Arial" w:hAnsi="Arial" w:cs="Arial"/>
                <w:color w:val="000000"/>
                <w:sz w:val="22"/>
                <w:szCs w:val="22"/>
              </w:rPr>
              <w:t>22</w:t>
            </w:r>
          </w:p>
        </w:tc>
      </w:tr>
      <w:tr w:rsidR="00B76E0C" w14:paraId="11477AEE" w14:textId="77777777" w:rsidTr="00766820">
        <w:trPr>
          <w:trHeight w:val="567"/>
        </w:trPr>
        <w:tc>
          <w:tcPr>
            <w:tcW w:w="1672" w:type="dxa"/>
            <w:tcBorders>
              <w:top w:val="nil"/>
              <w:left w:val="single" w:sz="8" w:space="0" w:color="auto"/>
              <w:bottom w:val="single" w:sz="8" w:space="0" w:color="auto"/>
              <w:right w:val="single" w:sz="8" w:space="0" w:color="auto"/>
            </w:tcBorders>
            <w:shd w:val="clear" w:color="auto" w:fill="auto"/>
            <w:vAlign w:val="center"/>
            <w:hideMark/>
          </w:tcPr>
          <w:p w14:paraId="7DD85399" w14:textId="46B4EBE3" w:rsidR="00B76E0C" w:rsidRDefault="00B76E0C">
            <w:pPr>
              <w:rPr>
                <w:rFonts w:ascii="Arial" w:hAnsi="Arial" w:cs="Arial"/>
                <w:color w:val="000000"/>
                <w:sz w:val="22"/>
                <w:szCs w:val="22"/>
              </w:rPr>
            </w:pPr>
            <w:r>
              <w:rPr>
                <w:rFonts w:ascii="Arial" w:hAnsi="Arial" w:cs="Arial"/>
                <w:color w:val="000000"/>
                <w:sz w:val="22"/>
                <w:szCs w:val="22"/>
              </w:rPr>
              <w:t xml:space="preserve">Total </w:t>
            </w:r>
            <w:r w:rsidR="004E5E04">
              <w:rPr>
                <w:rFonts w:ascii="Arial" w:hAnsi="Arial" w:cs="Arial"/>
                <w:color w:val="000000"/>
                <w:sz w:val="22"/>
                <w:szCs w:val="22"/>
              </w:rPr>
              <w:t>a</w:t>
            </w:r>
            <w:r w:rsidR="00EA4E98">
              <w:rPr>
                <w:rFonts w:ascii="Arial" w:hAnsi="Arial" w:cs="Arial"/>
                <w:color w:val="000000"/>
                <w:sz w:val="22"/>
                <w:szCs w:val="22"/>
              </w:rPr>
              <w:t xml:space="preserve">nnual </w:t>
            </w:r>
            <w:r w:rsidR="004E5E04">
              <w:rPr>
                <w:rFonts w:ascii="Arial" w:hAnsi="Arial" w:cs="Arial"/>
                <w:color w:val="000000"/>
                <w:sz w:val="22"/>
                <w:szCs w:val="22"/>
              </w:rPr>
              <w:t>h</w:t>
            </w:r>
            <w:r>
              <w:rPr>
                <w:rFonts w:ascii="Arial" w:hAnsi="Arial" w:cs="Arial"/>
                <w:color w:val="000000"/>
                <w:sz w:val="22"/>
                <w:szCs w:val="22"/>
              </w:rPr>
              <w:t>ours</w:t>
            </w:r>
          </w:p>
        </w:tc>
        <w:tc>
          <w:tcPr>
            <w:tcW w:w="1916" w:type="dxa"/>
            <w:tcBorders>
              <w:top w:val="nil"/>
              <w:left w:val="nil"/>
              <w:bottom w:val="single" w:sz="8" w:space="0" w:color="auto"/>
              <w:right w:val="single" w:sz="8" w:space="0" w:color="auto"/>
            </w:tcBorders>
            <w:shd w:val="clear" w:color="auto" w:fill="auto"/>
            <w:vAlign w:val="center"/>
            <w:hideMark/>
          </w:tcPr>
          <w:p w14:paraId="6F0C20C5" w14:textId="77777777" w:rsidR="00B76E0C" w:rsidRDefault="00B76E0C">
            <w:pPr>
              <w:jc w:val="center"/>
              <w:rPr>
                <w:rFonts w:ascii="Arial" w:hAnsi="Arial" w:cs="Arial"/>
                <w:color w:val="000000"/>
                <w:sz w:val="22"/>
                <w:szCs w:val="22"/>
              </w:rPr>
            </w:pPr>
            <w:r>
              <w:rPr>
                <w:rFonts w:ascii="Arial" w:hAnsi="Arial" w:cs="Arial"/>
                <w:color w:val="000000"/>
                <w:sz w:val="22"/>
                <w:szCs w:val="22"/>
              </w:rPr>
              <w:t>17,418</w:t>
            </w:r>
          </w:p>
        </w:tc>
        <w:tc>
          <w:tcPr>
            <w:tcW w:w="1899" w:type="dxa"/>
            <w:tcBorders>
              <w:top w:val="nil"/>
              <w:left w:val="nil"/>
              <w:bottom w:val="single" w:sz="8" w:space="0" w:color="auto"/>
              <w:right w:val="single" w:sz="8" w:space="0" w:color="auto"/>
            </w:tcBorders>
            <w:shd w:val="clear" w:color="auto" w:fill="auto"/>
            <w:vAlign w:val="center"/>
            <w:hideMark/>
          </w:tcPr>
          <w:p w14:paraId="3F522013" w14:textId="210F03D9" w:rsidR="00B76E0C" w:rsidRDefault="00B76E0C" w:rsidP="009B6C6C">
            <w:pPr>
              <w:jc w:val="center"/>
              <w:rPr>
                <w:rFonts w:ascii="Arial" w:hAnsi="Arial" w:cs="Arial"/>
                <w:color w:val="000000"/>
                <w:sz w:val="22"/>
                <w:szCs w:val="22"/>
              </w:rPr>
            </w:pPr>
            <w:r>
              <w:rPr>
                <w:rFonts w:ascii="Arial" w:hAnsi="Arial" w:cs="Arial"/>
                <w:color w:val="000000"/>
                <w:sz w:val="22"/>
                <w:szCs w:val="22"/>
              </w:rPr>
              <w:t>17,</w:t>
            </w:r>
            <w:r w:rsidR="009B6C6C">
              <w:rPr>
                <w:rFonts w:ascii="Arial" w:hAnsi="Arial" w:cs="Arial"/>
                <w:color w:val="000000"/>
                <w:sz w:val="22"/>
                <w:szCs w:val="22"/>
              </w:rPr>
              <w:t>424</w:t>
            </w:r>
          </w:p>
        </w:tc>
        <w:tc>
          <w:tcPr>
            <w:tcW w:w="1987" w:type="dxa"/>
            <w:tcBorders>
              <w:top w:val="nil"/>
              <w:left w:val="nil"/>
              <w:bottom w:val="single" w:sz="8" w:space="0" w:color="auto"/>
              <w:right w:val="single" w:sz="8" w:space="0" w:color="auto"/>
            </w:tcBorders>
            <w:shd w:val="clear" w:color="auto" w:fill="auto"/>
            <w:vAlign w:val="center"/>
            <w:hideMark/>
          </w:tcPr>
          <w:p w14:paraId="4CA55224" w14:textId="77777777" w:rsidR="00B76E0C" w:rsidRDefault="00B76E0C">
            <w:pPr>
              <w:jc w:val="center"/>
              <w:rPr>
                <w:rFonts w:ascii="Arial" w:hAnsi="Arial" w:cs="Arial"/>
                <w:color w:val="000000"/>
                <w:sz w:val="22"/>
                <w:szCs w:val="22"/>
              </w:rPr>
            </w:pPr>
            <w:r>
              <w:rPr>
                <w:rFonts w:ascii="Arial" w:hAnsi="Arial" w:cs="Arial"/>
                <w:color w:val="000000"/>
                <w:sz w:val="22"/>
                <w:szCs w:val="22"/>
              </w:rPr>
              <w:t>1,160</w:t>
            </w:r>
          </w:p>
        </w:tc>
        <w:tc>
          <w:tcPr>
            <w:tcW w:w="1533" w:type="dxa"/>
            <w:tcBorders>
              <w:top w:val="nil"/>
              <w:left w:val="nil"/>
              <w:bottom w:val="single" w:sz="8" w:space="0" w:color="auto"/>
              <w:right w:val="single" w:sz="8" w:space="0" w:color="auto"/>
            </w:tcBorders>
            <w:shd w:val="clear" w:color="auto" w:fill="auto"/>
            <w:vAlign w:val="center"/>
            <w:hideMark/>
          </w:tcPr>
          <w:p w14:paraId="7D4D15BA" w14:textId="77777777" w:rsidR="00B76E0C" w:rsidRDefault="00B76E0C">
            <w:pPr>
              <w:jc w:val="center"/>
              <w:rPr>
                <w:rFonts w:ascii="Arial" w:hAnsi="Arial" w:cs="Arial"/>
                <w:color w:val="000000"/>
                <w:sz w:val="22"/>
                <w:szCs w:val="22"/>
              </w:rPr>
            </w:pPr>
            <w:r>
              <w:rPr>
                <w:rFonts w:ascii="Arial" w:hAnsi="Arial" w:cs="Arial"/>
                <w:color w:val="000000"/>
                <w:sz w:val="22"/>
                <w:szCs w:val="22"/>
              </w:rPr>
              <w:t>36,002</w:t>
            </w:r>
          </w:p>
        </w:tc>
      </w:tr>
      <w:tr w:rsidR="00294E5C" w14:paraId="6B613270" w14:textId="77777777" w:rsidTr="00766820">
        <w:trPr>
          <w:trHeight w:val="523"/>
        </w:trPr>
        <w:tc>
          <w:tcPr>
            <w:tcW w:w="1672" w:type="dxa"/>
            <w:tcBorders>
              <w:top w:val="nil"/>
              <w:left w:val="single" w:sz="8" w:space="0" w:color="auto"/>
              <w:bottom w:val="single" w:sz="8" w:space="0" w:color="auto"/>
              <w:right w:val="single" w:sz="8" w:space="0" w:color="auto"/>
            </w:tcBorders>
            <w:shd w:val="clear" w:color="auto" w:fill="auto"/>
            <w:vAlign w:val="center"/>
            <w:hideMark/>
          </w:tcPr>
          <w:p w14:paraId="7E43C7C3" w14:textId="77777777" w:rsidR="00294E5C" w:rsidRDefault="00294E5C" w:rsidP="00294E5C">
            <w:pPr>
              <w:rPr>
                <w:rFonts w:ascii="Arial" w:hAnsi="Arial" w:cs="Arial"/>
                <w:color w:val="000000"/>
                <w:sz w:val="22"/>
                <w:szCs w:val="22"/>
              </w:rPr>
            </w:pPr>
            <w:r>
              <w:rPr>
                <w:rFonts w:ascii="Arial" w:hAnsi="Arial" w:cs="Arial"/>
                <w:color w:val="000000"/>
                <w:sz w:val="22"/>
                <w:szCs w:val="22"/>
              </w:rPr>
              <w:t>Cost per application</w:t>
            </w:r>
          </w:p>
        </w:tc>
        <w:tc>
          <w:tcPr>
            <w:tcW w:w="1916" w:type="dxa"/>
            <w:tcBorders>
              <w:top w:val="nil"/>
              <w:left w:val="nil"/>
              <w:bottom w:val="single" w:sz="8" w:space="0" w:color="auto"/>
              <w:right w:val="single" w:sz="8" w:space="0" w:color="auto"/>
            </w:tcBorders>
            <w:shd w:val="clear" w:color="auto" w:fill="auto"/>
            <w:vAlign w:val="center"/>
            <w:hideMark/>
          </w:tcPr>
          <w:p w14:paraId="095372BD" w14:textId="77777777" w:rsidR="00294E5C" w:rsidRDefault="00294E5C" w:rsidP="00294E5C">
            <w:pPr>
              <w:jc w:val="center"/>
              <w:rPr>
                <w:rFonts w:ascii="Arial" w:hAnsi="Arial" w:cs="Arial"/>
                <w:color w:val="000000"/>
                <w:sz w:val="22"/>
                <w:szCs w:val="22"/>
              </w:rPr>
            </w:pPr>
            <w:r>
              <w:rPr>
                <w:rFonts w:ascii="Arial" w:hAnsi="Arial" w:cs="Arial"/>
                <w:color w:val="000000"/>
                <w:sz w:val="22"/>
                <w:szCs w:val="22"/>
              </w:rPr>
              <w:t xml:space="preserve">$235,956 </w:t>
            </w:r>
          </w:p>
        </w:tc>
        <w:tc>
          <w:tcPr>
            <w:tcW w:w="1899" w:type="dxa"/>
            <w:tcBorders>
              <w:top w:val="nil"/>
              <w:left w:val="nil"/>
              <w:bottom w:val="single" w:sz="8" w:space="0" w:color="auto"/>
              <w:right w:val="single" w:sz="8" w:space="0" w:color="auto"/>
            </w:tcBorders>
            <w:shd w:val="clear" w:color="auto" w:fill="auto"/>
            <w:vAlign w:val="center"/>
            <w:hideMark/>
          </w:tcPr>
          <w:p w14:paraId="6165698A" w14:textId="496A2DC6" w:rsidR="00294E5C" w:rsidRDefault="00294E5C" w:rsidP="00294E5C">
            <w:pPr>
              <w:jc w:val="center"/>
              <w:rPr>
                <w:rFonts w:ascii="Arial" w:hAnsi="Arial" w:cs="Arial"/>
                <w:color w:val="000000"/>
                <w:sz w:val="22"/>
                <w:szCs w:val="22"/>
              </w:rPr>
            </w:pPr>
            <w:r>
              <w:rPr>
                <w:rFonts w:ascii="Arial" w:hAnsi="Arial" w:cs="Arial"/>
                <w:color w:val="000000"/>
                <w:sz w:val="22"/>
                <w:szCs w:val="22"/>
              </w:rPr>
              <w:t xml:space="preserve">$117,978 </w:t>
            </w:r>
          </w:p>
        </w:tc>
        <w:tc>
          <w:tcPr>
            <w:tcW w:w="1987" w:type="dxa"/>
            <w:tcBorders>
              <w:top w:val="nil"/>
              <w:left w:val="nil"/>
              <w:bottom w:val="single" w:sz="8" w:space="0" w:color="auto"/>
              <w:right w:val="single" w:sz="8" w:space="0" w:color="auto"/>
            </w:tcBorders>
            <w:shd w:val="clear" w:color="auto" w:fill="auto"/>
            <w:vAlign w:val="center"/>
            <w:hideMark/>
          </w:tcPr>
          <w:p w14:paraId="0A8ECBC5" w14:textId="77777777" w:rsidR="00294E5C" w:rsidRDefault="00294E5C" w:rsidP="00294E5C">
            <w:pPr>
              <w:jc w:val="center"/>
              <w:rPr>
                <w:rFonts w:ascii="Arial" w:hAnsi="Arial" w:cs="Arial"/>
                <w:color w:val="000000"/>
                <w:sz w:val="22"/>
                <w:szCs w:val="22"/>
              </w:rPr>
            </w:pPr>
            <w:r>
              <w:rPr>
                <w:rFonts w:ascii="Arial" w:hAnsi="Arial" w:cs="Arial"/>
                <w:color w:val="000000"/>
                <w:sz w:val="22"/>
                <w:szCs w:val="22"/>
              </w:rPr>
              <w:t xml:space="preserve">$23,571 </w:t>
            </w:r>
          </w:p>
        </w:tc>
        <w:tc>
          <w:tcPr>
            <w:tcW w:w="1533" w:type="dxa"/>
            <w:tcBorders>
              <w:top w:val="nil"/>
              <w:left w:val="nil"/>
              <w:bottom w:val="single" w:sz="8" w:space="0" w:color="auto"/>
              <w:right w:val="single" w:sz="8" w:space="0" w:color="auto"/>
            </w:tcBorders>
            <w:shd w:val="clear" w:color="auto" w:fill="auto"/>
            <w:vAlign w:val="center"/>
            <w:hideMark/>
          </w:tcPr>
          <w:p w14:paraId="232C08FA" w14:textId="70D0EBE0" w:rsidR="00294E5C" w:rsidRPr="00294E5C" w:rsidRDefault="00294E5C" w:rsidP="00294E5C">
            <w:pPr>
              <w:jc w:val="center"/>
              <w:rPr>
                <w:rFonts w:ascii="Arial" w:hAnsi="Arial" w:cs="Arial"/>
                <w:color w:val="000000"/>
                <w:sz w:val="22"/>
                <w:szCs w:val="22"/>
              </w:rPr>
            </w:pPr>
            <w:r>
              <w:rPr>
                <w:rFonts w:ascii="Arial" w:hAnsi="Arial" w:cs="Arial"/>
                <w:sz w:val="22"/>
                <w:szCs w:val="22"/>
              </w:rPr>
              <w:t>n/a</w:t>
            </w:r>
          </w:p>
        </w:tc>
      </w:tr>
      <w:tr w:rsidR="00294E5C" w14:paraId="61114B3E" w14:textId="77777777" w:rsidTr="00294E5C">
        <w:trPr>
          <w:trHeight w:val="567"/>
        </w:trPr>
        <w:tc>
          <w:tcPr>
            <w:tcW w:w="1672" w:type="dxa"/>
            <w:tcBorders>
              <w:top w:val="nil"/>
              <w:left w:val="single" w:sz="8" w:space="0" w:color="auto"/>
              <w:bottom w:val="single" w:sz="8" w:space="0" w:color="auto"/>
              <w:right w:val="single" w:sz="8" w:space="0" w:color="auto"/>
            </w:tcBorders>
            <w:shd w:val="clear" w:color="auto" w:fill="auto"/>
            <w:vAlign w:val="center"/>
            <w:hideMark/>
          </w:tcPr>
          <w:p w14:paraId="0AD8E7CE" w14:textId="206FEFDD" w:rsidR="00294E5C" w:rsidRDefault="00294E5C" w:rsidP="00294E5C">
            <w:pPr>
              <w:rPr>
                <w:rFonts w:ascii="Arial" w:hAnsi="Arial" w:cs="Arial"/>
                <w:color w:val="000000"/>
                <w:sz w:val="22"/>
                <w:szCs w:val="22"/>
              </w:rPr>
            </w:pPr>
            <w:r>
              <w:rPr>
                <w:rFonts w:ascii="Arial" w:hAnsi="Arial" w:cs="Arial"/>
                <w:color w:val="000000"/>
                <w:sz w:val="22"/>
                <w:szCs w:val="22"/>
              </w:rPr>
              <w:t>Annual cost</w:t>
            </w:r>
            <w:r w:rsidRPr="00A10612">
              <w:rPr>
                <w:rFonts w:ascii="Arial" w:hAnsi="Arial" w:cs="Arial"/>
                <w:color w:val="000000"/>
                <w:sz w:val="22"/>
                <w:szCs w:val="22"/>
                <w:vertAlign w:val="superscript"/>
              </w:rPr>
              <w:t>(d)</w:t>
            </w:r>
          </w:p>
        </w:tc>
        <w:tc>
          <w:tcPr>
            <w:tcW w:w="1916" w:type="dxa"/>
            <w:tcBorders>
              <w:top w:val="nil"/>
              <w:left w:val="nil"/>
              <w:bottom w:val="single" w:sz="8" w:space="0" w:color="auto"/>
              <w:right w:val="single" w:sz="8" w:space="0" w:color="auto"/>
            </w:tcBorders>
            <w:shd w:val="clear" w:color="auto" w:fill="auto"/>
            <w:vAlign w:val="center"/>
            <w:hideMark/>
          </w:tcPr>
          <w:p w14:paraId="3E4179B7" w14:textId="77777777" w:rsidR="00294E5C" w:rsidRDefault="00294E5C" w:rsidP="00294E5C">
            <w:pPr>
              <w:jc w:val="center"/>
              <w:rPr>
                <w:rFonts w:ascii="Arial" w:hAnsi="Arial" w:cs="Arial"/>
                <w:color w:val="000000"/>
                <w:sz w:val="22"/>
                <w:szCs w:val="22"/>
              </w:rPr>
            </w:pPr>
            <w:r>
              <w:rPr>
                <w:rFonts w:ascii="Arial" w:hAnsi="Arial" w:cs="Arial"/>
                <w:color w:val="000000"/>
                <w:sz w:val="22"/>
                <w:szCs w:val="22"/>
              </w:rPr>
              <w:t xml:space="preserve">$1,415,735 </w:t>
            </w:r>
          </w:p>
        </w:tc>
        <w:tc>
          <w:tcPr>
            <w:tcW w:w="1899" w:type="dxa"/>
            <w:tcBorders>
              <w:top w:val="nil"/>
              <w:left w:val="nil"/>
              <w:bottom w:val="single" w:sz="8" w:space="0" w:color="auto"/>
              <w:right w:val="single" w:sz="8" w:space="0" w:color="auto"/>
            </w:tcBorders>
            <w:shd w:val="clear" w:color="auto" w:fill="auto"/>
            <w:vAlign w:val="center"/>
            <w:hideMark/>
          </w:tcPr>
          <w:p w14:paraId="70E73DF0" w14:textId="2B87ABC7" w:rsidR="00294E5C" w:rsidRDefault="00294E5C" w:rsidP="00294E5C">
            <w:pPr>
              <w:jc w:val="center"/>
              <w:rPr>
                <w:rFonts w:ascii="Arial" w:hAnsi="Arial" w:cs="Arial"/>
                <w:color w:val="000000"/>
                <w:sz w:val="22"/>
                <w:szCs w:val="22"/>
              </w:rPr>
            </w:pPr>
            <w:r>
              <w:rPr>
                <w:rFonts w:ascii="Arial" w:hAnsi="Arial" w:cs="Arial"/>
                <w:color w:val="000000"/>
                <w:sz w:val="22"/>
                <w:szCs w:val="22"/>
              </w:rPr>
              <w:t>$1,415,735</w:t>
            </w:r>
          </w:p>
        </w:tc>
        <w:tc>
          <w:tcPr>
            <w:tcW w:w="1987" w:type="dxa"/>
            <w:tcBorders>
              <w:top w:val="nil"/>
              <w:left w:val="nil"/>
              <w:bottom w:val="single" w:sz="8" w:space="0" w:color="auto"/>
              <w:right w:val="single" w:sz="8" w:space="0" w:color="auto"/>
            </w:tcBorders>
            <w:shd w:val="clear" w:color="auto" w:fill="auto"/>
            <w:vAlign w:val="center"/>
            <w:hideMark/>
          </w:tcPr>
          <w:p w14:paraId="724025EF" w14:textId="77777777" w:rsidR="00294E5C" w:rsidRDefault="00294E5C" w:rsidP="00294E5C">
            <w:pPr>
              <w:jc w:val="center"/>
              <w:rPr>
                <w:rFonts w:ascii="Arial" w:hAnsi="Arial" w:cs="Arial"/>
                <w:color w:val="000000"/>
                <w:sz w:val="22"/>
                <w:szCs w:val="22"/>
              </w:rPr>
            </w:pPr>
            <w:r>
              <w:rPr>
                <w:rFonts w:ascii="Arial" w:hAnsi="Arial" w:cs="Arial"/>
                <w:color w:val="000000"/>
                <w:sz w:val="22"/>
                <w:szCs w:val="22"/>
              </w:rPr>
              <w:t xml:space="preserve">$94,285 </w:t>
            </w:r>
          </w:p>
        </w:tc>
        <w:tc>
          <w:tcPr>
            <w:tcW w:w="1533" w:type="dxa"/>
            <w:tcBorders>
              <w:top w:val="nil"/>
              <w:left w:val="nil"/>
              <w:bottom w:val="single" w:sz="8" w:space="0" w:color="auto"/>
              <w:right w:val="single" w:sz="8" w:space="0" w:color="auto"/>
            </w:tcBorders>
            <w:shd w:val="clear" w:color="auto" w:fill="auto"/>
            <w:vAlign w:val="center"/>
            <w:hideMark/>
          </w:tcPr>
          <w:p w14:paraId="21FC2482" w14:textId="07DBE76F" w:rsidR="00294E5C" w:rsidRPr="00294E5C" w:rsidRDefault="00294E5C" w:rsidP="00294E5C">
            <w:pPr>
              <w:jc w:val="center"/>
              <w:rPr>
                <w:rFonts w:ascii="Arial" w:hAnsi="Arial" w:cs="Arial"/>
                <w:color w:val="000000"/>
                <w:sz w:val="22"/>
                <w:szCs w:val="22"/>
              </w:rPr>
            </w:pPr>
            <w:r w:rsidRPr="00294E5C">
              <w:rPr>
                <w:rFonts w:ascii="Arial" w:hAnsi="Arial" w:cs="Arial"/>
                <w:sz w:val="22"/>
                <w:szCs w:val="22"/>
              </w:rPr>
              <w:t xml:space="preserve">$2,925,755 </w:t>
            </w:r>
          </w:p>
        </w:tc>
      </w:tr>
    </w:tbl>
    <w:p w14:paraId="53F1D7BC" w14:textId="295F6B16" w:rsidR="00B76E0C" w:rsidRPr="009E1EF6" w:rsidRDefault="009E1EF6" w:rsidP="00776205">
      <w:pPr>
        <w:pStyle w:val="TableNotes"/>
      </w:pPr>
      <w:r w:rsidRPr="009E1EF6">
        <w:t>*Estimates may not total due to rounding.</w:t>
      </w:r>
      <w:r w:rsidR="00294E5C">
        <w:t xml:space="preserve"> “n/a” indicates total not applicable for category.</w:t>
      </w:r>
    </w:p>
    <w:p w14:paraId="55629BE2" w14:textId="2165127B" w:rsidR="00004C11" w:rsidRPr="009E1EF6" w:rsidRDefault="009E1EF6" w:rsidP="00776205">
      <w:pPr>
        <w:pStyle w:val="TableNotes"/>
      </w:pPr>
      <w:r>
        <w:t>Table n</w:t>
      </w:r>
      <w:r w:rsidR="00004C11" w:rsidRPr="009E1EF6">
        <w:t>ote</w:t>
      </w:r>
      <w:r>
        <w:t>s</w:t>
      </w:r>
      <w:r w:rsidR="00004C11" w:rsidRPr="009E1EF6">
        <w:t>:</w:t>
      </w:r>
    </w:p>
    <w:p w14:paraId="314B617D" w14:textId="2C1D91FB" w:rsidR="005E6CD4" w:rsidRPr="009E1EF6" w:rsidRDefault="009E1EF6" w:rsidP="00776205">
      <w:pPr>
        <w:pStyle w:val="TableNotes"/>
      </w:pPr>
      <w:r>
        <w:t>(</w:t>
      </w:r>
      <w:r w:rsidR="005E6CD4" w:rsidRPr="009E1EF6">
        <w:t>a</w:t>
      </w:r>
      <w:r>
        <w:t>)</w:t>
      </w:r>
      <w:r w:rsidR="005E6CD4" w:rsidRPr="009E1EF6">
        <w:t xml:space="preserve"> Includes major modifications to existing licenses.</w:t>
      </w:r>
      <w:r w:rsidR="005E6CD4" w:rsidRPr="009E1EF6">
        <w:tab/>
      </w:r>
    </w:p>
    <w:p w14:paraId="33E7C404" w14:textId="63CC4F3C" w:rsidR="005E6CD4" w:rsidRPr="009E1EF6" w:rsidRDefault="009E1EF6" w:rsidP="00776205">
      <w:pPr>
        <w:pStyle w:val="TableNotes"/>
      </w:pPr>
      <w:r>
        <w:t>(</w:t>
      </w:r>
      <w:r w:rsidR="005E6CD4" w:rsidRPr="009E1EF6">
        <w:t>b</w:t>
      </w:r>
      <w:r>
        <w:t>)</w:t>
      </w:r>
      <w:r w:rsidR="005E6CD4" w:rsidRPr="009E1EF6">
        <w:t xml:space="preserve"> Renewal of a license application is voluntary; a license is approved for five years.</w:t>
      </w:r>
    </w:p>
    <w:p w14:paraId="582246A3" w14:textId="283231EC" w:rsidR="006C59ED" w:rsidRPr="009E1EF6" w:rsidRDefault="009E1EF6" w:rsidP="00776205">
      <w:pPr>
        <w:pStyle w:val="TableNotes"/>
      </w:pPr>
      <w:r>
        <w:t>(c)</w:t>
      </w:r>
      <w:r w:rsidR="006C59ED" w:rsidRPr="009E1EF6">
        <w:t xml:space="preserve"> Federal Aviation Administration, Office of Commercial Space Transportation (FAA/AST), 2018.  </w:t>
      </w:r>
    </w:p>
    <w:p w14:paraId="2E8DC7B5" w14:textId="38124BB2" w:rsidR="00B70B85" w:rsidRPr="009E1EF6" w:rsidRDefault="009E1EF6" w:rsidP="00776205">
      <w:pPr>
        <w:pStyle w:val="TableNotes"/>
      </w:pPr>
      <w:r>
        <w:t>(</w:t>
      </w:r>
      <w:r w:rsidR="00B70B85" w:rsidRPr="009E1EF6">
        <w:t>d</w:t>
      </w:r>
      <w:r>
        <w:t>)</w:t>
      </w:r>
      <w:r w:rsidR="00B70B85" w:rsidRPr="009E1EF6">
        <w:t xml:space="preserve"> Industry total cost per annum calculated as $</w:t>
      </w:r>
      <w:r w:rsidR="008A5030" w:rsidRPr="009E1EF6">
        <w:t>23</w:t>
      </w:r>
      <w:r w:rsidR="00B76E0C" w:rsidRPr="009E1EF6">
        <w:t>5</w:t>
      </w:r>
      <w:r w:rsidR="008A5030" w:rsidRPr="009E1EF6">
        <w:t>,</w:t>
      </w:r>
      <w:r w:rsidR="00B76E0C" w:rsidRPr="009E1EF6">
        <w:t>956</w:t>
      </w:r>
      <w:r w:rsidR="00B70B85" w:rsidRPr="009E1EF6">
        <w:t xml:space="preserve"> × 6 = $</w:t>
      </w:r>
      <w:r w:rsidR="008A5030" w:rsidRPr="009E1EF6">
        <w:t>1,</w:t>
      </w:r>
      <w:r w:rsidR="00B76E0C" w:rsidRPr="009E1EF6">
        <w:t>415,735</w:t>
      </w:r>
      <w:r w:rsidR="00B70B85" w:rsidRPr="009E1EF6">
        <w:t xml:space="preserve"> for initial applications, major modification applications are calculated as 50% of the initial application cost, or </w:t>
      </w:r>
      <w:r w:rsidR="008A5030" w:rsidRPr="009E1EF6">
        <w:t>$11</w:t>
      </w:r>
      <w:r w:rsidR="00B76E0C" w:rsidRPr="009E1EF6">
        <w:t>7</w:t>
      </w:r>
      <w:r w:rsidR="008A5030" w:rsidRPr="009E1EF6">
        <w:t>,</w:t>
      </w:r>
      <w:r w:rsidR="00B76E0C" w:rsidRPr="009E1EF6">
        <w:t>97</w:t>
      </w:r>
      <w:r w:rsidR="008A5030" w:rsidRPr="009E1EF6">
        <w:t>8 x 12 = $1,</w:t>
      </w:r>
      <w:r w:rsidR="00B76E0C" w:rsidRPr="009E1EF6">
        <w:t>415,735</w:t>
      </w:r>
      <w:r w:rsidR="00B70B85" w:rsidRPr="009E1EF6">
        <w:t>, and renewal applications are calculated as 10% of the initial application cost, or $</w:t>
      </w:r>
      <w:r w:rsidR="008A5030" w:rsidRPr="009E1EF6">
        <w:t>23,</w:t>
      </w:r>
      <w:r w:rsidR="00B76E0C" w:rsidRPr="009E1EF6">
        <w:t>571</w:t>
      </w:r>
      <w:r w:rsidR="008A5030" w:rsidRPr="009E1EF6">
        <w:t xml:space="preserve"> x 4 = $9</w:t>
      </w:r>
      <w:r w:rsidR="00B76E0C" w:rsidRPr="009E1EF6">
        <w:t>4,285</w:t>
      </w:r>
      <w:r w:rsidR="00B70B85" w:rsidRPr="009E1EF6">
        <w:t xml:space="preserve"> for renewal applications.</w:t>
      </w:r>
    </w:p>
    <w:p w14:paraId="10332427" w14:textId="77777777" w:rsidR="00B70B85" w:rsidRPr="009E1EF6" w:rsidRDefault="00B70B85" w:rsidP="00776205">
      <w:pPr>
        <w:pStyle w:val="TableNotes"/>
      </w:pPr>
    </w:p>
    <w:p w14:paraId="7D90209A" w14:textId="5212521E" w:rsidR="005E55F1" w:rsidRPr="00817204" w:rsidRDefault="005E55F1" w:rsidP="00817204">
      <w:pPr>
        <w:rPr>
          <w:rFonts w:cs="Arial"/>
        </w:rPr>
      </w:pPr>
      <w:r w:rsidRPr="005E55F1">
        <w:rPr>
          <w:u w:val="single"/>
        </w:rPr>
        <w:t>Primary Estimate</w:t>
      </w:r>
    </w:p>
    <w:p w14:paraId="24619E5D" w14:textId="77777777" w:rsidR="005E55F1" w:rsidRDefault="005E55F1" w:rsidP="00776205">
      <w:pPr>
        <w:pStyle w:val="TableNotes"/>
        <w:rPr>
          <w:sz w:val="24"/>
          <w:szCs w:val="24"/>
        </w:rPr>
      </w:pPr>
    </w:p>
    <w:p w14:paraId="094A96B6" w14:textId="6BA96F6C" w:rsidR="005E55F1" w:rsidRPr="005E55F1" w:rsidRDefault="006D397F" w:rsidP="005E55F1">
      <w:pPr>
        <w:pStyle w:val="TableNotes"/>
        <w:rPr>
          <w:sz w:val="24"/>
          <w:szCs w:val="24"/>
        </w:rPr>
      </w:pPr>
      <w:r w:rsidRPr="00776205">
        <w:rPr>
          <w:sz w:val="24"/>
          <w:szCs w:val="24"/>
        </w:rPr>
        <w:t xml:space="preserve">The FAA </w:t>
      </w:r>
      <w:r w:rsidR="007B0FBB" w:rsidRPr="00776205">
        <w:rPr>
          <w:sz w:val="24"/>
          <w:szCs w:val="24"/>
        </w:rPr>
        <w:t>provides</w:t>
      </w:r>
      <w:r w:rsidRPr="00776205">
        <w:rPr>
          <w:sz w:val="24"/>
          <w:szCs w:val="24"/>
        </w:rPr>
        <w:t xml:space="preserve"> the average of the high and low </w:t>
      </w:r>
      <w:r w:rsidR="00750466">
        <w:rPr>
          <w:sz w:val="24"/>
          <w:szCs w:val="24"/>
        </w:rPr>
        <w:t>range of burden and costs</w:t>
      </w:r>
      <w:r w:rsidR="00DC19CB" w:rsidRPr="00776205">
        <w:rPr>
          <w:sz w:val="24"/>
          <w:szCs w:val="24"/>
        </w:rPr>
        <w:t xml:space="preserve"> in the following table</w:t>
      </w:r>
      <w:r w:rsidRPr="00776205">
        <w:rPr>
          <w:sz w:val="24"/>
          <w:szCs w:val="24"/>
        </w:rPr>
        <w:t xml:space="preserve"> to be used as primary estimate</w:t>
      </w:r>
      <w:r w:rsidR="00750466">
        <w:rPr>
          <w:sz w:val="24"/>
          <w:szCs w:val="24"/>
        </w:rPr>
        <w:t>s</w:t>
      </w:r>
      <w:r w:rsidRPr="00776205">
        <w:rPr>
          <w:sz w:val="24"/>
          <w:szCs w:val="24"/>
        </w:rPr>
        <w:t xml:space="preserve"> </w:t>
      </w:r>
      <w:r w:rsidR="00102847" w:rsidRPr="00776205">
        <w:rPr>
          <w:sz w:val="24"/>
          <w:szCs w:val="24"/>
        </w:rPr>
        <w:t>of burden</w:t>
      </w:r>
      <w:r w:rsidR="007B0FBB" w:rsidRPr="00776205">
        <w:rPr>
          <w:sz w:val="24"/>
          <w:szCs w:val="24"/>
        </w:rPr>
        <w:t xml:space="preserve"> </w:t>
      </w:r>
      <w:r w:rsidR="00750466">
        <w:rPr>
          <w:sz w:val="24"/>
          <w:szCs w:val="24"/>
        </w:rPr>
        <w:t xml:space="preserve">and costs to industry </w:t>
      </w:r>
      <w:r w:rsidR="007B0FBB" w:rsidRPr="00776205">
        <w:rPr>
          <w:sz w:val="24"/>
          <w:szCs w:val="24"/>
        </w:rPr>
        <w:t>for this collection of information.</w:t>
      </w:r>
      <w:r w:rsidR="00531329">
        <w:rPr>
          <w:sz w:val="24"/>
          <w:szCs w:val="24"/>
        </w:rPr>
        <w:t xml:space="preserve"> </w:t>
      </w:r>
      <w:r w:rsidR="005E55F1">
        <w:rPr>
          <w:sz w:val="24"/>
          <w:szCs w:val="24"/>
        </w:rPr>
        <w:t>T</w:t>
      </w:r>
      <w:r w:rsidR="005E55F1" w:rsidRPr="005E55F1">
        <w:rPr>
          <w:sz w:val="24"/>
          <w:szCs w:val="24"/>
        </w:rPr>
        <w:t xml:space="preserve">he total </w:t>
      </w:r>
      <w:r w:rsidR="005E55F1">
        <w:rPr>
          <w:sz w:val="24"/>
          <w:szCs w:val="24"/>
        </w:rPr>
        <w:t xml:space="preserve">average </w:t>
      </w:r>
      <w:r w:rsidR="005E55F1" w:rsidRPr="005E55F1">
        <w:rPr>
          <w:sz w:val="24"/>
          <w:szCs w:val="24"/>
        </w:rPr>
        <w:t xml:space="preserve">annual </w:t>
      </w:r>
      <w:r w:rsidR="00294E5C">
        <w:rPr>
          <w:sz w:val="24"/>
          <w:szCs w:val="24"/>
        </w:rPr>
        <w:t xml:space="preserve">hour </w:t>
      </w:r>
      <w:r w:rsidR="005E55F1" w:rsidRPr="005E55F1">
        <w:rPr>
          <w:sz w:val="24"/>
          <w:szCs w:val="24"/>
        </w:rPr>
        <w:t xml:space="preserve">burden to industry is </w:t>
      </w:r>
      <w:r w:rsidR="005E55F1">
        <w:rPr>
          <w:sz w:val="24"/>
          <w:szCs w:val="24"/>
        </w:rPr>
        <w:t>27,000</w:t>
      </w:r>
      <w:r w:rsidR="005E55F1" w:rsidRPr="005E55F1">
        <w:rPr>
          <w:sz w:val="24"/>
          <w:szCs w:val="24"/>
        </w:rPr>
        <w:t xml:space="preserve"> hours</w:t>
      </w:r>
      <w:r w:rsidR="00294E5C">
        <w:rPr>
          <w:sz w:val="24"/>
          <w:szCs w:val="24"/>
        </w:rPr>
        <w:t xml:space="preserve"> and the total average annual burde</w:t>
      </w:r>
      <w:r w:rsidR="00D90B83">
        <w:rPr>
          <w:sz w:val="24"/>
          <w:szCs w:val="24"/>
        </w:rPr>
        <w:t>n costs to industry is $</w:t>
      </w:r>
      <w:r w:rsidR="00D90B83" w:rsidRPr="00D90B83">
        <w:rPr>
          <w:sz w:val="24"/>
          <w:szCs w:val="24"/>
        </w:rPr>
        <w:t>2,194,342</w:t>
      </w:r>
      <w:r w:rsidR="00D90B83">
        <w:rPr>
          <w:sz w:val="24"/>
          <w:szCs w:val="24"/>
        </w:rPr>
        <w:t>.</w:t>
      </w:r>
    </w:p>
    <w:p w14:paraId="450D248C" w14:textId="742FABDC" w:rsidR="00B70B85" w:rsidRPr="00776205" w:rsidRDefault="00B70B85" w:rsidP="00776205">
      <w:pPr>
        <w:pStyle w:val="TableNotes"/>
        <w:rPr>
          <w:sz w:val="24"/>
          <w:szCs w:val="24"/>
        </w:rPr>
      </w:pPr>
    </w:p>
    <w:p w14:paraId="13E8897F" w14:textId="202C2B04" w:rsidR="00DC19CB" w:rsidRPr="00776205" w:rsidRDefault="00DC19CB" w:rsidP="00776205">
      <w:pPr>
        <w:pStyle w:val="TableNotes"/>
      </w:pPr>
    </w:p>
    <w:p w14:paraId="63CFA385" w14:textId="706D3FE4" w:rsidR="00DC19CB" w:rsidRDefault="00DC19CB" w:rsidP="00776205">
      <w:pPr>
        <w:pStyle w:val="TableNotes"/>
      </w:pPr>
    </w:p>
    <w:p w14:paraId="2A39093D" w14:textId="49683C07" w:rsidR="00817204" w:rsidRDefault="00817204" w:rsidP="00776205">
      <w:pPr>
        <w:pStyle w:val="TableNotes"/>
      </w:pPr>
    </w:p>
    <w:p w14:paraId="3ED3C0EB" w14:textId="7567A1F2" w:rsidR="00817204" w:rsidRDefault="00817204" w:rsidP="00776205">
      <w:pPr>
        <w:pStyle w:val="TableNotes"/>
      </w:pPr>
    </w:p>
    <w:p w14:paraId="23BCC65D" w14:textId="3E9565AC" w:rsidR="00817204" w:rsidRDefault="00817204" w:rsidP="00776205">
      <w:pPr>
        <w:pStyle w:val="TableNotes"/>
      </w:pPr>
    </w:p>
    <w:p w14:paraId="046A3DD9" w14:textId="6A5FD4D6" w:rsidR="00817204" w:rsidRDefault="00817204" w:rsidP="00776205">
      <w:pPr>
        <w:pStyle w:val="TableNotes"/>
      </w:pPr>
    </w:p>
    <w:p w14:paraId="79750229" w14:textId="0AAC6F38" w:rsidR="00817204" w:rsidRDefault="00817204" w:rsidP="00776205">
      <w:pPr>
        <w:pStyle w:val="TableNotes"/>
      </w:pPr>
    </w:p>
    <w:p w14:paraId="14338114" w14:textId="664495AD" w:rsidR="00817204" w:rsidRDefault="00817204" w:rsidP="00776205">
      <w:pPr>
        <w:pStyle w:val="TableNotes"/>
      </w:pPr>
    </w:p>
    <w:p w14:paraId="702F0129" w14:textId="1CAA3C04" w:rsidR="00817204" w:rsidRDefault="00817204" w:rsidP="00776205">
      <w:pPr>
        <w:pStyle w:val="TableNotes"/>
      </w:pPr>
    </w:p>
    <w:p w14:paraId="49CD334E" w14:textId="16EB7C06" w:rsidR="00817204" w:rsidRPr="00776205" w:rsidRDefault="00817204" w:rsidP="00776205">
      <w:pPr>
        <w:pStyle w:val="TableNotes"/>
      </w:pPr>
    </w:p>
    <w:p w14:paraId="17D58EA7" w14:textId="77777777" w:rsidR="00B6757E" w:rsidRDefault="00B6757E" w:rsidP="00776205">
      <w:pPr>
        <w:pStyle w:val="TableNotes"/>
        <w:rPr>
          <w:rFonts w:ascii="Times New Roman Bold" w:hAnsi="Times New Roman Bold"/>
          <w:b/>
          <w:caps/>
          <w:sz w:val="24"/>
          <w:szCs w:val="24"/>
        </w:rPr>
      </w:pPr>
    </w:p>
    <w:p w14:paraId="36550FF7" w14:textId="77777777" w:rsidR="00B6757E" w:rsidRDefault="00B6757E" w:rsidP="00776205">
      <w:pPr>
        <w:pStyle w:val="TableNotes"/>
        <w:rPr>
          <w:rFonts w:ascii="Times New Roman Bold" w:hAnsi="Times New Roman Bold"/>
          <w:b/>
          <w:caps/>
          <w:sz w:val="24"/>
          <w:szCs w:val="24"/>
        </w:rPr>
      </w:pPr>
    </w:p>
    <w:p w14:paraId="1CDB9BDF" w14:textId="48EFE5F0" w:rsidR="00DC19CB" w:rsidRPr="00776205" w:rsidRDefault="00DC19CB" w:rsidP="00776205">
      <w:pPr>
        <w:pStyle w:val="TableNotes"/>
        <w:rPr>
          <w:b/>
          <w:sz w:val="24"/>
          <w:szCs w:val="24"/>
        </w:rPr>
      </w:pPr>
      <w:r w:rsidRPr="005E55F1">
        <w:rPr>
          <w:rFonts w:ascii="Times New Roman Bold" w:hAnsi="Times New Roman Bold"/>
          <w:b/>
          <w:caps/>
          <w:sz w:val="24"/>
          <w:szCs w:val="24"/>
        </w:rPr>
        <w:t>Table 2c</w:t>
      </w:r>
      <w:r w:rsidRPr="00776205">
        <w:rPr>
          <w:b/>
          <w:sz w:val="24"/>
          <w:szCs w:val="24"/>
        </w:rPr>
        <w:t>. Average Industry Burden</w:t>
      </w:r>
      <w:r w:rsidR="00750466">
        <w:rPr>
          <w:b/>
          <w:sz w:val="24"/>
          <w:szCs w:val="24"/>
        </w:rPr>
        <w:t xml:space="preserve"> &amp; Costs</w:t>
      </w:r>
      <w:r w:rsidR="007B0FBB">
        <w:rPr>
          <w:b/>
          <w:sz w:val="24"/>
          <w:szCs w:val="24"/>
        </w:rPr>
        <w:t>*</w:t>
      </w:r>
    </w:p>
    <w:p w14:paraId="1CF0BA2A" w14:textId="77777777" w:rsidR="00DC19CB" w:rsidRDefault="00DC19CB" w:rsidP="00776205">
      <w:pPr>
        <w:pStyle w:val="TableNotes"/>
      </w:pPr>
    </w:p>
    <w:tbl>
      <w:tblPr>
        <w:tblW w:w="9270" w:type="dxa"/>
        <w:tblInd w:w="-10" w:type="dxa"/>
        <w:tblLook w:val="04A0" w:firstRow="1" w:lastRow="0" w:firstColumn="1" w:lastColumn="0" w:noHBand="0" w:noVBand="1"/>
      </w:tblPr>
      <w:tblGrid>
        <w:gridCol w:w="1920"/>
        <w:gridCol w:w="1590"/>
        <w:gridCol w:w="1890"/>
        <w:gridCol w:w="2160"/>
        <w:gridCol w:w="1710"/>
      </w:tblGrid>
      <w:tr w:rsidR="00766820" w:rsidRPr="00061456" w14:paraId="4BDEF10A" w14:textId="77777777" w:rsidTr="00E736E3">
        <w:trPr>
          <w:trHeight w:val="324"/>
          <w:tblHeader/>
        </w:trPr>
        <w:tc>
          <w:tcPr>
            <w:tcW w:w="1920" w:type="dxa"/>
            <w:vMerge w:val="restart"/>
            <w:tcBorders>
              <w:top w:val="single" w:sz="8" w:space="0" w:color="auto"/>
              <w:left w:val="single" w:sz="8" w:space="0" w:color="auto"/>
              <w:bottom w:val="nil"/>
              <w:right w:val="single" w:sz="8" w:space="0" w:color="auto"/>
            </w:tcBorders>
            <w:shd w:val="clear" w:color="000000" w:fill="E6E6E6"/>
            <w:vAlign w:val="center"/>
            <w:hideMark/>
          </w:tcPr>
          <w:p w14:paraId="4AE4F70D" w14:textId="77777777" w:rsidR="00766820" w:rsidRPr="00061456" w:rsidRDefault="00766820" w:rsidP="00A10612">
            <w:pPr>
              <w:jc w:val="center"/>
              <w:rPr>
                <w:rFonts w:ascii="Arial" w:hAnsi="Arial" w:cs="Arial"/>
                <w:b/>
                <w:bCs/>
                <w:color w:val="000000"/>
              </w:rPr>
            </w:pPr>
            <w:r w:rsidRPr="00061456">
              <w:rPr>
                <w:rFonts w:ascii="Arial" w:hAnsi="Arial" w:cs="Arial"/>
                <w:b/>
                <w:bCs/>
                <w:color w:val="000000"/>
              </w:rPr>
              <w:t>Category</w:t>
            </w:r>
          </w:p>
        </w:tc>
        <w:tc>
          <w:tcPr>
            <w:tcW w:w="7350" w:type="dxa"/>
            <w:gridSpan w:val="4"/>
            <w:tcBorders>
              <w:top w:val="single" w:sz="8" w:space="0" w:color="auto"/>
              <w:left w:val="nil"/>
              <w:bottom w:val="single" w:sz="8" w:space="0" w:color="auto"/>
              <w:right w:val="single" w:sz="8" w:space="0" w:color="auto"/>
            </w:tcBorders>
            <w:shd w:val="clear" w:color="000000" w:fill="E6E6E6"/>
            <w:vAlign w:val="center"/>
            <w:hideMark/>
          </w:tcPr>
          <w:p w14:paraId="4178A1AB" w14:textId="5C1AB65A" w:rsidR="00766820" w:rsidRPr="00061456" w:rsidRDefault="00766820" w:rsidP="00766820">
            <w:pPr>
              <w:jc w:val="center"/>
              <w:rPr>
                <w:rFonts w:ascii="Arial" w:hAnsi="Arial" w:cs="Arial"/>
                <w:b/>
                <w:bCs/>
                <w:color w:val="000000"/>
              </w:rPr>
            </w:pPr>
            <w:r w:rsidRPr="00061456">
              <w:rPr>
                <w:rFonts w:ascii="Arial" w:hAnsi="Arial" w:cs="Arial"/>
                <w:b/>
                <w:bCs/>
                <w:color w:val="000000"/>
              </w:rPr>
              <w:t>Hour Burden</w:t>
            </w:r>
            <w:r>
              <w:rPr>
                <w:rFonts w:ascii="Arial" w:hAnsi="Arial" w:cs="Arial"/>
                <w:b/>
                <w:bCs/>
                <w:color w:val="000000"/>
              </w:rPr>
              <w:t xml:space="preserve"> &amp; Costs</w:t>
            </w:r>
            <w:r w:rsidRPr="00061456">
              <w:rPr>
                <w:rFonts w:ascii="Arial" w:hAnsi="Arial" w:cs="Arial"/>
                <w:b/>
                <w:bCs/>
                <w:color w:val="000000"/>
              </w:rPr>
              <w:t> </w:t>
            </w:r>
          </w:p>
        </w:tc>
      </w:tr>
      <w:tr w:rsidR="00DC19CB" w:rsidRPr="00061456" w14:paraId="17A7BA12" w14:textId="77777777" w:rsidTr="00817204">
        <w:trPr>
          <w:trHeight w:val="312"/>
          <w:tblHeader/>
        </w:trPr>
        <w:tc>
          <w:tcPr>
            <w:tcW w:w="1920" w:type="dxa"/>
            <w:vMerge/>
            <w:tcBorders>
              <w:top w:val="single" w:sz="8" w:space="0" w:color="auto"/>
              <w:left w:val="single" w:sz="8" w:space="0" w:color="auto"/>
              <w:bottom w:val="nil"/>
              <w:right w:val="single" w:sz="8" w:space="0" w:color="auto"/>
            </w:tcBorders>
            <w:vAlign w:val="center"/>
            <w:hideMark/>
          </w:tcPr>
          <w:p w14:paraId="42D1F742" w14:textId="77777777" w:rsidR="00DC19CB" w:rsidRPr="00061456" w:rsidRDefault="00DC19CB" w:rsidP="00A10612">
            <w:pPr>
              <w:rPr>
                <w:rFonts w:ascii="Arial" w:hAnsi="Arial" w:cs="Arial"/>
                <w:b/>
                <w:bCs/>
                <w:color w:val="000000"/>
              </w:rPr>
            </w:pPr>
          </w:p>
        </w:tc>
        <w:tc>
          <w:tcPr>
            <w:tcW w:w="1590" w:type="dxa"/>
            <w:tcBorders>
              <w:top w:val="nil"/>
              <w:left w:val="nil"/>
              <w:bottom w:val="nil"/>
              <w:right w:val="single" w:sz="8" w:space="0" w:color="auto"/>
            </w:tcBorders>
            <w:shd w:val="clear" w:color="000000" w:fill="E6E6E6"/>
            <w:vAlign w:val="center"/>
            <w:hideMark/>
          </w:tcPr>
          <w:p w14:paraId="0C0764AA" w14:textId="77777777" w:rsidR="00DC19CB" w:rsidRPr="00061456" w:rsidRDefault="00DC19CB" w:rsidP="00A10612">
            <w:pPr>
              <w:jc w:val="center"/>
              <w:rPr>
                <w:rFonts w:ascii="Arial" w:hAnsi="Arial" w:cs="Arial"/>
                <w:b/>
                <w:bCs/>
                <w:color w:val="000000"/>
              </w:rPr>
            </w:pPr>
            <w:r w:rsidRPr="00061456">
              <w:rPr>
                <w:rFonts w:ascii="Arial" w:hAnsi="Arial" w:cs="Arial"/>
                <w:b/>
                <w:bCs/>
                <w:color w:val="000000"/>
              </w:rPr>
              <w:t>Initial</w:t>
            </w:r>
          </w:p>
        </w:tc>
        <w:tc>
          <w:tcPr>
            <w:tcW w:w="1890" w:type="dxa"/>
            <w:vMerge w:val="restart"/>
            <w:tcBorders>
              <w:top w:val="nil"/>
              <w:left w:val="single" w:sz="8" w:space="0" w:color="auto"/>
              <w:bottom w:val="nil"/>
              <w:right w:val="single" w:sz="8" w:space="0" w:color="auto"/>
            </w:tcBorders>
            <w:shd w:val="clear" w:color="000000" w:fill="E6E6E6"/>
            <w:vAlign w:val="center"/>
            <w:hideMark/>
          </w:tcPr>
          <w:p w14:paraId="12AD7E64" w14:textId="1D37E2D4" w:rsidR="00DC19CB" w:rsidRPr="00061456" w:rsidRDefault="00DC19CB" w:rsidP="00A10612">
            <w:pPr>
              <w:jc w:val="center"/>
              <w:rPr>
                <w:rFonts w:ascii="Arial" w:hAnsi="Arial" w:cs="Arial"/>
                <w:b/>
                <w:bCs/>
                <w:color w:val="000000"/>
              </w:rPr>
            </w:pPr>
            <w:r w:rsidRPr="00061456">
              <w:rPr>
                <w:rFonts w:ascii="Arial" w:hAnsi="Arial" w:cs="Arial"/>
                <w:b/>
                <w:bCs/>
                <w:color w:val="000000"/>
              </w:rPr>
              <w:t>Modification Application</w:t>
            </w:r>
          </w:p>
        </w:tc>
        <w:tc>
          <w:tcPr>
            <w:tcW w:w="2160" w:type="dxa"/>
            <w:tcBorders>
              <w:top w:val="nil"/>
              <w:left w:val="nil"/>
              <w:bottom w:val="nil"/>
              <w:right w:val="single" w:sz="8" w:space="0" w:color="auto"/>
            </w:tcBorders>
            <w:shd w:val="clear" w:color="000000" w:fill="E6E6E6"/>
            <w:vAlign w:val="center"/>
            <w:hideMark/>
          </w:tcPr>
          <w:p w14:paraId="24D67163" w14:textId="77777777" w:rsidR="00DC19CB" w:rsidRPr="00061456" w:rsidRDefault="00DC19CB" w:rsidP="00A10612">
            <w:pPr>
              <w:jc w:val="center"/>
              <w:rPr>
                <w:rFonts w:ascii="Arial" w:hAnsi="Arial" w:cs="Arial"/>
                <w:b/>
                <w:bCs/>
                <w:color w:val="000000"/>
              </w:rPr>
            </w:pPr>
            <w:r w:rsidRPr="00061456">
              <w:rPr>
                <w:rFonts w:ascii="Arial" w:hAnsi="Arial" w:cs="Arial"/>
                <w:b/>
                <w:bCs/>
                <w:color w:val="000000"/>
              </w:rPr>
              <w:t>Renewal</w:t>
            </w:r>
          </w:p>
        </w:tc>
        <w:tc>
          <w:tcPr>
            <w:tcW w:w="1710" w:type="dxa"/>
            <w:vMerge w:val="restart"/>
            <w:tcBorders>
              <w:top w:val="nil"/>
              <w:left w:val="single" w:sz="8" w:space="0" w:color="auto"/>
              <w:bottom w:val="nil"/>
              <w:right w:val="single" w:sz="8" w:space="0" w:color="auto"/>
            </w:tcBorders>
            <w:shd w:val="clear" w:color="000000" w:fill="E6E6E6"/>
            <w:vAlign w:val="center"/>
            <w:hideMark/>
          </w:tcPr>
          <w:p w14:paraId="51C89923" w14:textId="77777777" w:rsidR="00DC19CB" w:rsidRPr="00061456" w:rsidRDefault="00DC19CB" w:rsidP="00A10612">
            <w:pPr>
              <w:jc w:val="center"/>
              <w:rPr>
                <w:rFonts w:ascii="Arial" w:hAnsi="Arial" w:cs="Arial"/>
                <w:b/>
                <w:bCs/>
                <w:color w:val="000000"/>
              </w:rPr>
            </w:pPr>
            <w:r w:rsidRPr="00061456">
              <w:rPr>
                <w:rFonts w:ascii="Arial" w:hAnsi="Arial" w:cs="Arial"/>
                <w:b/>
                <w:bCs/>
                <w:color w:val="000000"/>
              </w:rPr>
              <w:t>Total</w:t>
            </w:r>
          </w:p>
        </w:tc>
      </w:tr>
      <w:tr w:rsidR="00DC19CB" w:rsidRPr="00061456" w14:paraId="5585B4E9" w14:textId="77777777" w:rsidTr="00A10612">
        <w:trPr>
          <w:trHeight w:val="372"/>
        </w:trPr>
        <w:tc>
          <w:tcPr>
            <w:tcW w:w="1920" w:type="dxa"/>
            <w:vMerge/>
            <w:tcBorders>
              <w:top w:val="single" w:sz="8" w:space="0" w:color="auto"/>
              <w:left w:val="single" w:sz="8" w:space="0" w:color="auto"/>
              <w:bottom w:val="nil"/>
              <w:right w:val="single" w:sz="8" w:space="0" w:color="auto"/>
            </w:tcBorders>
            <w:vAlign w:val="center"/>
            <w:hideMark/>
          </w:tcPr>
          <w:p w14:paraId="1899FCAA" w14:textId="77777777" w:rsidR="00DC19CB" w:rsidRPr="00061456" w:rsidRDefault="00DC19CB" w:rsidP="00A10612">
            <w:pPr>
              <w:rPr>
                <w:rFonts w:ascii="Arial" w:hAnsi="Arial" w:cs="Arial"/>
                <w:b/>
                <w:bCs/>
                <w:color w:val="000000"/>
              </w:rPr>
            </w:pPr>
          </w:p>
        </w:tc>
        <w:tc>
          <w:tcPr>
            <w:tcW w:w="1590" w:type="dxa"/>
            <w:tcBorders>
              <w:top w:val="nil"/>
              <w:left w:val="nil"/>
              <w:bottom w:val="nil"/>
              <w:right w:val="single" w:sz="8" w:space="0" w:color="auto"/>
            </w:tcBorders>
            <w:shd w:val="clear" w:color="000000" w:fill="E6E6E6"/>
            <w:vAlign w:val="center"/>
            <w:hideMark/>
          </w:tcPr>
          <w:p w14:paraId="667EBB1B" w14:textId="77777777" w:rsidR="00DC19CB" w:rsidRPr="00061456" w:rsidRDefault="00DC19CB" w:rsidP="00A10612">
            <w:pPr>
              <w:jc w:val="center"/>
              <w:rPr>
                <w:rFonts w:ascii="Arial" w:hAnsi="Arial" w:cs="Arial"/>
                <w:b/>
                <w:bCs/>
                <w:color w:val="000000"/>
              </w:rPr>
            </w:pPr>
            <w:r w:rsidRPr="00061456">
              <w:rPr>
                <w:rFonts w:ascii="Arial" w:hAnsi="Arial" w:cs="Arial"/>
                <w:b/>
                <w:bCs/>
                <w:color w:val="000000"/>
              </w:rPr>
              <w:t>Application</w:t>
            </w:r>
          </w:p>
        </w:tc>
        <w:tc>
          <w:tcPr>
            <w:tcW w:w="1890" w:type="dxa"/>
            <w:vMerge/>
            <w:tcBorders>
              <w:top w:val="nil"/>
              <w:left w:val="single" w:sz="8" w:space="0" w:color="auto"/>
              <w:bottom w:val="nil"/>
              <w:right w:val="single" w:sz="8" w:space="0" w:color="auto"/>
            </w:tcBorders>
            <w:vAlign w:val="center"/>
            <w:hideMark/>
          </w:tcPr>
          <w:p w14:paraId="26DCE13D" w14:textId="77777777" w:rsidR="00DC19CB" w:rsidRPr="00061456" w:rsidRDefault="00DC19CB" w:rsidP="00A10612">
            <w:pPr>
              <w:rPr>
                <w:rFonts w:ascii="Arial" w:hAnsi="Arial" w:cs="Arial"/>
                <w:b/>
                <w:bCs/>
                <w:color w:val="000000"/>
              </w:rPr>
            </w:pPr>
          </w:p>
        </w:tc>
        <w:tc>
          <w:tcPr>
            <w:tcW w:w="2160" w:type="dxa"/>
            <w:tcBorders>
              <w:top w:val="nil"/>
              <w:left w:val="nil"/>
              <w:bottom w:val="nil"/>
              <w:right w:val="single" w:sz="8" w:space="0" w:color="auto"/>
            </w:tcBorders>
            <w:shd w:val="clear" w:color="000000" w:fill="E6E6E6"/>
            <w:vAlign w:val="center"/>
            <w:hideMark/>
          </w:tcPr>
          <w:p w14:paraId="02B9A041" w14:textId="141C7F7D" w:rsidR="00DC19CB" w:rsidRPr="00061456" w:rsidRDefault="00DC19CB" w:rsidP="00A10612">
            <w:pPr>
              <w:jc w:val="center"/>
              <w:rPr>
                <w:rFonts w:ascii="Arial" w:hAnsi="Arial" w:cs="Arial"/>
                <w:b/>
                <w:bCs/>
                <w:color w:val="000000"/>
              </w:rPr>
            </w:pPr>
            <w:r w:rsidRPr="00061456">
              <w:rPr>
                <w:rFonts w:ascii="Arial" w:hAnsi="Arial" w:cs="Arial"/>
                <w:b/>
                <w:bCs/>
                <w:color w:val="000000"/>
              </w:rPr>
              <w:t>Application</w:t>
            </w:r>
          </w:p>
        </w:tc>
        <w:tc>
          <w:tcPr>
            <w:tcW w:w="1710" w:type="dxa"/>
            <w:vMerge/>
            <w:tcBorders>
              <w:top w:val="nil"/>
              <w:left w:val="single" w:sz="8" w:space="0" w:color="auto"/>
              <w:bottom w:val="nil"/>
              <w:right w:val="single" w:sz="8" w:space="0" w:color="auto"/>
            </w:tcBorders>
            <w:vAlign w:val="center"/>
            <w:hideMark/>
          </w:tcPr>
          <w:p w14:paraId="26458ED8" w14:textId="77777777" w:rsidR="00DC19CB" w:rsidRPr="00061456" w:rsidRDefault="00DC19CB" w:rsidP="00A10612">
            <w:pPr>
              <w:rPr>
                <w:rFonts w:ascii="Arial" w:hAnsi="Arial" w:cs="Arial"/>
                <w:b/>
                <w:bCs/>
                <w:color w:val="000000"/>
              </w:rPr>
            </w:pPr>
          </w:p>
        </w:tc>
      </w:tr>
      <w:tr w:rsidR="00DC19CB" w:rsidRPr="00061456" w14:paraId="36B725E1" w14:textId="77777777" w:rsidTr="00A10612">
        <w:trPr>
          <w:trHeight w:val="660"/>
        </w:trPr>
        <w:tc>
          <w:tcPr>
            <w:tcW w:w="19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7A2138" w14:textId="21C9C277" w:rsidR="00DC19CB" w:rsidRPr="00061456" w:rsidRDefault="00766820" w:rsidP="00A10612">
            <w:pPr>
              <w:rPr>
                <w:rFonts w:ascii="Arial" w:hAnsi="Arial" w:cs="Arial"/>
                <w:color w:val="000000"/>
              </w:rPr>
            </w:pPr>
            <w:r>
              <w:rPr>
                <w:rFonts w:ascii="Arial" w:hAnsi="Arial" w:cs="Arial"/>
                <w:color w:val="000000"/>
              </w:rPr>
              <w:t xml:space="preserve">Average </w:t>
            </w:r>
            <w:r w:rsidR="004E5E04">
              <w:rPr>
                <w:rFonts w:ascii="Arial" w:hAnsi="Arial" w:cs="Arial"/>
                <w:color w:val="000000"/>
              </w:rPr>
              <w:t>a</w:t>
            </w:r>
            <w:r>
              <w:rPr>
                <w:rFonts w:ascii="Arial" w:hAnsi="Arial" w:cs="Arial"/>
                <w:color w:val="000000"/>
              </w:rPr>
              <w:t xml:space="preserve">nnual </w:t>
            </w:r>
            <w:r w:rsidR="004E5E04">
              <w:rPr>
                <w:rFonts w:ascii="Arial" w:hAnsi="Arial" w:cs="Arial"/>
                <w:color w:val="000000"/>
              </w:rPr>
              <w:t>n</w:t>
            </w:r>
            <w:r>
              <w:rPr>
                <w:rFonts w:ascii="Arial" w:hAnsi="Arial" w:cs="Arial"/>
                <w:color w:val="000000"/>
              </w:rPr>
              <w:t xml:space="preserve">umber of </w:t>
            </w:r>
            <w:r w:rsidR="004E5E04">
              <w:rPr>
                <w:rFonts w:ascii="Arial" w:hAnsi="Arial" w:cs="Arial"/>
                <w:color w:val="000000"/>
              </w:rPr>
              <w:t>a</w:t>
            </w:r>
            <w:r w:rsidR="00DC19CB" w:rsidRPr="00061456">
              <w:rPr>
                <w:rFonts w:ascii="Arial" w:hAnsi="Arial" w:cs="Arial"/>
                <w:color w:val="000000"/>
              </w:rPr>
              <w:t>pplications</w:t>
            </w:r>
          </w:p>
        </w:tc>
        <w:tc>
          <w:tcPr>
            <w:tcW w:w="1590" w:type="dxa"/>
            <w:tcBorders>
              <w:top w:val="single" w:sz="8" w:space="0" w:color="auto"/>
              <w:left w:val="nil"/>
              <w:bottom w:val="single" w:sz="8" w:space="0" w:color="auto"/>
              <w:right w:val="single" w:sz="8" w:space="0" w:color="auto"/>
            </w:tcBorders>
            <w:shd w:val="clear" w:color="auto" w:fill="auto"/>
            <w:noWrap/>
            <w:vAlign w:val="bottom"/>
            <w:hideMark/>
          </w:tcPr>
          <w:p w14:paraId="39591B44" w14:textId="77777777" w:rsidR="00DC19CB" w:rsidRPr="00061456" w:rsidRDefault="00DC19CB" w:rsidP="00A10612">
            <w:pPr>
              <w:jc w:val="center"/>
              <w:rPr>
                <w:rFonts w:ascii="Arial" w:hAnsi="Arial" w:cs="Arial"/>
                <w:color w:val="000000"/>
              </w:rPr>
            </w:pPr>
            <w:r w:rsidRPr="00061456">
              <w:rPr>
                <w:rFonts w:ascii="Arial" w:hAnsi="Arial" w:cs="Arial"/>
                <w:color w:val="000000"/>
              </w:rPr>
              <w:t>5</w:t>
            </w:r>
          </w:p>
        </w:tc>
        <w:tc>
          <w:tcPr>
            <w:tcW w:w="1890" w:type="dxa"/>
            <w:tcBorders>
              <w:top w:val="single" w:sz="8" w:space="0" w:color="auto"/>
              <w:left w:val="nil"/>
              <w:bottom w:val="single" w:sz="8" w:space="0" w:color="auto"/>
              <w:right w:val="single" w:sz="8" w:space="0" w:color="auto"/>
            </w:tcBorders>
            <w:shd w:val="clear" w:color="auto" w:fill="auto"/>
            <w:noWrap/>
            <w:vAlign w:val="bottom"/>
            <w:hideMark/>
          </w:tcPr>
          <w:p w14:paraId="2A77C2D7" w14:textId="77777777" w:rsidR="00DC19CB" w:rsidRPr="00061456" w:rsidRDefault="00DC19CB" w:rsidP="00A10612">
            <w:pPr>
              <w:jc w:val="center"/>
              <w:rPr>
                <w:rFonts w:ascii="Arial" w:hAnsi="Arial" w:cs="Arial"/>
                <w:color w:val="000000"/>
              </w:rPr>
            </w:pPr>
            <w:r w:rsidRPr="00061456">
              <w:rPr>
                <w:rFonts w:ascii="Arial" w:hAnsi="Arial" w:cs="Arial"/>
                <w:color w:val="000000"/>
              </w:rPr>
              <w:t>9</w:t>
            </w:r>
          </w:p>
        </w:tc>
        <w:tc>
          <w:tcPr>
            <w:tcW w:w="2160" w:type="dxa"/>
            <w:tcBorders>
              <w:top w:val="single" w:sz="8" w:space="0" w:color="auto"/>
              <w:left w:val="nil"/>
              <w:bottom w:val="single" w:sz="8" w:space="0" w:color="auto"/>
              <w:right w:val="single" w:sz="8" w:space="0" w:color="auto"/>
            </w:tcBorders>
            <w:shd w:val="clear" w:color="auto" w:fill="auto"/>
            <w:noWrap/>
            <w:vAlign w:val="bottom"/>
            <w:hideMark/>
          </w:tcPr>
          <w:p w14:paraId="4F7A825A" w14:textId="77777777" w:rsidR="00DC19CB" w:rsidRPr="00061456" w:rsidRDefault="00DC19CB" w:rsidP="00A10612">
            <w:pPr>
              <w:jc w:val="center"/>
              <w:rPr>
                <w:rFonts w:ascii="Arial" w:hAnsi="Arial" w:cs="Arial"/>
                <w:color w:val="000000"/>
              </w:rPr>
            </w:pPr>
            <w:r w:rsidRPr="00061456">
              <w:rPr>
                <w:rFonts w:ascii="Arial" w:hAnsi="Arial" w:cs="Arial"/>
                <w:color w:val="000000"/>
              </w:rPr>
              <w:t>3</w:t>
            </w:r>
          </w:p>
        </w:tc>
        <w:tc>
          <w:tcPr>
            <w:tcW w:w="1710" w:type="dxa"/>
            <w:tcBorders>
              <w:top w:val="single" w:sz="8" w:space="0" w:color="auto"/>
              <w:left w:val="nil"/>
              <w:bottom w:val="single" w:sz="8" w:space="0" w:color="auto"/>
              <w:right w:val="single" w:sz="8" w:space="0" w:color="auto"/>
            </w:tcBorders>
            <w:shd w:val="clear" w:color="auto" w:fill="auto"/>
            <w:noWrap/>
            <w:vAlign w:val="bottom"/>
            <w:hideMark/>
          </w:tcPr>
          <w:p w14:paraId="29E7A524" w14:textId="77777777" w:rsidR="00DC19CB" w:rsidRPr="00061456" w:rsidRDefault="00DC19CB" w:rsidP="00A10612">
            <w:pPr>
              <w:jc w:val="center"/>
              <w:rPr>
                <w:rFonts w:ascii="Arial" w:hAnsi="Arial" w:cs="Arial"/>
                <w:color w:val="000000"/>
              </w:rPr>
            </w:pPr>
            <w:r w:rsidRPr="00061456">
              <w:rPr>
                <w:rFonts w:ascii="Arial" w:hAnsi="Arial" w:cs="Arial"/>
                <w:color w:val="000000"/>
              </w:rPr>
              <w:t>17</w:t>
            </w:r>
          </w:p>
        </w:tc>
      </w:tr>
      <w:tr w:rsidR="00DC19CB" w:rsidRPr="00061456" w14:paraId="16E01181" w14:textId="77777777" w:rsidTr="00A10612">
        <w:trPr>
          <w:trHeight w:val="720"/>
        </w:trPr>
        <w:tc>
          <w:tcPr>
            <w:tcW w:w="1920" w:type="dxa"/>
            <w:tcBorders>
              <w:top w:val="nil"/>
              <w:left w:val="single" w:sz="8" w:space="0" w:color="auto"/>
              <w:bottom w:val="single" w:sz="8" w:space="0" w:color="auto"/>
              <w:right w:val="nil"/>
            </w:tcBorders>
            <w:shd w:val="clear" w:color="auto" w:fill="auto"/>
            <w:vAlign w:val="center"/>
            <w:hideMark/>
          </w:tcPr>
          <w:p w14:paraId="2B34ED60" w14:textId="1E6378E5" w:rsidR="00DC19CB" w:rsidRPr="00061456" w:rsidRDefault="00766820" w:rsidP="00A10612">
            <w:pPr>
              <w:rPr>
                <w:rFonts w:ascii="Arial" w:hAnsi="Arial" w:cs="Arial"/>
                <w:color w:val="000000"/>
              </w:rPr>
            </w:pPr>
            <w:r>
              <w:rPr>
                <w:rFonts w:ascii="Arial" w:hAnsi="Arial" w:cs="Arial"/>
                <w:color w:val="000000"/>
              </w:rPr>
              <w:t xml:space="preserve">Average </w:t>
            </w:r>
            <w:r w:rsidR="004E5E04">
              <w:rPr>
                <w:rFonts w:ascii="Arial" w:hAnsi="Arial" w:cs="Arial"/>
                <w:color w:val="000000"/>
              </w:rPr>
              <w:t>total h</w:t>
            </w:r>
            <w:r w:rsidR="00DC19CB" w:rsidRPr="00061456">
              <w:rPr>
                <w:rFonts w:ascii="Arial" w:hAnsi="Arial" w:cs="Arial"/>
                <w:color w:val="000000"/>
              </w:rPr>
              <w:t>ours</w:t>
            </w:r>
          </w:p>
        </w:tc>
        <w:tc>
          <w:tcPr>
            <w:tcW w:w="1590" w:type="dxa"/>
            <w:tcBorders>
              <w:top w:val="nil"/>
              <w:left w:val="single" w:sz="8" w:space="0" w:color="auto"/>
              <w:bottom w:val="single" w:sz="8" w:space="0" w:color="auto"/>
              <w:right w:val="single" w:sz="8" w:space="0" w:color="auto"/>
            </w:tcBorders>
            <w:shd w:val="clear" w:color="auto" w:fill="auto"/>
            <w:noWrap/>
            <w:vAlign w:val="bottom"/>
            <w:hideMark/>
          </w:tcPr>
          <w:p w14:paraId="28833E0A" w14:textId="77777777" w:rsidR="00DC19CB" w:rsidRPr="00061456" w:rsidRDefault="00DC19CB" w:rsidP="00A10612">
            <w:pPr>
              <w:jc w:val="center"/>
              <w:rPr>
                <w:rFonts w:ascii="Arial" w:hAnsi="Arial" w:cs="Arial"/>
                <w:color w:val="000000"/>
              </w:rPr>
            </w:pPr>
            <w:r w:rsidRPr="00061456">
              <w:rPr>
                <w:rFonts w:ascii="Arial" w:hAnsi="Arial" w:cs="Arial"/>
                <w:color w:val="000000"/>
              </w:rPr>
              <w:t>13,064</w:t>
            </w:r>
          </w:p>
        </w:tc>
        <w:tc>
          <w:tcPr>
            <w:tcW w:w="1890" w:type="dxa"/>
            <w:tcBorders>
              <w:top w:val="nil"/>
              <w:left w:val="nil"/>
              <w:bottom w:val="single" w:sz="8" w:space="0" w:color="auto"/>
              <w:right w:val="single" w:sz="8" w:space="0" w:color="auto"/>
            </w:tcBorders>
            <w:shd w:val="clear" w:color="auto" w:fill="auto"/>
            <w:noWrap/>
            <w:vAlign w:val="bottom"/>
            <w:hideMark/>
          </w:tcPr>
          <w:p w14:paraId="4DEFC805" w14:textId="77777777" w:rsidR="00DC19CB" w:rsidRPr="00061456" w:rsidRDefault="00DC19CB" w:rsidP="00A10612">
            <w:pPr>
              <w:jc w:val="center"/>
              <w:rPr>
                <w:rFonts w:ascii="Arial" w:hAnsi="Arial" w:cs="Arial"/>
                <w:color w:val="000000"/>
              </w:rPr>
            </w:pPr>
            <w:r w:rsidRPr="00061456">
              <w:rPr>
                <w:rFonts w:ascii="Arial" w:hAnsi="Arial" w:cs="Arial"/>
                <w:color w:val="000000"/>
              </w:rPr>
              <w:t>13,067</w:t>
            </w:r>
          </w:p>
        </w:tc>
        <w:tc>
          <w:tcPr>
            <w:tcW w:w="2160" w:type="dxa"/>
            <w:tcBorders>
              <w:top w:val="nil"/>
              <w:left w:val="nil"/>
              <w:bottom w:val="single" w:sz="8" w:space="0" w:color="auto"/>
              <w:right w:val="single" w:sz="8" w:space="0" w:color="auto"/>
            </w:tcBorders>
            <w:shd w:val="clear" w:color="auto" w:fill="auto"/>
            <w:noWrap/>
            <w:vAlign w:val="bottom"/>
            <w:hideMark/>
          </w:tcPr>
          <w:p w14:paraId="02D93F1D" w14:textId="77777777" w:rsidR="00DC19CB" w:rsidRPr="00061456" w:rsidRDefault="00DC19CB" w:rsidP="00A10612">
            <w:pPr>
              <w:jc w:val="center"/>
              <w:rPr>
                <w:rFonts w:ascii="Arial" w:hAnsi="Arial" w:cs="Arial"/>
                <w:color w:val="000000"/>
              </w:rPr>
            </w:pPr>
            <w:r w:rsidRPr="00061456">
              <w:rPr>
                <w:rFonts w:ascii="Arial" w:hAnsi="Arial" w:cs="Arial"/>
                <w:color w:val="000000"/>
              </w:rPr>
              <w:t>870</w:t>
            </w:r>
          </w:p>
        </w:tc>
        <w:tc>
          <w:tcPr>
            <w:tcW w:w="1710" w:type="dxa"/>
            <w:tcBorders>
              <w:top w:val="nil"/>
              <w:left w:val="nil"/>
              <w:bottom w:val="single" w:sz="8" w:space="0" w:color="auto"/>
              <w:right w:val="single" w:sz="8" w:space="0" w:color="auto"/>
            </w:tcBorders>
            <w:shd w:val="clear" w:color="auto" w:fill="auto"/>
            <w:noWrap/>
            <w:vAlign w:val="bottom"/>
            <w:hideMark/>
          </w:tcPr>
          <w:p w14:paraId="6356E019" w14:textId="4A41E699" w:rsidR="00DC19CB" w:rsidRPr="00061456" w:rsidRDefault="00DC19CB" w:rsidP="006D56EE">
            <w:pPr>
              <w:jc w:val="center"/>
              <w:rPr>
                <w:rFonts w:ascii="Arial" w:hAnsi="Arial" w:cs="Arial"/>
                <w:color w:val="000000"/>
              </w:rPr>
            </w:pPr>
            <w:r w:rsidRPr="00061456">
              <w:rPr>
                <w:rFonts w:ascii="Arial" w:hAnsi="Arial" w:cs="Arial"/>
                <w:color w:val="000000"/>
              </w:rPr>
              <w:t>27,00</w:t>
            </w:r>
            <w:r w:rsidR="006D56EE">
              <w:rPr>
                <w:rFonts w:ascii="Arial" w:hAnsi="Arial" w:cs="Arial"/>
                <w:color w:val="000000"/>
              </w:rPr>
              <w:t>1</w:t>
            </w:r>
          </w:p>
        </w:tc>
      </w:tr>
      <w:tr w:rsidR="00DC19CB" w:rsidRPr="00061456" w14:paraId="49CC45F9" w14:textId="77777777" w:rsidTr="00A10612">
        <w:trPr>
          <w:trHeight w:val="576"/>
        </w:trPr>
        <w:tc>
          <w:tcPr>
            <w:tcW w:w="1920" w:type="dxa"/>
            <w:tcBorders>
              <w:top w:val="nil"/>
              <w:left w:val="single" w:sz="8" w:space="0" w:color="auto"/>
              <w:bottom w:val="single" w:sz="8" w:space="0" w:color="auto"/>
              <w:right w:val="nil"/>
            </w:tcBorders>
            <w:shd w:val="clear" w:color="auto" w:fill="auto"/>
            <w:vAlign w:val="center"/>
            <w:hideMark/>
          </w:tcPr>
          <w:p w14:paraId="2D0C33FE" w14:textId="71DE6986" w:rsidR="00DC19CB" w:rsidRPr="00061456" w:rsidRDefault="00766820" w:rsidP="00A10612">
            <w:pPr>
              <w:rPr>
                <w:rFonts w:ascii="Arial" w:hAnsi="Arial" w:cs="Arial"/>
                <w:color w:val="000000"/>
              </w:rPr>
            </w:pPr>
            <w:r>
              <w:rPr>
                <w:rFonts w:ascii="Arial" w:hAnsi="Arial" w:cs="Arial"/>
                <w:color w:val="000000"/>
              </w:rPr>
              <w:t xml:space="preserve">Average </w:t>
            </w:r>
            <w:r w:rsidR="004E5E04">
              <w:rPr>
                <w:rFonts w:ascii="Arial" w:hAnsi="Arial" w:cs="Arial"/>
                <w:color w:val="000000"/>
              </w:rPr>
              <w:t>a</w:t>
            </w:r>
            <w:r>
              <w:rPr>
                <w:rFonts w:ascii="Arial" w:hAnsi="Arial" w:cs="Arial"/>
                <w:color w:val="000000"/>
              </w:rPr>
              <w:t xml:space="preserve">nnual </w:t>
            </w:r>
            <w:r w:rsidR="004E5E04">
              <w:rPr>
                <w:rFonts w:ascii="Arial" w:hAnsi="Arial" w:cs="Arial"/>
                <w:color w:val="000000"/>
              </w:rPr>
              <w:t>c</w:t>
            </w:r>
            <w:r w:rsidR="00DC19CB" w:rsidRPr="00061456">
              <w:rPr>
                <w:rFonts w:ascii="Arial" w:hAnsi="Arial" w:cs="Arial"/>
                <w:color w:val="000000"/>
              </w:rPr>
              <w:t>ost</w:t>
            </w:r>
          </w:p>
        </w:tc>
        <w:tc>
          <w:tcPr>
            <w:tcW w:w="1590" w:type="dxa"/>
            <w:tcBorders>
              <w:top w:val="nil"/>
              <w:left w:val="single" w:sz="8" w:space="0" w:color="auto"/>
              <w:bottom w:val="single" w:sz="8" w:space="0" w:color="auto"/>
              <w:right w:val="single" w:sz="8" w:space="0" w:color="auto"/>
            </w:tcBorders>
            <w:shd w:val="clear" w:color="auto" w:fill="auto"/>
            <w:noWrap/>
            <w:vAlign w:val="bottom"/>
            <w:hideMark/>
          </w:tcPr>
          <w:p w14:paraId="48335E9B" w14:textId="77777777" w:rsidR="00DC19CB" w:rsidRPr="00061456" w:rsidRDefault="00DC19CB" w:rsidP="00A10612">
            <w:pPr>
              <w:jc w:val="center"/>
              <w:rPr>
                <w:rFonts w:ascii="Arial" w:hAnsi="Arial" w:cs="Arial"/>
                <w:color w:val="000000"/>
              </w:rPr>
            </w:pPr>
            <w:r w:rsidRPr="00061456">
              <w:rPr>
                <w:rFonts w:ascii="Arial" w:hAnsi="Arial" w:cs="Arial"/>
                <w:color w:val="000000"/>
              </w:rPr>
              <w:t>$1,061,802</w:t>
            </w:r>
          </w:p>
        </w:tc>
        <w:tc>
          <w:tcPr>
            <w:tcW w:w="1890" w:type="dxa"/>
            <w:tcBorders>
              <w:top w:val="nil"/>
              <w:left w:val="nil"/>
              <w:bottom w:val="single" w:sz="8" w:space="0" w:color="auto"/>
              <w:right w:val="single" w:sz="8" w:space="0" w:color="auto"/>
            </w:tcBorders>
            <w:shd w:val="clear" w:color="auto" w:fill="auto"/>
            <w:noWrap/>
            <w:vAlign w:val="bottom"/>
            <w:hideMark/>
          </w:tcPr>
          <w:p w14:paraId="75C13726" w14:textId="77777777" w:rsidR="00DC19CB" w:rsidRPr="00061456" w:rsidRDefault="00DC19CB" w:rsidP="00A10612">
            <w:pPr>
              <w:jc w:val="center"/>
              <w:rPr>
                <w:rFonts w:ascii="Arial" w:hAnsi="Arial" w:cs="Arial"/>
                <w:color w:val="000000"/>
              </w:rPr>
            </w:pPr>
            <w:r w:rsidRPr="00061456">
              <w:rPr>
                <w:rFonts w:ascii="Arial" w:hAnsi="Arial" w:cs="Arial"/>
                <w:color w:val="000000"/>
              </w:rPr>
              <w:t>$1,061,802</w:t>
            </w:r>
          </w:p>
        </w:tc>
        <w:tc>
          <w:tcPr>
            <w:tcW w:w="2160" w:type="dxa"/>
            <w:tcBorders>
              <w:top w:val="nil"/>
              <w:left w:val="nil"/>
              <w:bottom w:val="single" w:sz="8" w:space="0" w:color="auto"/>
              <w:right w:val="single" w:sz="8" w:space="0" w:color="auto"/>
            </w:tcBorders>
            <w:shd w:val="clear" w:color="auto" w:fill="auto"/>
            <w:noWrap/>
            <w:vAlign w:val="bottom"/>
            <w:hideMark/>
          </w:tcPr>
          <w:p w14:paraId="106D9AA7" w14:textId="77777777" w:rsidR="00DC19CB" w:rsidRPr="00061456" w:rsidRDefault="00DC19CB" w:rsidP="00A10612">
            <w:pPr>
              <w:jc w:val="center"/>
              <w:rPr>
                <w:rFonts w:ascii="Arial" w:hAnsi="Arial" w:cs="Arial"/>
                <w:color w:val="000000"/>
              </w:rPr>
            </w:pPr>
            <w:r w:rsidRPr="00061456">
              <w:rPr>
                <w:rFonts w:ascii="Arial" w:hAnsi="Arial" w:cs="Arial"/>
                <w:color w:val="000000"/>
              </w:rPr>
              <w:t>$70,738</w:t>
            </w:r>
          </w:p>
        </w:tc>
        <w:tc>
          <w:tcPr>
            <w:tcW w:w="1710" w:type="dxa"/>
            <w:tcBorders>
              <w:top w:val="nil"/>
              <w:left w:val="nil"/>
              <w:bottom w:val="single" w:sz="8" w:space="0" w:color="auto"/>
              <w:right w:val="single" w:sz="8" w:space="0" w:color="auto"/>
            </w:tcBorders>
            <w:shd w:val="clear" w:color="auto" w:fill="auto"/>
            <w:noWrap/>
            <w:vAlign w:val="bottom"/>
            <w:hideMark/>
          </w:tcPr>
          <w:p w14:paraId="57D2B73B" w14:textId="77777777" w:rsidR="00DC19CB" w:rsidRPr="00061456" w:rsidRDefault="00DC19CB" w:rsidP="00A10612">
            <w:pPr>
              <w:jc w:val="center"/>
              <w:rPr>
                <w:rFonts w:ascii="Arial" w:hAnsi="Arial" w:cs="Arial"/>
                <w:color w:val="000000"/>
              </w:rPr>
            </w:pPr>
            <w:r w:rsidRPr="00061456">
              <w:rPr>
                <w:rFonts w:ascii="Arial" w:hAnsi="Arial" w:cs="Arial"/>
                <w:color w:val="000000"/>
              </w:rPr>
              <w:t>$2,194,342</w:t>
            </w:r>
          </w:p>
        </w:tc>
      </w:tr>
    </w:tbl>
    <w:p w14:paraId="49C32090" w14:textId="3AE3DF04" w:rsidR="00DC19CB" w:rsidRPr="007B0FBB" w:rsidRDefault="007B0FBB" w:rsidP="00776205">
      <w:pPr>
        <w:pStyle w:val="TableNotes"/>
      </w:pPr>
      <w:r w:rsidRPr="007B0FBB">
        <w:t>*Estimates may not total due to rounding.</w:t>
      </w:r>
    </w:p>
    <w:p w14:paraId="1033D3AA" w14:textId="61EA7FD4" w:rsidR="006D397F" w:rsidRDefault="006D397F" w:rsidP="00776205">
      <w:pPr>
        <w:pStyle w:val="TableNotes"/>
      </w:pPr>
    </w:p>
    <w:p w14:paraId="1B91850A" w14:textId="77777777" w:rsidR="00A35119" w:rsidRPr="00294E5C" w:rsidRDefault="00A35119" w:rsidP="00B33C53">
      <w:pPr>
        <w:pStyle w:val="BodyText"/>
      </w:pPr>
      <w:r w:rsidRPr="00294E5C">
        <w:t>Cumulative Industry &amp; FAA Estimate</w:t>
      </w:r>
    </w:p>
    <w:p w14:paraId="38A97EA4" w14:textId="02707CAC" w:rsidR="001C587C" w:rsidRDefault="00A35119" w:rsidP="00B33C53">
      <w:pPr>
        <w:pStyle w:val="BodyText"/>
      </w:pPr>
      <w:r>
        <w:t xml:space="preserve">Combining estimates for industry and the FAA, the collection would result in </w:t>
      </w:r>
      <w:r w:rsidRPr="00294E5C">
        <w:t xml:space="preserve">total average annual hour burden to </w:t>
      </w:r>
      <w:r>
        <w:t xml:space="preserve">industry and the </w:t>
      </w:r>
      <w:r w:rsidRPr="00294E5C">
        <w:t xml:space="preserve">FAA </w:t>
      </w:r>
      <w:r>
        <w:t xml:space="preserve">of 62,955 hours (27,000 industry hours + </w:t>
      </w:r>
      <w:r w:rsidRPr="00294E5C">
        <w:t xml:space="preserve">35,955 </w:t>
      </w:r>
      <w:r>
        <w:t xml:space="preserve">FAA </w:t>
      </w:r>
      <w:r w:rsidRPr="00294E5C">
        <w:t>hours</w:t>
      </w:r>
      <w:r>
        <w:t>)</w:t>
      </w:r>
      <w:r w:rsidRPr="00294E5C">
        <w:t xml:space="preserve"> and the total average annual cost to </w:t>
      </w:r>
      <w:r>
        <w:t xml:space="preserve">industry and the </w:t>
      </w:r>
      <w:r w:rsidRPr="00294E5C">
        <w:t xml:space="preserve">FAA is </w:t>
      </w:r>
      <w:r>
        <w:t xml:space="preserve">$5,174,191 ($2,194,342 average industry cost + </w:t>
      </w:r>
      <w:r w:rsidRPr="00294E5C">
        <w:t>$2,979,849</w:t>
      </w:r>
      <w:r>
        <w:t xml:space="preserve"> average FAA cost)</w:t>
      </w:r>
      <w:r w:rsidRPr="00294E5C">
        <w:t>.</w:t>
      </w:r>
      <w:r>
        <w:t xml:space="preserve"> </w:t>
      </w:r>
    </w:p>
    <w:p w14:paraId="306B7241" w14:textId="431886BC" w:rsidR="00F46067" w:rsidRDefault="00F46067" w:rsidP="00B33C53">
      <w:pPr>
        <w:pStyle w:val="BodyText"/>
      </w:pPr>
    </w:p>
    <w:p w14:paraId="3A057CA3" w14:textId="46BB24C0" w:rsidR="007542FE" w:rsidRPr="00BB47B4" w:rsidRDefault="007542FE" w:rsidP="004B5C34">
      <w:pPr>
        <w:pStyle w:val="Heading3"/>
      </w:pPr>
      <w:r w:rsidRPr="00BB47B4">
        <w:t>1</w:t>
      </w:r>
      <w:r w:rsidR="00BB7F76">
        <w:t xml:space="preserve">3. </w:t>
      </w:r>
      <w:r w:rsidRPr="00BB47B4">
        <w:t>Provide an estimate of the total annual cost burden to respondents or recordkeepers resulting from the collection of information.</w:t>
      </w:r>
    </w:p>
    <w:p w14:paraId="3B11C3FF" w14:textId="77777777" w:rsidR="00F46067" w:rsidRDefault="00F46067" w:rsidP="00B33C53">
      <w:pPr>
        <w:pStyle w:val="BodyText"/>
      </w:pPr>
    </w:p>
    <w:p w14:paraId="7F8B536D" w14:textId="59539520" w:rsidR="007542FE" w:rsidRDefault="007542FE" w:rsidP="00B33C53">
      <w:pPr>
        <w:pStyle w:val="BodyText"/>
      </w:pPr>
      <w:r w:rsidRPr="00BB47B4">
        <w:t>There are neither capital and start-up costs nor operation and maintenance costs resulting from the collection of information in addition to those shown above in item 12</w:t>
      </w:r>
      <w:r w:rsidR="004E5E04">
        <w:t xml:space="preserve"> or below in item 14</w:t>
      </w:r>
      <w:r w:rsidRPr="00BB47B4">
        <w:t>.</w:t>
      </w:r>
    </w:p>
    <w:p w14:paraId="0801C968" w14:textId="77777777" w:rsidR="00F46067" w:rsidRPr="00BB47B4" w:rsidRDefault="00F46067" w:rsidP="00B33C53">
      <w:pPr>
        <w:pStyle w:val="BodyText"/>
      </w:pPr>
    </w:p>
    <w:p w14:paraId="1F0C711D" w14:textId="77777777" w:rsidR="007542FE" w:rsidRPr="00BB47B4" w:rsidRDefault="00051B47" w:rsidP="004B5C34">
      <w:pPr>
        <w:pStyle w:val="Heading3"/>
      </w:pPr>
      <w:r w:rsidRPr="00BB47B4">
        <w:t xml:space="preserve">14. </w:t>
      </w:r>
      <w:r w:rsidR="007542FE" w:rsidRPr="00BB47B4">
        <w:t>Provide estimates of annualized cost to the Federal government.</w:t>
      </w:r>
    </w:p>
    <w:p w14:paraId="33CC9DF8" w14:textId="77777777" w:rsidR="00C624B4" w:rsidRDefault="00C624B4" w:rsidP="00B33C53">
      <w:pPr>
        <w:pStyle w:val="BodyText"/>
      </w:pPr>
    </w:p>
    <w:p w14:paraId="1FE19CCA" w14:textId="78B4311A" w:rsidR="00FC5269" w:rsidRDefault="00FC5269" w:rsidP="00B33C53">
      <w:pPr>
        <w:pStyle w:val="BodyText"/>
      </w:pPr>
      <w:r w:rsidRPr="00FC5269">
        <w:t>The FAA provides estimates of hour burden and costs</w:t>
      </w:r>
      <w:r w:rsidR="00AF11C9">
        <w:t xml:space="preserve"> to the </w:t>
      </w:r>
      <w:r w:rsidR="00AF11C9" w:rsidRPr="00AF11C9">
        <w:rPr>
          <w:u w:val="single"/>
        </w:rPr>
        <w:t>Federal Government (FAA)</w:t>
      </w:r>
      <w:r w:rsidRPr="00FC5269">
        <w:t xml:space="preserve"> in this section and </w:t>
      </w:r>
      <w:r w:rsidR="00F41D50">
        <w:t xml:space="preserve">provides </w:t>
      </w:r>
      <w:r w:rsidRPr="00FC5269">
        <w:t>estimates of hour bu</w:t>
      </w:r>
      <w:r>
        <w:t xml:space="preserve">rden and costs </w:t>
      </w:r>
      <w:r w:rsidR="00AF11C9">
        <w:t>to industry in</w:t>
      </w:r>
      <w:r>
        <w:t xml:space="preserve"> </w:t>
      </w:r>
      <w:r w:rsidR="004E5E04">
        <w:t>item</w:t>
      </w:r>
      <w:r>
        <w:t xml:space="preserve"> 12</w:t>
      </w:r>
      <w:r w:rsidRPr="00FC5269">
        <w:t xml:space="preserve"> </w:t>
      </w:r>
      <w:r>
        <w:t>above</w:t>
      </w:r>
      <w:r w:rsidR="00A031C7">
        <w:t xml:space="preserve">. </w:t>
      </w:r>
      <w:r w:rsidR="004E5E04">
        <w:t>Cumulative industry and FAA hour burden and costs are summarized at the end of both items 12 and 14.</w:t>
      </w:r>
    </w:p>
    <w:p w14:paraId="3B5C2A65" w14:textId="3D7D3821" w:rsidR="007542FE" w:rsidRPr="003C4219" w:rsidRDefault="007542FE" w:rsidP="00B33C53">
      <w:pPr>
        <w:pStyle w:val="BodyText"/>
        <w:rPr>
          <w:highlight w:val="yellow"/>
        </w:rPr>
      </w:pPr>
      <w:r w:rsidRPr="0071313D">
        <w:t xml:space="preserve">The burden to the </w:t>
      </w:r>
      <w:r w:rsidR="0073269F" w:rsidRPr="0071313D">
        <w:t xml:space="preserve">Federal </w:t>
      </w:r>
      <w:r w:rsidRPr="0071313D">
        <w:t xml:space="preserve">government associated with information collected to comply with </w:t>
      </w:r>
      <w:r w:rsidR="00347CF5" w:rsidRPr="009F2D03">
        <w:t>14 CFR parts 413</w:t>
      </w:r>
      <w:r w:rsidR="0073269F" w:rsidRPr="009F2D03">
        <w:t xml:space="preserve"> </w:t>
      </w:r>
      <w:r w:rsidR="00347CF5" w:rsidRPr="009F2D03">
        <w:t xml:space="preserve">and </w:t>
      </w:r>
      <w:r w:rsidR="0073269F" w:rsidRPr="009F2D03">
        <w:t xml:space="preserve">450 </w:t>
      </w:r>
      <w:r w:rsidRPr="009F2D03">
        <w:t xml:space="preserve">for a </w:t>
      </w:r>
      <w:r w:rsidR="0073269F" w:rsidRPr="009F2D03">
        <w:t>vehicle operator l</w:t>
      </w:r>
      <w:r w:rsidRPr="009F2D03">
        <w:t xml:space="preserve">icense involves several principal activities. These activities include pre-application consultation with industry and review of preliminary information; review of the </w:t>
      </w:r>
      <w:r w:rsidR="0073269F" w:rsidRPr="009F2D03">
        <w:t>formal, complete</w:t>
      </w:r>
      <w:r w:rsidRPr="009F2D03">
        <w:t xml:space="preserve"> application </w:t>
      </w:r>
      <w:r w:rsidR="0073269F" w:rsidRPr="009F2D03">
        <w:t xml:space="preserve">or increments of the application </w:t>
      </w:r>
      <w:r w:rsidRPr="009F2D03">
        <w:t xml:space="preserve">and its disposition (that is, approval or disapproval); resolution of questions associated with the application; and amending an approved license. The FAA estimates that it expends as many as </w:t>
      </w:r>
      <w:r w:rsidRPr="004F5D8C">
        <w:t>3,</w:t>
      </w:r>
      <w:r w:rsidR="003A616B">
        <w:t>866</w:t>
      </w:r>
      <w:r w:rsidRPr="0071313D">
        <w:t xml:space="preserve"> hours to</w:t>
      </w:r>
      <w:r w:rsidRPr="009F2D03">
        <w:t xml:space="preserve"> review and process the information collected associated with an application submittal in compliance </w:t>
      </w:r>
      <w:r w:rsidRPr="00085A04">
        <w:t xml:space="preserve">with </w:t>
      </w:r>
      <w:r w:rsidR="009F2D03" w:rsidRPr="00085A04">
        <w:t xml:space="preserve">14 CFR </w:t>
      </w:r>
      <w:r w:rsidR="009F2D03" w:rsidRPr="003C4219">
        <w:t>parts 413</w:t>
      </w:r>
      <w:r w:rsidR="009F2D03" w:rsidRPr="00085A04">
        <w:t xml:space="preserve"> </w:t>
      </w:r>
      <w:r w:rsidR="009F2D03" w:rsidRPr="003C4219">
        <w:t>and 450</w:t>
      </w:r>
      <w:r w:rsidR="009F2D03" w:rsidRPr="00085A04">
        <w:t>.</w:t>
      </w:r>
      <w:r w:rsidR="009F2D03">
        <w:t xml:space="preserve"> </w:t>
      </w:r>
      <w:r w:rsidRPr="0071313D">
        <w:t xml:space="preserve">Further, the FAA estimates that the hour burden it incurs to review information necessary to support a license </w:t>
      </w:r>
      <w:r w:rsidR="004F5D8C">
        <w:t>modification can be as many as 1,</w:t>
      </w:r>
      <w:r w:rsidR="003A616B">
        <w:t>933</w:t>
      </w:r>
      <w:r w:rsidR="004F5D8C">
        <w:t xml:space="preserve"> hours and to review a </w:t>
      </w:r>
      <w:r w:rsidRPr="0071313D">
        <w:t xml:space="preserve">renewal application can be as many as </w:t>
      </w:r>
      <w:r w:rsidR="004F5D8C" w:rsidRPr="0071313D">
        <w:t>3</w:t>
      </w:r>
      <w:r w:rsidR="003A616B">
        <w:t>87</w:t>
      </w:r>
      <w:r w:rsidRPr="004F5D8C">
        <w:t xml:space="preserve"> hours</w:t>
      </w:r>
      <w:r w:rsidRPr="002D172D">
        <w:t>.</w:t>
      </w:r>
      <w:r w:rsidRPr="002D172D">
        <w:rPr>
          <w:rStyle w:val="FootnoteReference"/>
        </w:rPr>
        <w:footnoteReference w:id="7"/>
      </w:r>
      <w:r w:rsidRPr="002D172D">
        <w:t xml:space="preserve">  </w:t>
      </w:r>
    </w:p>
    <w:p w14:paraId="19D55E4D" w14:textId="2750FDB1" w:rsidR="0063757E" w:rsidRDefault="007542FE" w:rsidP="00B33C53">
      <w:pPr>
        <w:pStyle w:val="BodyText"/>
      </w:pPr>
      <w:r w:rsidRPr="0071313D">
        <w:t>Base salary</w:t>
      </w:r>
      <w:r w:rsidR="0037432B" w:rsidRPr="0071313D">
        <w:t xml:space="preserve"> in 20</w:t>
      </w:r>
      <w:r w:rsidR="008F1CB4" w:rsidRPr="000D396A">
        <w:t>1</w:t>
      </w:r>
      <w:r w:rsidR="00866A33" w:rsidRPr="003C4219">
        <w:t>7</w:t>
      </w:r>
      <w:r w:rsidRPr="0071313D">
        <w:t xml:space="preserve"> for FAA pers</w:t>
      </w:r>
      <w:r w:rsidR="00271BE7" w:rsidRPr="000D396A">
        <w:t>onnel is estimated to be $</w:t>
      </w:r>
      <w:r w:rsidR="00A2683E" w:rsidRPr="000D396A">
        <w:t>1</w:t>
      </w:r>
      <w:r w:rsidR="00866A33" w:rsidRPr="003C4219">
        <w:t>26,526</w:t>
      </w:r>
      <w:r w:rsidRPr="000D396A">
        <w:t>.</w:t>
      </w:r>
      <w:r w:rsidR="003D66EE">
        <w:rPr>
          <w:rStyle w:val="FootnoteReference"/>
        </w:rPr>
        <w:footnoteReference w:id="8"/>
      </w:r>
      <w:r w:rsidRPr="0071313D">
        <w:t xml:space="preserve">  As summarized in Table 3, the base salary </w:t>
      </w:r>
      <w:r w:rsidR="00776205">
        <w:t>adjusted</w:t>
      </w:r>
      <w:r w:rsidRPr="0071313D">
        <w:t xml:space="preserve"> with </w:t>
      </w:r>
      <w:r w:rsidR="004C0319">
        <w:t>F</w:t>
      </w:r>
      <w:r w:rsidRPr="0071313D">
        <w:t>ederal government fringe benefits is $</w:t>
      </w:r>
      <w:r w:rsidR="00A2683E" w:rsidRPr="0071313D">
        <w:t>1</w:t>
      </w:r>
      <w:r w:rsidR="000D396A" w:rsidRPr="003C4219">
        <w:t>72,39</w:t>
      </w:r>
      <w:r w:rsidR="003A616B">
        <w:t>2</w:t>
      </w:r>
      <w:r w:rsidRPr="000D396A">
        <w:t>, resulting in an FAA hourly labor cost of $</w:t>
      </w:r>
      <w:r w:rsidR="000D396A" w:rsidRPr="003C4219">
        <w:t>82.88</w:t>
      </w:r>
      <w:r w:rsidR="00A2683E" w:rsidRPr="000D396A">
        <w:t xml:space="preserve"> </w:t>
      </w:r>
      <w:r w:rsidRPr="00C16D87">
        <w:t>(calculated as $</w:t>
      </w:r>
      <w:r w:rsidR="008B0909" w:rsidRPr="00C16D87">
        <w:t>1</w:t>
      </w:r>
      <w:r w:rsidR="00C16D87" w:rsidRPr="003C4219">
        <w:t>72,39</w:t>
      </w:r>
      <w:r w:rsidR="003A616B">
        <w:t>2</w:t>
      </w:r>
      <w:r w:rsidRPr="0071313D">
        <w:t xml:space="preserve"> ÷ 2,080 = $</w:t>
      </w:r>
      <w:r w:rsidR="00C16D87" w:rsidRPr="003C4219">
        <w:t>82.88</w:t>
      </w:r>
      <w:r w:rsidRPr="00C16D87">
        <w:t xml:space="preserve">). </w:t>
      </w:r>
      <w:r w:rsidRPr="005C0316">
        <w:t xml:space="preserve">Multiplying the FAA hourly burden to review collected information by the </w:t>
      </w:r>
      <w:r w:rsidR="004C0319">
        <w:t>F</w:t>
      </w:r>
      <w:r w:rsidRPr="005C0316">
        <w:t xml:space="preserve">ederal government hourly labor cost yields </w:t>
      </w:r>
      <w:r w:rsidRPr="004F5D8C">
        <w:t>$</w:t>
      </w:r>
      <w:r w:rsidR="004F5D8C" w:rsidRPr="003C4219">
        <w:t>3</w:t>
      </w:r>
      <w:r w:rsidR="003A616B">
        <w:t>20,414</w:t>
      </w:r>
      <w:r w:rsidRPr="004F5D8C">
        <w:t xml:space="preserve"> (calculated as 3,</w:t>
      </w:r>
      <w:r w:rsidR="003A616B">
        <w:t>866</w:t>
      </w:r>
      <w:r w:rsidRPr="0071313D">
        <w:t xml:space="preserve"> × $</w:t>
      </w:r>
      <w:r w:rsidR="004F5D8C" w:rsidRPr="003C4219">
        <w:t>82.88</w:t>
      </w:r>
      <w:r w:rsidR="00A2683E" w:rsidRPr="004F5D8C">
        <w:t xml:space="preserve"> </w:t>
      </w:r>
      <w:r w:rsidRPr="004F5D8C">
        <w:t>= $</w:t>
      </w:r>
      <w:r w:rsidR="004F5D8C" w:rsidRPr="003C4219">
        <w:t>3</w:t>
      </w:r>
      <w:r w:rsidR="003A616B">
        <w:t>20,414</w:t>
      </w:r>
      <w:r w:rsidRPr="004F5D8C">
        <w:t xml:space="preserve">) to review an initial application, </w:t>
      </w:r>
      <w:r w:rsidR="00FA3404" w:rsidRPr="004F5D8C">
        <w:t>$1</w:t>
      </w:r>
      <w:r w:rsidR="00680F63">
        <w:t>60,207</w:t>
      </w:r>
      <w:r w:rsidR="00FA3404" w:rsidRPr="0071313D">
        <w:t xml:space="preserve"> to review a license modification (calculated as 50% of $</w:t>
      </w:r>
      <w:r w:rsidR="00680F63">
        <w:t>320,414</w:t>
      </w:r>
      <w:r w:rsidR="00396124" w:rsidRPr="004F5D8C">
        <w:t>)</w:t>
      </w:r>
      <w:r w:rsidR="00FA3404" w:rsidRPr="004F5D8C">
        <w:t xml:space="preserve">, </w:t>
      </w:r>
      <w:r w:rsidRPr="00301081">
        <w:t>and $</w:t>
      </w:r>
      <w:r w:rsidR="00680F63">
        <w:t>32,</w:t>
      </w:r>
      <w:r w:rsidR="00337454">
        <w:t>041</w:t>
      </w:r>
      <w:r w:rsidR="00337454" w:rsidRPr="00301081">
        <w:t xml:space="preserve"> </w:t>
      </w:r>
      <w:r w:rsidRPr="00301081">
        <w:t>to review a license renewal application</w:t>
      </w:r>
      <w:r w:rsidR="00396124" w:rsidRPr="00301081">
        <w:t xml:space="preserve"> </w:t>
      </w:r>
      <w:r w:rsidR="00FA3404" w:rsidRPr="00301081">
        <w:t>(calculated as 10% of $</w:t>
      </w:r>
      <w:r w:rsidR="00680F63">
        <w:t>320,414</w:t>
      </w:r>
      <w:r w:rsidR="00FA3404" w:rsidRPr="0071313D">
        <w:t>)</w:t>
      </w:r>
      <w:r w:rsidRPr="00301081">
        <w:t xml:space="preserve">.  </w:t>
      </w:r>
    </w:p>
    <w:p w14:paraId="69212D1D" w14:textId="7C54945E" w:rsidR="00C624B4" w:rsidRDefault="00C624B4" w:rsidP="00B33C53">
      <w:pPr>
        <w:pStyle w:val="BodyText"/>
      </w:pPr>
    </w:p>
    <w:p w14:paraId="17A85DDE" w14:textId="5A28A8D4" w:rsidR="007542FE" w:rsidRDefault="007542FE" w:rsidP="004B5C34">
      <w:pPr>
        <w:pStyle w:val="Heading3"/>
      </w:pPr>
      <w:r w:rsidRPr="0071313D">
        <w:t>TABLE 3. Publ</w:t>
      </w:r>
      <w:r w:rsidR="00F41D50">
        <w:t>ic Sector Fringe Benefit Factor</w:t>
      </w:r>
      <w:r w:rsidRPr="0071313D">
        <w:t xml:space="preserve"> and </w:t>
      </w:r>
      <w:r w:rsidR="00F41D50">
        <w:t>Total Compensation</w:t>
      </w:r>
    </w:p>
    <w:p w14:paraId="64E1BEC1" w14:textId="77777777" w:rsidR="00B6757E" w:rsidRPr="00B6757E" w:rsidRDefault="00B6757E" w:rsidP="00B6757E">
      <w:pPr>
        <w:pStyle w:val="BodyTex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382"/>
        <w:gridCol w:w="2917"/>
      </w:tblGrid>
      <w:tr w:rsidR="007542FE" w:rsidRPr="00953007" w14:paraId="53B3F313" w14:textId="77777777" w:rsidTr="00F41D50">
        <w:trPr>
          <w:cantSplit/>
          <w:trHeight w:val="244"/>
          <w:jc w:val="center"/>
        </w:trPr>
        <w:tc>
          <w:tcPr>
            <w:tcW w:w="6382" w:type="dxa"/>
            <w:shd w:val="pct10" w:color="auto" w:fill="auto"/>
          </w:tcPr>
          <w:p w14:paraId="3125BFB4" w14:textId="77777777" w:rsidR="007542FE" w:rsidRPr="00953007" w:rsidRDefault="007542FE" w:rsidP="00065D43">
            <w:pPr>
              <w:pStyle w:val="Heading6"/>
            </w:pPr>
            <w:r w:rsidRPr="00953007">
              <w:t>Category</w:t>
            </w:r>
          </w:p>
        </w:tc>
        <w:tc>
          <w:tcPr>
            <w:tcW w:w="2917" w:type="dxa"/>
            <w:shd w:val="pct10" w:color="auto" w:fill="auto"/>
          </w:tcPr>
          <w:p w14:paraId="10381CC2" w14:textId="019714BA" w:rsidR="007542FE" w:rsidRPr="00953007" w:rsidRDefault="00F41D50" w:rsidP="00065D43">
            <w:pPr>
              <w:pStyle w:val="Heading6"/>
            </w:pPr>
            <w:r>
              <w:t>Estimate</w:t>
            </w:r>
          </w:p>
        </w:tc>
      </w:tr>
      <w:tr w:rsidR="007542FE" w:rsidRPr="00953007" w14:paraId="1B4C4869" w14:textId="77777777" w:rsidTr="00F41D50">
        <w:trPr>
          <w:cantSplit/>
          <w:trHeight w:val="447"/>
          <w:jc w:val="center"/>
        </w:trPr>
        <w:tc>
          <w:tcPr>
            <w:tcW w:w="6382" w:type="dxa"/>
            <w:vAlign w:val="center"/>
          </w:tcPr>
          <w:p w14:paraId="39810D60" w14:textId="7D143E8D" w:rsidR="007542FE" w:rsidRPr="00953007" w:rsidRDefault="007542FE" w:rsidP="006061D7">
            <w:pPr>
              <w:pStyle w:val="CellBodyLeft"/>
            </w:pPr>
            <w:r w:rsidRPr="00953007">
              <w:t>Total Fringe Benefit</w:t>
            </w:r>
            <w:r w:rsidR="00BB7F76" w:rsidRPr="00BB7F76">
              <w:rPr>
                <w:vertAlign w:val="superscript"/>
              </w:rPr>
              <w:t>(a)</w:t>
            </w:r>
          </w:p>
        </w:tc>
        <w:tc>
          <w:tcPr>
            <w:tcW w:w="2917" w:type="dxa"/>
            <w:vAlign w:val="center"/>
          </w:tcPr>
          <w:p w14:paraId="26EADDD0" w14:textId="77777777" w:rsidR="007542FE" w:rsidRPr="0071313D" w:rsidRDefault="007542FE" w:rsidP="006061D7">
            <w:pPr>
              <w:pStyle w:val="CellBodyCenter"/>
            </w:pPr>
            <w:r w:rsidRPr="0071313D">
              <w:fldChar w:fldCharType="begin"/>
            </w:r>
            <w:r w:rsidRPr="00953007">
              <w:instrText xml:space="preserve"> =SUM(ABOVE)*100 \# "0.00%" </w:instrText>
            </w:r>
            <w:r w:rsidRPr="0071313D">
              <w:fldChar w:fldCharType="separate"/>
            </w:r>
            <w:r w:rsidRPr="0071313D">
              <w:rPr>
                <w:noProof/>
              </w:rPr>
              <w:t>3</w:t>
            </w:r>
            <w:r w:rsidR="008B0909" w:rsidRPr="00953007">
              <w:rPr>
                <w:noProof/>
              </w:rPr>
              <w:t>6</w:t>
            </w:r>
            <w:r w:rsidRPr="00953007">
              <w:rPr>
                <w:noProof/>
              </w:rPr>
              <w:t>.</w:t>
            </w:r>
            <w:r w:rsidR="008B0909" w:rsidRPr="00953007">
              <w:rPr>
                <w:noProof/>
              </w:rPr>
              <w:t>2</w:t>
            </w:r>
            <w:r w:rsidRPr="00953007">
              <w:rPr>
                <w:noProof/>
              </w:rPr>
              <w:t>5%</w:t>
            </w:r>
            <w:r w:rsidRPr="0071313D">
              <w:fldChar w:fldCharType="end"/>
            </w:r>
          </w:p>
        </w:tc>
      </w:tr>
      <w:tr w:rsidR="007542FE" w:rsidRPr="00953007" w14:paraId="66F72B63" w14:textId="77777777" w:rsidTr="00F41D50">
        <w:trPr>
          <w:cantSplit/>
          <w:trHeight w:val="427"/>
          <w:jc w:val="center"/>
        </w:trPr>
        <w:tc>
          <w:tcPr>
            <w:tcW w:w="6382" w:type="dxa"/>
            <w:vAlign w:val="center"/>
          </w:tcPr>
          <w:p w14:paraId="5882A16F" w14:textId="0159052E" w:rsidR="007542FE" w:rsidRPr="00953007" w:rsidRDefault="007542FE" w:rsidP="00F41D50">
            <w:pPr>
              <w:pStyle w:val="CellBodyLeft"/>
            </w:pPr>
            <w:r w:rsidRPr="00953007">
              <w:t xml:space="preserve">Federal Government </w:t>
            </w:r>
            <w:r w:rsidR="00F41D50">
              <w:t>Total Compensation (</w:t>
            </w:r>
            <w:r w:rsidRPr="00953007">
              <w:t>Salary</w:t>
            </w:r>
            <w:r w:rsidR="00F41D50">
              <w:t xml:space="preserve"> + Benefits)</w:t>
            </w:r>
            <w:r w:rsidR="00BB7F76" w:rsidRPr="00BB7F76">
              <w:rPr>
                <w:vertAlign w:val="superscript"/>
              </w:rPr>
              <w:t>(</w:t>
            </w:r>
            <w:r w:rsidR="00BB7F76">
              <w:rPr>
                <w:vertAlign w:val="superscript"/>
              </w:rPr>
              <w:t>b</w:t>
            </w:r>
            <w:r w:rsidR="00BB7F76" w:rsidRPr="00BB7F76">
              <w:rPr>
                <w:vertAlign w:val="superscript"/>
              </w:rPr>
              <w:t>)</w:t>
            </w:r>
          </w:p>
        </w:tc>
        <w:tc>
          <w:tcPr>
            <w:tcW w:w="2917" w:type="dxa"/>
            <w:vAlign w:val="center"/>
          </w:tcPr>
          <w:p w14:paraId="26780F7E" w14:textId="31A7ACFA" w:rsidR="007542FE" w:rsidRPr="0071313D" w:rsidRDefault="007542FE" w:rsidP="006061D7">
            <w:pPr>
              <w:pStyle w:val="CellBodyCenter"/>
            </w:pPr>
            <w:r w:rsidRPr="00953007">
              <w:t>$</w:t>
            </w:r>
            <w:r w:rsidR="00A2683E" w:rsidRPr="00953007">
              <w:t>1</w:t>
            </w:r>
            <w:r w:rsidR="00953007" w:rsidRPr="003C4219">
              <w:t>72,39</w:t>
            </w:r>
            <w:r w:rsidR="003A616B">
              <w:t>2</w:t>
            </w:r>
          </w:p>
        </w:tc>
      </w:tr>
    </w:tbl>
    <w:p w14:paraId="33487445" w14:textId="4669CDD4" w:rsidR="007542FE" w:rsidRPr="00BB7F76" w:rsidRDefault="00BB7F76" w:rsidP="00776205">
      <w:pPr>
        <w:pStyle w:val="TableNotes"/>
      </w:pPr>
      <w:r w:rsidRPr="00BB7F76">
        <w:rPr>
          <w:vertAlign w:val="superscript"/>
        </w:rPr>
        <w:t>(a)</w:t>
      </w:r>
      <w:r>
        <w:t xml:space="preserve"> Federal fringe benefit factor based on </w:t>
      </w:r>
      <w:hyperlink r:id="rId13" w:history="1">
        <w:r w:rsidRPr="00015D1E">
          <w:rPr>
            <w:rStyle w:val="Hyperlink"/>
          </w:rPr>
          <w:t>https://www.whitehouse.gov/sites/whitehouse.gov/files/omb/memoranda/2008/m08-13.pdf</w:t>
        </w:r>
      </w:hyperlink>
      <w:r w:rsidRPr="00BB7F76">
        <w:t xml:space="preserve"> (latest available)</w:t>
      </w:r>
      <w:r w:rsidR="007542FE" w:rsidRPr="00BB7F76">
        <w:t>.</w:t>
      </w:r>
    </w:p>
    <w:p w14:paraId="7DA145D7" w14:textId="57B9DB05" w:rsidR="007542FE" w:rsidRPr="00BB7F76" w:rsidRDefault="00BB7F76" w:rsidP="00BB7F76">
      <w:pPr>
        <w:pStyle w:val="TableNotes"/>
      </w:pPr>
      <w:r w:rsidRPr="00BB7F76">
        <w:rPr>
          <w:vertAlign w:val="superscript"/>
        </w:rPr>
        <w:t>(b)</w:t>
      </w:r>
      <w:r w:rsidR="00271BE7" w:rsidRPr="00BB7F76">
        <w:t xml:space="preserve"> Calculated as $</w:t>
      </w:r>
      <w:r w:rsidR="00A2683E" w:rsidRPr="00BB7F76">
        <w:t>1</w:t>
      </w:r>
      <w:r w:rsidR="00F326A5" w:rsidRPr="00BB7F76">
        <w:t>26,526</w:t>
      </w:r>
      <w:r w:rsidR="00271BE7" w:rsidRPr="00BB7F76">
        <w:t xml:space="preserve"> × 1.3</w:t>
      </w:r>
      <w:r w:rsidR="008B0909" w:rsidRPr="00BB7F76">
        <w:t>625</w:t>
      </w:r>
      <w:r w:rsidR="00271BE7" w:rsidRPr="00BB7F76">
        <w:t xml:space="preserve"> = $</w:t>
      </w:r>
      <w:r w:rsidR="00F326A5" w:rsidRPr="00BB7F76">
        <w:t>172,392</w:t>
      </w:r>
      <w:r w:rsidR="007542FE" w:rsidRPr="00BB7F76">
        <w:t>.</w:t>
      </w:r>
    </w:p>
    <w:p w14:paraId="2AA0D9FE" w14:textId="2F4069FB" w:rsidR="00BB7F76" w:rsidRDefault="00BB7F76" w:rsidP="00B33C53">
      <w:pPr>
        <w:pStyle w:val="BodyText"/>
      </w:pPr>
    </w:p>
    <w:p w14:paraId="67BE86E4" w14:textId="7811BEF1" w:rsidR="00BB7F76" w:rsidRDefault="00BB7F76" w:rsidP="00B33C53">
      <w:pPr>
        <w:pStyle w:val="BodyText"/>
      </w:pPr>
      <w:r>
        <w:t>As discussed above, t</w:t>
      </w:r>
      <w:r w:rsidRPr="00BB7F76">
        <w:t xml:space="preserve">he FAA expects cost estimates to vary widely by the number of applications since commercial space transportation is a rapidly evolving industry.  Therefore, the FAA provides a low and high range of </w:t>
      </w:r>
      <w:r w:rsidR="000B4ACF">
        <w:t xml:space="preserve">FAA cost </w:t>
      </w:r>
      <w:r w:rsidRPr="00BB7F76">
        <w:t xml:space="preserve">estimates based on a range of </w:t>
      </w:r>
      <w:r w:rsidR="000B4ACF">
        <w:t xml:space="preserve">potential annual applications. </w:t>
      </w:r>
      <w:r w:rsidRPr="00BB7F76">
        <w:t xml:space="preserve">The FAA provides an average </w:t>
      </w:r>
      <w:r w:rsidR="000B4ACF">
        <w:t>for</w:t>
      </w:r>
      <w:r w:rsidRPr="00BB7F76">
        <w:t xml:space="preserve"> the primary estimate for reporting to OMB and in a notice for public comment published in the Federal Register.</w:t>
      </w:r>
    </w:p>
    <w:p w14:paraId="00D6D207" w14:textId="77777777" w:rsidR="00817204" w:rsidRDefault="00817204" w:rsidP="00B33C53">
      <w:pPr>
        <w:pStyle w:val="BodyText"/>
      </w:pPr>
    </w:p>
    <w:p w14:paraId="56F120CF" w14:textId="595CE198" w:rsidR="00817204" w:rsidRPr="00B6757E" w:rsidRDefault="00817204" w:rsidP="00B33C53">
      <w:pPr>
        <w:pStyle w:val="BodyText"/>
        <w:rPr>
          <w:u w:val="single"/>
        </w:rPr>
      </w:pPr>
      <w:r w:rsidRPr="00B6757E">
        <w:rPr>
          <w:u w:val="single"/>
        </w:rPr>
        <w:t>Low Range</w:t>
      </w:r>
    </w:p>
    <w:p w14:paraId="5B477A28" w14:textId="77777777" w:rsidR="00C624B4" w:rsidRPr="00766820" w:rsidRDefault="00C624B4" w:rsidP="00B33C53">
      <w:pPr>
        <w:pStyle w:val="BodyText"/>
      </w:pPr>
    </w:p>
    <w:p w14:paraId="10BEA747" w14:textId="18F8F036" w:rsidR="00BB7F76" w:rsidRDefault="00BB7F76" w:rsidP="00B33C53">
      <w:pPr>
        <w:pStyle w:val="BodyText"/>
      </w:pPr>
      <w:r w:rsidRPr="000A0E8F">
        <w:t xml:space="preserve">Multiplying the application cost by the estimated </w:t>
      </w:r>
      <w:r>
        <w:t xml:space="preserve">low range </w:t>
      </w:r>
      <w:r w:rsidRPr="000A0E8F">
        <w:t xml:space="preserve">annual number of applications yields the </w:t>
      </w:r>
      <w:r w:rsidR="00376B52">
        <w:t xml:space="preserve">total </w:t>
      </w:r>
      <w:r w:rsidRPr="000A0E8F">
        <w:t xml:space="preserve">annual collected information review and processing cost burden to the FAA associated with the </w:t>
      </w:r>
      <w:r w:rsidR="00376B52">
        <w:t>collection</w:t>
      </w:r>
      <w:r w:rsidRPr="000A0E8F">
        <w:t xml:space="preserve"> — $</w:t>
      </w:r>
      <w:r>
        <w:t xml:space="preserve">961,242 </w:t>
      </w:r>
      <w:r w:rsidRPr="000A0E8F">
        <w:t>for initial licenses, $</w:t>
      </w:r>
      <w:r>
        <w:t>96</w:t>
      </w:r>
      <w:r w:rsidR="00376B52">
        <w:t>1</w:t>
      </w:r>
      <w:r>
        <w:t xml:space="preserve">,242 </w:t>
      </w:r>
      <w:r w:rsidRPr="000A0E8F">
        <w:t>for modified licenses, and $</w:t>
      </w:r>
      <w:r>
        <w:t xml:space="preserve">64,150 </w:t>
      </w:r>
      <w:r w:rsidRPr="000A0E8F">
        <w:t>for renewals.  This is summarized in Table 4</w:t>
      </w:r>
      <w:r w:rsidRPr="003C4219">
        <w:t>a</w:t>
      </w:r>
      <w:r w:rsidRPr="000A0E8F">
        <w:t>.</w:t>
      </w:r>
    </w:p>
    <w:p w14:paraId="446A37D0" w14:textId="4664B607" w:rsidR="00376B52" w:rsidRPr="003C4219" w:rsidRDefault="00376B52" w:rsidP="00B33C53">
      <w:pPr>
        <w:pStyle w:val="BodyText"/>
        <w:rPr>
          <w:highlight w:val="yellow"/>
        </w:rPr>
      </w:pPr>
    </w:p>
    <w:p w14:paraId="64754907" w14:textId="145C5709" w:rsidR="00817204" w:rsidRPr="00C67F72" w:rsidRDefault="00817204" w:rsidP="00B33C53">
      <w:pPr>
        <w:pStyle w:val="BodyText"/>
      </w:pPr>
      <w:r>
        <w:t>For the low range, t</w:t>
      </w:r>
      <w:r w:rsidRPr="00C67F72">
        <w:t xml:space="preserve">he </w:t>
      </w:r>
      <w:r w:rsidR="00A031C7">
        <w:t xml:space="preserve">total average annual hour burden to the FAA is 23,970 and total average annual </w:t>
      </w:r>
      <w:r w:rsidRPr="00C67F72">
        <w:t>cost</w:t>
      </w:r>
      <w:r w:rsidR="00A031C7">
        <w:t>s</w:t>
      </w:r>
      <w:r w:rsidRPr="00C67F72">
        <w:t xml:space="preserve"> to the FAA </w:t>
      </w:r>
      <w:r w:rsidR="00A031C7">
        <w:t>is</w:t>
      </w:r>
      <w:r w:rsidRPr="00C67F72">
        <w:t xml:space="preserve"> $1,986,</w:t>
      </w:r>
      <w:r>
        <w:t>566</w:t>
      </w:r>
      <w:r w:rsidRPr="00C67F72">
        <w:t>.</w:t>
      </w:r>
    </w:p>
    <w:p w14:paraId="21596279" w14:textId="5D10F2C8" w:rsidR="003C4219" w:rsidRDefault="003C4219">
      <w:pPr>
        <w:rPr>
          <w:b/>
          <w:bCs/>
        </w:rPr>
      </w:pPr>
      <w:r>
        <w:br w:type="page"/>
      </w:r>
    </w:p>
    <w:p w14:paraId="00D14067" w14:textId="0BBFC602" w:rsidR="004078E7" w:rsidRDefault="0036222D" w:rsidP="004B5C34">
      <w:pPr>
        <w:pStyle w:val="Heading3"/>
      </w:pPr>
      <w:r w:rsidRPr="00F326A5">
        <w:t xml:space="preserve">TABLE </w:t>
      </w:r>
      <w:r w:rsidRPr="007363A1">
        <w:t>4</w:t>
      </w:r>
      <w:r w:rsidR="00110A69">
        <w:t>a</w:t>
      </w:r>
      <w:r w:rsidRPr="0071313D">
        <w:t xml:space="preserve">. </w:t>
      </w:r>
      <w:r w:rsidR="002C3164">
        <w:t>Low R</w:t>
      </w:r>
      <w:r w:rsidR="00110A69">
        <w:t xml:space="preserve">ange for </w:t>
      </w:r>
      <w:r w:rsidR="007542FE" w:rsidRPr="0071313D">
        <w:t xml:space="preserve">Burden </w:t>
      </w:r>
      <w:r w:rsidR="002C3164">
        <w:t xml:space="preserve">&amp; Costs </w:t>
      </w:r>
      <w:r w:rsidR="007542FE" w:rsidRPr="0071313D">
        <w:t>to Federal Government</w:t>
      </w:r>
      <w:r w:rsidR="003D66EE">
        <w:t>*</w:t>
      </w:r>
    </w:p>
    <w:p w14:paraId="571BF817" w14:textId="77777777" w:rsidR="00B6757E" w:rsidRPr="00B6757E" w:rsidRDefault="00B6757E" w:rsidP="00B6757E">
      <w:pPr>
        <w:pStyle w:val="BodyText"/>
        <w:rPr>
          <w:highlight w:val="yellow"/>
        </w:rPr>
      </w:pPr>
    </w:p>
    <w:tbl>
      <w:tblPr>
        <w:tblW w:w="9340" w:type="dxa"/>
        <w:jc w:val="center"/>
        <w:tblLook w:val="04A0" w:firstRow="1" w:lastRow="0" w:firstColumn="1" w:lastColumn="0" w:noHBand="0" w:noVBand="1"/>
      </w:tblPr>
      <w:tblGrid>
        <w:gridCol w:w="2305"/>
        <w:gridCol w:w="1658"/>
        <w:gridCol w:w="1814"/>
        <w:gridCol w:w="1727"/>
        <w:gridCol w:w="1836"/>
      </w:tblGrid>
      <w:tr w:rsidR="002C3164" w14:paraId="7C642F5C" w14:textId="77777777" w:rsidTr="002C3164">
        <w:trPr>
          <w:trHeight w:val="325"/>
          <w:tblHeader/>
          <w:jc w:val="center"/>
        </w:trPr>
        <w:tc>
          <w:tcPr>
            <w:tcW w:w="2305"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14:paraId="56C41B5D" w14:textId="77777777" w:rsidR="002C3164" w:rsidRDefault="002C3164">
            <w:pPr>
              <w:jc w:val="center"/>
              <w:rPr>
                <w:rFonts w:ascii="Arial" w:hAnsi="Arial" w:cs="Arial"/>
                <w:b/>
                <w:bCs/>
                <w:color w:val="000000"/>
              </w:rPr>
            </w:pPr>
            <w:r>
              <w:rPr>
                <w:rFonts w:ascii="Arial" w:hAnsi="Arial" w:cs="Arial"/>
                <w:b/>
                <w:bCs/>
                <w:color w:val="000000"/>
              </w:rPr>
              <w:t>Category</w:t>
            </w:r>
          </w:p>
        </w:tc>
        <w:tc>
          <w:tcPr>
            <w:tcW w:w="7035" w:type="dxa"/>
            <w:gridSpan w:val="4"/>
            <w:tcBorders>
              <w:top w:val="single" w:sz="8" w:space="0" w:color="auto"/>
              <w:left w:val="nil"/>
              <w:bottom w:val="single" w:sz="8" w:space="0" w:color="auto"/>
              <w:right w:val="single" w:sz="8" w:space="0" w:color="000000"/>
            </w:tcBorders>
            <w:shd w:val="clear" w:color="000000" w:fill="E6E6E6"/>
          </w:tcPr>
          <w:p w14:paraId="3C5AA477" w14:textId="01BA67BD" w:rsidR="002C3164" w:rsidRDefault="002C3164">
            <w:pPr>
              <w:jc w:val="center"/>
              <w:rPr>
                <w:rFonts w:ascii="Arial" w:hAnsi="Arial" w:cs="Arial"/>
                <w:b/>
                <w:bCs/>
                <w:color w:val="000000"/>
              </w:rPr>
            </w:pPr>
            <w:r>
              <w:rPr>
                <w:rFonts w:ascii="Arial" w:hAnsi="Arial" w:cs="Arial"/>
                <w:b/>
                <w:bCs/>
                <w:color w:val="000000"/>
              </w:rPr>
              <w:t>Hour Burden &amp; Costs</w:t>
            </w:r>
          </w:p>
        </w:tc>
      </w:tr>
      <w:tr w:rsidR="00A031C7" w14:paraId="71E8D87A" w14:textId="77777777" w:rsidTr="002C3164">
        <w:trPr>
          <w:trHeight w:val="639"/>
          <w:tblHeader/>
          <w:jc w:val="center"/>
        </w:trPr>
        <w:tc>
          <w:tcPr>
            <w:tcW w:w="2305" w:type="dxa"/>
            <w:vMerge/>
            <w:tcBorders>
              <w:top w:val="single" w:sz="8" w:space="0" w:color="auto"/>
              <w:left w:val="single" w:sz="8" w:space="0" w:color="auto"/>
              <w:bottom w:val="single" w:sz="8" w:space="0" w:color="000000"/>
              <w:right w:val="single" w:sz="8" w:space="0" w:color="auto"/>
            </w:tcBorders>
            <w:vAlign w:val="center"/>
            <w:hideMark/>
          </w:tcPr>
          <w:p w14:paraId="2A79DD3A" w14:textId="77777777" w:rsidR="00A031C7" w:rsidRDefault="00A031C7" w:rsidP="00A031C7">
            <w:pPr>
              <w:rPr>
                <w:rFonts w:ascii="Arial" w:hAnsi="Arial" w:cs="Arial"/>
                <w:b/>
                <w:bCs/>
                <w:color w:val="000000"/>
              </w:rPr>
            </w:pPr>
          </w:p>
        </w:tc>
        <w:tc>
          <w:tcPr>
            <w:tcW w:w="1658" w:type="dxa"/>
            <w:tcBorders>
              <w:top w:val="nil"/>
              <w:left w:val="nil"/>
              <w:bottom w:val="nil"/>
              <w:right w:val="single" w:sz="8" w:space="0" w:color="auto"/>
            </w:tcBorders>
            <w:shd w:val="clear" w:color="000000" w:fill="E6E6E6"/>
            <w:vAlign w:val="center"/>
            <w:hideMark/>
          </w:tcPr>
          <w:p w14:paraId="2028B6D7" w14:textId="77777777" w:rsidR="00A031C7" w:rsidRDefault="00A031C7" w:rsidP="00A031C7">
            <w:pPr>
              <w:jc w:val="center"/>
              <w:rPr>
                <w:rFonts w:ascii="Arial" w:hAnsi="Arial" w:cs="Arial"/>
                <w:b/>
                <w:bCs/>
                <w:color w:val="000000"/>
              </w:rPr>
            </w:pPr>
            <w:r>
              <w:rPr>
                <w:rFonts w:ascii="Arial" w:hAnsi="Arial" w:cs="Arial"/>
                <w:b/>
                <w:bCs/>
                <w:color w:val="000000"/>
              </w:rPr>
              <w:t>Initial</w:t>
            </w:r>
          </w:p>
        </w:tc>
        <w:tc>
          <w:tcPr>
            <w:tcW w:w="1814" w:type="dxa"/>
            <w:vMerge w:val="restart"/>
            <w:tcBorders>
              <w:top w:val="nil"/>
              <w:left w:val="single" w:sz="8" w:space="0" w:color="auto"/>
              <w:bottom w:val="single" w:sz="8" w:space="0" w:color="000000"/>
              <w:right w:val="single" w:sz="8" w:space="0" w:color="auto"/>
            </w:tcBorders>
            <w:shd w:val="clear" w:color="000000" w:fill="E6E6E6"/>
            <w:vAlign w:val="center"/>
            <w:hideMark/>
          </w:tcPr>
          <w:p w14:paraId="54FB157E" w14:textId="5755E776" w:rsidR="00A031C7" w:rsidRDefault="00A031C7" w:rsidP="00A031C7">
            <w:pPr>
              <w:jc w:val="center"/>
              <w:rPr>
                <w:rFonts w:ascii="Arial" w:hAnsi="Arial" w:cs="Arial"/>
                <w:b/>
                <w:bCs/>
                <w:color w:val="000000"/>
              </w:rPr>
            </w:pPr>
            <w:r>
              <w:rPr>
                <w:rFonts w:ascii="Arial" w:hAnsi="Arial" w:cs="Arial"/>
                <w:b/>
                <w:bCs/>
                <w:color w:val="000000"/>
              </w:rPr>
              <w:t>Modification Application</w:t>
            </w:r>
            <w:r w:rsidRPr="003D66EE">
              <w:rPr>
                <w:rFonts w:ascii="Arial" w:hAnsi="Arial" w:cs="Arial"/>
                <w:b/>
                <w:bCs/>
                <w:color w:val="000000"/>
                <w:vertAlign w:val="superscript"/>
              </w:rPr>
              <w:t>(</w:t>
            </w:r>
            <w:r>
              <w:rPr>
                <w:rFonts w:ascii="Arial" w:hAnsi="Arial" w:cs="Arial"/>
                <w:b/>
                <w:bCs/>
                <w:color w:val="000000"/>
                <w:vertAlign w:val="superscript"/>
              </w:rPr>
              <w:t>a)</w:t>
            </w:r>
          </w:p>
        </w:tc>
        <w:tc>
          <w:tcPr>
            <w:tcW w:w="1727" w:type="dxa"/>
            <w:tcBorders>
              <w:top w:val="nil"/>
              <w:left w:val="nil"/>
              <w:bottom w:val="nil"/>
              <w:right w:val="single" w:sz="6" w:space="0" w:color="auto"/>
            </w:tcBorders>
            <w:shd w:val="clear" w:color="000000" w:fill="E6E6E6"/>
            <w:vAlign w:val="center"/>
          </w:tcPr>
          <w:p w14:paraId="55FDCC99" w14:textId="25C0C7F5" w:rsidR="00A031C7" w:rsidRDefault="00A031C7" w:rsidP="00A031C7">
            <w:pPr>
              <w:jc w:val="center"/>
              <w:rPr>
                <w:rFonts w:ascii="Arial" w:hAnsi="Arial" w:cs="Arial"/>
                <w:b/>
                <w:bCs/>
                <w:color w:val="000000"/>
              </w:rPr>
            </w:pPr>
            <w:r>
              <w:rPr>
                <w:rFonts w:ascii="Arial" w:hAnsi="Arial" w:cs="Arial"/>
                <w:b/>
                <w:bCs/>
                <w:color w:val="000000"/>
              </w:rPr>
              <w:t>Renewal</w:t>
            </w:r>
          </w:p>
        </w:tc>
        <w:tc>
          <w:tcPr>
            <w:tcW w:w="1836" w:type="dxa"/>
            <w:tcBorders>
              <w:top w:val="nil"/>
              <w:left w:val="single" w:sz="6" w:space="0" w:color="auto"/>
              <w:bottom w:val="nil"/>
              <w:right w:val="single" w:sz="8" w:space="0" w:color="auto"/>
            </w:tcBorders>
            <w:shd w:val="clear" w:color="000000" w:fill="E6E6E6"/>
            <w:vAlign w:val="center"/>
          </w:tcPr>
          <w:p w14:paraId="3F74763D" w14:textId="2ADE08B0" w:rsidR="00A031C7" w:rsidRDefault="00A031C7" w:rsidP="00A031C7">
            <w:pPr>
              <w:jc w:val="center"/>
              <w:rPr>
                <w:rFonts w:ascii="Arial" w:hAnsi="Arial" w:cs="Arial"/>
                <w:b/>
                <w:bCs/>
                <w:color w:val="000000"/>
              </w:rPr>
            </w:pPr>
            <w:r>
              <w:rPr>
                <w:rFonts w:ascii="Arial" w:hAnsi="Arial" w:cs="Arial"/>
                <w:b/>
                <w:bCs/>
                <w:color w:val="000000"/>
              </w:rPr>
              <w:t>Total</w:t>
            </w:r>
          </w:p>
        </w:tc>
      </w:tr>
      <w:tr w:rsidR="00A031C7" w14:paraId="1405A89C" w14:textId="77777777" w:rsidTr="002C3164">
        <w:trPr>
          <w:trHeight w:val="373"/>
          <w:jc w:val="center"/>
        </w:trPr>
        <w:tc>
          <w:tcPr>
            <w:tcW w:w="2305" w:type="dxa"/>
            <w:vMerge/>
            <w:tcBorders>
              <w:top w:val="single" w:sz="8" w:space="0" w:color="auto"/>
              <w:left w:val="single" w:sz="8" w:space="0" w:color="auto"/>
              <w:bottom w:val="single" w:sz="8" w:space="0" w:color="000000"/>
              <w:right w:val="single" w:sz="8" w:space="0" w:color="auto"/>
            </w:tcBorders>
            <w:vAlign w:val="center"/>
            <w:hideMark/>
          </w:tcPr>
          <w:p w14:paraId="0CC5A3C1" w14:textId="77777777" w:rsidR="00A031C7" w:rsidRDefault="00A031C7" w:rsidP="00A031C7">
            <w:pPr>
              <w:rPr>
                <w:rFonts w:ascii="Arial" w:hAnsi="Arial" w:cs="Arial"/>
                <w:b/>
                <w:bCs/>
                <w:color w:val="000000"/>
              </w:rPr>
            </w:pPr>
          </w:p>
        </w:tc>
        <w:tc>
          <w:tcPr>
            <w:tcW w:w="1658" w:type="dxa"/>
            <w:tcBorders>
              <w:top w:val="nil"/>
              <w:left w:val="nil"/>
              <w:bottom w:val="single" w:sz="8" w:space="0" w:color="auto"/>
              <w:right w:val="single" w:sz="8" w:space="0" w:color="auto"/>
            </w:tcBorders>
            <w:shd w:val="clear" w:color="000000" w:fill="E6E6E6"/>
            <w:vAlign w:val="center"/>
            <w:hideMark/>
          </w:tcPr>
          <w:p w14:paraId="1527D817" w14:textId="77777777" w:rsidR="00A031C7" w:rsidRDefault="00A031C7" w:rsidP="00A031C7">
            <w:pPr>
              <w:jc w:val="center"/>
              <w:rPr>
                <w:rFonts w:ascii="Arial" w:hAnsi="Arial" w:cs="Arial"/>
                <w:b/>
                <w:bCs/>
                <w:color w:val="000000"/>
              </w:rPr>
            </w:pPr>
            <w:r>
              <w:rPr>
                <w:rFonts w:ascii="Arial" w:hAnsi="Arial" w:cs="Arial"/>
                <w:b/>
                <w:bCs/>
                <w:color w:val="000000"/>
              </w:rPr>
              <w:t>Application</w:t>
            </w:r>
          </w:p>
        </w:tc>
        <w:tc>
          <w:tcPr>
            <w:tcW w:w="1814" w:type="dxa"/>
            <w:vMerge/>
            <w:tcBorders>
              <w:top w:val="nil"/>
              <w:left w:val="single" w:sz="8" w:space="0" w:color="auto"/>
              <w:bottom w:val="single" w:sz="8" w:space="0" w:color="000000"/>
              <w:right w:val="single" w:sz="8" w:space="0" w:color="auto"/>
            </w:tcBorders>
            <w:vAlign w:val="center"/>
            <w:hideMark/>
          </w:tcPr>
          <w:p w14:paraId="3499ADF1" w14:textId="77777777" w:rsidR="00A031C7" w:rsidRDefault="00A031C7" w:rsidP="00A031C7">
            <w:pPr>
              <w:rPr>
                <w:rFonts w:ascii="Arial" w:hAnsi="Arial" w:cs="Arial"/>
                <w:b/>
                <w:bCs/>
                <w:color w:val="000000"/>
              </w:rPr>
            </w:pPr>
          </w:p>
        </w:tc>
        <w:tc>
          <w:tcPr>
            <w:tcW w:w="1727" w:type="dxa"/>
            <w:tcBorders>
              <w:top w:val="nil"/>
              <w:left w:val="nil"/>
              <w:bottom w:val="single" w:sz="8" w:space="0" w:color="auto"/>
              <w:right w:val="single" w:sz="6" w:space="0" w:color="auto"/>
            </w:tcBorders>
            <w:shd w:val="clear" w:color="000000" w:fill="E6E6E6"/>
            <w:vAlign w:val="center"/>
          </w:tcPr>
          <w:p w14:paraId="2ABA566D" w14:textId="42359FEF" w:rsidR="00A031C7" w:rsidRDefault="00A031C7" w:rsidP="00A031C7">
            <w:pPr>
              <w:jc w:val="center"/>
              <w:rPr>
                <w:rFonts w:ascii="Arial" w:hAnsi="Arial" w:cs="Arial"/>
                <w:b/>
                <w:bCs/>
                <w:color w:val="000000"/>
              </w:rPr>
            </w:pPr>
            <w:r>
              <w:rPr>
                <w:rFonts w:ascii="Arial" w:hAnsi="Arial" w:cs="Arial"/>
                <w:b/>
                <w:bCs/>
                <w:color w:val="000000"/>
              </w:rPr>
              <w:t>Application</w:t>
            </w:r>
            <w:r w:rsidRPr="003D66EE">
              <w:rPr>
                <w:rFonts w:ascii="Arial" w:hAnsi="Arial" w:cs="Arial"/>
                <w:b/>
                <w:bCs/>
                <w:color w:val="000000"/>
                <w:vertAlign w:val="superscript"/>
              </w:rPr>
              <w:t>(</w:t>
            </w:r>
            <w:r>
              <w:rPr>
                <w:rFonts w:ascii="Arial" w:hAnsi="Arial" w:cs="Arial"/>
                <w:b/>
                <w:bCs/>
                <w:color w:val="000000"/>
                <w:vertAlign w:val="superscript"/>
              </w:rPr>
              <w:t>b)</w:t>
            </w:r>
          </w:p>
        </w:tc>
        <w:tc>
          <w:tcPr>
            <w:tcW w:w="1836" w:type="dxa"/>
            <w:tcBorders>
              <w:top w:val="nil"/>
              <w:left w:val="single" w:sz="6" w:space="0" w:color="auto"/>
              <w:bottom w:val="single" w:sz="8" w:space="0" w:color="auto"/>
              <w:right w:val="single" w:sz="8" w:space="0" w:color="auto"/>
            </w:tcBorders>
            <w:shd w:val="clear" w:color="000000" w:fill="E6E6E6"/>
            <w:vAlign w:val="center"/>
          </w:tcPr>
          <w:p w14:paraId="06B2CA40" w14:textId="1E8FD584" w:rsidR="00A031C7" w:rsidRDefault="00A031C7" w:rsidP="00A031C7">
            <w:pPr>
              <w:jc w:val="center"/>
              <w:rPr>
                <w:rFonts w:ascii="Arial" w:hAnsi="Arial" w:cs="Arial"/>
                <w:b/>
                <w:bCs/>
                <w:color w:val="000000"/>
              </w:rPr>
            </w:pPr>
          </w:p>
        </w:tc>
      </w:tr>
      <w:tr w:rsidR="00A031C7" w14:paraId="23E91559" w14:textId="77777777" w:rsidTr="002C3164">
        <w:trPr>
          <w:trHeight w:val="566"/>
          <w:jc w:val="center"/>
        </w:trPr>
        <w:tc>
          <w:tcPr>
            <w:tcW w:w="2305" w:type="dxa"/>
            <w:tcBorders>
              <w:top w:val="nil"/>
              <w:left w:val="single" w:sz="8" w:space="0" w:color="auto"/>
              <w:bottom w:val="single" w:sz="8" w:space="0" w:color="auto"/>
              <w:right w:val="single" w:sz="8" w:space="0" w:color="auto"/>
            </w:tcBorders>
            <w:shd w:val="clear" w:color="auto" w:fill="auto"/>
            <w:vAlign w:val="center"/>
            <w:hideMark/>
          </w:tcPr>
          <w:p w14:paraId="3822145B" w14:textId="77777777" w:rsidR="00A031C7" w:rsidRDefault="00A031C7" w:rsidP="00A031C7">
            <w:pPr>
              <w:rPr>
                <w:rFonts w:ascii="Arial" w:hAnsi="Arial" w:cs="Arial"/>
                <w:color w:val="000000"/>
                <w:sz w:val="22"/>
                <w:szCs w:val="22"/>
              </w:rPr>
            </w:pPr>
            <w:r>
              <w:rPr>
                <w:rFonts w:ascii="Arial" w:hAnsi="Arial" w:cs="Arial"/>
                <w:color w:val="000000"/>
                <w:sz w:val="22"/>
                <w:szCs w:val="22"/>
              </w:rPr>
              <w:t>Hours required to submit each application</w:t>
            </w:r>
          </w:p>
        </w:tc>
        <w:tc>
          <w:tcPr>
            <w:tcW w:w="1658" w:type="dxa"/>
            <w:tcBorders>
              <w:top w:val="nil"/>
              <w:left w:val="nil"/>
              <w:bottom w:val="single" w:sz="8" w:space="0" w:color="auto"/>
              <w:right w:val="single" w:sz="8" w:space="0" w:color="auto"/>
            </w:tcBorders>
            <w:shd w:val="clear" w:color="auto" w:fill="auto"/>
            <w:vAlign w:val="center"/>
            <w:hideMark/>
          </w:tcPr>
          <w:p w14:paraId="0E73BCEE" w14:textId="77777777" w:rsidR="00A031C7" w:rsidRDefault="00A031C7" w:rsidP="00A031C7">
            <w:pPr>
              <w:jc w:val="center"/>
              <w:rPr>
                <w:rFonts w:ascii="Arial" w:hAnsi="Arial" w:cs="Arial"/>
                <w:color w:val="000000"/>
                <w:sz w:val="22"/>
                <w:szCs w:val="22"/>
              </w:rPr>
            </w:pPr>
            <w:r>
              <w:rPr>
                <w:rFonts w:ascii="Arial" w:hAnsi="Arial" w:cs="Arial"/>
                <w:color w:val="000000"/>
                <w:sz w:val="22"/>
                <w:szCs w:val="22"/>
              </w:rPr>
              <w:t>3,866</w:t>
            </w:r>
          </w:p>
        </w:tc>
        <w:tc>
          <w:tcPr>
            <w:tcW w:w="1814" w:type="dxa"/>
            <w:tcBorders>
              <w:top w:val="nil"/>
              <w:left w:val="nil"/>
              <w:bottom w:val="single" w:sz="8" w:space="0" w:color="auto"/>
              <w:right w:val="single" w:sz="8" w:space="0" w:color="auto"/>
            </w:tcBorders>
            <w:shd w:val="clear" w:color="auto" w:fill="auto"/>
            <w:vAlign w:val="center"/>
            <w:hideMark/>
          </w:tcPr>
          <w:p w14:paraId="0923B016" w14:textId="77777777" w:rsidR="00A031C7" w:rsidRDefault="00A031C7" w:rsidP="00A031C7">
            <w:pPr>
              <w:jc w:val="center"/>
              <w:rPr>
                <w:rFonts w:ascii="Arial" w:hAnsi="Arial" w:cs="Arial"/>
                <w:color w:val="000000"/>
                <w:sz w:val="22"/>
                <w:szCs w:val="22"/>
              </w:rPr>
            </w:pPr>
            <w:r>
              <w:rPr>
                <w:rFonts w:ascii="Arial" w:hAnsi="Arial" w:cs="Arial"/>
                <w:color w:val="000000"/>
                <w:sz w:val="22"/>
                <w:szCs w:val="22"/>
              </w:rPr>
              <w:t>1,933</w:t>
            </w:r>
          </w:p>
        </w:tc>
        <w:tc>
          <w:tcPr>
            <w:tcW w:w="1727" w:type="dxa"/>
            <w:tcBorders>
              <w:top w:val="nil"/>
              <w:left w:val="nil"/>
              <w:bottom w:val="single" w:sz="8" w:space="0" w:color="auto"/>
              <w:right w:val="single" w:sz="6" w:space="0" w:color="auto"/>
            </w:tcBorders>
            <w:vAlign w:val="center"/>
          </w:tcPr>
          <w:p w14:paraId="2E4138A7" w14:textId="6773311A" w:rsidR="00A031C7" w:rsidRDefault="00A031C7" w:rsidP="00A031C7">
            <w:pPr>
              <w:jc w:val="center"/>
              <w:rPr>
                <w:rFonts w:ascii="Arial" w:hAnsi="Arial" w:cs="Arial"/>
                <w:color w:val="000000"/>
                <w:sz w:val="22"/>
                <w:szCs w:val="22"/>
              </w:rPr>
            </w:pPr>
            <w:r>
              <w:rPr>
                <w:rFonts w:ascii="Arial" w:hAnsi="Arial" w:cs="Arial"/>
                <w:color w:val="000000"/>
                <w:sz w:val="22"/>
                <w:szCs w:val="22"/>
              </w:rPr>
              <w:t>387</w:t>
            </w:r>
          </w:p>
        </w:tc>
        <w:tc>
          <w:tcPr>
            <w:tcW w:w="1836" w:type="dxa"/>
            <w:tcBorders>
              <w:top w:val="nil"/>
              <w:left w:val="single" w:sz="6" w:space="0" w:color="auto"/>
              <w:bottom w:val="single" w:sz="8" w:space="0" w:color="auto"/>
              <w:right w:val="single" w:sz="8" w:space="0" w:color="auto"/>
            </w:tcBorders>
            <w:shd w:val="clear" w:color="auto" w:fill="auto"/>
            <w:vAlign w:val="center"/>
          </w:tcPr>
          <w:p w14:paraId="3926E341" w14:textId="1949B4E2" w:rsidR="00A031C7" w:rsidRDefault="00A031C7" w:rsidP="00A031C7">
            <w:pPr>
              <w:jc w:val="center"/>
              <w:rPr>
                <w:rFonts w:ascii="Arial" w:hAnsi="Arial" w:cs="Arial"/>
                <w:color w:val="000000"/>
                <w:sz w:val="22"/>
                <w:szCs w:val="22"/>
              </w:rPr>
            </w:pPr>
            <w:r>
              <w:rPr>
                <w:rFonts w:ascii="Arial" w:hAnsi="Arial" w:cs="Arial"/>
                <w:color w:val="000000"/>
                <w:sz w:val="22"/>
                <w:szCs w:val="22"/>
              </w:rPr>
              <w:t>n/a</w:t>
            </w:r>
          </w:p>
        </w:tc>
      </w:tr>
      <w:tr w:rsidR="00A031C7" w14:paraId="0E5391CB" w14:textId="77777777" w:rsidTr="002C3164">
        <w:trPr>
          <w:trHeight w:val="614"/>
          <w:jc w:val="center"/>
        </w:trPr>
        <w:tc>
          <w:tcPr>
            <w:tcW w:w="2305" w:type="dxa"/>
            <w:tcBorders>
              <w:top w:val="nil"/>
              <w:left w:val="single" w:sz="8" w:space="0" w:color="auto"/>
              <w:bottom w:val="single" w:sz="8" w:space="0" w:color="auto"/>
              <w:right w:val="single" w:sz="8" w:space="0" w:color="auto"/>
            </w:tcBorders>
            <w:shd w:val="clear" w:color="auto" w:fill="auto"/>
            <w:vAlign w:val="center"/>
            <w:hideMark/>
          </w:tcPr>
          <w:p w14:paraId="3FE4BDEA" w14:textId="08DF7352" w:rsidR="00A031C7" w:rsidRDefault="00A031C7" w:rsidP="00A031C7">
            <w:pPr>
              <w:rPr>
                <w:rFonts w:ascii="Arial" w:hAnsi="Arial" w:cs="Arial"/>
                <w:color w:val="000000"/>
                <w:sz w:val="22"/>
                <w:szCs w:val="22"/>
              </w:rPr>
            </w:pPr>
            <w:r>
              <w:rPr>
                <w:rFonts w:ascii="Arial" w:hAnsi="Arial" w:cs="Arial"/>
                <w:color w:val="000000"/>
                <w:sz w:val="22"/>
                <w:szCs w:val="22"/>
              </w:rPr>
              <w:t>Number of applications per respondent</w:t>
            </w:r>
            <w:r w:rsidRPr="003D66EE">
              <w:rPr>
                <w:rFonts w:ascii="Arial" w:hAnsi="Arial" w:cs="Arial"/>
                <w:color w:val="000000"/>
                <w:sz w:val="22"/>
                <w:szCs w:val="22"/>
                <w:vertAlign w:val="superscript"/>
              </w:rPr>
              <w:t>(</w:t>
            </w:r>
            <w:r>
              <w:rPr>
                <w:rFonts w:ascii="Arial" w:hAnsi="Arial" w:cs="Arial"/>
                <w:color w:val="000000"/>
                <w:sz w:val="22"/>
                <w:szCs w:val="22"/>
                <w:vertAlign w:val="superscript"/>
              </w:rPr>
              <w:t>d)</w:t>
            </w:r>
          </w:p>
        </w:tc>
        <w:tc>
          <w:tcPr>
            <w:tcW w:w="1658" w:type="dxa"/>
            <w:tcBorders>
              <w:top w:val="nil"/>
              <w:left w:val="nil"/>
              <w:bottom w:val="single" w:sz="8" w:space="0" w:color="auto"/>
              <w:right w:val="single" w:sz="8" w:space="0" w:color="auto"/>
            </w:tcBorders>
            <w:shd w:val="clear" w:color="auto" w:fill="auto"/>
            <w:vAlign w:val="center"/>
            <w:hideMark/>
          </w:tcPr>
          <w:p w14:paraId="455697E5" w14:textId="77777777" w:rsidR="00A031C7" w:rsidRDefault="00A031C7" w:rsidP="00A031C7">
            <w:pPr>
              <w:jc w:val="center"/>
              <w:rPr>
                <w:rFonts w:ascii="Arial" w:hAnsi="Arial" w:cs="Arial"/>
                <w:color w:val="000000"/>
                <w:sz w:val="22"/>
                <w:szCs w:val="22"/>
              </w:rPr>
            </w:pPr>
            <w:r>
              <w:rPr>
                <w:rFonts w:ascii="Arial" w:hAnsi="Arial" w:cs="Arial"/>
                <w:color w:val="000000"/>
                <w:sz w:val="22"/>
                <w:szCs w:val="22"/>
              </w:rPr>
              <w:t>1</w:t>
            </w:r>
          </w:p>
        </w:tc>
        <w:tc>
          <w:tcPr>
            <w:tcW w:w="1814" w:type="dxa"/>
            <w:tcBorders>
              <w:top w:val="nil"/>
              <w:left w:val="nil"/>
              <w:bottom w:val="single" w:sz="8" w:space="0" w:color="auto"/>
              <w:right w:val="single" w:sz="8" w:space="0" w:color="auto"/>
            </w:tcBorders>
            <w:shd w:val="clear" w:color="auto" w:fill="auto"/>
            <w:vAlign w:val="center"/>
            <w:hideMark/>
          </w:tcPr>
          <w:p w14:paraId="260DF686" w14:textId="77777777" w:rsidR="00A031C7" w:rsidRDefault="00A031C7" w:rsidP="00A031C7">
            <w:pPr>
              <w:jc w:val="center"/>
              <w:rPr>
                <w:rFonts w:ascii="Arial" w:hAnsi="Arial" w:cs="Arial"/>
                <w:color w:val="000000"/>
                <w:sz w:val="22"/>
                <w:szCs w:val="22"/>
              </w:rPr>
            </w:pPr>
            <w:r>
              <w:rPr>
                <w:rFonts w:ascii="Arial" w:hAnsi="Arial" w:cs="Arial"/>
                <w:color w:val="000000"/>
                <w:sz w:val="22"/>
                <w:szCs w:val="22"/>
              </w:rPr>
              <w:t>1</w:t>
            </w:r>
          </w:p>
        </w:tc>
        <w:tc>
          <w:tcPr>
            <w:tcW w:w="1727" w:type="dxa"/>
            <w:tcBorders>
              <w:top w:val="nil"/>
              <w:left w:val="nil"/>
              <w:bottom w:val="single" w:sz="8" w:space="0" w:color="auto"/>
              <w:right w:val="single" w:sz="6" w:space="0" w:color="auto"/>
            </w:tcBorders>
            <w:vAlign w:val="center"/>
          </w:tcPr>
          <w:p w14:paraId="715F5D1F" w14:textId="431C7C0D" w:rsidR="00A031C7" w:rsidRDefault="00A031C7" w:rsidP="00A031C7">
            <w:pPr>
              <w:jc w:val="center"/>
              <w:rPr>
                <w:rFonts w:ascii="Arial" w:hAnsi="Arial" w:cs="Arial"/>
                <w:color w:val="000000"/>
                <w:sz w:val="22"/>
                <w:szCs w:val="22"/>
              </w:rPr>
            </w:pPr>
            <w:r>
              <w:rPr>
                <w:rFonts w:ascii="Arial" w:hAnsi="Arial" w:cs="Arial"/>
                <w:color w:val="000000"/>
                <w:sz w:val="22"/>
                <w:szCs w:val="22"/>
              </w:rPr>
              <w:t>1</w:t>
            </w:r>
          </w:p>
        </w:tc>
        <w:tc>
          <w:tcPr>
            <w:tcW w:w="1836" w:type="dxa"/>
            <w:tcBorders>
              <w:top w:val="nil"/>
              <w:left w:val="single" w:sz="6" w:space="0" w:color="auto"/>
              <w:bottom w:val="single" w:sz="8" w:space="0" w:color="auto"/>
              <w:right w:val="single" w:sz="8" w:space="0" w:color="auto"/>
            </w:tcBorders>
            <w:shd w:val="clear" w:color="auto" w:fill="auto"/>
            <w:vAlign w:val="center"/>
          </w:tcPr>
          <w:p w14:paraId="00B72D5A" w14:textId="5C039504" w:rsidR="00A031C7" w:rsidRDefault="00A031C7" w:rsidP="00A031C7">
            <w:pPr>
              <w:jc w:val="center"/>
              <w:rPr>
                <w:rFonts w:ascii="Arial" w:hAnsi="Arial" w:cs="Arial"/>
                <w:color w:val="000000"/>
                <w:sz w:val="22"/>
                <w:szCs w:val="22"/>
              </w:rPr>
            </w:pPr>
            <w:r>
              <w:rPr>
                <w:rFonts w:ascii="Arial" w:hAnsi="Arial" w:cs="Arial"/>
                <w:color w:val="000000"/>
                <w:sz w:val="22"/>
                <w:szCs w:val="22"/>
              </w:rPr>
              <w:t>n/a</w:t>
            </w:r>
          </w:p>
        </w:tc>
      </w:tr>
      <w:tr w:rsidR="00A031C7" w14:paraId="6A6AF2F9" w14:textId="77777777" w:rsidTr="002C3164">
        <w:trPr>
          <w:trHeight w:val="844"/>
          <w:jc w:val="center"/>
        </w:trPr>
        <w:tc>
          <w:tcPr>
            <w:tcW w:w="2305" w:type="dxa"/>
            <w:tcBorders>
              <w:top w:val="nil"/>
              <w:left w:val="single" w:sz="8" w:space="0" w:color="auto"/>
              <w:bottom w:val="single" w:sz="8" w:space="0" w:color="auto"/>
              <w:right w:val="single" w:sz="8" w:space="0" w:color="auto"/>
            </w:tcBorders>
            <w:shd w:val="clear" w:color="auto" w:fill="auto"/>
            <w:vAlign w:val="center"/>
            <w:hideMark/>
          </w:tcPr>
          <w:p w14:paraId="370CBFC9" w14:textId="7B46FF13" w:rsidR="00A031C7" w:rsidRDefault="00A031C7" w:rsidP="00A031C7">
            <w:pPr>
              <w:rPr>
                <w:rFonts w:ascii="Arial" w:hAnsi="Arial" w:cs="Arial"/>
                <w:color w:val="000000"/>
                <w:sz w:val="22"/>
                <w:szCs w:val="22"/>
              </w:rPr>
            </w:pPr>
            <w:r>
              <w:rPr>
                <w:rFonts w:ascii="Arial" w:hAnsi="Arial" w:cs="Arial"/>
                <w:color w:val="000000"/>
                <w:sz w:val="22"/>
                <w:szCs w:val="22"/>
              </w:rPr>
              <w:t>Annual number of applications</w:t>
            </w:r>
            <w:r w:rsidRPr="003D66EE">
              <w:rPr>
                <w:rFonts w:ascii="Arial" w:hAnsi="Arial" w:cs="Arial"/>
                <w:color w:val="000000"/>
                <w:sz w:val="22"/>
                <w:szCs w:val="22"/>
                <w:vertAlign w:val="superscript"/>
              </w:rPr>
              <w:t>(</w:t>
            </w:r>
            <w:r>
              <w:rPr>
                <w:rFonts w:ascii="Arial" w:hAnsi="Arial" w:cs="Arial"/>
                <w:color w:val="000000"/>
                <w:sz w:val="22"/>
                <w:szCs w:val="22"/>
                <w:vertAlign w:val="superscript"/>
              </w:rPr>
              <w:t>c)</w:t>
            </w:r>
          </w:p>
        </w:tc>
        <w:tc>
          <w:tcPr>
            <w:tcW w:w="1658" w:type="dxa"/>
            <w:tcBorders>
              <w:top w:val="nil"/>
              <w:left w:val="nil"/>
              <w:bottom w:val="single" w:sz="8" w:space="0" w:color="auto"/>
              <w:right w:val="single" w:sz="8" w:space="0" w:color="auto"/>
            </w:tcBorders>
            <w:shd w:val="clear" w:color="auto" w:fill="auto"/>
            <w:vAlign w:val="center"/>
            <w:hideMark/>
          </w:tcPr>
          <w:p w14:paraId="7F265958" w14:textId="77777777" w:rsidR="00A031C7" w:rsidRDefault="00A031C7" w:rsidP="00A031C7">
            <w:pPr>
              <w:jc w:val="center"/>
              <w:rPr>
                <w:rFonts w:ascii="Arial" w:hAnsi="Arial" w:cs="Arial"/>
                <w:color w:val="000000"/>
                <w:sz w:val="22"/>
                <w:szCs w:val="22"/>
              </w:rPr>
            </w:pPr>
            <w:r>
              <w:rPr>
                <w:rFonts w:ascii="Arial" w:hAnsi="Arial" w:cs="Arial"/>
                <w:color w:val="000000"/>
                <w:sz w:val="22"/>
                <w:szCs w:val="22"/>
              </w:rPr>
              <w:t>3</w:t>
            </w:r>
          </w:p>
        </w:tc>
        <w:tc>
          <w:tcPr>
            <w:tcW w:w="1814" w:type="dxa"/>
            <w:tcBorders>
              <w:top w:val="nil"/>
              <w:left w:val="nil"/>
              <w:bottom w:val="single" w:sz="8" w:space="0" w:color="auto"/>
              <w:right w:val="single" w:sz="8" w:space="0" w:color="auto"/>
            </w:tcBorders>
            <w:shd w:val="clear" w:color="auto" w:fill="auto"/>
            <w:vAlign w:val="center"/>
            <w:hideMark/>
          </w:tcPr>
          <w:p w14:paraId="7D3E8CE3" w14:textId="77777777" w:rsidR="00A031C7" w:rsidRDefault="00A031C7" w:rsidP="00A031C7">
            <w:pPr>
              <w:jc w:val="center"/>
              <w:rPr>
                <w:rFonts w:ascii="Arial" w:hAnsi="Arial" w:cs="Arial"/>
                <w:color w:val="000000"/>
                <w:sz w:val="22"/>
                <w:szCs w:val="22"/>
              </w:rPr>
            </w:pPr>
            <w:r>
              <w:rPr>
                <w:rFonts w:ascii="Arial" w:hAnsi="Arial" w:cs="Arial"/>
                <w:color w:val="000000"/>
                <w:sz w:val="22"/>
                <w:szCs w:val="22"/>
              </w:rPr>
              <w:t>6</w:t>
            </w:r>
          </w:p>
        </w:tc>
        <w:tc>
          <w:tcPr>
            <w:tcW w:w="1727" w:type="dxa"/>
            <w:tcBorders>
              <w:top w:val="nil"/>
              <w:left w:val="nil"/>
              <w:bottom w:val="single" w:sz="8" w:space="0" w:color="auto"/>
              <w:right w:val="single" w:sz="6" w:space="0" w:color="auto"/>
            </w:tcBorders>
            <w:vAlign w:val="center"/>
          </w:tcPr>
          <w:p w14:paraId="35B944B3" w14:textId="5C91B68E" w:rsidR="00A031C7" w:rsidRDefault="00A031C7" w:rsidP="00A031C7">
            <w:pPr>
              <w:jc w:val="center"/>
              <w:rPr>
                <w:rFonts w:ascii="Arial" w:hAnsi="Arial" w:cs="Arial"/>
                <w:color w:val="000000"/>
                <w:sz w:val="22"/>
                <w:szCs w:val="22"/>
              </w:rPr>
            </w:pPr>
            <w:r>
              <w:rPr>
                <w:rFonts w:ascii="Arial" w:hAnsi="Arial" w:cs="Arial"/>
                <w:color w:val="000000"/>
                <w:sz w:val="22"/>
                <w:szCs w:val="22"/>
              </w:rPr>
              <w:t>2</w:t>
            </w:r>
          </w:p>
        </w:tc>
        <w:tc>
          <w:tcPr>
            <w:tcW w:w="1836" w:type="dxa"/>
            <w:tcBorders>
              <w:top w:val="nil"/>
              <w:left w:val="single" w:sz="6" w:space="0" w:color="auto"/>
              <w:bottom w:val="single" w:sz="8" w:space="0" w:color="auto"/>
              <w:right w:val="single" w:sz="8" w:space="0" w:color="auto"/>
            </w:tcBorders>
            <w:shd w:val="clear" w:color="auto" w:fill="auto"/>
            <w:vAlign w:val="center"/>
          </w:tcPr>
          <w:p w14:paraId="63AFCD7C" w14:textId="369C5657" w:rsidR="00A031C7" w:rsidRDefault="00D8623D" w:rsidP="00A031C7">
            <w:pPr>
              <w:jc w:val="center"/>
              <w:rPr>
                <w:rFonts w:ascii="Arial" w:hAnsi="Arial" w:cs="Arial"/>
                <w:color w:val="000000"/>
                <w:sz w:val="22"/>
                <w:szCs w:val="22"/>
              </w:rPr>
            </w:pPr>
            <w:r>
              <w:rPr>
                <w:rFonts w:ascii="Arial" w:hAnsi="Arial" w:cs="Arial"/>
                <w:color w:val="000000"/>
                <w:sz w:val="22"/>
                <w:szCs w:val="22"/>
              </w:rPr>
              <w:t>11</w:t>
            </w:r>
          </w:p>
        </w:tc>
      </w:tr>
      <w:tr w:rsidR="00A031C7" w14:paraId="62DC1784" w14:textId="77777777" w:rsidTr="002C3164">
        <w:trPr>
          <w:trHeight w:val="511"/>
          <w:jc w:val="center"/>
        </w:trPr>
        <w:tc>
          <w:tcPr>
            <w:tcW w:w="2305" w:type="dxa"/>
            <w:tcBorders>
              <w:top w:val="nil"/>
              <w:left w:val="single" w:sz="8" w:space="0" w:color="auto"/>
              <w:bottom w:val="single" w:sz="8" w:space="0" w:color="auto"/>
              <w:right w:val="single" w:sz="8" w:space="0" w:color="auto"/>
            </w:tcBorders>
            <w:shd w:val="clear" w:color="auto" w:fill="auto"/>
            <w:vAlign w:val="center"/>
          </w:tcPr>
          <w:p w14:paraId="38280184" w14:textId="11A53182" w:rsidR="00A031C7" w:rsidRDefault="00A031C7" w:rsidP="00A031C7">
            <w:pPr>
              <w:rPr>
                <w:rFonts w:ascii="Arial" w:hAnsi="Arial" w:cs="Arial"/>
                <w:color w:val="000000"/>
                <w:sz w:val="22"/>
                <w:szCs w:val="22"/>
              </w:rPr>
            </w:pPr>
            <w:r>
              <w:rPr>
                <w:rFonts w:ascii="Arial" w:hAnsi="Arial" w:cs="Arial"/>
                <w:color w:val="000000"/>
                <w:sz w:val="22"/>
                <w:szCs w:val="22"/>
              </w:rPr>
              <w:t xml:space="preserve">Total </w:t>
            </w:r>
            <w:r w:rsidR="004E5E04">
              <w:rPr>
                <w:rFonts w:ascii="Arial" w:hAnsi="Arial" w:cs="Arial"/>
                <w:color w:val="000000"/>
                <w:sz w:val="22"/>
                <w:szCs w:val="22"/>
              </w:rPr>
              <w:t>a</w:t>
            </w:r>
            <w:r>
              <w:rPr>
                <w:rFonts w:ascii="Arial" w:hAnsi="Arial" w:cs="Arial"/>
                <w:color w:val="000000"/>
                <w:sz w:val="22"/>
                <w:szCs w:val="22"/>
              </w:rPr>
              <w:t>nnual hours</w:t>
            </w:r>
          </w:p>
        </w:tc>
        <w:tc>
          <w:tcPr>
            <w:tcW w:w="1658" w:type="dxa"/>
            <w:tcBorders>
              <w:top w:val="nil"/>
              <w:left w:val="nil"/>
              <w:bottom w:val="single" w:sz="8" w:space="0" w:color="auto"/>
              <w:right w:val="single" w:sz="8" w:space="0" w:color="auto"/>
            </w:tcBorders>
            <w:shd w:val="clear" w:color="auto" w:fill="auto"/>
            <w:vAlign w:val="center"/>
          </w:tcPr>
          <w:p w14:paraId="71CEF0C7" w14:textId="347A8DCC" w:rsidR="00A031C7" w:rsidRDefault="00A031C7" w:rsidP="00A031C7">
            <w:pPr>
              <w:jc w:val="center"/>
              <w:rPr>
                <w:rFonts w:ascii="Arial" w:hAnsi="Arial" w:cs="Arial"/>
                <w:color w:val="000000"/>
                <w:sz w:val="22"/>
                <w:szCs w:val="22"/>
              </w:rPr>
            </w:pPr>
            <w:r>
              <w:rPr>
                <w:rFonts w:ascii="Arial" w:hAnsi="Arial" w:cs="Arial"/>
                <w:color w:val="000000"/>
                <w:sz w:val="22"/>
                <w:szCs w:val="22"/>
              </w:rPr>
              <w:t>11,598</w:t>
            </w:r>
          </w:p>
        </w:tc>
        <w:tc>
          <w:tcPr>
            <w:tcW w:w="1814" w:type="dxa"/>
            <w:tcBorders>
              <w:top w:val="nil"/>
              <w:left w:val="nil"/>
              <w:bottom w:val="single" w:sz="8" w:space="0" w:color="auto"/>
              <w:right w:val="single" w:sz="8" w:space="0" w:color="auto"/>
            </w:tcBorders>
            <w:shd w:val="clear" w:color="auto" w:fill="auto"/>
            <w:vAlign w:val="center"/>
          </w:tcPr>
          <w:p w14:paraId="2AF7FB9A" w14:textId="1CD12A88" w:rsidR="00A031C7" w:rsidRDefault="00A031C7" w:rsidP="00A031C7">
            <w:pPr>
              <w:jc w:val="center"/>
              <w:rPr>
                <w:rFonts w:ascii="Arial" w:hAnsi="Arial" w:cs="Arial"/>
                <w:color w:val="000000"/>
                <w:sz w:val="22"/>
                <w:szCs w:val="22"/>
              </w:rPr>
            </w:pPr>
            <w:r>
              <w:rPr>
                <w:rFonts w:ascii="Arial" w:hAnsi="Arial" w:cs="Arial"/>
                <w:color w:val="000000"/>
                <w:sz w:val="22"/>
                <w:szCs w:val="22"/>
              </w:rPr>
              <w:t>11,598</w:t>
            </w:r>
          </w:p>
        </w:tc>
        <w:tc>
          <w:tcPr>
            <w:tcW w:w="1727" w:type="dxa"/>
            <w:tcBorders>
              <w:top w:val="nil"/>
              <w:left w:val="nil"/>
              <w:bottom w:val="single" w:sz="8" w:space="0" w:color="auto"/>
              <w:right w:val="single" w:sz="6" w:space="0" w:color="auto"/>
            </w:tcBorders>
            <w:vAlign w:val="center"/>
          </w:tcPr>
          <w:p w14:paraId="6CA594C3" w14:textId="15796FE4" w:rsidR="00A031C7" w:rsidRDefault="00A031C7" w:rsidP="00A031C7">
            <w:pPr>
              <w:jc w:val="center"/>
              <w:rPr>
                <w:rFonts w:ascii="Arial" w:hAnsi="Arial" w:cs="Arial"/>
                <w:color w:val="000000"/>
                <w:sz w:val="22"/>
                <w:szCs w:val="22"/>
              </w:rPr>
            </w:pPr>
            <w:r>
              <w:rPr>
                <w:rFonts w:ascii="Arial" w:hAnsi="Arial" w:cs="Arial"/>
                <w:color w:val="000000"/>
                <w:sz w:val="22"/>
                <w:szCs w:val="22"/>
              </w:rPr>
              <w:t>774</w:t>
            </w:r>
          </w:p>
        </w:tc>
        <w:tc>
          <w:tcPr>
            <w:tcW w:w="1836" w:type="dxa"/>
            <w:tcBorders>
              <w:top w:val="nil"/>
              <w:left w:val="single" w:sz="6" w:space="0" w:color="auto"/>
              <w:bottom w:val="single" w:sz="8" w:space="0" w:color="auto"/>
              <w:right w:val="single" w:sz="8" w:space="0" w:color="auto"/>
            </w:tcBorders>
            <w:shd w:val="clear" w:color="auto" w:fill="auto"/>
            <w:vAlign w:val="center"/>
          </w:tcPr>
          <w:p w14:paraId="067C1FC9" w14:textId="4D390A38" w:rsidR="00A031C7" w:rsidRDefault="00A031C7" w:rsidP="00A031C7">
            <w:pPr>
              <w:jc w:val="center"/>
              <w:rPr>
                <w:rFonts w:ascii="Arial" w:hAnsi="Arial" w:cs="Arial"/>
                <w:color w:val="000000"/>
                <w:sz w:val="22"/>
                <w:szCs w:val="22"/>
              </w:rPr>
            </w:pPr>
            <w:r>
              <w:rPr>
                <w:rFonts w:ascii="Arial" w:hAnsi="Arial" w:cs="Arial"/>
                <w:color w:val="000000"/>
                <w:sz w:val="22"/>
                <w:szCs w:val="22"/>
              </w:rPr>
              <w:t>23,970</w:t>
            </w:r>
          </w:p>
        </w:tc>
      </w:tr>
      <w:tr w:rsidR="00A031C7" w14:paraId="7F081B4F" w14:textId="77777777" w:rsidTr="002C3164">
        <w:trPr>
          <w:trHeight w:val="892"/>
          <w:jc w:val="center"/>
        </w:trPr>
        <w:tc>
          <w:tcPr>
            <w:tcW w:w="2305" w:type="dxa"/>
            <w:tcBorders>
              <w:top w:val="nil"/>
              <w:left w:val="single" w:sz="8" w:space="0" w:color="auto"/>
              <w:bottom w:val="single" w:sz="8" w:space="0" w:color="auto"/>
              <w:right w:val="single" w:sz="8" w:space="0" w:color="auto"/>
            </w:tcBorders>
            <w:shd w:val="clear" w:color="auto" w:fill="auto"/>
            <w:vAlign w:val="center"/>
            <w:hideMark/>
          </w:tcPr>
          <w:p w14:paraId="23F82E00" w14:textId="77777777" w:rsidR="00A031C7" w:rsidRDefault="00A031C7" w:rsidP="00A031C7">
            <w:pPr>
              <w:rPr>
                <w:rFonts w:ascii="Arial" w:hAnsi="Arial" w:cs="Arial"/>
                <w:color w:val="000000"/>
                <w:sz w:val="22"/>
                <w:szCs w:val="22"/>
              </w:rPr>
            </w:pPr>
            <w:r>
              <w:rPr>
                <w:rFonts w:ascii="Arial" w:hAnsi="Arial" w:cs="Arial"/>
                <w:color w:val="000000"/>
                <w:sz w:val="22"/>
                <w:szCs w:val="22"/>
              </w:rPr>
              <w:t>Federal government cost per application</w:t>
            </w:r>
          </w:p>
        </w:tc>
        <w:tc>
          <w:tcPr>
            <w:tcW w:w="1658" w:type="dxa"/>
            <w:tcBorders>
              <w:top w:val="nil"/>
              <w:left w:val="nil"/>
              <w:bottom w:val="single" w:sz="8" w:space="0" w:color="auto"/>
              <w:right w:val="single" w:sz="8" w:space="0" w:color="auto"/>
            </w:tcBorders>
            <w:shd w:val="clear" w:color="auto" w:fill="auto"/>
            <w:vAlign w:val="center"/>
            <w:hideMark/>
          </w:tcPr>
          <w:p w14:paraId="03096CED" w14:textId="77777777" w:rsidR="00A031C7" w:rsidRDefault="00A031C7" w:rsidP="00A031C7">
            <w:pPr>
              <w:jc w:val="center"/>
              <w:rPr>
                <w:rFonts w:ascii="Arial" w:hAnsi="Arial" w:cs="Arial"/>
                <w:color w:val="000000"/>
                <w:sz w:val="22"/>
                <w:szCs w:val="22"/>
              </w:rPr>
            </w:pPr>
            <w:r>
              <w:rPr>
                <w:rFonts w:ascii="Arial" w:hAnsi="Arial" w:cs="Arial"/>
                <w:color w:val="000000"/>
                <w:sz w:val="22"/>
                <w:szCs w:val="22"/>
              </w:rPr>
              <w:t xml:space="preserve">$320,414 </w:t>
            </w:r>
          </w:p>
        </w:tc>
        <w:tc>
          <w:tcPr>
            <w:tcW w:w="1814" w:type="dxa"/>
            <w:tcBorders>
              <w:top w:val="nil"/>
              <w:left w:val="nil"/>
              <w:bottom w:val="single" w:sz="8" w:space="0" w:color="auto"/>
              <w:right w:val="single" w:sz="8" w:space="0" w:color="auto"/>
            </w:tcBorders>
            <w:shd w:val="clear" w:color="auto" w:fill="auto"/>
            <w:vAlign w:val="center"/>
            <w:hideMark/>
          </w:tcPr>
          <w:p w14:paraId="1BA4790C" w14:textId="77777777" w:rsidR="00A031C7" w:rsidRDefault="00A031C7" w:rsidP="00A031C7">
            <w:pPr>
              <w:jc w:val="center"/>
              <w:rPr>
                <w:rFonts w:ascii="Arial" w:hAnsi="Arial" w:cs="Arial"/>
                <w:color w:val="000000"/>
                <w:sz w:val="22"/>
                <w:szCs w:val="22"/>
              </w:rPr>
            </w:pPr>
            <w:r>
              <w:rPr>
                <w:rFonts w:ascii="Arial" w:hAnsi="Arial" w:cs="Arial"/>
                <w:color w:val="000000"/>
                <w:sz w:val="22"/>
                <w:szCs w:val="22"/>
              </w:rPr>
              <w:t xml:space="preserve">$160,207 </w:t>
            </w:r>
          </w:p>
        </w:tc>
        <w:tc>
          <w:tcPr>
            <w:tcW w:w="1727" w:type="dxa"/>
            <w:tcBorders>
              <w:top w:val="nil"/>
              <w:left w:val="nil"/>
              <w:bottom w:val="single" w:sz="8" w:space="0" w:color="auto"/>
              <w:right w:val="single" w:sz="6" w:space="0" w:color="auto"/>
            </w:tcBorders>
            <w:vAlign w:val="center"/>
          </w:tcPr>
          <w:p w14:paraId="327F87D0" w14:textId="44CB8A18" w:rsidR="00A031C7" w:rsidRDefault="00A031C7" w:rsidP="00A031C7">
            <w:pPr>
              <w:jc w:val="center"/>
              <w:rPr>
                <w:rFonts w:ascii="Arial" w:hAnsi="Arial" w:cs="Arial"/>
                <w:color w:val="000000"/>
                <w:sz w:val="22"/>
                <w:szCs w:val="22"/>
              </w:rPr>
            </w:pPr>
            <w:r>
              <w:rPr>
                <w:rFonts w:ascii="Arial" w:hAnsi="Arial" w:cs="Arial"/>
                <w:color w:val="000000"/>
                <w:sz w:val="22"/>
                <w:szCs w:val="22"/>
              </w:rPr>
              <w:t>$32,041</w:t>
            </w:r>
          </w:p>
        </w:tc>
        <w:tc>
          <w:tcPr>
            <w:tcW w:w="1836" w:type="dxa"/>
            <w:tcBorders>
              <w:top w:val="nil"/>
              <w:left w:val="single" w:sz="6" w:space="0" w:color="auto"/>
              <w:bottom w:val="single" w:sz="8" w:space="0" w:color="auto"/>
              <w:right w:val="single" w:sz="8" w:space="0" w:color="auto"/>
            </w:tcBorders>
            <w:shd w:val="clear" w:color="auto" w:fill="auto"/>
            <w:vAlign w:val="center"/>
          </w:tcPr>
          <w:p w14:paraId="0FC476A4" w14:textId="591C8ECF" w:rsidR="00A031C7" w:rsidRDefault="00A031C7" w:rsidP="00A031C7">
            <w:pPr>
              <w:jc w:val="center"/>
              <w:rPr>
                <w:rFonts w:ascii="Arial" w:hAnsi="Arial" w:cs="Arial"/>
                <w:color w:val="000000"/>
                <w:sz w:val="22"/>
                <w:szCs w:val="22"/>
              </w:rPr>
            </w:pPr>
            <w:r>
              <w:rPr>
                <w:rFonts w:ascii="Arial" w:hAnsi="Arial" w:cs="Arial"/>
                <w:color w:val="000000"/>
                <w:sz w:val="22"/>
                <w:szCs w:val="22"/>
              </w:rPr>
              <w:t>n/a</w:t>
            </w:r>
          </w:p>
        </w:tc>
      </w:tr>
      <w:tr w:rsidR="00A031C7" w14:paraId="5AF91205" w14:textId="77777777" w:rsidTr="002C3164">
        <w:trPr>
          <w:trHeight w:val="614"/>
          <w:jc w:val="center"/>
        </w:trPr>
        <w:tc>
          <w:tcPr>
            <w:tcW w:w="2305" w:type="dxa"/>
            <w:tcBorders>
              <w:top w:val="nil"/>
              <w:left w:val="single" w:sz="8" w:space="0" w:color="auto"/>
              <w:bottom w:val="single" w:sz="8" w:space="0" w:color="auto"/>
              <w:right w:val="single" w:sz="8" w:space="0" w:color="auto"/>
            </w:tcBorders>
            <w:shd w:val="clear" w:color="auto" w:fill="auto"/>
            <w:vAlign w:val="center"/>
            <w:hideMark/>
          </w:tcPr>
          <w:p w14:paraId="750CAC91" w14:textId="7EB9E9BF" w:rsidR="00A031C7" w:rsidRDefault="00A031C7" w:rsidP="00A031C7">
            <w:pPr>
              <w:rPr>
                <w:rFonts w:ascii="Arial" w:hAnsi="Arial" w:cs="Arial"/>
                <w:color w:val="000000"/>
                <w:sz w:val="22"/>
                <w:szCs w:val="22"/>
              </w:rPr>
            </w:pPr>
            <w:r>
              <w:rPr>
                <w:rFonts w:ascii="Arial" w:hAnsi="Arial" w:cs="Arial"/>
                <w:color w:val="000000"/>
                <w:sz w:val="22"/>
                <w:szCs w:val="22"/>
              </w:rPr>
              <w:t>Federal government annual cost</w:t>
            </w:r>
            <w:r w:rsidRPr="003D66EE">
              <w:rPr>
                <w:rFonts w:ascii="Arial" w:hAnsi="Arial" w:cs="Arial"/>
                <w:color w:val="000000"/>
                <w:sz w:val="22"/>
                <w:szCs w:val="22"/>
                <w:vertAlign w:val="superscript"/>
              </w:rPr>
              <w:t>(</w:t>
            </w:r>
            <w:r>
              <w:rPr>
                <w:rFonts w:ascii="Arial" w:hAnsi="Arial" w:cs="Arial"/>
                <w:color w:val="000000"/>
                <w:sz w:val="22"/>
                <w:szCs w:val="22"/>
                <w:vertAlign w:val="superscript"/>
              </w:rPr>
              <w:t>d)</w:t>
            </w:r>
          </w:p>
        </w:tc>
        <w:tc>
          <w:tcPr>
            <w:tcW w:w="1658" w:type="dxa"/>
            <w:tcBorders>
              <w:top w:val="nil"/>
              <w:left w:val="nil"/>
              <w:bottom w:val="single" w:sz="8" w:space="0" w:color="auto"/>
              <w:right w:val="single" w:sz="8" w:space="0" w:color="auto"/>
            </w:tcBorders>
            <w:shd w:val="clear" w:color="auto" w:fill="auto"/>
            <w:vAlign w:val="center"/>
            <w:hideMark/>
          </w:tcPr>
          <w:p w14:paraId="02453515" w14:textId="77777777" w:rsidR="00A031C7" w:rsidRDefault="00A031C7" w:rsidP="00A031C7">
            <w:pPr>
              <w:jc w:val="center"/>
              <w:rPr>
                <w:rFonts w:ascii="Arial" w:hAnsi="Arial" w:cs="Arial"/>
                <w:color w:val="000000"/>
                <w:sz w:val="22"/>
                <w:szCs w:val="22"/>
              </w:rPr>
            </w:pPr>
            <w:r>
              <w:rPr>
                <w:rFonts w:ascii="Arial" w:hAnsi="Arial" w:cs="Arial"/>
                <w:color w:val="000000"/>
                <w:sz w:val="22"/>
                <w:szCs w:val="22"/>
              </w:rPr>
              <w:t xml:space="preserve">$961,242 </w:t>
            </w:r>
          </w:p>
        </w:tc>
        <w:tc>
          <w:tcPr>
            <w:tcW w:w="1814" w:type="dxa"/>
            <w:tcBorders>
              <w:top w:val="nil"/>
              <w:left w:val="nil"/>
              <w:bottom w:val="single" w:sz="8" w:space="0" w:color="auto"/>
              <w:right w:val="single" w:sz="8" w:space="0" w:color="auto"/>
            </w:tcBorders>
            <w:shd w:val="clear" w:color="auto" w:fill="auto"/>
            <w:vAlign w:val="center"/>
            <w:hideMark/>
          </w:tcPr>
          <w:p w14:paraId="34122A97" w14:textId="77777777" w:rsidR="00A031C7" w:rsidRDefault="00A031C7" w:rsidP="00A031C7">
            <w:pPr>
              <w:jc w:val="center"/>
              <w:rPr>
                <w:rFonts w:ascii="Arial" w:hAnsi="Arial" w:cs="Arial"/>
                <w:color w:val="000000"/>
                <w:sz w:val="22"/>
                <w:szCs w:val="22"/>
              </w:rPr>
            </w:pPr>
            <w:r>
              <w:rPr>
                <w:rFonts w:ascii="Arial" w:hAnsi="Arial" w:cs="Arial"/>
                <w:color w:val="000000"/>
                <w:sz w:val="22"/>
                <w:szCs w:val="22"/>
              </w:rPr>
              <w:t xml:space="preserve">$961,242 </w:t>
            </w:r>
          </w:p>
        </w:tc>
        <w:tc>
          <w:tcPr>
            <w:tcW w:w="1727" w:type="dxa"/>
            <w:tcBorders>
              <w:top w:val="nil"/>
              <w:left w:val="nil"/>
              <w:bottom w:val="single" w:sz="8" w:space="0" w:color="auto"/>
              <w:right w:val="single" w:sz="6" w:space="0" w:color="auto"/>
            </w:tcBorders>
            <w:vAlign w:val="center"/>
          </w:tcPr>
          <w:p w14:paraId="67CF6D47" w14:textId="1F2F09D5" w:rsidR="00A031C7" w:rsidRDefault="00A031C7" w:rsidP="00A031C7">
            <w:pPr>
              <w:jc w:val="center"/>
              <w:rPr>
                <w:rFonts w:ascii="Arial" w:hAnsi="Arial" w:cs="Arial"/>
                <w:color w:val="000000"/>
                <w:sz w:val="22"/>
                <w:szCs w:val="22"/>
              </w:rPr>
            </w:pPr>
            <w:r>
              <w:rPr>
                <w:rFonts w:ascii="Arial" w:hAnsi="Arial" w:cs="Arial"/>
                <w:color w:val="000000"/>
                <w:sz w:val="22"/>
                <w:szCs w:val="22"/>
              </w:rPr>
              <w:t xml:space="preserve">$64,082 </w:t>
            </w:r>
          </w:p>
        </w:tc>
        <w:tc>
          <w:tcPr>
            <w:tcW w:w="1836" w:type="dxa"/>
            <w:tcBorders>
              <w:top w:val="nil"/>
              <w:left w:val="single" w:sz="6" w:space="0" w:color="auto"/>
              <w:bottom w:val="single" w:sz="8" w:space="0" w:color="auto"/>
              <w:right w:val="single" w:sz="8" w:space="0" w:color="auto"/>
            </w:tcBorders>
            <w:shd w:val="clear" w:color="auto" w:fill="auto"/>
            <w:vAlign w:val="center"/>
          </w:tcPr>
          <w:p w14:paraId="37F8B308" w14:textId="157649C9" w:rsidR="00A031C7" w:rsidRDefault="00A031C7" w:rsidP="00A031C7">
            <w:pPr>
              <w:jc w:val="center"/>
              <w:rPr>
                <w:rFonts w:ascii="Arial" w:hAnsi="Arial" w:cs="Arial"/>
                <w:color w:val="000000"/>
                <w:sz w:val="22"/>
                <w:szCs w:val="22"/>
              </w:rPr>
            </w:pPr>
            <w:r>
              <w:rPr>
                <w:rFonts w:ascii="Arial" w:hAnsi="Arial" w:cs="Arial"/>
                <w:color w:val="000000"/>
                <w:sz w:val="22"/>
                <w:szCs w:val="22"/>
              </w:rPr>
              <w:t>$1,986,566</w:t>
            </w:r>
          </w:p>
        </w:tc>
      </w:tr>
    </w:tbl>
    <w:p w14:paraId="2C32C18F" w14:textId="2549CA23" w:rsidR="00004C11" w:rsidRPr="003D66EE" w:rsidRDefault="003D66EE" w:rsidP="003D66EE">
      <w:pPr>
        <w:pStyle w:val="TableNotes"/>
        <w:ind w:firstLine="270"/>
      </w:pPr>
      <w:r>
        <w:t>*Estimates may not total due to rounding</w:t>
      </w:r>
      <w:r w:rsidR="00004C11" w:rsidRPr="003D66EE">
        <w:t>.</w:t>
      </w:r>
      <w:r w:rsidR="00E12E14">
        <w:t xml:space="preserve"> “n/a” indicates total not applicable for category.</w:t>
      </w:r>
    </w:p>
    <w:p w14:paraId="6818087E" w14:textId="717F23C2" w:rsidR="007542FE" w:rsidRPr="003D66EE" w:rsidRDefault="003D66EE" w:rsidP="003D66EE">
      <w:pPr>
        <w:pStyle w:val="TableNotes"/>
        <w:ind w:firstLine="270"/>
      </w:pPr>
      <w:r>
        <w:t>(</w:t>
      </w:r>
      <w:r w:rsidR="007542FE" w:rsidRPr="003D66EE">
        <w:t>a</w:t>
      </w:r>
      <w:r>
        <w:t>)</w:t>
      </w:r>
      <w:r w:rsidR="007542FE" w:rsidRPr="003D66EE">
        <w:t xml:space="preserve"> </w:t>
      </w:r>
      <w:r w:rsidR="003F2606" w:rsidRPr="003D66EE">
        <w:t>Includes major modifications to existing licenses</w:t>
      </w:r>
      <w:r w:rsidR="007542FE" w:rsidRPr="003D66EE">
        <w:t>.</w:t>
      </w:r>
    </w:p>
    <w:p w14:paraId="7D0AAC60" w14:textId="41ADC0F1" w:rsidR="003F2606" w:rsidRPr="003D66EE" w:rsidRDefault="003D66EE" w:rsidP="003D66EE">
      <w:pPr>
        <w:pStyle w:val="TableNotes"/>
        <w:ind w:firstLine="270"/>
      </w:pPr>
      <w:r>
        <w:t>(</w:t>
      </w:r>
      <w:r w:rsidR="003F2606" w:rsidRPr="003D66EE">
        <w:t>b</w:t>
      </w:r>
      <w:r>
        <w:t>)</w:t>
      </w:r>
      <w:r w:rsidR="003F2606" w:rsidRPr="003D66EE">
        <w:t xml:space="preserve"> Renewal of a license application is voluntary.</w:t>
      </w:r>
    </w:p>
    <w:p w14:paraId="1D83E094" w14:textId="4CD0BDC9" w:rsidR="007542FE" w:rsidRPr="003D66EE" w:rsidRDefault="003D66EE" w:rsidP="003D66EE">
      <w:pPr>
        <w:pStyle w:val="TableNotes"/>
        <w:ind w:firstLine="270"/>
      </w:pPr>
      <w:r>
        <w:t>(c)</w:t>
      </w:r>
      <w:r w:rsidR="007542FE" w:rsidRPr="003D66EE">
        <w:t xml:space="preserve"> Federal Aviation Administration, Office of Commercial Space Transportation (FAA/AST), </w:t>
      </w:r>
      <w:r w:rsidR="00F23E9C" w:rsidRPr="003D66EE">
        <w:t>2018</w:t>
      </w:r>
      <w:r w:rsidR="007542FE" w:rsidRPr="003D66EE">
        <w:t>.</w:t>
      </w:r>
    </w:p>
    <w:p w14:paraId="674B516C" w14:textId="57D130BF" w:rsidR="007542FE" w:rsidRPr="003D66EE" w:rsidRDefault="003D66EE" w:rsidP="003D66EE">
      <w:pPr>
        <w:pStyle w:val="TableNotes"/>
        <w:ind w:left="270"/>
        <w:rPr>
          <w:highlight w:val="yellow"/>
        </w:rPr>
      </w:pPr>
      <w:r>
        <w:t>(</w:t>
      </w:r>
      <w:r w:rsidR="003F2606" w:rsidRPr="003D66EE">
        <w:t>d</w:t>
      </w:r>
      <w:r>
        <w:t>)</w:t>
      </w:r>
      <w:r w:rsidR="007542FE" w:rsidRPr="003D66EE">
        <w:t xml:space="preserve"> Federal government total cost per annum calculated as $</w:t>
      </w:r>
      <w:r w:rsidR="004078E7" w:rsidRPr="003D66EE">
        <w:rPr>
          <w:color w:val="000000"/>
        </w:rPr>
        <w:t>320,414</w:t>
      </w:r>
      <w:r w:rsidR="007542FE" w:rsidRPr="003D66EE">
        <w:t xml:space="preserve"> × </w:t>
      </w:r>
      <w:r w:rsidR="009C4F40" w:rsidRPr="003D66EE">
        <w:t>3</w:t>
      </w:r>
      <w:r w:rsidR="007542FE" w:rsidRPr="003D66EE">
        <w:t xml:space="preserve"> = $</w:t>
      </w:r>
      <w:r w:rsidR="004078E7" w:rsidRPr="003D66EE">
        <w:rPr>
          <w:color w:val="000000"/>
        </w:rPr>
        <w:t>961,242</w:t>
      </w:r>
      <w:r w:rsidR="007542FE" w:rsidRPr="003D66EE">
        <w:t xml:space="preserve"> for initial applications; </w:t>
      </w:r>
      <w:r w:rsidR="00242508" w:rsidRPr="003D66EE">
        <w:t>calculated as 50%, or $</w:t>
      </w:r>
      <w:r w:rsidR="004078E7" w:rsidRPr="003D66EE">
        <w:rPr>
          <w:color w:val="000000"/>
        </w:rPr>
        <w:t>160,207</w:t>
      </w:r>
      <w:r w:rsidR="000F0C7C" w:rsidRPr="003D66EE">
        <w:t>x 6</w:t>
      </w:r>
      <w:r w:rsidR="006061D7" w:rsidRPr="003D66EE">
        <w:t>,</w:t>
      </w:r>
      <w:r w:rsidR="00242508" w:rsidRPr="003D66EE">
        <w:t xml:space="preserve"> for </w:t>
      </w:r>
      <w:r w:rsidR="006061D7" w:rsidRPr="003D66EE">
        <w:t xml:space="preserve">each </w:t>
      </w:r>
      <w:r w:rsidR="00242508" w:rsidRPr="003D66EE">
        <w:t>major modifications</w:t>
      </w:r>
      <w:r w:rsidR="006061D7" w:rsidRPr="003D66EE">
        <w:t xml:space="preserve"> = $</w:t>
      </w:r>
      <w:r w:rsidR="004078E7" w:rsidRPr="003D66EE">
        <w:rPr>
          <w:color w:val="000000"/>
        </w:rPr>
        <w:t>961,242</w:t>
      </w:r>
      <w:r w:rsidR="00242508" w:rsidRPr="003D66EE">
        <w:t xml:space="preserve">; </w:t>
      </w:r>
      <w:r w:rsidR="007542FE" w:rsidRPr="003D66EE">
        <w:t>calculated as</w:t>
      </w:r>
      <w:r w:rsidR="001D00D4" w:rsidRPr="003D66EE">
        <w:t xml:space="preserve"> 10%</w:t>
      </w:r>
      <w:r w:rsidR="006061D7" w:rsidRPr="003D66EE">
        <w:t>,</w:t>
      </w:r>
      <w:r w:rsidR="001D00D4" w:rsidRPr="003D66EE">
        <w:t xml:space="preserve"> </w:t>
      </w:r>
      <w:r w:rsidR="008F1CB4" w:rsidRPr="003D66EE">
        <w:t>or $</w:t>
      </w:r>
      <w:r w:rsidR="004078E7" w:rsidRPr="003D66EE">
        <w:rPr>
          <w:color w:val="000000"/>
        </w:rPr>
        <w:t>32,</w:t>
      </w:r>
      <w:r w:rsidR="00337454" w:rsidRPr="003D66EE">
        <w:rPr>
          <w:color w:val="000000"/>
        </w:rPr>
        <w:t>004</w:t>
      </w:r>
      <w:r w:rsidR="006061D7" w:rsidRPr="003D66EE">
        <w:t>,</w:t>
      </w:r>
      <w:r w:rsidR="001D00D4" w:rsidRPr="003D66EE">
        <w:t xml:space="preserve"> </w:t>
      </w:r>
      <w:r w:rsidR="000F0C7C" w:rsidRPr="003D66EE">
        <w:t xml:space="preserve">x 2 </w:t>
      </w:r>
      <w:r w:rsidR="007542FE" w:rsidRPr="003D66EE">
        <w:t xml:space="preserve">for </w:t>
      </w:r>
      <w:r w:rsidR="006061D7" w:rsidRPr="003D66EE">
        <w:t xml:space="preserve">each </w:t>
      </w:r>
      <w:r w:rsidR="007542FE" w:rsidRPr="003D66EE">
        <w:t>renewal application</w:t>
      </w:r>
      <w:r w:rsidR="006061D7" w:rsidRPr="003D66EE">
        <w:t xml:space="preserve"> = $</w:t>
      </w:r>
      <w:r w:rsidR="004078E7" w:rsidRPr="003D66EE">
        <w:rPr>
          <w:color w:val="000000"/>
        </w:rPr>
        <w:t>64,</w:t>
      </w:r>
      <w:r w:rsidR="00337454" w:rsidRPr="003D66EE">
        <w:rPr>
          <w:color w:val="000000"/>
        </w:rPr>
        <w:t>082</w:t>
      </w:r>
      <w:r w:rsidR="007542FE" w:rsidRPr="003D66EE">
        <w:t>.</w:t>
      </w:r>
    </w:p>
    <w:p w14:paraId="5D68748A" w14:textId="77777777" w:rsidR="003D66EE" w:rsidRDefault="003D66EE" w:rsidP="00B33C53">
      <w:pPr>
        <w:pStyle w:val="BodyText"/>
      </w:pPr>
    </w:p>
    <w:p w14:paraId="1C7A8017" w14:textId="6EC8E7EF" w:rsidR="00884872" w:rsidRPr="00B6757E" w:rsidRDefault="00817204" w:rsidP="00B33C53">
      <w:pPr>
        <w:pStyle w:val="BodyText"/>
        <w:rPr>
          <w:u w:val="single"/>
        </w:rPr>
      </w:pPr>
      <w:r w:rsidRPr="00B6757E">
        <w:rPr>
          <w:u w:val="single"/>
        </w:rPr>
        <w:t>High Range</w:t>
      </w:r>
    </w:p>
    <w:p w14:paraId="451A81A2" w14:textId="77777777" w:rsidR="00376B52" w:rsidRDefault="00376B52" w:rsidP="00B33C53">
      <w:pPr>
        <w:pStyle w:val="BodyText"/>
      </w:pPr>
    </w:p>
    <w:p w14:paraId="1B3E9E47" w14:textId="755B8DD0" w:rsidR="002368DE" w:rsidRDefault="00110A69" w:rsidP="00B33C53">
      <w:pPr>
        <w:pStyle w:val="BodyText"/>
      </w:pPr>
      <w:r w:rsidRPr="00FD79A7">
        <w:t xml:space="preserve">Multiplying the application cost by the estimated </w:t>
      </w:r>
      <w:r w:rsidR="0063757E">
        <w:t xml:space="preserve">high range </w:t>
      </w:r>
      <w:r w:rsidRPr="00FD79A7">
        <w:t>annual number of applications yields the annual collected information review and processing cost burden to the FAA assoc</w:t>
      </w:r>
      <w:r w:rsidR="00D3208E" w:rsidRPr="00FD79A7">
        <w:t xml:space="preserve">iated with the </w:t>
      </w:r>
      <w:r w:rsidR="005E3FB8">
        <w:t>collection</w:t>
      </w:r>
      <w:r w:rsidRPr="00FD79A7">
        <w:t xml:space="preserve"> — $</w:t>
      </w:r>
      <w:r w:rsidR="00D3208E" w:rsidRPr="00FD79A7">
        <w:t>1,</w:t>
      </w:r>
      <w:r w:rsidR="002368DE">
        <w:t>922,484</w:t>
      </w:r>
      <w:r w:rsidRPr="00FD79A7">
        <w:t xml:space="preserve"> for initial licenses</w:t>
      </w:r>
      <w:r w:rsidR="00D3208E" w:rsidRPr="00FD79A7">
        <w:t>, $1,</w:t>
      </w:r>
      <w:r w:rsidR="002368DE">
        <w:t>922,484</w:t>
      </w:r>
      <w:r w:rsidRPr="00FD79A7">
        <w:t xml:space="preserve"> for modified licenses, and $</w:t>
      </w:r>
      <w:r w:rsidR="002368DE">
        <w:t>128,300</w:t>
      </w:r>
      <w:r w:rsidRPr="00FD79A7">
        <w:t xml:space="preserve"> for renewals.</w:t>
      </w:r>
      <w:r w:rsidR="008C3BAC">
        <w:t xml:space="preserve"> </w:t>
      </w:r>
      <w:r w:rsidR="008C3BAC" w:rsidRPr="00FD79A7">
        <w:t>This is summarized in Table 4b.</w:t>
      </w:r>
      <w:r w:rsidRPr="00FD79A7">
        <w:t xml:space="preserve"> </w:t>
      </w:r>
    </w:p>
    <w:p w14:paraId="140D9D7D" w14:textId="77777777" w:rsidR="005E3FB8" w:rsidRDefault="005E3FB8" w:rsidP="00B33C53">
      <w:pPr>
        <w:pStyle w:val="BodyText"/>
      </w:pPr>
    </w:p>
    <w:p w14:paraId="55B2E13E" w14:textId="160FFB11" w:rsidR="00817204" w:rsidRDefault="00E12E14" w:rsidP="00B33C53">
      <w:pPr>
        <w:pStyle w:val="BodyText"/>
      </w:pPr>
      <w:r>
        <w:t>For the high</w:t>
      </w:r>
      <w:r w:rsidRPr="00E12E14">
        <w:t xml:space="preserve"> range, the total average ann</w:t>
      </w:r>
      <w:r w:rsidR="002C3164">
        <w:t>ual hour burden to the FAA is 47,94</w:t>
      </w:r>
      <w:r w:rsidRPr="00E12E14">
        <w:t xml:space="preserve">0 and </w:t>
      </w:r>
      <w:r w:rsidR="002C3164">
        <w:t xml:space="preserve">the </w:t>
      </w:r>
      <w:r w:rsidRPr="00E12E14">
        <w:t xml:space="preserve">total average annual costs to the FAA is </w:t>
      </w:r>
      <w:r>
        <w:t>$3,973,132</w:t>
      </w:r>
      <w:r w:rsidRPr="00E12E14">
        <w:t>.</w:t>
      </w:r>
    </w:p>
    <w:p w14:paraId="4A77F704" w14:textId="77777777" w:rsidR="00817204" w:rsidRDefault="00817204" w:rsidP="00817204">
      <w:pPr>
        <w:pStyle w:val="TableNotes"/>
      </w:pPr>
    </w:p>
    <w:p w14:paraId="7226B559" w14:textId="3666B02F" w:rsidR="00817204" w:rsidRDefault="00817204" w:rsidP="00B33C53">
      <w:pPr>
        <w:pStyle w:val="BodyText"/>
      </w:pPr>
    </w:p>
    <w:p w14:paraId="7E76AC3E" w14:textId="77777777" w:rsidR="002368DE" w:rsidRDefault="002368DE" w:rsidP="004B5C34">
      <w:pPr>
        <w:pStyle w:val="Heading3"/>
      </w:pPr>
    </w:p>
    <w:p w14:paraId="3792650D" w14:textId="4B6D1CC2" w:rsidR="002368DE" w:rsidRDefault="002368DE" w:rsidP="00A8290F">
      <w:pPr>
        <w:pStyle w:val="Heading3"/>
      </w:pPr>
    </w:p>
    <w:p w14:paraId="33F50F40" w14:textId="77777777" w:rsidR="002368DE" w:rsidRPr="002368DE" w:rsidRDefault="002368DE" w:rsidP="00B33C53">
      <w:pPr>
        <w:pStyle w:val="BodyText"/>
      </w:pPr>
    </w:p>
    <w:p w14:paraId="4EF6499A" w14:textId="13A6FD9A" w:rsidR="002368DE" w:rsidRDefault="002368DE" w:rsidP="004B5C34">
      <w:pPr>
        <w:pStyle w:val="Heading3"/>
      </w:pPr>
      <w:r w:rsidRPr="00E54EDB">
        <w:t>TABLE 4</w:t>
      </w:r>
      <w:r>
        <w:t>b</w:t>
      </w:r>
      <w:r w:rsidRPr="00E54EDB">
        <w:t xml:space="preserve">. </w:t>
      </w:r>
      <w:r w:rsidR="002C3164">
        <w:t>High R</w:t>
      </w:r>
      <w:r>
        <w:t xml:space="preserve">ange for </w:t>
      </w:r>
      <w:r w:rsidRPr="00E54EDB">
        <w:t xml:space="preserve">Burden </w:t>
      </w:r>
      <w:r w:rsidR="002C3164">
        <w:t xml:space="preserve">&amp; Costs </w:t>
      </w:r>
      <w:r w:rsidRPr="00E54EDB">
        <w:t>to Federal Government</w:t>
      </w:r>
    </w:p>
    <w:tbl>
      <w:tblPr>
        <w:tblpPr w:leftFromText="180" w:rightFromText="180" w:vertAnchor="text" w:horzAnchor="page" w:tblpX="1677" w:tblpY="398"/>
        <w:tblW w:w="9340" w:type="dxa"/>
        <w:tblLook w:val="04A0" w:firstRow="1" w:lastRow="0" w:firstColumn="1" w:lastColumn="0" w:noHBand="0" w:noVBand="1"/>
      </w:tblPr>
      <w:tblGrid>
        <w:gridCol w:w="2443"/>
        <w:gridCol w:w="1622"/>
        <w:gridCol w:w="1755"/>
        <w:gridCol w:w="1727"/>
        <w:gridCol w:w="1793"/>
      </w:tblGrid>
      <w:tr w:rsidR="00D8623D" w14:paraId="78468406" w14:textId="77777777" w:rsidTr="00E736E3">
        <w:trPr>
          <w:trHeight w:val="338"/>
        </w:trPr>
        <w:tc>
          <w:tcPr>
            <w:tcW w:w="2443"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14:paraId="30ABAA10" w14:textId="57431CE3" w:rsidR="00D8623D" w:rsidRDefault="00D8623D" w:rsidP="002C3164">
            <w:pPr>
              <w:jc w:val="center"/>
              <w:rPr>
                <w:rFonts w:ascii="Arial" w:hAnsi="Arial" w:cs="Arial"/>
                <w:b/>
                <w:bCs/>
                <w:color w:val="000000"/>
              </w:rPr>
            </w:pPr>
            <w:r>
              <w:rPr>
                <w:rFonts w:ascii="Arial" w:hAnsi="Arial" w:cs="Arial"/>
                <w:b/>
                <w:bCs/>
                <w:color w:val="000000"/>
              </w:rPr>
              <w:t>Category</w:t>
            </w:r>
          </w:p>
        </w:tc>
        <w:tc>
          <w:tcPr>
            <w:tcW w:w="6897" w:type="dxa"/>
            <w:gridSpan w:val="4"/>
            <w:tcBorders>
              <w:top w:val="single" w:sz="8" w:space="0" w:color="auto"/>
              <w:left w:val="nil"/>
              <w:bottom w:val="single" w:sz="8" w:space="0" w:color="auto"/>
              <w:right w:val="single" w:sz="8" w:space="0" w:color="000000"/>
            </w:tcBorders>
            <w:shd w:val="clear" w:color="000000" w:fill="E6E6E6"/>
          </w:tcPr>
          <w:p w14:paraId="44A7E69A" w14:textId="677EAF23" w:rsidR="00D8623D" w:rsidRDefault="00D8623D" w:rsidP="002C3164">
            <w:pPr>
              <w:jc w:val="center"/>
              <w:rPr>
                <w:rFonts w:ascii="Arial" w:hAnsi="Arial" w:cs="Arial"/>
                <w:b/>
                <w:bCs/>
                <w:color w:val="000000"/>
              </w:rPr>
            </w:pPr>
            <w:r>
              <w:rPr>
                <w:rFonts w:ascii="Arial" w:hAnsi="Arial" w:cs="Arial"/>
                <w:b/>
                <w:bCs/>
                <w:color w:val="000000"/>
              </w:rPr>
              <w:t>Hour Burden &amp; Costs</w:t>
            </w:r>
          </w:p>
        </w:tc>
      </w:tr>
      <w:tr w:rsidR="002C3164" w14:paraId="4118A989" w14:textId="77777777" w:rsidTr="002C3164">
        <w:trPr>
          <w:trHeight w:val="388"/>
        </w:trPr>
        <w:tc>
          <w:tcPr>
            <w:tcW w:w="2443" w:type="dxa"/>
            <w:vMerge/>
            <w:tcBorders>
              <w:top w:val="single" w:sz="8" w:space="0" w:color="auto"/>
              <w:left w:val="single" w:sz="8" w:space="0" w:color="auto"/>
              <w:bottom w:val="single" w:sz="8" w:space="0" w:color="000000"/>
              <w:right w:val="single" w:sz="8" w:space="0" w:color="auto"/>
            </w:tcBorders>
            <w:vAlign w:val="center"/>
            <w:hideMark/>
          </w:tcPr>
          <w:p w14:paraId="4443D177" w14:textId="77777777" w:rsidR="002C3164" w:rsidRDefault="002C3164" w:rsidP="002C3164">
            <w:pPr>
              <w:rPr>
                <w:rFonts w:ascii="Arial" w:hAnsi="Arial" w:cs="Arial"/>
                <w:b/>
                <w:bCs/>
                <w:color w:val="000000"/>
              </w:rPr>
            </w:pPr>
          </w:p>
        </w:tc>
        <w:tc>
          <w:tcPr>
            <w:tcW w:w="1622" w:type="dxa"/>
            <w:tcBorders>
              <w:top w:val="nil"/>
              <w:left w:val="nil"/>
              <w:bottom w:val="nil"/>
              <w:right w:val="single" w:sz="8" w:space="0" w:color="auto"/>
            </w:tcBorders>
            <w:shd w:val="clear" w:color="000000" w:fill="E6E6E6"/>
            <w:vAlign w:val="center"/>
            <w:hideMark/>
          </w:tcPr>
          <w:p w14:paraId="78C7A2A9" w14:textId="77777777" w:rsidR="002C3164" w:rsidRDefault="002C3164" w:rsidP="002C3164">
            <w:pPr>
              <w:jc w:val="center"/>
              <w:rPr>
                <w:rFonts w:ascii="Arial" w:hAnsi="Arial" w:cs="Arial"/>
                <w:b/>
                <w:bCs/>
                <w:color w:val="000000"/>
              </w:rPr>
            </w:pPr>
            <w:r>
              <w:rPr>
                <w:rFonts w:ascii="Arial" w:hAnsi="Arial" w:cs="Arial"/>
                <w:b/>
                <w:bCs/>
                <w:color w:val="000000"/>
              </w:rPr>
              <w:t>Initial</w:t>
            </w:r>
          </w:p>
        </w:tc>
        <w:tc>
          <w:tcPr>
            <w:tcW w:w="1755" w:type="dxa"/>
            <w:vMerge w:val="restart"/>
            <w:tcBorders>
              <w:top w:val="nil"/>
              <w:left w:val="single" w:sz="8" w:space="0" w:color="auto"/>
              <w:bottom w:val="single" w:sz="8" w:space="0" w:color="000000"/>
              <w:right w:val="single" w:sz="8" w:space="0" w:color="auto"/>
            </w:tcBorders>
            <w:shd w:val="clear" w:color="000000" w:fill="E6E6E6"/>
            <w:vAlign w:val="center"/>
            <w:hideMark/>
          </w:tcPr>
          <w:p w14:paraId="1DB824D5" w14:textId="654A3ACB" w:rsidR="002C3164" w:rsidRDefault="002C3164" w:rsidP="002C3164">
            <w:pPr>
              <w:jc w:val="center"/>
              <w:rPr>
                <w:rFonts w:ascii="Arial" w:hAnsi="Arial" w:cs="Arial"/>
                <w:b/>
                <w:bCs/>
                <w:color w:val="000000"/>
              </w:rPr>
            </w:pPr>
            <w:r>
              <w:rPr>
                <w:rFonts w:ascii="Arial" w:hAnsi="Arial" w:cs="Arial"/>
                <w:b/>
                <w:bCs/>
                <w:color w:val="000000"/>
              </w:rPr>
              <w:t>Modification Application</w:t>
            </w:r>
            <w:r w:rsidRPr="00884872">
              <w:rPr>
                <w:rFonts w:ascii="Arial" w:hAnsi="Arial" w:cs="Arial"/>
                <w:b/>
                <w:bCs/>
                <w:color w:val="000000"/>
                <w:vertAlign w:val="superscript"/>
              </w:rPr>
              <w:t>(a)</w:t>
            </w:r>
          </w:p>
        </w:tc>
        <w:tc>
          <w:tcPr>
            <w:tcW w:w="1727" w:type="dxa"/>
            <w:tcBorders>
              <w:top w:val="nil"/>
              <w:left w:val="nil"/>
              <w:bottom w:val="nil"/>
              <w:right w:val="single" w:sz="6" w:space="0" w:color="auto"/>
            </w:tcBorders>
            <w:shd w:val="clear" w:color="000000" w:fill="E6E6E6"/>
            <w:vAlign w:val="center"/>
          </w:tcPr>
          <w:p w14:paraId="7EF0B773" w14:textId="6FA2A488" w:rsidR="002C3164" w:rsidRDefault="002C3164" w:rsidP="002C3164">
            <w:pPr>
              <w:jc w:val="center"/>
              <w:rPr>
                <w:rFonts w:ascii="Arial" w:hAnsi="Arial" w:cs="Arial"/>
                <w:b/>
                <w:bCs/>
                <w:color w:val="000000"/>
              </w:rPr>
            </w:pPr>
            <w:r>
              <w:rPr>
                <w:rFonts w:ascii="Arial" w:hAnsi="Arial" w:cs="Arial"/>
                <w:b/>
                <w:bCs/>
                <w:color w:val="000000"/>
              </w:rPr>
              <w:t>Renewal</w:t>
            </w:r>
          </w:p>
        </w:tc>
        <w:tc>
          <w:tcPr>
            <w:tcW w:w="1793" w:type="dxa"/>
            <w:tcBorders>
              <w:top w:val="nil"/>
              <w:left w:val="single" w:sz="6" w:space="0" w:color="auto"/>
              <w:bottom w:val="nil"/>
              <w:right w:val="single" w:sz="8" w:space="0" w:color="auto"/>
            </w:tcBorders>
            <w:shd w:val="clear" w:color="000000" w:fill="E6E6E6"/>
            <w:vAlign w:val="center"/>
          </w:tcPr>
          <w:p w14:paraId="3C69C789" w14:textId="79A21E3D" w:rsidR="002C3164" w:rsidRDefault="002C3164" w:rsidP="002C3164">
            <w:pPr>
              <w:jc w:val="center"/>
              <w:rPr>
                <w:rFonts w:ascii="Arial" w:hAnsi="Arial" w:cs="Arial"/>
                <w:b/>
                <w:bCs/>
                <w:color w:val="000000"/>
              </w:rPr>
            </w:pPr>
          </w:p>
        </w:tc>
      </w:tr>
      <w:tr w:rsidR="002C3164" w14:paraId="159D9A6A" w14:textId="77777777" w:rsidTr="002C3164">
        <w:trPr>
          <w:trHeight w:val="878"/>
        </w:trPr>
        <w:tc>
          <w:tcPr>
            <w:tcW w:w="2443" w:type="dxa"/>
            <w:vMerge/>
            <w:tcBorders>
              <w:top w:val="single" w:sz="8" w:space="0" w:color="auto"/>
              <w:left w:val="single" w:sz="8" w:space="0" w:color="auto"/>
              <w:bottom w:val="single" w:sz="8" w:space="0" w:color="000000"/>
              <w:right w:val="single" w:sz="8" w:space="0" w:color="auto"/>
            </w:tcBorders>
            <w:vAlign w:val="center"/>
            <w:hideMark/>
          </w:tcPr>
          <w:p w14:paraId="6A2CD3A5" w14:textId="77777777" w:rsidR="002C3164" w:rsidRDefault="002C3164" w:rsidP="002C3164">
            <w:pPr>
              <w:rPr>
                <w:rFonts w:ascii="Arial" w:hAnsi="Arial" w:cs="Arial"/>
                <w:b/>
                <w:bCs/>
                <w:color w:val="000000"/>
              </w:rPr>
            </w:pPr>
          </w:p>
        </w:tc>
        <w:tc>
          <w:tcPr>
            <w:tcW w:w="1622" w:type="dxa"/>
            <w:tcBorders>
              <w:top w:val="nil"/>
              <w:left w:val="nil"/>
              <w:bottom w:val="single" w:sz="8" w:space="0" w:color="auto"/>
              <w:right w:val="single" w:sz="8" w:space="0" w:color="auto"/>
            </w:tcBorders>
            <w:shd w:val="clear" w:color="000000" w:fill="E6E6E6"/>
            <w:vAlign w:val="center"/>
            <w:hideMark/>
          </w:tcPr>
          <w:p w14:paraId="54C049D7" w14:textId="6404E25F" w:rsidR="002C3164" w:rsidRDefault="002C3164" w:rsidP="002C3164">
            <w:pPr>
              <w:rPr>
                <w:rFonts w:ascii="Arial" w:hAnsi="Arial" w:cs="Arial"/>
                <w:b/>
                <w:bCs/>
                <w:color w:val="000000"/>
              </w:rPr>
            </w:pPr>
            <w:r>
              <w:rPr>
                <w:rFonts w:ascii="Arial" w:hAnsi="Arial" w:cs="Arial"/>
                <w:b/>
                <w:bCs/>
                <w:color w:val="000000"/>
              </w:rPr>
              <w:t xml:space="preserve"> Application</w:t>
            </w:r>
          </w:p>
        </w:tc>
        <w:tc>
          <w:tcPr>
            <w:tcW w:w="1755" w:type="dxa"/>
            <w:vMerge/>
            <w:tcBorders>
              <w:top w:val="nil"/>
              <w:left w:val="single" w:sz="8" w:space="0" w:color="auto"/>
              <w:bottom w:val="single" w:sz="8" w:space="0" w:color="000000"/>
              <w:right w:val="single" w:sz="8" w:space="0" w:color="auto"/>
            </w:tcBorders>
            <w:vAlign w:val="center"/>
            <w:hideMark/>
          </w:tcPr>
          <w:p w14:paraId="6FDDA255" w14:textId="77777777" w:rsidR="002C3164" w:rsidRDefault="002C3164" w:rsidP="002C3164">
            <w:pPr>
              <w:rPr>
                <w:rFonts w:ascii="Arial" w:hAnsi="Arial" w:cs="Arial"/>
                <w:b/>
                <w:bCs/>
                <w:color w:val="000000"/>
              </w:rPr>
            </w:pPr>
          </w:p>
        </w:tc>
        <w:tc>
          <w:tcPr>
            <w:tcW w:w="1727" w:type="dxa"/>
            <w:tcBorders>
              <w:top w:val="nil"/>
              <w:left w:val="nil"/>
              <w:bottom w:val="single" w:sz="8" w:space="0" w:color="auto"/>
              <w:right w:val="single" w:sz="6" w:space="0" w:color="auto"/>
            </w:tcBorders>
            <w:shd w:val="clear" w:color="000000" w:fill="E6E6E6"/>
            <w:vAlign w:val="center"/>
          </w:tcPr>
          <w:p w14:paraId="5749F5F1" w14:textId="7D019AFD" w:rsidR="002C3164" w:rsidRDefault="002C3164" w:rsidP="002C3164">
            <w:pPr>
              <w:jc w:val="center"/>
              <w:rPr>
                <w:rFonts w:ascii="Arial" w:hAnsi="Arial" w:cs="Arial"/>
                <w:b/>
                <w:bCs/>
                <w:color w:val="000000"/>
              </w:rPr>
            </w:pPr>
            <w:r>
              <w:rPr>
                <w:rFonts w:ascii="Arial" w:hAnsi="Arial" w:cs="Arial"/>
                <w:b/>
                <w:bCs/>
                <w:color w:val="000000"/>
              </w:rPr>
              <w:t>Application</w:t>
            </w:r>
            <w:r w:rsidRPr="00884872">
              <w:rPr>
                <w:rFonts w:ascii="Arial" w:hAnsi="Arial" w:cs="Arial"/>
                <w:b/>
                <w:bCs/>
                <w:color w:val="000000"/>
                <w:vertAlign w:val="superscript"/>
              </w:rPr>
              <w:t>(b)</w:t>
            </w:r>
          </w:p>
        </w:tc>
        <w:tc>
          <w:tcPr>
            <w:tcW w:w="1793" w:type="dxa"/>
            <w:tcBorders>
              <w:top w:val="nil"/>
              <w:left w:val="single" w:sz="6" w:space="0" w:color="auto"/>
              <w:bottom w:val="single" w:sz="8" w:space="0" w:color="auto"/>
              <w:right w:val="single" w:sz="8" w:space="0" w:color="auto"/>
            </w:tcBorders>
            <w:shd w:val="clear" w:color="000000" w:fill="E6E6E6"/>
            <w:vAlign w:val="center"/>
          </w:tcPr>
          <w:p w14:paraId="24A97FEE" w14:textId="60F71297" w:rsidR="002C3164" w:rsidRDefault="002C3164" w:rsidP="002C3164">
            <w:pPr>
              <w:jc w:val="center"/>
              <w:rPr>
                <w:rFonts w:ascii="Arial" w:hAnsi="Arial" w:cs="Arial"/>
                <w:b/>
                <w:bCs/>
                <w:color w:val="000000"/>
              </w:rPr>
            </w:pPr>
            <w:r>
              <w:rPr>
                <w:rFonts w:ascii="Arial" w:hAnsi="Arial" w:cs="Arial"/>
                <w:b/>
                <w:bCs/>
                <w:color w:val="000000"/>
              </w:rPr>
              <w:t>Total</w:t>
            </w:r>
          </w:p>
        </w:tc>
      </w:tr>
      <w:tr w:rsidR="002C3164" w:rsidRPr="00EE2340" w14:paraId="45CD6F62" w14:textId="77777777" w:rsidTr="002C3164">
        <w:trPr>
          <w:trHeight w:val="928"/>
        </w:trPr>
        <w:tc>
          <w:tcPr>
            <w:tcW w:w="2443" w:type="dxa"/>
            <w:tcBorders>
              <w:top w:val="nil"/>
              <w:left w:val="single" w:sz="8" w:space="0" w:color="auto"/>
              <w:bottom w:val="single" w:sz="8" w:space="0" w:color="auto"/>
              <w:right w:val="single" w:sz="8" w:space="0" w:color="auto"/>
            </w:tcBorders>
            <w:shd w:val="clear" w:color="auto" w:fill="auto"/>
            <w:vAlign w:val="center"/>
            <w:hideMark/>
          </w:tcPr>
          <w:p w14:paraId="5A399CE3" w14:textId="77777777" w:rsidR="002C3164" w:rsidRPr="00EE2340" w:rsidRDefault="002C3164" w:rsidP="002C3164">
            <w:pPr>
              <w:rPr>
                <w:rFonts w:ascii="Arial" w:hAnsi="Arial" w:cs="Arial"/>
                <w:color w:val="000000"/>
                <w:sz w:val="22"/>
                <w:szCs w:val="22"/>
              </w:rPr>
            </w:pPr>
            <w:r w:rsidRPr="00EE2340">
              <w:rPr>
                <w:rFonts w:ascii="Arial" w:hAnsi="Arial" w:cs="Arial"/>
                <w:color w:val="000000"/>
                <w:sz w:val="22"/>
                <w:szCs w:val="22"/>
              </w:rPr>
              <w:t>Hours required to submit each application</w:t>
            </w:r>
          </w:p>
        </w:tc>
        <w:tc>
          <w:tcPr>
            <w:tcW w:w="1622" w:type="dxa"/>
            <w:tcBorders>
              <w:top w:val="nil"/>
              <w:left w:val="nil"/>
              <w:bottom w:val="single" w:sz="8" w:space="0" w:color="auto"/>
              <w:right w:val="single" w:sz="8" w:space="0" w:color="auto"/>
            </w:tcBorders>
            <w:shd w:val="clear" w:color="auto" w:fill="auto"/>
            <w:vAlign w:val="center"/>
            <w:hideMark/>
          </w:tcPr>
          <w:p w14:paraId="6F449C22" w14:textId="77777777" w:rsidR="002C3164" w:rsidRPr="00EE2340" w:rsidRDefault="002C3164" w:rsidP="002C3164">
            <w:pPr>
              <w:jc w:val="center"/>
              <w:rPr>
                <w:rFonts w:ascii="Arial" w:hAnsi="Arial" w:cs="Arial"/>
                <w:color w:val="000000"/>
                <w:sz w:val="22"/>
                <w:szCs w:val="22"/>
              </w:rPr>
            </w:pPr>
            <w:r w:rsidRPr="00EE2340">
              <w:rPr>
                <w:rFonts w:ascii="Arial" w:hAnsi="Arial" w:cs="Arial"/>
                <w:color w:val="000000"/>
                <w:sz w:val="22"/>
                <w:szCs w:val="22"/>
              </w:rPr>
              <w:t>3,866</w:t>
            </w:r>
          </w:p>
        </w:tc>
        <w:tc>
          <w:tcPr>
            <w:tcW w:w="1755" w:type="dxa"/>
            <w:tcBorders>
              <w:top w:val="nil"/>
              <w:left w:val="nil"/>
              <w:bottom w:val="single" w:sz="8" w:space="0" w:color="auto"/>
              <w:right w:val="single" w:sz="8" w:space="0" w:color="auto"/>
            </w:tcBorders>
            <w:shd w:val="clear" w:color="auto" w:fill="auto"/>
            <w:vAlign w:val="center"/>
            <w:hideMark/>
          </w:tcPr>
          <w:p w14:paraId="3626C53B" w14:textId="77777777" w:rsidR="002C3164" w:rsidRPr="00EE2340" w:rsidRDefault="002C3164" w:rsidP="002C3164">
            <w:pPr>
              <w:jc w:val="center"/>
              <w:rPr>
                <w:rFonts w:ascii="Arial" w:hAnsi="Arial" w:cs="Arial"/>
                <w:color w:val="000000"/>
                <w:sz w:val="22"/>
                <w:szCs w:val="22"/>
              </w:rPr>
            </w:pPr>
            <w:r w:rsidRPr="00EE2340">
              <w:rPr>
                <w:rFonts w:ascii="Arial" w:hAnsi="Arial" w:cs="Arial"/>
                <w:color w:val="000000"/>
                <w:sz w:val="22"/>
                <w:szCs w:val="22"/>
              </w:rPr>
              <w:t>1,933</w:t>
            </w:r>
          </w:p>
        </w:tc>
        <w:tc>
          <w:tcPr>
            <w:tcW w:w="1727" w:type="dxa"/>
            <w:tcBorders>
              <w:top w:val="nil"/>
              <w:left w:val="nil"/>
              <w:bottom w:val="single" w:sz="8" w:space="0" w:color="auto"/>
              <w:right w:val="single" w:sz="6" w:space="0" w:color="auto"/>
            </w:tcBorders>
            <w:vAlign w:val="center"/>
          </w:tcPr>
          <w:p w14:paraId="206A91E8" w14:textId="467C737E" w:rsidR="002C3164" w:rsidRPr="00EE2340" w:rsidRDefault="002C3164" w:rsidP="002C3164">
            <w:pPr>
              <w:jc w:val="center"/>
              <w:rPr>
                <w:rFonts w:ascii="Arial" w:hAnsi="Arial" w:cs="Arial"/>
                <w:color w:val="000000"/>
                <w:sz w:val="22"/>
                <w:szCs w:val="22"/>
              </w:rPr>
            </w:pPr>
            <w:r w:rsidRPr="00EE2340">
              <w:rPr>
                <w:rFonts w:ascii="Arial" w:hAnsi="Arial" w:cs="Arial"/>
                <w:color w:val="000000"/>
                <w:sz w:val="22"/>
                <w:szCs w:val="22"/>
              </w:rPr>
              <w:t>387</w:t>
            </w:r>
          </w:p>
        </w:tc>
        <w:tc>
          <w:tcPr>
            <w:tcW w:w="1793" w:type="dxa"/>
            <w:tcBorders>
              <w:top w:val="nil"/>
              <w:left w:val="single" w:sz="6" w:space="0" w:color="auto"/>
              <w:bottom w:val="single" w:sz="8" w:space="0" w:color="auto"/>
              <w:right w:val="single" w:sz="8" w:space="0" w:color="auto"/>
            </w:tcBorders>
            <w:shd w:val="clear" w:color="auto" w:fill="auto"/>
            <w:vAlign w:val="center"/>
          </w:tcPr>
          <w:p w14:paraId="08692C19" w14:textId="1FEEDCF8" w:rsidR="002C3164" w:rsidRPr="00EE2340" w:rsidRDefault="002C3164" w:rsidP="002C3164">
            <w:pPr>
              <w:jc w:val="center"/>
              <w:rPr>
                <w:rFonts w:ascii="Arial" w:hAnsi="Arial" w:cs="Arial"/>
                <w:color w:val="000000"/>
                <w:sz w:val="22"/>
                <w:szCs w:val="22"/>
              </w:rPr>
            </w:pPr>
            <w:r>
              <w:rPr>
                <w:rFonts w:ascii="Arial" w:hAnsi="Arial" w:cs="Arial"/>
                <w:color w:val="000000"/>
                <w:sz w:val="22"/>
                <w:szCs w:val="22"/>
              </w:rPr>
              <w:t>n/a</w:t>
            </w:r>
          </w:p>
        </w:tc>
      </w:tr>
      <w:tr w:rsidR="002C3164" w:rsidRPr="00EE2340" w14:paraId="6A53335C" w14:textId="77777777" w:rsidTr="002C3164">
        <w:trPr>
          <w:trHeight w:val="639"/>
        </w:trPr>
        <w:tc>
          <w:tcPr>
            <w:tcW w:w="2443" w:type="dxa"/>
            <w:tcBorders>
              <w:top w:val="nil"/>
              <w:left w:val="single" w:sz="8" w:space="0" w:color="auto"/>
              <w:bottom w:val="single" w:sz="8" w:space="0" w:color="auto"/>
              <w:right w:val="single" w:sz="8" w:space="0" w:color="auto"/>
            </w:tcBorders>
            <w:shd w:val="clear" w:color="auto" w:fill="auto"/>
            <w:vAlign w:val="center"/>
            <w:hideMark/>
          </w:tcPr>
          <w:p w14:paraId="7536D432" w14:textId="014F2FF4" w:rsidR="002C3164" w:rsidRPr="00EE2340" w:rsidRDefault="002C3164" w:rsidP="002C3164">
            <w:pPr>
              <w:rPr>
                <w:rFonts w:ascii="Arial" w:hAnsi="Arial" w:cs="Arial"/>
                <w:color w:val="000000"/>
                <w:sz w:val="22"/>
                <w:szCs w:val="22"/>
              </w:rPr>
            </w:pPr>
            <w:r w:rsidRPr="00EE2340">
              <w:rPr>
                <w:rFonts w:ascii="Arial" w:hAnsi="Arial" w:cs="Arial"/>
                <w:color w:val="000000"/>
                <w:sz w:val="22"/>
                <w:szCs w:val="22"/>
              </w:rPr>
              <w:t>Number of applications per respondent</w:t>
            </w:r>
            <w:r>
              <w:rPr>
                <w:rFonts w:ascii="Arial" w:hAnsi="Arial" w:cs="Arial"/>
                <w:color w:val="000000"/>
                <w:sz w:val="22"/>
                <w:szCs w:val="22"/>
              </w:rPr>
              <w:t>(</w:t>
            </w:r>
            <w:r w:rsidRPr="00EE2340">
              <w:rPr>
                <w:rFonts w:ascii="Arial" w:hAnsi="Arial" w:cs="Arial"/>
                <w:color w:val="000000"/>
                <w:sz w:val="22"/>
                <w:szCs w:val="22"/>
                <w:vertAlign w:val="superscript"/>
              </w:rPr>
              <w:t>d</w:t>
            </w:r>
            <w:r>
              <w:rPr>
                <w:rFonts w:ascii="Arial" w:hAnsi="Arial" w:cs="Arial"/>
                <w:color w:val="000000"/>
                <w:sz w:val="22"/>
                <w:szCs w:val="22"/>
                <w:vertAlign w:val="superscript"/>
              </w:rPr>
              <w:t>)</w:t>
            </w:r>
          </w:p>
        </w:tc>
        <w:tc>
          <w:tcPr>
            <w:tcW w:w="1622" w:type="dxa"/>
            <w:tcBorders>
              <w:top w:val="nil"/>
              <w:left w:val="nil"/>
              <w:bottom w:val="single" w:sz="8" w:space="0" w:color="auto"/>
              <w:right w:val="single" w:sz="8" w:space="0" w:color="auto"/>
            </w:tcBorders>
            <w:shd w:val="clear" w:color="auto" w:fill="auto"/>
            <w:vAlign w:val="center"/>
            <w:hideMark/>
          </w:tcPr>
          <w:p w14:paraId="53777AF3" w14:textId="77777777" w:rsidR="002C3164" w:rsidRPr="00EE2340" w:rsidRDefault="002C3164" w:rsidP="002C3164">
            <w:pPr>
              <w:jc w:val="center"/>
              <w:rPr>
                <w:rFonts w:ascii="Arial" w:hAnsi="Arial" w:cs="Arial"/>
                <w:color w:val="000000"/>
                <w:sz w:val="22"/>
                <w:szCs w:val="22"/>
              </w:rPr>
            </w:pPr>
            <w:r w:rsidRPr="00EE2340">
              <w:rPr>
                <w:rFonts w:ascii="Arial" w:hAnsi="Arial" w:cs="Arial"/>
                <w:color w:val="000000"/>
                <w:sz w:val="22"/>
                <w:szCs w:val="22"/>
              </w:rPr>
              <w:t>1</w:t>
            </w:r>
          </w:p>
        </w:tc>
        <w:tc>
          <w:tcPr>
            <w:tcW w:w="1755" w:type="dxa"/>
            <w:tcBorders>
              <w:top w:val="nil"/>
              <w:left w:val="nil"/>
              <w:bottom w:val="single" w:sz="8" w:space="0" w:color="auto"/>
              <w:right w:val="single" w:sz="8" w:space="0" w:color="auto"/>
            </w:tcBorders>
            <w:shd w:val="clear" w:color="auto" w:fill="auto"/>
            <w:vAlign w:val="center"/>
            <w:hideMark/>
          </w:tcPr>
          <w:p w14:paraId="29B48EA0" w14:textId="77777777" w:rsidR="002C3164" w:rsidRPr="00EE2340" w:rsidRDefault="002C3164" w:rsidP="002C3164">
            <w:pPr>
              <w:jc w:val="center"/>
              <w:rPr>
                <w:rFonts w:ascii="Arial" w:hAnsi="Arial" w:cs="Arial"/>
                <w:color w:val="000000"/>
                <w:sz w:val="22"/>
                <w:szCs w:val="22"/>
              </w:rPr>
            </w:pPr>
            <w:r w:rsidRPr="00EE2340">
              <w:rPr>
                <w:rFonts w:ascii="Arial" w:hAnsi="Arial" w:cs="Arial"/>
                <w:color w:val="000000"/>
                <w:sz w:val="22"/>
                <w:szCs w:val="22"/>
              </w:rPr>
              <w:t>1</w:t>
            </w:r>
          </w:p>
        </w:tc>
        <w:tc>
          <w:tcPr>
            <w:tcW w:w="1727" w:type="dxa"/>
            <w:tcBorders>
              <w:top w:val="nil"/>
              <w:left w:val="nil"/>
              <w:bottom w:val="single" w:sz="8" w:space="0" w:color="auto"/>
              <w:right w:val="single" w:sz="6" w:space="0" w:color="auto"/>
            </w:tcBorders>
            <w:vAlign w:val="center"/>
          </w:tcPr>
          <w:p w14:paraId="196D40FF" w14:textId="2F80C46D" w:rsidR="002C3164" w:rsidRPr="00EE2340" w:rsidRDefault="002C3164" w:rsidP="002C3164">
            <w:pPr>
              <w:jc w:val="center"/>
              <w:rPr>
                <w:rFonts w:ascii="Arial" w:hAnsi="Arial" w:cs="Arial"/>
                <w:color w:val="000000"/>
                <w:sz w:val="22"/>
                <w:szCs w:val="22"/>
              </w:rPr>
            </w:pPr>
            <w:r w:rsidRPr="00EE2340">
              <w:rPr>
                <w:rFonts w:ascii="Arial" w:hAnsi="Arial" w:cs="Arial"/>
                <w:color w:val="000000"/>
                <w:sz w:val="22"/>
                <w:szCs w:val="22"/>
              </w:rPr>
              <w:t>1</w:t>
            </w:r>
          </w:p>
        </w:tc>
        <w:tc>
          <w:tcPr>
            <w:tcW w:w="1793" w:type="dxa"/>
            <w:tcBorders>
              <w:top w:val="nil"/>
              <w:left w:val="single" w:sz="6" w:space="0" w:color="auto"/>
              <w:bottom w:val="single" w:sz="8" w:space="0" w:color="auto"/>
              <w:right w:val="single" w:sz="8" w:space="0" w:color="auto"/>
            </w:tcBorders>
            <w:shd w:val="clear" w:color="auto" w:fill="auto"/>
            <w:vAlign w:val="center"/>
          </w:tcPr>
          <w:p w14:paraId="0ED05B82" w14:textId="1657FEA8" w:rsidR="002C3164" w:rsidRPr="00EE2340" w:rsidRDefault="002C3164" w:rsidP="002C3164">
            <w:pPr>
              <w:jc w:val="center"/>
              <w:rPr>
                <w:rFonts w:ascii="Arial" w:hAnsi="Arial" w:cs="Arial"/>
                <w:color w:val="000000"/>
                <w:sz w:val="22"/>
                <w:szCs w:val="22"/>
              </w:rPr>
            </w:pPr>
            <w:r>
              <w:rPr>
                <w:rFonts w:ascii="Arial" w:hAnsi="Arial" w:cs="Arial"/>
                <w:color w:val="000000"/>
                <w:sz w:val="22"/>
                <w:szCs w:val="22"/>
              </w:rPr>
              <w:t>n/a</w:t>
            </w:r>
          </w:p>
        </w:tc>
      </w:tr>
      <w:tr w:rsidR="002C3164" w:rsidRPr="00EE2340" w14:paraId="0AF433A3" w14:textId="77777777" w:rsidTr="002C3164">
        <w:trPr>
          <w:trHeight w:val="639"/>
        </w:trPr>
        <w:tc>
          <w:tcPr>
            <w:tcW w:w="2443" w:type="dxa"/>
            <w:tcBorders>
              <w:top w:val="nil"/>
              <w:left w:val="single" w:sz="8" w:space="0" w:color="auto"/>
              <w:bottom w:val="single" w:sz="8" w:space="0" w:color="auto"/>
              <w:right w:val="single" w:sz="8" w:space="0" w:color="auto"/>
            </w:tcBorders>
            <w:shd w:val="clear" w:color="auto" w:fill="auto"/>
            <w:vAlign w:val="center"/>
            <w:hideMark/>
          </w:tcPr>
          <w:p w14:paraId="14E645EA" w14:textId="01033268" w:rsidR="002C3164" w:rsidRPr="00EE2340" w:rsidRDefault="002C3164" w:rsidP="002C3164">
            <w:pPr>
              <w:rPr>
                <w:rFonts w:ascii="Arial" w:hAnsi="Arial" w:cs="Arial"/>
                <w:color w:val="000000"/>
                <w:sz w:val="22"/>
                <w:szCs w:val="22"/>
              </w:rPr>
            </w:pPr>
            <w:r w:rsidRPr="00EE2340">
              <w:rPr>
                <w:rFonts w:ascii="Arial" w:hAnsi="Arial" w:cs="Arial"/>
                <w:color w:val="000000"/>
                <w:sz w:val="22"/>
                <w:szCs w:val="22"/>
              </w:rPr>
              <w:t>Annual number of applications</w:t>
            </w:r>
            <w:r w:rsidRPr="00884872">
              <w:rPr>
                <w:rFonts w:ascii="Arial" w:hAnsi="Arial" w:cs="Arial"/>
                <w:color w:val="000000"/>
                <w:sz w:val="22"/>
                <w:szCs w:val="22"/>
                <w:vertAlign w:val="superscript"/>
              </w:rPr>
              <w:t>(c)</w:t>
            </w:r>
          </w:p>
        </w:tc>
        <w:tc>
          <w:tcPr>
            <w:tcW w:w="1622" w:type="dxa"/>
            <w:tcBorders>
              <w:top w:val="nil"/>
              <w:left w:val="nil"/>
              <w:bottom w:val="single" w:sz="8" w:space="0" w:color="auto"/>
              <w:right w:val="single" w:sz="8" w:space="0" w:color="auto"/>
            </w:tcBorders>
            <w:shd w:val="clear" w:color="auto" w:fill="auto"/>
            <w:vAlign w:val="center"/>
            <w:hideMark/>
          </w:tcPr>
          <w:p w14:paraId="6114CE4A" w14:textId="77777777" w:rsidR="002C3164" w:rsidRPr="00EE2340" w:rsidRDefault="002C3164" w:rsidP="002C3164">
            <w:pPr>
              <w:jc w:val="center"/>
              <w:rPr>
                <w:rFonts w:ascii="Arial" w:hAnsi="Arial" w:cs="Arial"/>
                <w:color w:val="000000"/>
                <w:sz w:val="22"/>
                <w:szCs w:val="22"/>
              </w:rPr>
            </w:pPr>
            <w:r w:rsidRPr="00EE2340">
              <w:rPr>
                <w:rFonts w:ascii="Arial" w:hAnsi="Arial" w:cs="Arial"/>
                <w:color w:val="000000"/>
                <w:sz w:val="22"/>
                <w:szCs w:val="22"/>
              </w:rPr>
              <w:t>6</w:t>
            </w:r>
          </w:p>
        </w:tc>
        <w:tc>
          <w:tcPr>
            <w:tcW w:w="1755" w:type="dxa"/>
            <w:tcBorders>
              <w:top w:val="nil"/>
              <w:left w:val="nil"/>
              <w:bottom w:val="single" w:sz="8" w:space="0" w:color="auto"/>
              <w:right w:val="single" w:sz="8" w:space="0" w:color="auto"/>
            </w:tcBorders>
            <w:shd w:val="clear" w:color="auto" w:fill="auto"/>
            <w:vAlign w:val="center"/>
            <w:hideMark/>
          </w:tcPr>
          <w:p w14:paraId="763AD422" w14:textId="77777777" w:rsidR="002C3164" w:rsidRPr="00EE2340" w:rsidRDefault="002C3164" w:rsidP="002C3164">
            <w:pPr>
              <w:jc w:val="center"/>
              <w:rPr>
                <w:rFonts w:ascii="Arial" w:hAnsi="Arial" w:cs="Arial"/>
                <w:color w:val="000000"/>
                <w:sz w:val="22"/>
                <w:szCs w:val="22"/>
              </w:rPr>
            </w:pPr>
            <w:r w:rsidRPr="00EE2340">
              <w:rPr>
                <w:rFonts w:ascii="Arial" w:hAnsi="Arial" w:cs="Arial"/>
                <w:color w:val="000000"/>
                <w:sz w:val="22"/>
                <w:szCs w:val="22"/>
              </w:rPr>
              <w:t>12</w:t>
            </w:r>
          </w:p>
        </w:tc>
        <w:tc>
          <w:tcPr>
            <w:tcW w:w="1727" w:type="dxa"/>
            <w:tcBorders>
              <w:top w:val="nil"/>
              <w:left w:val="nil"/>
              <w:bottom w:val="single" w:sz="8" w:space="0" w:color="auto"/>
              <w:right w:val="single" w:sz="6" w:space="0" w:color="auto"/>
            </w:tcBorders>
            <w:vAlign w:val="center"/>
          </w:tcPr>
          <w:p w14:paraId="3317AE2B" w14:textId="60CD84E3" w:rsidR="002C3164" w:rsidRPr="00EE2340" w:rsidRDefault="002C3164" w:rsidP="002C3164">
            <w:pPr>
              <w:jc w:val="center"/>
              <w:rPr>
                <w:rFonts w:ascii="Arial" w:hAnsi="Arial" w:cs="Arial"/>
                <w:color w:val="000000"/>
                <w:sz w:val="22"/>
                <w:szCs w:val="22"/>
              </w:rPr>
            </w:pPr>
            <w:r w:rsidRPr="00EE2340">
              <w:rPr>
                <w:rFonts w:ascii="Arial" w:hAnsi="Arial" w:cs="Arial"/>
                <w:color w:val="000000"/>
                <w:sz w:val="22"/>
                <w:szCs w:val="22"/>
              </w:rPr>
              <w:t>4</w:t>
            </w:r>
          </w:p>
        </w:tc>
        <w:tc>
          <w:tcPr>
            <w:tcW w:w="1793" w:type="dxa"/>
            <w:tcBorders>
              <w:top w:val="nil"/>
              <w:left w:val="single" w:sz="6" w:space="0" w:color="auto"/>
              <w:bottom w:val="single" w:sz="8" w:space="0" w:color="auto"/>
              <w:right w:val="single" w:sz="8" w:space="0" w:color="auto"/>
            </w:tcBorders>
            <w:shd w:val="clear" w:color="auto" w:fill="auto"/>
            <w:vAlign w:val="center"/>
          </w:tcPr>
          <w:p w14:paraId="49E901BB" w14:textId="7DE93CF7" w:rsidR="002C3164" w:rsidRPr="00EE2340" w:rsidRDefault="00D8623D" w:rsidP="002C3164">
            <w:pPr>
              <w:jc w:val="center"/>
              <w:rPr>
                <w:rFonts w:ascii="Arial" w:hAnsi="Arial" w:cs="Arial"/>
                <w:color w:val="000000"/>
                <w:sz w:val="22"/>
                <w:szCs w:val="22"/>
              </w:rPr>
            </w:pPr>
            <w:r>
              <w:rPr>
                <w:rFonts w:ascii="Arial" w:hAnsi="Arial" w:cs="Arial"/>
                <w:color w:val="000000"/>
                <w:sz w:val="22"/>
                <w:szCs w:val="22"/>
              </w:rPr>
              <w:t>22</w:t>
            </w:r>
          </w:p>
        </w:tc>
      </w:tr>
      <w:tr w:rsidR="002C3164" w:rsidRPr="00EE2340" w14:paraId="3C38F657" w14:textId="77777777" w:rsidTr="002C3164">
        <w:trPr>
          <w:trHeight w:val="589"/>
        </w:trPr>
        <w:tc>
          <w:tcPr>
            <w:tcW w:w="2443" w:type="dxa"/>
            <w:tcBorders>
              <w:top w:val="nil"/>
              <w:left w:val="single" w:sz="8" w:space="0" w:color="auto"/>
              <w:bottom w:val="single" w:sz="8" w:space="0" w:color="auto"/>
              <w:right w:val="single" w:sz="8" w:space="0" w:color="auto"/>
            </w:tcBorders>
            <w:shd w:val="clear" w:color="auto" w:fill="auto"/>
            <w:vAlign w:val="center"/>
          </w:tcPr>
          <w:p w14:paraId="53376EC7" w14:textId="537D5AA4" w:rsidR="002C3164" w:rsidRPr="00EE2340" w:rsidRDefault="004E5E04" w:rsidP="002C3164">
            <w:pPr>
              <w:rPr>
                <w:rFonts w:ascii="Arial" w:hAnsi="Arial" w:cs="Arial"/>
                <w:color w:val="000000"/>
                <w:sz w:val="22"/>
                <w:szCs w:val="22"/>
              </w:rPr>
            </w:pPr>
            <w:r>
              <w:rPr>
                <w:rFonts w:ascii="Arial" w:hAnsi="Arial" w:cs="Arial"/>
                <w:color w:val="000000"/>
                <w:sz w:val="22"/>
                <w:szCs w:val="22"/>
              </w:rPr>
              <w:t>Total annual h</w:t>
            </w:r>
            <w:r w:rsidR="002C3164">
              <w:rPr>
                <w:rFonts w:ascii="Arial" w:hAnsi="Arial" w:cs="Arial"/>
                <w:color w:val="000000"/>
                <w:sz w:val="22"/>
                <w:szCs w:val="22"/>
              </w:rPr>
              <w:t>ours</w:t>
            </w:r>
          </w:p>
        </w:tc>
        <w:tc>
          <w:tcPr>
            <w:tcW w:w="1622" w:type="dxa"/>
            <w:tcBorders>
              <w:top w:val="nil"/>
              <w:left w:val="nil"/>
              <w:bottom w:val="single" w:sz="4" w:space="0" w:color="auto"/>
              <w:right w:val="single" w:sz="8" w:space="0" w:color="auto"/>
            </w:tcBorders>
            <w:shd w:val="clear" w:color="auto" w:fill="auto"/>
            <w:vAlign w:val="center"/>
          </w:tcPr>
          <w:p w14:paraId="10A1B9D0" w14:textId="02F509F7" w:rsidR="002C3164" w:rsidRPr="00EE2340" w:rsidRDefault="002C3164" w:rsidP="002C3164">
            <w:pPr>
              <w:jc w:val="center"/>
              <w:rPr>
                <w:rFonts w:ascii="Arial" w:hAnsi="Arial" w:cs="Arial"/>
                <w:color w:val="000000"/>
                <w:sz w:val="22"/>
                <w:szCs w:val="22"/>
              </w:rPr>
            </w:pPr>
            <w:r>
              <w:rPr>
                <w:rFonts w:ascii="Arial" w:hAnsi="Arial" w:cs="Arial"/>
                <w:color w:val="000000"/>
                <w:sz w:val="22"/>
                <w:szCs w:val="22"/>
              </w:rPr>
              <w:t>23,196</w:t>
            </w:r>
          </w:p>
        </w:tc>
        <w:tc>
          <w:tcPr>
            <w:tcW w:w="1755" w:type="dxa"/>
            <w:tcBorders>
              <w:top w:val="nil"/>
              <w:left w:val="nil"/>
              <w:bottom w:val="single" w:sz="4" w:space="0" w:color="auto"/>
              <w:right w:val="single" w:sz="8" w:space="0" w:color="auto"/>
            </w:tcBorders>
            <w:shd w:val="clear" w:color="auto" w:fill="auto"/>
            <w:vAlign w:val="center"/>
          </w:tcPr>
          <w:p w14:paraId="27621B29" w14:textId="2CF5163D" w:rsidR="002C3164" w:rsidRPr="00EE2340" w:rsidRDefault="002C3164" w:rsidP="002C3164">
            <w:pPr>
              <w:jc w:val="center"/>
              <w:rPr>
                <w:rFonts w:ascii="Arial" w:hAnsi="Arial" w:cs="Arial"/>
                <w:color w:val="000000"/>
                <w:sz w:val="22"/>
                <w:szCs w:val="22"/>
              </w:rPr>
            </w:pPr>
            <w:r>
              <w:rPr>
                <w:rFonts w:ascii="Arial" w:hAnsi="Arial" w:cs="Arial"/>
                <w:color w:val="000000"/>
                <w:sz w:val="22"/>
                <w:szCs w:val="22"/>
              </w:rPr>
              <w:t>23,196</w:t>
            </w:r>
          </w:p>
        </w:tc>
        <w:tc>
          <w:tcPr>
            <w:tcW w:w="1727" w:type="dxa"/>
            <w:tcBorders>
              <w:top w:val="nil"/>
              <w:left w:val="nil"/>
              <w:bottom w:val="single" w:sz="4" w:space="0" w:color="auto"/>
              <w:right w:val="single" w:sz="6" w:space="0" w:color="auto"/>
            </w:tcBorders>
            <w:vAlign w:val="center"/>
          </w:tcPr>
          <w:p w14:paraId="0DB87149" w14:textId="291A3E0B" w:rsidR="002C3164" w:rsidRDefault="002C3164" w:rsidP="002C3164">
            <w:pPr>
              <w:jc w:val="center"/>
              <w:rPr>
                <w:rFonts w:ascii="Arial" w:hAnsi="Arial" w:cs="Arial"/>
                <w:color w:val="000000"/>
                <w:sz w:val="22"/>
                <w:szCs w:val="22"/>
              </w:rPr>
            </w:pPr>
            <w:r>
              <w:rPr>
                <w:rFonts w:ascii="Arial" w:hAnsi="Arial" w:cs="Arial"/>
                <w:color w:val="000000"/>
                <w:sz w:val="22"/>
                <w:szCs w:val="22"/>
              </w:rPr>
              <w:t>1,548</w:t>
            </w:r>
          </w:p>
        </w:tc>
        <w:tc>
          <w:tcPr>
            <w:tcW w:w="1793" w:type="dxa"/>
            <w:tcBorders>
              <w:top w:val="nil"/>
              <w:left w:val="single" w:sz="6" w:space="0" w:color="auto"/>
              <w:bottom w:val="single" w:sz="4" w:space="0" w:color="auto"/>
              <w:right w:val="single" w:sz="8" w:space="0" w:color="auto"/>
            </w:tcBorders>
            <w:shd w:val="clear" w:color="auto" w:fill="auto"/>
            <w:vAlign w:val="center"/>
          </w:tcPr>
          <w:p w14:paraId="79B8A904" w14:textId="2EF12BC0" w:rsidR="002C3164" w:rsidRPr="00EE2340" w:rsidRDefault="002C3164" w:rsidP="002C3164">
            <w:pPr>
              <w:jc w:val="center"/>
              <w:rPr>
                <w:rFonts w:ascii="Arial" w:hAnsi="Arial" w:cs="Arial"/>
                <w:color w:val="000000"/>
                <w:sz w:val="22"/>
                <w:szCs w:val="22"/>
              </w:rPr>
            </w:pPr>
            <w:r>
              <w:rPr>
                <w:rFonts w:ascii="Arial" w:hAnsi="Arial" w:cs="Arial"/>
                <w:color w:val="000000"/>
                <w:sz w:val="22"/>
                <w:szCs w:val="22"/>
              </w:rPr>
              <w:t>47,940</w:t>
            </w:r>
          </w:p>
        </w:tc>
      </w:tr>
      <w:tr w:rsidR="002C3164" w:rsidRPr="00EE2340" w14:paraId="71F1BDB9" w14:textId="77777777" w:rsidTr="002C3164">
        <w:trPr>
          <w:trHeight w:val="589"/>
        </w:trPr>
        <w:tc>
          <w:tcPr>
            <w:tcW w:w="2443" w:type="dxa"/>
            <w:tcBorders>
              <w:top w:val="nil"/>
              <w:left w:val="single" w:sz="8" w:space="0" w:color="auto"/>
              <w:bottom w:val="single" w:sz="8" w:space="0" w:color="auto"/>
              <w:right w:val="single" w:sz="8" w:space="0" w:color="auto"/>
            </w:tcBorders>
            <w:shd w:val="clear" w:color="auto" w:fill="auto"/>
            <w:vAlign w:val="center"/>
            <w:hideMark/>
          </w:tcPr>
          <w:p w14:paraId="556D9961" w14:textId="77777777" w:rsidR="002C3164" w:rsidRPr="00EE2340" w:rsidRDefault="002C3164" w:rsidP="002C3164">
            <w:pPr>
              <w:rPr>
                <w:rFonts w:ascii="Arial" w:hAnsi="Arial" w:cs="Arial"/>
                <w:color w:val="000000"/>
                <w:sz w:val="22"/>
                <w:szCs w:val="22"/>
              </w:rPr>
            </w:pPr>
            <w:r w:rsidRPr="00EE2340">
              <w:rPr>
                <w:rFonts w:ascii="Arial" w:hAnsi="Arial" w:cs="Arial"/>
                <w:color w:val="000000"/>
                <w:sz w:val="22"/>
                <w:szCs w:val="22"/>
              </w:rPr>
              <w:t>Federal government cost per application</w:t>
            </w:r>
          </w:p>
        </w:tc>
        <w:tc>
          <w:tcPr>
            <w:tcW w:w="1622" w:type="dxa"/>
            <w:tcBorders>
              <w:top w:val="nil"/>
              <w:left w:val="nil"/>
              <w:bottom w:val="single" w:sz="4" w:space="0" w:color="auto"/>
              <w:right w:val="single" w:sz="8" w:space="0" w:color="auto"/>
            </w:tcBorders>
            <w:shd w:val="clear" w:color="auto" w:fill="auto"/>
            <w:vAlign w:val="center"/>
            <w:hideMark/>
          </w:tcPr>
          <w:p w14:paraId="68A1FBAC" w14:textId="77777777" w:rsidR="002C3164" w:rsidRPr="00EE2340" w:rsidRDefault="002C3164" w:rsidP="002C3164">
            <w:pPr>
              <w:jc w:val="center"/>
              <w:rPr>
                <w:rFonts w:ascii="Arial" w:hAnsi="Arial" w:cs="Arial"/>
                <w:color w:val="000000"/>
                <w:sz w:val="22"/>
                <w:szCs w:val="22"/>
              </w:rPr>
            </w:pPr>
            <w:r w:rsidRPr="00EE2340">
              <w:rPr>
                <w:rFonts w:ascii="Arial" w:hAnsi="Arial" w:cs="Arial"/>
                <w:color w:val="000000"/>
                <w:sz w:val="22"/>
                <w:szCs w:val="22"/>
              </w:rPr>
              <w:t xml:space="preserve">$320,414 </w:t>
            </w:r>
          </w:p>
        </w:tc>
        <w:tc>
          <w:tcPr>
            <w:tcW w:w="1755" w:type="dxa"/>
            <w:tcBorders>
              <w:top w:val="nil"/>
              <w:left w:val="nil"/>
              <w:bottom w:val="single" w:sz="4" w:space="0" w:color="auto"/>
              <w:right w:val="single" w:sz="8" w:space="0" w:color="auto"/>
            </w:tcBorders>
            <w:shd w:val="clear" w:color="auto" w:fill="auto"/>
            <w:vAlign w:val="center"/>
            <w:hideMark/>
          </w:tcPr>
          <w:p w14:paraId="2940E2BB" w14:textId="77777777" w:rsidR="002C3164" w:rsidRPr="00EE2340" w:rsidRDefault="002C3164" w:rsidP="002C3164">
            <w:pPr>
              <w:jc w:val="center"/>
              <w:rPr>
                <w:rFonts w:ascii="Arial" w:hAnsi="Arial" w:cs="Arial"/>
                <w:color w:val="000000"/>
                <w:sz w:val="22"/>
                <w:szCs w:val="22"/>
              </w:rPr>
            </w:pPr>
            <w:r w:rsidRPr="00EE2340">
              <w:rPr>
                <w:rFonts w:ascii="Arial" w:hAnsi="Arial" w:cs="Arial"/>
                <w:color w:val="000000"/>
                <w:sz w:val="22"/>
                <w:szCs w:val="22"/>
              </w:rPr>
              <w:t xml:space="preserve">$160,207 </w:t>
            </w:r>
          </w:p>
        </w:tc>
        <w:tc>
          <w:tcPr>
            <w:tcW w:w="1727" w:type="dxa"/>
            <w:tcBorders>
              <w:top w:val="nil"/>
              <w:left w:val="nil"/>
              <w:bottom w:val="single" w:sz="4" w:space="0" w:color="auto"/>
              <w:right w:val="single" w:sz="6" w:space="0" w:color="auto"/>
            </w:tcBorders>
            <w:vAlign w:val="center"/>
          </w:tcPr>
          <w:p w14:paraId="6A0B8E71" w14:textId="7A251D05" w:rsidR="002C3164" w:rsidRPr="00EE2340" w:rsidRDefault="002C3164" w:rsidP="002C3164">
            <w:pPr>
              <w:jc w:val="center"/>
              <w:rPr>
                <w:rFonts w:ascii="Arial" w:hAnsi="Arial" w:cs="Arial"/>
                <w:color w:val="000000"/>
                <w:sz w:val="22"/>
                <w:szCs w:val="22"/>
              </w:rPr>
            </w:pPr>
            <w:r w:rsidRPr="00EE2340">
              <w:rPr>
                <w:rFonts w:ascii="Arial" w:hAnsi="Arial" w:cs="Arial"/>
                <w:color w:val="000000"/>
                <w:sz w:val="22"/>
                <w:szCs w:val="22"/>
              </w:rPr>
              <w:t>$32,041</w:t>
            </w:r>
          </w:p>
        </w:tc>
        <w:tc>
          <w:tcPr>
            <w:tcW w:w="1793" w:type="dxa"/>
            <w:tcBorders>
              <w:top w:val="nil"/>
              <w:left w:val="single" w:sz="6" w:space="0" w:color="auto"/>
              <w:bottom w:val="single" w:sz="4" w:space="0" w:color="auto"/>
              <w:right w:val="single" w:sz="8" w:space="0" w:color="auto"/>
            </w:tcBorders>
            <w:shd w:val="clear" w:color="auto" w:fill="auto"/>
            <w:vAlign w:val="center"/>
          </w:tcPr>
          <w:p w14:paraId="3946F354" w14:textId="2862BEBE" w:rsidR="002C3164" w:rsidRPr="00EE2340" w:rsidRDefault="002C3164" w:rsidP="002C3164">
            <w:pPr>
              <w:jc w:val="center"/>
              <w:rPr>
                <w:rFonts w:ascii="Arial" w:hAnsi="Arial" w:cs="Arial"/>
                <w:color w:val="000000"/>
                <w:sz w:val="22"/>
                <w:szCs w:val="22"/>
              </w:rPr>
            </w:pPr>
            <w:r>
              <w:rPr>
                <w:rFonts w:ascii="Arial" w:hAnsi="Arial" w:cs="Arial"/>
                <w:color w:val="000000"/>
                <w:sz w:val="22"/>
                <w:szCs w:val="22"/>
              </w:rPr>
              <w:t>n/a</w:t>
            </w:r>
          </w:p>
        </w:tc>
      </w:tr>
      <w:tr w:rsidR="002C3164" w14:paraId="24E9CF3F" w14:textId="77777777" w:rsidTr="002C3164">
        <w:trPr>
          <w:trHeight w:val="639"/>
        </w:trPr>
        <w:tc>
          <w:tcPr>
            <w:tcW w:w="2443" w:type="dxa"/>
            <w:tcBorders>
              <w:top w:val="nil"/>
              <w:left w:val="single" w:sz="8" w:space="0" w:color="auto"/>
              <w:bottom w:val="single" w:sz="8" w:space="0" w:color="auto"/>
              <w:right w:val="single" w:sz="4" w:space="0" w:color="auto"/>
            </w:tcBorders>
            <w:shd w:val="clear" w:color="auto" w:fill="auto"/>
            <w:vAlign w:val="center"/>
            <w:hideMark/>
          </w:tcPr>
          <w:p w14:paraId="620844BC" w14:textId="0137EB59" w:rsidR="002C3164" w:rsidRPr="00EE2340" w:rsidRDefault="002C3164" w:rsidP="002C3164">
            <w:pPr>
              <w:rPr>
                <w:rFonts w:ascii="Arial" w:hAnsi="Arial" w:cs="Arial"/>
                <w:color w:val="000000"/>
                <w:sz w:val="22"/>
                <w:szCs w:val="22"/>
              </w:rPr>
            </w:pPr>
            <w:r w:rsidRPr="00EE2340">
              <w:rPr>
                <w:rFonts w:ascii="Arial" w:hAnsi="Arial" w:cs="Arial"/>
                <w:color w:val="000000"/>
                <w:sz w:val="22"/>
                <w:szCs w:val="22"/>
              </w:rPr>
              <w:t xml:space="preserve">Federal government annual cost </w:t>
            </w:r>
            <w:r w:rsidRPr="00884872">
              <w:rPr>
                <w:rFonts w:ascii="Arial" w:hAnsi="Arial" w:cs="Arial"/>
                <w:color w:val="000000"/>
                <w:sz w:val="22"/>
                <w:szCs w:val="22"/>
                <w:vertAlign w:val="superscript"/>
              </w:rPr>
              <w:t>(d)</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1DB1A" w14:textId="77777777" w:rsidR="002C3164" w:rsidRPr="00EE2340" w:rsidRDefault="002C3164" w:rsidP="002C3164">
            <w:pPr>
              <w:jc w:val="center"/>
              <w:rPr>
                <w:rFonts w:ascii="Arial" w:hAnsi="Arial" w:cs="Arial"/>
                <w:color w:val="000000"/>
                <w:sz w:val="22"/>
                <w:szCs w:val="22"/>
              </w:rPr>
            </w:pPr>
            <w:r w:rsidRPr="00EE2340">
              <w:rPr>
                <w:rFonts w:ascii="Arial" w:hAnsi="Arial" w:cs="Arial"/>
                <w:color w:val="000000"/>
                <w:sz w:val="22"/>
                <w:szCs w:val="22"/>
              </w:rPr>
              <w:t xml:space="preserve">$1,922,484 </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F697B" w14:textId="77777777" w:rsidR="002C3164" w:rsidRPr="00EE2340" w:rsidRDefault="002C3164" w:rsidP="002C3164">
            <w:pPr>
              <w:jc w:val="center"/>
              <w:rPr>
                <w:rFonts w:ascii="Arial" w:hAnsi="Arial" w:cs="Arial"/>
                <w:color w:val="000000"/>
                <w:sz w:val="22"/>
                <w:szCs w:val="22"/>
              </w:rPr>
            </w:pPr>
            <w:r w:rsidRPr="00EE2340">
              <w:rPr>
                <w:rFonts w:ascii="Arial" w:hAnsi="Arial" w:cs="Arial"/>
                <w:color w:val="000000"/>
                <w:sz w:val="22"/>
                <w:szCs w:val="22"/>
              </w:rPr>
              <w:t xml:space="preserve">$1,922,484 </w:t>
            </w:r>
          </w:p>
        </w:tc>
        <w:tc>
          <w:tcPr>
            <w:tcW w:w="1727" w:type="dxa"/>
            <w:tcBorders>
              <w:top w:val="single" w:sz="4" w:space="0" w:color="auto"/>
              <w:left w:val="single" w:sz="4" w:space="0" w:color="auto"/>
              <w:bottom w:val="single" w:sz="4" w:space="0" w:color="auto"/>
              <w:right w:val="single" w:sz="6" w:space="0" w:color="auto"/>
            </w:tcBorders>
            <w:vAlign w:val="center"/>
          </w:tcPr>
          <w:p w14:paraId="6EA2E6AD" w14:textId="687B292F" w:rsidR="002C3164" w:rsidRPr="00EE2340" w:rsidRDefault="002C3164" w:rsidP="002C3164">
            <w:pPr>
              <w:jc w:val="center"/>
              <w:rPr>
                <w:rFonts w:ascii="Arial" w:hAnsi="Arial" w:cs="Arial"/>
                <w:color w:val="000000"/>
                <w:sz w:val="22"/>
                <w:szCs w:val="22"/>
              </w:rPr>
            </w:pPr>
            <w:r w:rsidRPr="00EE2340">
              <w:rPr>
                <w:rFonts w:ascii="Arial" w:hAnsi="Arial" w:cs="Arial"/>
                <w:color w:val="000000"/>
                <w:sz w:val="22"/>
                <w:szCs w:val="22"/>
              </w:rPr>
              <w:t>$128,164</w:t>
            </w:r>
          </w:p>
        </w:tc>
        <w:tc>
          <w:tcPr>
            <w:tcW w:w="1793" w:type="dxa"/>
            <w:tcBorders>
              <w:top w:val="single" w:sz="4" w:space="0" w:color="auto"/>
              <w:left w:val="single" w:sz="6" w:space="0" w:color="auto"/>
              <w:bottom w:val="single" w:sz="4" w:space="0" w:color="auto"/>
              <w:right w:val="single" w:sz="4" w:space="0" w:color="auto"/>
            </w:tcBorders>
            <w:shd w:val="clear" w:color="auto" w:fill="auto"/>
            <w:vAlign w:val="center"/>
          </w:tcPr>
          <w:p w14:paraId="29FE8966" w14:textId="352E8182" w:rsidR="002C3164" w:rsidRDefault="002C3164" w:rsidP="002C3164">
            <w:pPr>
              <w:jc w:val="center"/>
              <w:rPr>
                <w:rFonts w:ascii="Arial" w:hAnsi="Arial" w:cs="Arial"/>
                <w:color w:val="000000"/>
                <w:sz w:val="22"/>
                <w:szCs w:val="22"/>
              </w:rPr>
            </w:pPr>
            <w:r>
              <w:rPr>
                <w:rFonts w:ascii="Arial" w:hAnsi="Arial" w:cs="Arial"/>
                <w:color w:val="000000"/>
                <w:sz w:val="22"/>
                <w:szCs w:val="22"/>
              </w:rPr>
              <w:t>$3,973,132</w:t>
            </w:r>
          </w:p>
        </w:tc>
      </w:tr>
    </w:tbl>
    <w:p w14:paraId="0C089E46" w14:textId="6C82D43F" w:rsidR="002368DE" w:rsidRPr="002C3164" w:rsidRDefault="002368DE" w:rsidP="00B33C53">
      <w:pPr>
        <w:pStyle w:val="BodyText"/>
        <w:rPr>
          <w:highlight w:val="yellow"/>
        </w:rPr>
      </w:pPr>
    </w:p>
    <w:p w14:paraId="0BBF5F71" w14:textId="5DC6184A" w:rsidR="00004C11" w:rsidRPr="00884872" w:rsidRDefault="00884872" w:rsidP="00884872">
      <w:pPr>
        <w:pStyle w:val="TableNotes"/>
        <w:ind w:firstLine="810"/>
      </w:pPr>
      <w:r>
        <w:t>*Estimates may not total due to rounding</w:t>
      </w:r>
      <w:r w:rsidR="00004C11" w:rsidRPr="00884872">
        <w:t>.</w:t>
      </w:r>
      <w:r w:rsidR="002C3164">
        <w:t xml:space="preserve"> “n/a” indicates total not applicable for category.</w:t>
      </w:r>
    </w:p>
    <w:p w14:paraId="7CCF71D8" w14:textId="228F3F28" w:rsidR="00682094" w:rsidRPr="00884872" w:rsidRDefault="00884872" w:rsidP="00884872">
      <w:pPr>
        <w:pStyle w:val="TableNotes"/>
        <w:ind w:firstLine="810"/>
      </w:pPr>
      <w:r>
        <w:t>(</w:t>
      </w:r>
      <w:r w:rsidR="00682094" w:rsidRPr="00884872">
        <w:t>a</w:t>
      </w:r>
      <w:r>
        <w:t>)</w:t>
      </w:r>
      <w:r w:rsidR="00682094" w:rsidRPr="00884872">
        <w:t xml:space="preserve"> Includes major modifications to existing licenses.</w:t>
      </w:r>
    </w:p>
    <w:p w14:paraId="3D4F72A4" w14:textId="427FD759" w:rsidR="00682094" w:rsidRPr="00884872" w:rsidRDefault="00884872" w:rsidP="00884872">
      <w:pPr>
        <w:pStyle w:val="TableNotes"/>
        <w:ind w:firstLine="810"/>
      </w:pPr>
      <w:r>
        <w:t>(</w:t>
      </w:r>
      <w:r w:rsidR="00682094" w:rsidRPr="00884872">
        <w:t>b</w:t>
      </w:r>
      <w:r>
        <w:t>)</w:t>
      </w:r>
      <w:r w:rsidR="00682094" w:rsidRPr="00884872">
        <w:t xml:space="preserve"> Renewal of a license application is voluntary.</w:t>
      </w:r>
    </w:p>
    <w:p w14:paraId="2BEDCB21" w14:textId="6A498B00" w:rsidR="00682094" w:rsidRPr="00884872" w:rsidRDefault="00884872" w:rsidP="00884872">
      <w:pPr>
        <w:pStyle w:val="TableNotes"/>
        <w:ind w:left="810"/>
      </w:pPr>
      <w:r>
        <w:t>(c)</w:t>
      </w:r>
      <w:r w:rsidR="00682094" w:rsidRPr="00884872">
        <w:t xml:space="preserve"> Federal Aviation Administration, Office of Commercial Space Transportation (FAA/AST), 2018.</w:t>
      </w:r>
    </w:p>
    <w:p w14:paraId="1DB9C71E" w14:textId="404246ED" w:rsidR="00682094" w:rsidRPr="00884872" w:rsidRDefault="00884872" w:rsidP="00884872">
      <w:pPr>
        <w:pStyle w:val="TableNotes"/>
        <w:ind w:left="810"/>
        <w:rPr>
          <w:highlight w:val="yellow"/>
        </w:rPr>
      </w:pPr>
      <w:r>
        <w:t>(</w:t>
      </w:r>
      <w:r w:rsidR="00682094" w:rsidRPr="00884872">
        <w:t>d</w:t>
      </w:r>
      <w:r>
        <w:t>)</w:t>
      </w:r>
      <w:r w:rsidR="00682094" w:rsidRPr="00884872">
        <w:t xml:space="preserve"> Federal government total cost per annum calculated as $</w:t>
      </w:r>
      <w:r w:rsidR="0092763D" w:rsidRPr="00884872">
        <w:t>320,414</w:t>
      </w:r>
      <w:r w:rsidR="00682094" w:rsidRPr="00884872">
        <w:t xml:space="preserve"> × 6 = $1,</w:t>
      </w:r>
      <w:r w:rsidR="0092763D" w:rsidRPr="00884872">
        <w:t>922,484</w:t>
      </w:r>
      <w:r w:rsidR="00682094" w:rsidRPr="00884872">
        <w:t xml:space="preserve"> for initial applications; calculated as 50%, or $</w:t>
      </w:r>
      <w:r w:rsidR="0092763D" w:rsidRPr="00884872">
        <w:t xml:space="preserve">160,207 </w:t>
      </w:r>
      <w:r w:rsidR="00682094" w:rsidRPr="00884872">
        <w:t>x 12, for each major modifications = $1,</w:t>
      </w:r>
      <w:r w:rsidR="0092763D" w:rsidRPr="00884872">
        <w:t>922,484</w:t>
      </w:r>
      <w:r w:rsidR="00682094" w:rsidRPr="00884872">
        <w:t xml:space="preserve">; calculated as 10%, or </w:t>
      </w:r>
      <w:r w:rsidR="0092763D" w:rsidRPr="00884872">
        <w:t>$32,0</w:t>
      </w:r>
      <w:r w:rsidR="00C54ED0" w:rsidRPr="00884872">
        <w:t>41</w:t>
      </w:r>
      <w:r w:rsidR="00682094" w:rsidRPr="00884872">
        <w:t xml:space="preserve"> x 4 for each renewal application = </w:t>
      </w:r>
      <w:r w:rsidR="0092763D" w:rsidRPr="00884872">
        <w:t>$128,</w:t>
      </w:r>
      <w:r w:rsidR="00C54ED0" w:rsidRPr="00884872">
        <w:t>164</w:t>
      </w:r>
      <w:r w:rsidR="00682094" w:rsidRPr="00884872">
        <w:t>.</w:t>
      </w:r>
    </w:p>
    <w:p w14:paraId="3E2E5716" w14:textId="77777777" w:rsidR="00884872" w:rsidRDefault="00884872" w:rsidP="00B33C53">
      <w:pPr>
        <w:pStyle w:val="BodyText"/>
      </w:pPr>
    </w:p>
    <w:p w14:paraId="093E61D3" w14:textId="77777777" w:rsidR="00424D6E" w:rsidRDefault="00424D6E" w:rsidP="003D66EE">
      <w:pPr>
        <w:pStyle w:val="TableNotes"/>
      </w:pPr>
    </w:p>
    <w:p w14:paraId="086A76B8" w14:textId="27320E35" w:rsidR="001204BB" w:rsidRPr="001204BB" w:rsidRDefault="001204BB" w:rsidP="005B3D95">
      <w:pPr>
        <w:pStyle w:val="TableNotes"/>
        <w:rPr>
          <w:sz w:val="24"/>
          <w:szCs w:val="24"/>
          <w:u w:val="single"/>
        </w:rPr>
      </w:pPr>
      <w:r w:rsidRPr="001204BB">
        <w:rPr>
          <w:sz w:val="24"/>
          <w:szCs w:val="24"/>
          <w:u w:val="single"/>
        </w:rPr>
        <w:t>Primary Estimate</w:t>
      </w:r>
    </w:p>
    <w:p w14:paraId="25155FA3" w14:textId="77777777" w:rsidR="001204BB" w:rsidRDefault="001204BB" w:rsidP="005B3D95">
      <w:pPr>
        <w:pStyle w:val="TableNotes"/>
        <w:rPr>
          <w:sz w:val="24"/>
          <w:szCs w:val="24"/>
        </w:rPr>
      </w:pPr>
    </w:p>
    <w:p w14:paraId="11055FE6" w14:textId="40195C26" w:rsidR="00424D6E" w:rsidRPr="00884872" w:rsidRDefault="00884872" w:rsidP="005B3D95">
      <w:pPr>
        <w:pStyle w:val="TableNotes"/>
        <w:rPr>
          <w:sz w:val="24"/>
          <w:szCs w:val="24"/>
        </w:rPr>
      </w:pPr>
      <w:r w:rsidRPr="00884872">
        <w:rPr>
          <w:sz w:val="24"/>
          <w:szCs w:val="24"/>
        </w:rPr>
        <w:t xml:space="preserve">The </w:t>
      </w:r>
      <w:r w:rsidR="001204BB">
        <w:rPr>
          <w:sz w:val="24"/>
          <w:szCs w:val="24"/>
        </w:rPr>
        <w:t xml:space="preserve">following table </w:t>
      </w:r>
      <w:r w:rsidRPr="00884872">
        <w:rPr>
          <w:sz w:val="24"/>
          <w:szCs w:val="24"/>
        </w:rPr>
        <w:t xml:space="preserve">provides the average </w:t>
      </w:r>
      <w:r w:rsidR="001204BB">
        <w:rPr>
          <w:sz w:val="24"/>
          <w:szCs w:val="24"/>
        </w:rPr>
        <w:t xml:space="preserve">burden and costs to FAA </w:t>
      </w:r>
      <w:r w:rsidRPr="00884872">
        <w:rPr>
          <w:sz w:val="24"/>
          <w:szCs w:val="24"/>
        </w:rPr>
        <w:t>to be used as the primary estimate of burden for this collection of information.</w:t>
      </w:r>
      <w:r w:rsidR="005256B2">
        <w:rPr>
          <w:sz w:val="24"/>
          <w:szCs w:val="24"/>
        </w:rPr>
        <w:t xml:space="preserve"> The </w:t>
      </w:r>
      <w:r w:rsidR="00294E5C">
        <w:rPr>
          <w:sz w:val="24"/>
          <w:szCs w:val="24"/>
        </w:rPr>
        <w:t xml:space="preserve">total </w:t>
      </w:r>
      <w:r w:rsidR="005256B2">
        <w:rPr>
          <w:sz w:val="24"/>
          <w:szCs w:val="24"/>
        </w:rPr>
        <w:t xml:space="preserve">average annual hour burden to FAA is 35,955 hours and the </w:t>
      </w:r>
      <w:r w:rsidR="00294E5C">
        <w:rPr>
          <w:sz w:val="24"/>
          <w:szCs w:val="24"/>
        </w:rPr>
        <w:t xml:space="preserve">total </w:t>
      </w:r>
      <w:r w:rsidR="005256B2">
        <w:rPr>
          <w:sz w:val="24"/>
          <w:szCs w:val="24"/>
        </w:rPr>
        <w:t xml:space="preserve">average annual cost to FAA is </w:t>
      </w:r>
      <w:r w:rsidR="00294E5C">
        <w:rPr>
          <w:sz w:val="24"/>
          <w:szCs w:val="24"/>
        </w:rPr>
        <w:t>$2,979,849.</w:t>
      </w:r>
    </w:p>
    <w:p w14:paraId="163CAA83" w14:textId="77777777" w:rsidR="00424D6E" w:rsidRPr="002F3F9F" w:rsidRDefault="00424D6E" w:rsidP="003D66EE">
      <w:pPr>
        <w:pStyle w:val="TableNotes"/>
      </w:pPr>
    </w:p>
    <w:p w14:paraId="306620A8" w14:textId="23F05BC1" w:rsidR="00424D6E" w:rsidRDefault="00424D6E" w:rsidP="003D66EE">
      <w:pPr>
        <w:pStyle w:val="TableNotes"/>
      </w:pPr>
    </w:p>
    <w:p w14:paraId="56FCBFD2" w14:textId="3150B97E" w:rsidR="002C3164" w:rsidRDefault="002C3164" w:rsidP="003D66EE">
      <w:pPr>
        <w:pStyle w:val="TableNotes"/>
      </w:pPr>
    </w:p>
    <w:p w14:paraId="00E8E1A2" w14:textId="5E9924C7" w:rsidR="002C3164" w:rsidRDefault="002C3164" w:rsidP="003D66EE">
      <w:pPr>
        <w:pStyle w:val="TableNotes"/>
      </w:pPr>
    </w:p>
    <w:p w14:paraId="3424D723" w14:textId="75A39694" w:rsidR="002C3164" w:rsidRDefault="002C3164" w:rsidP="003D66EE">
      <w:pPr>
        <w:pStyle w:val="TableNotes"/>
      </w:pPr>
    </w:p>
    <w:p w14:paraId="1FD49724" w14:textId="08CCFE2A" w:rsidR="002C3164" w:rsidRDefault="002C3164" w:rsidP="003D66EE">
      <w:pPr>
        <w:pStyle w:val="TableNotes"/>
      </w:pPr>
    </w:p>
    <w:p w14:paraId="3B3F439C" w14:textId="77777777" w:rsidR="002C3164" w:rsidRPr="002F3F9F" w:rsidRDefault="002C3164" w:rsidP="003D66EE">
      <w:pPr>
        <w:pStyle w:val="TableNotes"/>
      </w:pPr>
    </w:p>
    <w:p w14:paraId="60C1C486" w14:textId="77777777" w:rsidR="00B6757E" w:rsidRDefault="00B6757E" w:rsidP="00884872">
      <w:pPr>
        <w:pStyle w:val="TableNotes"/>
        <w:rPr>
          <w:rFonts w:ascii="Times New Roman Bold" w:hAnsi="Times New Roman Bold"/>
          <w:b/>
          <w:caps/>
          <w:sz w:val="24"/>
          <w:szCs w:val="24"/>
        </w:rPr>
      </w:pPr>
    </w:p>
    <w:p w14:paraId="2FB7E669" w14:textId="77777777" w:rsidR="00B6757E" w:rsidRDefault="00B6757E" w:rsidP="00884872">
      <w:pPr>
        <w:pStyle w:val="TableNotes"/>
        <w:rPr>
          <w:rFonts w:ascii="Times New Roman Bold" w:hAnsi="Times New Roman Bold"/>
          <w:b/>
          <w:caps/>
          <w:sz w:val="24"/>
          <w:szCs w:val="24"/>
        </w:rPr>
      </w:pPr>
    </w:p>
    <w:p w14:paraId="58FFA84B" w14:textId="50FA5C68" w:rsidR="00424D6E" w:rsidRPr="00817204" w:rsidRDefault="00424D6E" w:rsidP="00884872">
      <w:pPr>
        <w:pStyle w:val="TableNotes"/>
        <w:rPr>
          <w:b/>
          <w:sz w:val="24"/>
          <w:szCs w:val="24"/>
        </w:rPr>
      </w:pPr>
      <w:r w:rsidRPr="00817204">
        <w:rPr>
          <w:rFonts w:ascii="Times New Roman Bold" w:hAnsi="Times New Roman Bold"/>
          <w:b/>
          <w:caps/>
          <w:sz w:val="24"/>
          <w:szCs w:val="24"/>
        </w:rPr>
        <w:t>Table 4c</w:t>
      </w:r>
      <w:r w:rsidRPr="00817204">
        <w:rPr>
          <w:b/>
          <w:sz w:val="24"/>
          <w:szCs w:val="24"/>
        </w:rPr>
        <w:t xml:space="preserve">. Average </w:t>
      </w:r>
      <w:r w:rsidR="00D8623D">
        <w:rPr>
          <w:b/>
          <w:sz w:val="24"/>
          <w:szCs w:val="24"/>
        </w:rPr>
        <w:t>Burden and Costs to</w:t>
      </w:r>
      <w:r w:rsidRPr="00817204">
        <w:rPr>
          <w:b/>
          <w:sz w:val="24"/>
          <w:szCs w:val="24"/>
        </w:rPr>
        <w:t xml:space="preserve"> </w:t>
      </w:r>
      <w:r w:rsidR="00D8623D">
        <w:rPr>
          <w:b/>
          <w:sz w:val="24"/>
          <w:szCs w:val="24"/>
        </w:rPr>
        <w:t xml:space="preserve">the </w:t>
      </w:r>
      <w:r w:rsidRPr="00817204">
        <w:rPr>
          <w:b/>
          <w:sz w:val="24"/>
          <w:szCs w:val="24"/>
        </w:rPr>
        <w:t>Federal Government</w:t>
      </w:r>
      <w:r w:rsidR="00766820">
        <w:rPr>
          <w:b/>
          <w:sz w:val="24"/>
          <w:szCs w:val="24"/>
        </w:rPr>
        <w:t>*</w:t>
      </w:r>
    </w:p>
    <w:p w14:paraId="7D14BE8E" w14:textId="35F32EB4" w:rsidR="00424D6E" w:rsidRDefault="00424D6E" w:rsidP="00776205">
      <w:pPr>
        <w:pStyle w:val="TableNotes"/>
      </w:pPr>
    </w:p>
    <w:tbl>
      <w:tblPr>
        <w:tblW w:w="8720" w:type="dxa"/>
        <w:jc w:val="center"/>
        <w:tblLook w:val="04A0" w:firstRow="1" w:lastRow="0" w:firstColumn="1" w:lastColumn="0" w:noHBand="0" w:noVBand="1"/>
      </w:tblPr>
      <w:tblGrid>
        <w:gridCol w:w="1970"/>
        <w:gridCol w:w="1530"/>
        <w:gridCol w:w="1800"/>
        <w:gridCol w:w="1710"/>
        <w:gridCol w:w="1710"/>
      </w:tblGrid>
      <w:tr w:rsidR="00766820" w:rsidRPr="00061456" w14:paraId="4C0C46E9" w14:textId="77777777" w:rsidTr="00E736E3">
        <w:trPr>
          <w:trHeight w:val="324"/>
          <w:jc w:val="center"/>
        </w:trPr>
        <w:tc>
          <w:tcPr>
            <w:tcW w:w="1970" w:type="dxa"/>
            <w:vMerge w:val="restart"/>
            <w:tcBorders>
              <w:top w:val="single" w:sz="8" w:space="0" w:color="auto"/>
              <w:left w:val="single" w:sz="8" w:space="0" w:color="auto"/>
              <w:bottom w:val="nil"/>
              <w:right w:val="single" w:sz="8" w:space="0" w:color="auto"/>
            </w:tcBorders>
            <w:shd w:val="clear" w:color="000000" w:fill="E6E6E6"/>
            <w:vAlign w:val="center"/>
            <w:hideMark/>
          </w:tcPr>
          <w:p w14:paraId="6F67863F" w14:textId="77777777" w:rsidR="00766820" w:rsidRPr="00061456" w:rsidRDefault="00766820" w:rsidP="00A10612">
            <w:pPr>
              <w:jc w:val="center"/>
              <w:rPr>
                <w:rFonts w:ascii="Arial" w:hAnsi="Arial" w:cs="Arial"/>
                <w:b/>
                <w:bCs/>
                <w:color w:val="000000"/>
              </w:rPr>
            </w:pPr>
            <w:r w:rsidRPr="00061456">
              <w:rPr>
                <w:rFonts w:ascii="Arial" w:hAnsi="Arial" w:cs="Arial"/>
                <w:b/>
                <w:bCs/>
                <w:color w:val="000000"/>
              </w:rPr>
              <w:t>Category</w:t>
            </w:r>
          </w:p>
        </w:tc>
        <w:tc>
          <w:tcPr>
            <w:tcW w:w="6750" w:type="dxa"/>
            <w:gridSpan w:val="4"/>
            <w:tcBorders>
              <w:top w:val="single" w:sz="8" w:space="0" w:color="auto"/>
              <w:left w:val="nil"/>
              <w:bottom w:val="single" w:sz="8" w:space="0" w:color="auto"/>
              <w:right w:val="single" w:sz="8" w:space="0" w:color="auto"/>
            </w:tcBorders>
            <w:shd w:val="clear" w:color="000000" w:fill="E6E6E6"/>
            <w:vAlign w:val="center"/>
            <w:hideMark/>
          </w:tcPr>
          <w:p w14:paraId="24B843C3" w14:textId="0FF812A8" w:rsidR="00766820" w:rsidRPr="00061456" w:rsidRDefault="00766820" w:rsidP="00766820">
            <w:pPr>
              <w:jc w:val="center"/>
              <w:rPr>
                <w:rFonts w:ascii="Arial" w:hAnsi="Arial" w:cs="Arial"/>
                <w:b/>
                <w:bCs/>
                <w:color w:val="000000"/>
              </w:rPr>
            </w:pPr>
            <w:r w:rsidRPr="00061456">
              <w:rPr>
                <w:rFonts w:ascii="Arial" w:hAnsi="Arial" w:cs="Arial"/>
                <w:b/>
                <w:bCs/>
                <w:color w:val="000000"/>
              </w:rPr>
              <w:t>Hour Burden </w:t>
            </w:r>
            <w:r>
              <w:rPr>
                <w:rFonts w:ascii="Arial" w:hAnsi="Arial" w:cs="Arial"/>
                <w:b/>
                <w:bCs/>
                <w:color w:val="000000"/>
              </w:rPr>
              <w:t>&amp; Costs</w:t>
            </w:r>
          </w:p>
        </w:tc>
      </w:tr>
      <w:tr w:rsidR="00424D6E" w:rsidRPr="00061456" w14:paraId="28B07292" w14:textId="77777777" w:rsidTr="00424D6E">
        <w:trPr>
          <w:trHeight w:val="312"/>
          <w:jc w:val="center"/>
        </w:trPr>
        <w:tc>
          <w:tcPr>
            <w:tcW w:w="1970" w:type="dxa"/>
            <w:vMerge/>
            <w:tcBorders>
              <w:top w:val="single" w:sz="8" w:space="0" w:color="auto"/>
              <w:left w:val="single" w:sz="8" w:space="0" w:color="auto"/>
              <w:bottom w:val="nil"/>
              <w:right w:val="single" w:sz="8" w:space="0" w:color="auto"/>
            </w:tcBorders>
            <w:vAlign w:val="center"/>
            <w:hideMark/>
          </w:tcPr>
          <w:p w14:paraId="0E0945E5" w14:textId="77777777" w:rsidR="00424D6E" w:rsidRPr="00061456" w:rsidRDefault="00424D6E" w:rsidP="00A10612">
            <w:pPr>
              <w:rPr>
                <w:rFonts w:ascii="Arial" w:hAnsi="Arial" w:cs="Arial"/>
                <w:b/>
                <w:bCs/>
                <w:color w:val="000000"/>
              </w:rPr>
            </w:pPr>
          </w:p>
        </w:tc>
        <w:tc>
          <w:tcPr>
            <w:tcW w:w="1530" w:type="dxa"/>
            <w:tcBorders>
              <w:top w:val="nil"/>
              <w:left w:val="nil"/>
              <w:bottom w:val="nil"/>
              <w:right w:val="single" w:sz="8" w:space="0" w:color="auto"/>
            </w:tcBorders>
            <w:shd w:val="clear" w:color="000000" w:fill="E6E6E6"/>
            <w:vAlign w:val="center"/>
            <w:hideMark/>
          </w:tcPr>
          <w:p w14:paraId="14CB0F3A" w14:textId="77777777" w:rsidR="00424D6E" w:rsidRPr="00061456" w:rsidRDefault="00424D6E" w:rsidP="00A10612">
            <w:pPr>
              <w:jc w:val="center"/>
              <w:rPr>
                <w:rFonts w:ascii="Arial" w:hAnsi="Arial" w:cs="Arial"/>
                <w:b/>
                <w:bCs/>
                <w:color w:val="000000"/>
              </w:rPr>
            </w:pPr>
            <w:r w:rsidRPr="00061456">
              <w:rPr>
                <w:rFonts w:ascii="Arial" w:hAnsi="Arial" w:cs="Arial"/>
                <w:b/>
                <w:bCs/>
                <w:color w:val="000000"/>
              </w:rPr>
              <w:t>Initial</w:t>
            </w:r>
          </w:p>
        </w:tc>
        <w:tc>
          <w:tcPr>
            <w:tcW w:w="1800" w:type="dxa"/>
            <w:vMerge w:val="restart"/>
            <w:tcBorders>
              <w:top w:val="nil"/>
              <w:left w:val="single" w:sz="8" w:space="0" w:color="auto"/>
              <w:bottom w:val="nil"/>
              <w:right w:val="single" w:sz="8" w:space="0" w:color="auto"/>
            </w:tcBorders>
            <w:shd w:val="clear" w:color="000000" w:fill="E6E6E6"/>
            <w:vAlign w:val="center"/>
            <w:hideMark/>
          </w:tcPr>
          <w:p w14:paraId="4D13DDEA" w14:textId="3AF40C25" w:rsidR="00424D6E" w:rsidRPr="00061456" w:rsidRDefault="00424D6E" w:rsidP="00A10612">
            <w:pPr>
              <w:jc w:val="center"/>
              <w:rPr>
                <w:rFonts w:ascii="Arial" w:hAnsi="Arial" w:cs="Arial"/>
                <w:b/>
                <w:bCs/>
                <w:color w:val="000000"/>
              </w:rPr>
            </w:pPr>
            <w:r w:rsidRPr="00061456">
              <w:rPr>
                <w:rFonts w:ascii="Arial" w:hAnsi="Arial" w:cs="Arial"/>
                <w:b/>
                <w:bCs/>
                <w:color w:val="000000"/>
              </w:rPr>
              <w:t>Modification Application</w:t>
            </w:r>
          </w:p>
        </w:tc>
        <w:tc>
          <w:tcPr>
            <w:tcW w:w="1710" w:type="dxa"/>
            <w:tcBorders>
              <w:top w:val="nil"/>
              <w:left w:val="nil"/>
              <w:bottom w:val="nil"/>
              <w:right w:val="single" w:sz="8" w:space="0" w:color="auto"/>
            </w:tcBorders>
            <w:shd w:val="clear" w:color="000000" w:fill="E6E6E6"/>
            <w:vAlign w:val="center"/>
            <w:hideMark/>
          </w:tcPr>
          <w:p w14:paraId="0E353C8B" w14:textId="77777777" w:rsidR="00424D6E" w:rsidRPr="00061456" w:rsidRDefault="00424D6E" w:rsidP="00A10612">
            <w:pPr>
              <w:jc w:val="center"/>
              <w:rPr>
                <w:rFonts w:ascii="Arial" w:hAnsi="Arial" w:cs="Arial"/>
                <w:b/>
                <w:bCs/>
                <w:color w:val="000000"/>
              </w:rPr>
            </w:pPr>
            <w:r w:rsidRPr="00061456">
              <w:rPr>
                <w:rFonts w:ascii="Arial" w:hAnsi="Arial" w:cs="Arial"/>
                <w:b/>
                <w:bCs/>
                <w:color w:val="000000"/>
              </w:rPr>
              <w:t>Renewal</w:t>
            </w:r>
          </w:p>
        </w:tc>
        <w:tc>
          <w:tcPr>
            <w:tcW w:w="1710" w:type="dxa"/>
            <w:vMerge w:val="restart"/>
            <w:tcBorders>
              <w:top w:val="nil"/>
              <w:left w:val="single" w:sz="8" w:space="0" w:color="auto"/>
              <w:bottom w:val="nil"/>
              <w:right w:val="single" w:sz="8" w:space="0" w:color="auto"/>
            </w:tcBorders>
            <w:shd w:val="clear" w:color="000000" w:fill="E6E6E6"/>
            <w:vAlign w:val="center"/>
            <w:hideMark/>
          </w:tcPr>
          <w:p w14:paraId="2B604E81" w14:textId="77777777" w:rsidR="00424D6E" w:rsidRPr="00061456" w:rsidRDefault="00424D6E" w:rsidP="00A10612">
            <w:pPr>
              <w:jc w:val="center"/>
              <w:rPr>
                <w:rFonts w:ascii="Arial" w:hAnsi="Arial" w:cs="Arial"/>
                <w:b/>
                <w:bCs/>
                <w:color w:val="000000"/>
              </w:rPr>
            </w:pPr>
            <w:r w:rsidRPr="00061456">
              <w:rPr>
                <w:rFonts w:ascii="Arial" w:hAnsi="Arial" w:cs="Arial"/>
                <w:b/>
                <w:bCs/>
                <w:color w:val="000000"/>
              </w:rPr>
              <w:t>Total</w:t>
            </w:r>
          </w:p>
        </w:tc>
      </w:tr>
      <w:tr w:rsidR="00424D6E" w:rsidRPr="00061456" w14:paraId="18C89873" w14:textId="77777777" w:rsidTr="00424D6E">
        <w:trPr>
          <w:trHeight w:val="372"/>
          <w:jc w:val="center"/>
        </w:trPr>
        <w:tc>
          <w:tcPr>
            <w:tcW w:w="1970" w:type="dxa"/>
            <w:vMerge/>
            <w:tcBorders>
              <w:top w:val="single" w:sz="8" w:space="0" w:color="auto"/>
              <w:left w:val="single" w:sz="8" w:space="0" w:color="auto"/>
              <w:bottom w:val="nil"/>
              <w:right w:val="single" w:sz="8" w:space="0" w:color="auto"/>
            </w:tcBorders>
            <w:vAlign w:val="center"/>
            <w:hideMark/>
          </w:tcPr>
          <w:p w14:paraId="14281E5D" w14:textId="77777777" w:rsidR="00424D6E" w:rsidRPr="00061456" w:rsidRDefault="00424D6E" w:rsidP="00A10612">
            <w:pPr>
              <w:rPr>
                <w:rFonts w:ascii="Arial" w:hAnsi="Arial" w:cs="Arial"/>
                <w:b/>
                <w:bCs/>
                <w:color w:val="000000"/>
              </w:rPr>
            </w:pPr>
          </w:p>
        </w:tc>
        <w:tc>
          <w:tcPr>
            <w:tcW w:w="1530" w:type="dxa"/>
            <w:tcBorders>
              <w:top w:val="nil"/>
              <w:left w:val="nil"/>
              <w:bottom w:val="nil"/>
              <w:right w:val="single" w:sz="8" w:space="0" w:color="auto"/>
            </w:tcBorders>
            <w:shd w:val="clear" w:color="000000" w:fill="E6E6E6"/>
            <w:vAlign w:val="center"/>
            <w:hideMark/>
          </w:tcPr>
          <w:p w14:paraId="622188A9" w14:textId="77777777" w:rsidR="00424D6E" w:rsidRPr="00061456" w:rsidRDefault="00424D6E" w:rsidP="00A10612">
            <w:pPr>
              <w:jc w:val="center"/>
              <w:rPr>
                <w:rFonts w:ascii="Arial" w:hAnsi="Arial" w:cs="Arial"/>
                <w:b/>
                <w:bCs/>
                <w:color w:val="000000"/>
              </w:rPr>
            </w:pPr>
            <w:r w:rsidRPr="00061456">
              <w:rPr>
                <w:rFonts w:ascii="Arial" w:hAnsi="Arial" w:cs="Arial"/>
                <w:b/>
                <w:bCs/>
                <w:color w:val="000000"/>
              </w:rPr>
              <w:t>Application</w:t>
            </w:r>
          </w:p>
        </w:tc>
        <w:tc>
          <w:tcPr>
            <w:tcW w:w="1800" w:type="dxa"/>
            <w:vMerge/>
            <w:tcBorders>
              <w:top w:val="nil"/>
              <w:left w:val="single" w:sz="8" w:space="0" w:color="auto"/>
              <w:bottom w:val="nil"/>
              <w:right w:val="single" w:sz="8" w:space="0" w:color="auto"/>
            </w:tcBorders>
            <w:vAlign w:val="center"/>
            <w:hideMark/>
          </w:tcPr>
          <w:p w14:paraId="3B84A20C" w14:textId="77777777" w:rsidR="00424D6E" w:rsidRPr="00061456" w:rsidRDefault="00424D6E" w:rsidP="00A10612">
            <w:pPr>
              <w:rPr>
                <w:rFonts w:ascii="Arial" w:hAnsi="Arial" w:cs="Arial"/>
                <w:b/>
                <w:bCs/>
                <w:color w:val="000000"/>
              </w:rPr>
            </w:pPr>
          </w:p>
        </w:tc>
        <w:tc>
          <w:tcPr>
            <w:tcW w:w="1710" w:type="dxa"/>
            <w:tcBorders>
              <w:top w:val="nil"/>
              <w:left w:val="nil"/>
              <w:bottom w:val="nil"/>
              <w:right w:val="single" w:sz="8" w:space="0" w:color="auto"/>
            </w:tcBorders>
            <w:shd w:val="clear" w:color="000000" w:fill="E6E6E6"/>
            <w:vAlign w:val="center"/>
            <w:hideMark/>
          </w:tcPr>
          <w:p w14:paraId="6A497A5A" w14:textId="6DC7B6BE" w:rsidR="00424D6E" w:rsidRPr="00061456" w:rsidRDefault="00424D6E" w:rsidP="00A10612">
            <w:pPr>
              <w:jc w:val="center"/>
              <w:rPr>
                <w:rFonts w:ascii="Arial" w:hAnsi="Arial" w:cs="Arial"/>
                <w:b/>
                <w:bCs/>
                <w:color w:val="000000"/>
              </w:rPr>
            </w:pPr>
            <w:r w:rsidRPr="00061456">
              <w:rPr>
                <w:rFonts w:ascii="Arial" w:hAnsi="Arial" w:cs="Arial"/>
                <w:b/>
                <w:bCs/>
                <w:color w:val="000000"/>
              </w:rPr>
              <w:t>Application</w:t>
            </w:r>
          </w:p>
        </w:tc>
        <w:tc>
          <w:tcPr>
            <w:tcW w:w="1710" w:type="dxa"/>
            <w:vMerge/>
            <w:tcBorders>
              <w:top w:val="nil"/>
              <w:left w:val="single" w:sz="8" w:space="0" w:color="auto"/>
              <w:bottom w:val="nil"/>
              <w:right w:val="single" w:sz="8" w:space="0" w:color="auto"/>
            </w:tcBorders>
            <w:vAlign w:val="center"/>
            <w:hideMark/>
          </w:tcPr>
          <w:p w14:paraId="1FE7C04A" w14:textId="77777777" w:rsidR="00424D6E" w:rsidRPr="00061456" w:rsidRDefault="00424D6E" w:rsidP="00A10612">
            <w:pPr>
              <w:rPr>
                <w:rFonts w:ascii="Arial" w:hAnsi="Arial" w:cs="Arial"/>
                <w:b/>
                <w:bCs/>
                <w:color w:val="000000"/>
              </w:rPr>
            </w:pPr>
          </w:p>
        </w:tc>
      </w:tr>
      <w:tr w:rsidR="00424D6E" w:rsidRPr="00061456" w14:paraId="1CDC6845" w14:textId="77777777" w:rsidTr="00424D6E">
        <w:trPr>
          <w:trHeight w:val="660"/>
          <w:jc w:val="center"/>
        </w:trPr>
        <w:tc>
          <w:tcPr>
            <w:tcW w:w="1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8D24C7" w14:textId="3D6C5DBE" w:rsidR="00424D6E" w:rsidRPr="00061456" w:rsidRDefault="00766820" w:rsidP="00766820">
            <w:pPr>
              <w:rPr>
                <w:rFonts w:ascii="Arial" w:hAnsi="Arial" w:cs="Arial"/>
                <w:color w:val="000000"/>
              </w:rPr>
            </w:pPr>
            <w:r>
              <w:rPr>
                <w:rFonts w:ascii="Arial" w:hAnsi="Arial" w:cs="Arial"/>
                <w:color w:val="000000"/>
              </w:rPr>
              <w:t xml:space="preserve">Average </w:t>
            </w:r>
            <w:r w:rsidR="00AF11C9">
              <w:rPr>
                <w:rFonts w:ascii="Arial" w:hAnsi="Arial" w:cs="Arial"/>
                <w:color w:val="000000"/>
              </w:rPr>
              <w:t>a</w:t>
            </w:r>
            <w:r w:rsidR="004E5E04">
              <w:rPr>
                <w:rFonts w:ascii="Arial" w:hAnsi="Arial" w:cs="Arial"/>
                <w:color w:val="000000"/>
              </w:rPr>
              <w:t xml:space="preserve">nnual </w:t>
            </w:r>
            <w:r w:rsidR="00AF11C9">
              <w:rPr>
                <w:rFonts w:ascii="Arial" w:hAnsi="Arial" w:cs="Arial"/>
                <w:color w:val="000000"/>
              </w:rPr>
              <w:t>n</w:t>
            </w:r>
            <w:r w:rsidR="004E5E04">
              <w:rPr>
                <w:rFonts w:ascii="Arial" w:hAnsi="Arial" w:cs="Arial"/>
                <w:color w:val="000000"/>
              </w:rPr>
              <w:t>umber of A</w:t>
            </w:r>
            <w:r w:rsidR="00424D6E" w:rsidRPr="00061456">
              <w:rPr>
                <w:rFonts w:ascii="Arial" w:hAnsi="Arial" w:cs="Arial"/>
                <w:color w:val="000000"/>
              </w:rPr>
              <w:t>pplications</w:t>
            </w:r>
          </w:p>
        </w:tc>
        <w:tc>
          <w:tcPr>
            <w:tcW w:w="1530" w:type="dxa"/>
            <w:tcBorders>
              <w:top w:val="single" w:sz="8" w:space="0" w:color="auto"/>
              <w:left w:val="nil"/>
              <w:bottom w:val="single" w:sz="8" w:space="0" w:color="auto"/>
              <w:right w:val="single" w:sz="8" w:space="0" w:color="auto"/>
            </w:tcBorders>
            <w:shd w:val="clear" w:color="auto" w:fill="auto"/>
            <w:noWrap/>
            <w:vAlign w:val="bottom"/>
            <w:hideMark/>
          </w:tcPr>
          <w:p w14:paraId="5BC8DE8D" w14:textId="77777777" w:rsidR="00424D6E" w:rsidRPr="00061456" w:rsidRDefault="00424D6E" w:rsidP="00A10612">
            <w:pPr>
              <w:jc w:val="center"/>
              <w:rPr>
                <w:rFonts w:ascii="Arial" w:hAnsi="Arial" w:cs="Arial"/>
                <w:color w:val="000000"/>
              </w:rPr>
            </w:pPr>
            <w:r w:rsidRPr="00061456">
              <w:rPr>
                <w:rFonts w:ascii="Arial" w:hAnsi="Arial" w:cs="Arial"/>
                <w:color w:val="000000"/>
              </w:rPr>
              <w:t>5</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440EB584" w14:textId="77777777" w:rsidR="00424D6E" w:rsidRPr="00061456" w:rsidRDefault="00424D6E" w:rsidP="00A10612">
            <w:pPr>
              <w:jc w:val="center"/>
              <w:rPr>
                <w:rFonts w:ascii="Arial" w:hAnsi="Arial" w:cs="Arial"/>
                <w:color w:val="000000"/>
              </w:rPr>
            </w:pPr>
            <w:r w:rsidRPr="00061456">
              <w:rPr>
                <w:rFonts w:ascii="Arial" w:hAnsi="Arial" w:cs="Arial"/>
                <w:color w:val="000000"/>
              </w:rPr>
              <w:t>9</w:t>
            </w:r>
          </w:p>
        </w:tc>
        <w:tc>
          <w:tcPr>
            <w:tcW w:w="1710" w:type="dxa"/>
            <w:tcBorders>
              <w:top w:val="single" w:sz="8" w:space="0" w:color="auto"/>
              <w:left w:val="nil"/>
              <w:bottom w:val="single" w:sz="8" w:space="0" w:color="auto"/>
              <w:right w:val="single" w:sz="8" w:space="0" w:color="auto"/>
            </w:tcBorders>
            <w:shd w:val="clear" w:color="auto" w:fill="auto"/>
            <w:noWrap/>
            <w:vAlign w:val="bottom"/>
            <w:hideMark/>
          </w:tcPr>
          <w:p w14:paraId="0356712F" w14:textId="77777777" w:rsidR="00424D6E" w:rsidRPr="00061456" w:rsidRDefault="00424D6E" w:rsidP="00A10612">
            <w:pPr>
              <w:jc w:val="center"/>
              <w:rPr>
                <w:rFonts w:ascii="Arial" w:hAnsi="Arial" w:cs="Arial"/>
                <w:color w:val="000000"/>
              </w:rPr>
            </w:pPr>
            <w:r w:rsidRPr="00061456">
              <w:rPr>
                <w:rFonts w:ascii="Arial" w:hAnsi="Arial" w:cs="Arial"/>
                <w:color w:val="000000"/>
              </w:rPr>
              <w:t>3</w:t>
            </w:r>
          </w:p>
        </w:tc>
        <w:tc>
          <w:tcPr>
            <w:tcW w:w="1710" w:type="dxa"/>
            <w:tcBorders>
              <w:top w:val="single" w:sz="8" w:space="0" w:color="auto"/>
              <w:left w:val="nil"/>
              <w:bottom w:val="single" w:sz="8" w:space="0" w:color="auto"/>
              <w:right w:val="single" w:sz="8" w:space="0" w:color="auto"/>
            </w:tcBorders>
            <w:shd w:val="clear" w:color="auto" w:fill="auto"/>
            <w:noWrap/>
            <w:vAlign w:val="bottom"/>
            <w:hideMark/>
          </w:tcPr>
          <w:p w14:paraId="2640BE97" w14:textId="77777777" w:rsidR="00424D6E" w:rsidRPr="00061456" w:rsidRDefault="00424D6E" w:rsidP="00A10612">
            <w:pPr>
              <w:jc w:val="center"/>
              <w:rPr>
                <w:rFonts w:ascii="Arial" w:hAnsi="Arial" w:cs="Arial"/>
                <w:color w:val="000000"/>
              </w:rPr>
            </w:pPr>
            <w:r w:rsidRPr="00061456">
              <w:rPr>
                <w:rFonts w:ascii="Arial" w:hAnsi="Arial" w:cs="Arial"/>
                <w:color w:val="000000"/>
              </w:rPr>
              <w:t>17</w:t>
            </w:r>
          </w:p>
        </w:tc>
      </w:tr>
      <w:tr w:rsidR="00424D6E" w:rsidRPr="00061456" w14:paraId="1DF98747" w14:textId="77777777" w:rsidTr="00424D6E">
        <w:trPr>
          <w:trHeight w:val="720"/>
          <w:jc w:val="center"/>
        </w:trPr>
        <w:tc>
          <w:tcPr>
            <w:tcW w:w="1970" w:type="dxa"/>
            <w:tcBorders>
              <w:top w:val="nil"/>
              <w:left w:val="single" w:sz="8" w:space="0" w:color="auto"/>
              <w:bottom w:val="single" w:sz="8" w:space="0" w:color="auto"/>
              <w:right w:val="nil"/>
            </w:tcBorders>
            <w:shd w:val="clear" w:color="auto" w:fill="auto"/>
            <w:vAlign w:val="center"/>
            <w:hideMark/>
          </w:tcPr>
          <w:p w14:paraId="4E98E87F" w14:textId="4DCE48DD" w:rsidR="00424D6E" w:rsidRPr="00061456" w:rsidRDefault="00766820" w:rsidP="00A10612">
            <w:pPr>
              <w:rPr>
                <w:rFonts w:ascii="Arial" w:hAnsi="Arial" w:cs="Arial"/>
                <w:color w:val="000000"/>
              </w:rPr>
            </w:pPr>
            <w:r>
              <w:rPr>
                <w:rFonts w:ascii="Arial" w:hAnsi="Arial" w:cs="Arial"/>
                <w:color w:val="000000"/>
              </w:rPr>
              <w:t xml:space="preserve">Average </w:t>
            </w:r>
            <w:r w:rsidR="00AF11C9">
              <w:rPr>
                <w:rFonts w:ascii="Arial" w:hAnsi="Arial" w:cs="Arial"/>
                <w:color w:val="000000"/>
              </w:rPr>
              <w:t>total h</w:t>
            </w:r>
            <w:r w:rsidR="00424D6E" w:rsidRPr="00061456">
              <w:rPr>
                <w:rFonts w:ascii="Arial" w:hAnsi="Arial" w:cs="Arial"/>
                <w:color w:val="000000"/>
              </w:rPr>
              <w:t>ours</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14:paraId="5B1C2A46" w14:textId="77777777" w:rsidR="00424D6E" w:rsidRPr="00061456" w:rsidRDefault="00424D6E" w:rsidP="00A10612">
            <w:pPr>
              <w:jc w:val="center"/>
              <w:rPr>
                <w:rFonts w:ascii="Arial" w:hAnsi="Arial" w:cs="Arial"/>
                <w:color w:val="000000"/>
              </w:rPr>
            </w:pPr>
            <w:r w:rsidRPr="00061456">
              <w:rPr>
                <w:rFonts w:ascii="Arial" w:hAnsi="Arial" w:cs="Arial"/>
                <w:color w:val="000000"/>
              </w:rPr>
              <w:t>17,397</w:t>
            </w:r>
          </w:p>
        </w:tc>
        <w:tc>
          <w:tcPr>
            <w:tcW w:w="1800" w:type="dxa"/>
            <w:tcBorders>
              <w:top w:val="nil"/>
              <w:left w:val="nil"/>
              <w:bottom w:val="single" w:sz="8" w:space="0" w:color="auto"/>
              <w:right w:val="single" w:sz="8" w:space="0" w:color="auto"/>
            </w:tcBorders>
            <w:shd w:val="clear" w:color="auto" w:fill="auto"/>
            <w:noWrap/>
            <w:vAlign w:val="bottom"/>
            <w:hideMark/>
          </w:tcPr>
          <w:p w14:paraId="628EACF9" w14:textId="77777777" w:rsidR="00424D6E" w:rsidRPr="00061456" w:rsidRDefault="00424D6E" w:rsidP="00A10612">
            <w:pPr>
              <w:jc w:val="center"/>
              <w:rPr>
                <w:rFonts w:ascii="Arial" w:hAnsi="Arial" w:cs="Arial"/>
                <w:color w:val="000000"/>
              </w:rPr>
            </w:pPr>
            <w:r w:rsidRPr="00061456">
              <w:rPr>
                <w:rFonts w:ascii="Arial" w:hAnsi="Arial" w:cs="Arial"/>
                <w:color w:val="000000"/>
              </w:rPr>
              <w:t>17,397</w:t>
            </w:r>
          </w:p>
        </w:tc>
        <w:tc>
          <w:tcPr>
            <w:tcW w:w="1710" w:type="dxa"/>
            <w:tcBorders>
              <w:top w:val="nil"/>
              <w:left w:val="nil"/>
              <w:bottom w:val="single" w:sz="8" w:space="0" w:color="auto"/>
              <w:right w:val="single" w:sz="8" w:space="0" w:color="auto"/>
            </w:tcBorders>
            <w:shd w:val="clear" w:color="auto" w:fill="auto"/>
            <w:noWrap/>
            <w:vAlign w:val="bottom"/>
            <w:hideMark/>
          </w:tcPr>
          <w:p w14:paraId="168EBBBA" w14:textId="77777777" w:rsidR="00424D6E" w:rsidRPr="00061456" w:rsidRDefault="00424D6E" w:rsidP="00A10612">
            <w:pPr>
              <w:jc w:val="center"/>
              <w:rPr>
                <w:rFonts w:ascii="Arial" w:hAnsi="Arial" w:cs="Arial"/>
                <w:color w:val="000000"/>
              </w:rPr>
            </w:pPr>
            <w:r w:rsidRPr="00061456">
              <w:rPr>
                <w:rFonts w:ascii="Arial" w:hAnsi="Arial" w:cs="Arial"/>
                <w:color w:val="000000"/>
              </w:rPr>
              <w:t>1,161</w:t>
            </w:r>
          </w:p>
        </w:tc>
        <w:tc>
          <w:tcPr>
            <w:tcW w:w="1710" w:type="dxa"/>
            <w:tcBorders>
              <w:top w:val="nil"/>
              <w:left w:val="nil"/>
              <w:bottom w:val="single" w:sz="8" w:space="0" w:color="auto"/>
              <w:right w:val="single" w:sz="8" w:space="0" w:color="auto"/>
            </w:tcBorders>
            <w:shd w:val="clear" w:color="auto" w:fill="auto"/>
            <w:noWrap/>
            <w:vAlign w:val="bottom"/>
            <w:hideMark/>
          </w:tcPr>
          <w:p w14:paraId="7CC49E4A" w14:textId="77777777" w:rsidR="00424D6E" w:rsidRPr="00061456" w:rsidRDefault="00424D6E" w:rsidP="00A10612">
            <w:pPr>
              <w:jc w:val="center"/>
              <w:rPr>
                <w:rFonts w:ascii="Arial" w:hAnsi="Arial" w:cs="Arial"/>
                <w:color w:val="000000"/>
              </w:rPr>
            </w:pPr>
            <w:r w:rsidRPr="00061456">
              <w:rPr>
                <w:rFonts w:ascii="Arial" w:hAnsi="Arial" w:cs="Arial"/>
                <w:color w:val="000000"/>
              </w:rPr>
              <w:t>35,955</w:t>
            </w:r>
          </w:p>
        </w:tc>
      </w:tr>
      <w:tr w:rsidR="00424D6E" w:rsidRPr="00061456" w14:paraId="7EAC774E" w14:textId="77777777" w:rsidTr="00424D6E">
        <w:trPr>
          <w:trHeight w:val="576"/>
          <w:jc w:val="center"/>
        </w:trPr>
        <w:tc>
          <w:tcPr>
            <w:tcW w:w="1970" w:type="dxa"/>
            <w:tcBorders>
              <w:top w:val="nil"/>
              <w:left w:val="single" w:sz="8" w:space="0" w:color="auto"/>
              <w:bottom w:val="single" w:sz="8" w:space="0" w:color="auto"/>
              <w:right w:val="nil"/>
            </w:tcBorders>
            <w:shd w:val="clear" w:color="auto" w:fill="auto"/>
            <w:vAlign w:val="center"/>
            <w:hideMark/>
          </w:tcPr>
          <w:p w14:paraId="08C77528" w14:textId="250DB7FA" w:rsidR="00424D6E" w:rsidRPr="00061456" w:rsidRDefault="00766820" w:rsidP="00A10612">
            <w:pPr>
              <w:rPr>
                <w:rFonts w:ascii="Arial" w:hAnsi="Arial" w:cs="Arial"/>
                <w:color w:val="000000"/>
              </w:rPr>
            </w:pPr>
            <w:r>
              <w:rPr>
                <w:rFonts w:ascii="Arial" w:hAnsi="Arial" w:cs="Arial"/>
                <w:color w:val="000000"/>
              </w:rPr>
              <w:t xml:space="preserve">Average </w:t>
            </w:r>
            <w:r w:rsidR="00AF11C9">
              <w:rPr>
                <w:rFonts w:ascii="Arial" w:hAnsi="Arial" w:cs="Arial"/>
                <w:color w:val="000000"/>
              </w:rPr>
              <w:t>a</w:t>
            </w:r>
            <w:r>
              <w:rPr>
                <w:rFonts w:ascii="Arial" w:hAnsi="Arial" w:cs="Arial"/>
                <w:color w:val="000000"/>
              </w:rPr>
              <w:t xml:space="preserve">nnual </w:t>
            </w:r>
            <w:r w:rsidR="00AF11C9">
              <w:rPr>
                <w:rFonts w:ascii="Arial" w:hAnsi="Arial" w:cs="Arial"/>
                <w:color w:val="000000"/>
              </w:rPr>
              <w:t>c</w:t>
            </w:r>
            <w:r w:rsidR="00424D6E" w:rsidRPr="00061456">
              <w:rPr>
                <w:rFonts w:ascii="Arial" w:hAnsi="Arial" w:cs="Arial"/>
                <w:color w:val="000000"/>
              </w:rPr>
              <w:t>ost</w:t>
            </w:r>
            <w:r>
              <w:rPr>
                <w:rFonts w:ascii="Arial" w:hAnsi="Arial" w:cs="Arial"/>
                <w:color w:val="000000"/>
              </w:rPr>
              <w:t>s</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14:paraId="66E62225" w14:textId="77777777" w:rsidR="00424D6E" w:rsidRPr="00061456" w:rsidRDefault="00424D6E" w:rsidP="00A10612">
            <w:pPr>
              <w:jc w:val="center"/>
              <w:rPr>
                <w:rFonts w:ascii="Arial" w:hAnsi="Arial" w:cs="Arial"/>
                <w:color w:val="000000"/>
              </w:rPr>
            </w:pPr>
            <w:r w:rsidRPr="00061456">
              <w:rPr>
                <w:rFonts w:ascii="Arial" w:hAnsi="Arial" w:cs="Arial"/>
                <w:color w:val="000000"/>
              </w:rPr>
              <w:t>$1,441,863</w:t>
            </w:r>
          </w:p>
        </w:tc>
        <w:tc>
          <w:tcPr>
            <w:tcW w:w="1800" w:type="dxa"/>
            <w:tcBorders>
              <w:top w:val="nil"/>
              <w:left w:val="nil"/>
              <w:bottom w:val="single" w:sz="8" w:space="0" w:color="auto"/>
              <w:right w:val="single" w:sz="8" w:space="0" w:color="auto"/>
            </w:tcBorders>
            <w:shd w:val="clear" w:color="auto" w:fill="auto"/>
            <w:noWrap/>
            <w:vAlign w:val="bottom"/>
            <w:hideMark/>
          </w:tcPr>
          <w:p w14:paraId="25B8E280" w14:textId="77777777" w:rsidR="00424D6E" w:rsidRPr="00061456" w:rsidRDefault="00424D6E" w:rsidP="00A10612">
            <w:pPr>
              <w:jc w:val="center"/>
              <w:rPr>
                <w:rFonts w:ascii="Arial" w:hAnsi="Arial" w:cs="Arial"/>
                <w:color w:val="000000"/>
              </w:rPr>
            </w:pPr>
            <w:r w:rsidRPr="00061456">
              <w:rPr>
                <w:rFonts w:ascii="Arial" w:hAnsi="Arial" w:cs="Arial"/>
                <w:color w:val="000000"/>
              </w:rPr>
              <w:t>$1,441,863</w:t>
            </w:r>
          </w:p>
        </w:tc>
        <w:tc>
          <w:tcPr>
            <w:tcW w:w="1710" w:type="dxa"/>
            <w:tcBorders>
              <w:top w:val="nil"/>
              <w:left w:val="nil"/>
              <w:bottom w:val="single" w:sz="8" w:space="0" w:color="auto"/>
              <w:right w:val="single" w:sz="8" w:space="0" w:color="auto"/>
            </w:tcBorders>
            <w:shd w:val="clear" w:color="auto" w:fill="auto"/>
            <w:noWrap/>
            <w:vAlign w:val="bottom"/>
            <w:hideMark/>
          </w:tcPr>
          <w:p w14:paraId="40D6020C" w14:textId="77777777" w:rsidR="00424D6E" w:rsidRPr="00061456" w:rsidRDefault="00424D6E" w:rsidP="00A10612">
            <w:pPr>
              <w:jc w:val="center"/>
              <w:rPr>
                <w:rFonts w:ascii="Arial" w:hAnsi="Arial" w:cs="Arial"/>
                <w:color w:val="000000"/>
              </w:rPr>
            </w:pPr>
            <w:r w:rsidRPr="00061456">
              <w:rPr>
                <w:rFonts w:ascii="Arial" w:hAnsi="Arial" w:cs="Arial"/>
                <w:color w:val="000000"/>
              </w:rPr>
              <w:t>$96,123</w:t>
            </w:r>
          </w:p>
        </w:tc>
        <w:tc>
          <w:tcPr>
            <w:tcW w:w="1710" w:type="dxa"/>
            <w:tcBorders>
              <w:top w:val="nil"/>
              <w:left w:val="nil"/>
              <w:bottom w:val="single" w:sz="8" w:space="0" w:color="auto"/>
              <w:right w:val="single" w:sz="8" w:space="0" w:color="auto"/>
            </w:tcBorders>
            <w:shd w:val="clear" w:color="auto" w:fill="auto"/>
            <w:noWrap/>
            <w:vAlign w:val="bottom"/>
            <w:hideMark/>
          </w:tcPr>
          <w:p w14:paraId="6D194D04" w14:textId="77777777" w:rsidR="00424D6E" w:rsidRPr="00061456" w:rsidRDefault="00424D6E" w:rsidP="00A10612">
            <w:pPr>
              <w:jc w:val="center"/>
              <w:rPr>
                <w:rFonts w:ascii="Arial" w:hAnsi="Arial" w:cs="Arial"/>
                <w:color w:val="000000"/>
              </w:rPr>
            </w:pPr>
            <w:r w:rsidRPr="00061456">
              <w:rPr>
                <w:rFonts w:ascii="Arial" w:hAnsi="Arial" w:cs="Arial"/>
                <w:color w:val="000000"/>
              </w:rPr>
              <w:t>$2,979,849</w:t>
            </w:r>
          </w:p>
        </w:tc>
      </w:tr>
    </w:tbl>
    <w:p w14:paraId="5C5F14C5" w14:textId="4FCFB07D" w:rsidR="00110A69" w:rsidRDefault="00766820" w:rsidP="00B33C53">
      <w:pPr>
        <w:pStyle w:val="BodyText"/>
      </w:pPr>
      <w:r>
        <w:t xml:space="preserve">        *Estimates may not total due to rounding.  </w:t>
      </w:r>
    </w:p>
    <w:p w14:paraId="68D3AA33" w14:textId="77777777" w:rsidR="002C3164" w:rsidRDefault="002C3164" w:rsidP="00B33C53">
      <w:pPr>
        <w:pStyle w:val="BodyText"/>
      </w:pPr>
    </w:p>
    <w:p w14:paraId="53BCADBF" w14:textId="6DC63B09" w:rsidR="00294E5C" w:rsidRPr="00294E5C" w:rsidRDefault="00294E5C" w:rsidP="00B33C53">
      <w:pPr>
        <w:pStyle w:val="BodyText"/>
      </w:pPr>
      <w:r w:rsidRPr="00294E5C">
        <w:t>Cumulative Industry &amp; FAA Estimate</w:t>
      </w:r>
    </w:p>
    <w:p w14:paraId="1DE0D778" w14:textId="12FABDE2" w:rsidR="00294E5C" w:rsidRDefault="00294E5C" w:rsidP="00B33C53">
      <w:pPr>
        <w:pStyle w:val="BodyText"/>
      </w:pPr>
      <w:r>
        <w:t xml:space="preserve">Combining estimates for industry and </w:t>
      </w:r>
      <w:r w:rsidR="00A35119">
        <w:t xml:space="preserve">the </w:t>
      </w:r>
      <w:r>
        <w:t xml:space="preserve">FAA, the collection </w:t>
      </w:r>
      <w:r w:rsidR="00A35119">
        <w:t xml:space="preserve">would </w:t>
      </w:r>
      <w:r>
        <w:t xml:space="preserve">result in </w:t>
      </w:r>
      <w:r w:rsidRPr="00294E5C">
        <w:t xml:space="preserve">total average annual hour burden to </w:t>
      </w:r>
      <w:r>
        <w:t xml:space="preserve">industry and </w:t>
      </w:r>
      <w:r w:rsidR="00A35119">
        <w:t xml:space="preserve">the </w:t>
      </w:r>
      <w:r w:rsidRPr="00294E5C">
        <w:t xml:space="preserve">FAA </w:t>
      </w:r>
      <w:r>
        <w:t xml:space="preserve">of </w:t>
      </w:r>
      <w:r w:rsidR="00A35119">
        <w:t xml:space="preserve">62,955 hours (27,000 industry hours + </w:t>
      </w:r>
      <w:r w:rsidRPr="00294E5C">
        <w:t xml:space="preserve">35,955 </w:t>
      </w:r>
      <w:r w:rsidR="00A35119">
        <w:t xml:space="preserve">FAA </w:t>
      </w:r>
      <w:r w:rsidRPr="00294E5C">
        <w:t>hours</w:t>
      </w:r>
      <w:r w:rsidR="00A35119">
        <w:t>)</w:t>
      </w:r>
      <w:r w:rsidRPr="00294E5C">
        <w:t xml:space="preserve"> and the total average annual cost to </w:t>
      </w:r>
      <w:r w:rsidR="00A35119">
        <w:t xml:space="preserve">industry and the </w:t>
      </w:r>
      <w:r w:rsidRPr="00294E5C">
        <w:t xml:space="preserve">FAA is </w:t>
      </w:r>
      <w:r w:rsidR="00A35119">
        <w:t xml:space="preserve">$5,174,191 ($2,194,342 average industry cost + </w:t>
      </w:r>
      <w:r w:rsidRPr="00294E5C">
        <w:t>$2,979,849</w:t>
      </w:r>
      <w:r w:rsidR="00A35119">
        <w:t xml:space="preserve"> average FAA cost)</w:t>
      </w:r>
      <w:r w:rsidRPr="00294E5C">
        <w:t>.</w:t>
      </w:r>
      <w:r>
        <w:t xml:space="preserve"> </w:t>
      </w:r>
    </w:p>
    <w:p w14:paraId="40D9C299" w14:textId="2294FF47" w:rsidR="00294E5C" w:rsidRPr="00BB47B4" w:rsidRDefault="00294E5C" w:rsidP="00B33C53">
      <w:pPr>
        <w:pStyle w:val="BodyText"/>
      </w:pPr>
    </w:p>
    <w:p w14:paraId="1C1B9D9C" w14:textId="51225BF0" w:rsidR="007542FE" w:rsidRPr="00BB47B4" w:rsidRDefault="00D02B72" w:rsidP="004B5C34">
      <w:pPr>
        <w:pStyle w:val="Heading3"/>
      </w:pPr>
      <w:r>
        <w:t xml:space="preserve">15. </w:t>
      </w:r>
      <w:r w:rsidR="007542FE" w:rsidRPr="00BB47B4">
        <w:t>Explain the reasons for any program changes or adjustments.</w:t>
      </w:r>
    </w:p>
    <w:p w14:paraId="6AFF819A" w14:textId="77777777" w:rsidR="00BA33CB" w:rsidRDefault="00BA33CB" w:rsidP="00B33C53">
      <w:pPr>
        <w:pStyle w:val="BodyText"/>
      </w:pPr>
    </w:p>
    <w:p w14:paraId="6A7A3C04" w14:textId="35E98184" w:rsidR="007542FE" w:rsidRDefault="002C5FD4" w:rsidP="00B33C53">
      <w:pPr>
        <w:pStyle w:val="BodyText"/>
      </w:pPr>
      <w:r w:rsidRPr="00BB47B4">
        <w:t>The estimated annual number of applications has been increased and a</w:t>
      </w:r>
      <w:r w:rsidR="002F6D66" w:rsidRPr="00BB47B4">
        <w:t>nnual salary figures have been updated</w:t>
      </w:r>
      <w:r w:rsidR="00146289" w:rsidRPr="00BB47B4">
        <w:t xml:space="preserve"> from the </w:t>
      </w:r>
      <w:r w:rsidR="00256FFB">
        <w:t>existing two collections, which are discussed under question one above,  and which have been consolidated and updated to develop the new collection</w:t>
      </w:r>
      <w:r w:rsidR="001671E7" w:rsidRPr="00BB47B4">
        <w:t xml:space="preserve">. The FAA </w:t>
      </w:r>
      <w:r w:rsidR="00EB4199">
        <w:t>continues to separate</w:t>
      </w:r>
      <w:r w:rsidR="001671E7" w:rsidRPr="00BB47B4">
        <w:t xml:space="preserve"> collection activity into appropriate information collections, there has not been additional forms or applications added.</w:t>
      </w:r>
    </w:p>
    <w:p w14:paraId="50B1E892" w14:textId="77777777" w:rsidR="00BA33CB" w:rsidRPr="00BB47B4" w:rsidRDefault="00BA33CB" w:rsidP="00B33C53">
      <w:pPr>
        <w:pStyle w:val="BodyText"/>
      </w:pPr>
    </w:p>
    <w:p w14:paraId="6E5D5731" w14:textId="4A8A2517" w:rsidR="007542FE" w:rsidRPr="00BB47B4" w:rsidRDefault="00D02B72" w:rsidP="004B5C34">
      <w:pPr>
        <w:pStyle w:val="Heading3"/>
      </w:pPr>
      <w:r>
        <w:t xml:space="preserve">16. </w:t>
      </w:r>
      <w:r w:rsidR="007542FE" w:rsidRPr="00BB47B4">
        <w:t>For collections of information whose results will be published, outline plans for tabulation, and publication.</w:t>
      </w:r>
    </w:p>
    <w:p w14:paraId="5F200BD7" w14:textId="77777777" w:rsidR="00BA33CB" w:rsidRDefault="00BA33CB" w:rsidP="00B33C53">
      <w:pPr>
        <w:pStyle w:val="BodyText"/>
      </w:pPr>
    </w:p>
    <w:p w14:paraId="0DE6E8AB" w14:textId="58FF4F65" w:rsidR="007542FE" w:rsidRDefault="0055263B" w:rsidP="00B33C53">
      <w:pPr>
        <w:pStyle w:val="BodyText"/>
      </w:pPr>
      <w:r>
        <w:t>The FAA does not publish the results of this collection of information</w:t>
      </w:r>
      <w:r w:rsidR="007542FE" w:rsidRPr="00BB47B4">
        <w:t>.</w:t>
      </w:r>
    </w:p>
    <w:p w14:paraId="2D752FC4" w14:textId="77777777" w:rsidR="00BA33CB" w:rsidRPr="00BB47B4" w:rsidRDefault="00BA33CB" w:rsidP="00B33C53">
      <w:pPr>
        <w:pStyle w:val="BodyText"/>
      </w:pPr>
    </w:p>
    <w:p w14:paraId="6E7890F4" w14:textId="16C022A8" w:rsidR="007542FE" w:rsidRPr="00BB47B4" w:rsidRDefault="007542FE" w:rsidP="004B5C34">
      <w:pPr>
        <w:pStyle w:val="Heading3"/>
      </w:pPr>
      <w:r w:rsidRPr="00BB47B4">
        <w:t>17</w:t>
      </w:r>
      <w:r w:rsidR="00D02B72">
        <w:t xml:space="preserve">. </w:t>
      </w:r>
      <w:r w:rsidRPr="00BB47B4">
        <w:t>If seeking approval to not display the expiration date of OMB approval of the information collection, explain the reasons that display would be inappropriate.</w:t>
      </w:r>
    </w:p>
    <w:p w14:paraId="731DF3CD" w14:textId="77777777" w:rsidR="00BA33CB" w:rsidRDefault="00BA33CB" w:rsidP="00B33C53">
      <w:pPr>
        <w:pStyle w:val="BodyText"/>
      </w:pPr>
    </w:p>
    <w:p w14:paraId="225DE09F" w14:textId="67E5BE12" w:rsidR="007542FE" w:rsidRDefault="007542FE" w:rsidP="00B33C53">
      <w:pPr>
        <w:pStyle w:val="BodyText"/>
      </w:pPr>
      <w:r w:rsidRPr="00BB47B4">
        <w:t>No approval is sought.</w:t>
      </w:r>
    </w:p>
    <w:p w14:paraId="5FA61B12" w14:textId="77777777" w:rsidR="00BA33CB" w:rsidRPr="00BB47B4" w:rsidRDefault="00BA33CB" w:rsidP="00B33C53">
      <w:pPr>
        <w:pStyle w:val="BodyText"/>
      </w:pPr>
    </w:p>
    <w:p w14:paraId="067EF088" w14:textId="7243ADCB" w:rsidR="007542FE" w:rsidRPr="00BB47B4" w:rsidRDefault="00D02B72" w:rsidP="004B5C34">
      <w:pPr>
        <w:pStyle w:val="Heading3"/>
      </w:pPr>
      <w:r>
        <w:t xml:space="preserve">18. </w:t>
      </w:r>
      <w:r w:rsidR="007542FE" w:rsidRPr="00BB47B4">
        <w:t>Explain each exception.</w:t>
      </w:r>
    </w:p>
    <w:p w14:paraId="12AA89AD" w14:textId="77777777" w:rsidR="00BA33CB" w:rsidRDefault="00BA33CB" w:rsidP="00B33C53">
      <w:pPr>
        <w:pStyle w:val="BodyText"/>
      </w:pPr>
    </w:p>
    <w:p w14:paraId="4EDE50CC" w14:textId="56FBBDBB" w:rsidR="007542FE" w:rsidRDefault="007542FE" w:rsidP="00B33C53">
      <w:pPr>
        <w:pStyle w:val="BodyText"/>
      </w:pPr>
      <w:r w:rsidRPr="00BB47B4">
        <w:t>There are no exceptions.</w:t>
      </w:r>
    </w:p>
    <w:p w14:paraId="41CE6F36" w14:textId="77777777" w:rsidR="007542FE" w:rsidRPr="004D70FB" w:rsidRDefault="007542FE" w:rsidP="00B33C53">
      <w:pPr>
        <w:pStyle w:val="BodyText"/>
      </w:pPr>
    </w:p>
    <w:sectPr w:rsidR="007542FE" w:rsidRPr="004D70FB">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1B8B3" w14:textId="77777777" w:rsidR="00BE4A45" w:rsidRDefault="00BE4A45">
      <w:r>
        <w:separator/>
      </w:r>
    </w:p>
  </w:endnote>
  <w:endnote w:type="continuationSeparator" w:id="0">
    <w:p w14:paraId="2182B55F" w14:textId="77777777" w:rsidR="00BE4A45" w:rsidRDefault="00BE4A45">
      <w:r>
        <w:continuationSeparator/>
      </w:r>
    </w:p>
  </w:endnote>
  <w:endnote w:type="continuationNotice" w:id="1">
    <w:p w14:paraId="511504C9" w14:textId="77777777" w:rsidR="00BE4A45" w:rsidRDefault="00BE4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B77F9" w14:textId="77777777" w:rsidR="00526520" w:rsidRDefault="005265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F66631" w14:textId="77777777" w:rsidR="00526520" w:rsidRDefault="005265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4283B" w14:textId="5FF595A1" w:rsidR="00526520" w:rsidRDefault="00526520">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9F788A">
      <w:rPr>
        <w:rStyle w:val="PageNumber"/>
        <w:noProof/>
      </w:rPr>
      <w:t>4</w:t>
    </w:r>
    <w:r>
      <w:rPr>
        <w:rStyle w:val="PageNumber"/>
      </w:rPr>
      <w:fldChar w:fldCharType="end"/>
    </w:r>
    <w:r>
      <w:rPr>
        <w:rStyle w:val="PageNumber"/>
      </w:rPr>
      <w:t xml:space="preserve"> of </w:t>
    </w:r>
    <w:r w:rsidR="00B6757E">
      <w:rPr>
        <w:rStyle w:val="PageNumber"/>
      </w:rPr>
      <w:t>13</w:t>
    </w:r>
    <w:r>
      <w:rPr>
        <w:rStyle w:val="PageNumber"/>
      </w:rPr>
      <w:t xml:space="preserve"> Pages</w:t>
    </w:r>
  </w:p>
  <w:p w14:paraId="17585885" w14:textId="77777777" w:rsidR="00526520" w:rsidRDefault="005265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50BB7" w14:textId="668CB5F0" w:rsidR="00526520" w:rsidRDefault="00526520">
    <w:pPr>
      <w:tabs>
        <w:tab w:val="left" w:pos="0"/>
        <w:tab w:val="right" w:pos="6984"/>
        <w:tab w:val="left" w:pos="7034"/>
      </w:tabs>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F788A">
      <w:rPr>
        <w:rStyle w:val="PageNumber"/>
        <w:noProof/>
      </w:rPr>
      <w:t>1</w:t>
    </w:r>
    <w:r>
      <w:rPr>
        <w:rStyle w:val="PageNumber"/>
      </w:rPr>
      <w:fldChar w:fldCharType="end"/>
    </w:r>
    <w:r>
      <w:rPr>
        <w:rStyle w:val="PageNumber"/>
      </w:rPr>
      <w:t xml:space="preserve"> of 9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575F7" w14:textId="77777777" w:rsidR="00BE4A45" w:rsidRDefault="00BE4A45">
      <w:r>
        <w:separator/>
      </w:r>
    </w:p>
  </w:footnote>
  <w:footnote w:type="continuationSeparator" w:id="0">
    <w:p w14:paraId="0B4B0987" w14:textId="77777777" w:rsidR="00BE4A45" w:rsidRDefault="00BE4A45">
      <w:r>
        <w:continuationSeparator/>
      </w:r>
    </w:p>
  </w:footnote>
  <w:footnote w:type="continuationNotice" w:id="1">
    <w:p w14:paraId="56D46623" w14:textId="77777777" w:rsidR="00BE4A45" w:rsidRDefault="00BE4A45"/>
  </w:footnote>
  <w:footnote w:id="2">
    <w:p w14:paraId="1B622716" w14:textId="7C9546D1" w:rsidR="00526520" w:rsidRDefault="00526520">
      <w:pPr>
        <w:pStyle w:val="FootnoteText"/>
        <w:rPr>
          <w:rFonts w:ascii="Times New Roman" w:hAnsi="Times New Roman"/>
          <w:sz w:val="20"/>
        </w:rPr>
      </w:pPr>
      <w:r>
        <w:rPr>
          <w:rFonts w:ascii="Times New Roman" w:hAnsi="Times New Roman"/>
          <w:sz w:val="20"/>
          <w:vertAlign w:val="superscript"/>
        </w:rPr>
        <w:footnoteRef/>
      </w:r>
      <w:r>
        <w:rPr>
          <w:rFonts w:ascii="Times New Roman" w:hAnsi="Times New Roman"/>
          <w:sz w:val="20"/>
        </w:rPr>
        <w:t xml:space="preserve"> This supporting statement revises prior justification statements to encompass the regulatory changes contained in the </w:t>
      </w:r>
      <w:r w:rsidRPr="005E7A35">
        <w:rPr>
          <w:rFonts w:ascii="Times New Roman" w:hAnsi="Times New Roman"/>
          <w:sz w:val="20"/>
        </w:rPr>
        <w:t xml:space="preserve">Streamlined </w:t>
      </w:r>
      <w:r>
        <w:rPr>
          <w:rFonts w:ascii="Times New Roman" w:hAnsi="Times New Roman"/>
          <w:sz w:val="20"/>
        </w:rPr>
        <w:t>L</w:t>
      </w:r>
      <w:r w:rsidRPr="005E7A35">
        <w:rPr>
          <w:rFonts w:ascii="Times New Roman" w:hAnsi="Times New Roman"/>
          <w:sz w:val="20"/>
        </w:rPr>
        <w:t xml:space="preserve">aunch and </w:t>
      </w:r>
      <w:r>
        <w:rPr>
          <w:rFonts w:ascii="Times New Roman" w:hAnsi="Times New Roman"/>
          <w:sz w:val="20"/>
        </w:rPr>
        <w:t>R</w:t>
      </w:r>
      <w:r w:rsidRPr="005E7A35">
        <w:rPr>
          <w:rFonts w:ascii="Times New Roman" w:hAnsi="Times New Roman"/>
          <w:sz w:val="20"/>
        </w:rPr>
        <w:t xml:space="preserve">eentry </w:t>
      </w:r>
      <w:r>
        <w:rPr>
          <w:rFonts w:ascii="Times New Roman" w:hAnsi="Times New Roman"/>
          <w:sz w:val="20"/>
        </w:rPr>
        <w:t>L</w:t>
      </w:r>
      <w:r w:rsidRPr="005E7A35">
        <w:rPr>
          <w:rFonts w:ascii="Times New Roman" w:hAnsi="Times New Roman"/>
          <w:sz w:val="20"/>
        </w:rPr>
        <w:t xml:space="preserve">icensing </w:t>
      </w:r>
      <w:r>
        <w:rPr>
          <w:rFonts w:ascii="Times New Roman" w:hAnsi="Times New Roman"/>
          <w:sz w:val="20"/>
        </w:rPr>
        <w:t>R</w:t>
      </w:r>
      <w:r w:rsidRPr="005E7A35">
        <w:rPr>
          <w:rFonts w:ascii="Times New Roman" w:hAnsi="Times New Roman"/>
          <w:sz w:val="20"/>
        </w:rPr>
        <w:t xml:space="preserve">equirements </w:t>
      </w:r>
      <w:r>
        <w:rPr>
          <w:rFonts w:ascii="Times New Roman" w:hAnsi="Times New Roman"/>
          <w:sz w:val="20"/>
        </w:rPr>
        <w:t>Notice of Proposed Rulemaking</w:t>
      </w:r>
      <w:r w:rsidRPr="00CD4748">
        <w:rPr>
          <w:rFonts w:ascii="Times New Roman" w:hAnsi="Times New Roman"/>
          <w:sz w:val="20"/>
        </w:rPr>
        <w:t>,</w:t>
      </w:r>
      <w:r>
        <w:rPr>
          <w:rFonts w:ascii="Times New Roman" w:hAnsi="Times New Roman"/>
          <w:sz w:val="20"/>
        </w:rPr>
        <w:t xml:space="preserve"> which combines 14 CFR parts 415, 417, 431, and 435 into a single part (i.e., part 450). Hence, it presents total burden cost information that replaces prior estimates of the burden to industry and the Federal government associated with the collection of information supporting the vehicle operator license and renewal application process.  </w:t>
      </w:r>
    </w:p>
  </w:footnote>
  <w:footnote w:id="3">
    <w:p w14:paraId="14BEF651" w14:textId="77777777" w:rsidR="00526520" w:rsidRPr="006119D1" w:rsidRDefault="00526520" w:rsidP="00A8290F">
      <w:pPr>
        <w:pStyle w:val="FootnoteText"/>
        <w:rPr>
          <w:rFonts w:ascii="Times New Roman" w:hAnsi="Times New Roman"/>
          <w:sz w:val="20"/>
        </w:rPr>
      </w:pPr>
      <w:r w:rsidRPr="006119D1">
        <w:rPr>
          <w:rStyle w:val="FootnoteReference"/>
          <w:rFonts w:ascii="Times New Roman" w:hAnsi="Times New Roman"/>
          <w:sz w:val="20"/>
        </w:rPr>
        <w:footnoteRef/>
      </w:r>
      <w:r w:rsidRPr="006119D1">
        <w:rPr>
          <w:rFonts w:ascii="Times New Roman" w:hAnsi="Times New Roman"/>
          <w:sz w:val="20"/>
        </w:rPr>
        <w:t xml:space="preserve"> In addition, the Streamlined Launch and Reentry Licensing Requirements rulemaking consolidate</w:t>
      </w:r>
      <w:r>
        <w:rPr>
          <w:rFonts w:ascii="Times New Roman" w:hAnsi="Times New Roman"/>
          <w:sz w:val="20"/>
        </w:rPr>
        <w:t>s</w:t>
      </w:r>
      <w:r w:rsidRPr="006119D1">
        <w:rPr>
          <w:rFonts w:ascii="Times New Roman" w:hAnsi="Times New Roman"/>
          <w:sz w:val="20"/>
        </w:rPr>
        <w:t xml:space="preserve"> and revise</w:t>
      </w:r>
      <w:r>
        <w:rPr>
          <w:rFonts w:ascii="Times New Roman" w:hAnsi="Times New Roman"/>
          <w:sz w:val="20"/>
        </w:rPr>
        <w:t>s</w:t>
      </w:r>
      <w:r w:rsidRPr="006119D1">
        <w:rPr>
          <w:rFonts w:ascii="Times New Roman" w:hAnsi="Times New Roman"/>
          <w:sz w:val="20"/>
        </w:rPr>
        <w:t xml:space="preserve"> multiple regulatory parts to apply a single set of streamlined licensing regulations across several typ</w:t>
      </w:r>
      <w:r>
        <w:rPr>
          <w:rFonts w:ascii="Times New Roman" w:hAnsi="Times New Roman"/>
          <w:sz w:val="20"/>
        </w:rPr>
        <w:t xml:space="preserve">es of operations and vehicles. </w:t>
      </w:r>
      <w:r w:rsidRPr="006119D1">
        <w:rPr>
          <w:rFonts w:ascii="Times New Roman" w:hAnsi="Times New Roman"/>
          <w:sz w:val="20"/>
        </w:rPr>
        <w:t>It replace</w:t>
      </w:r>
      <w:r>
        <w:rPr>
          <w:rFonts w:ascii="Times New Roman" w:hAnsi="Times New Roman"/>
          <w:sz w:val="20"/>
        </w:rPr>
        <w:t>s</w:t>
      </w:r>
      <w:r w:rsidRPr="006119D1">
        <w:rPr>
          <w:rFonts w:ascii="Times New Roman" w:hAnsi="Times New Roman"/>
          <w:sz w:val="20"/>
        </w:rPr>
        <w:t xml:space="preserve"> many prescriptive licensing application requirements with performance-based</w:t>
      </w:r>
      <w:r w:rsidRPr="00A450F2">
        <w:rPr>
          <w:rFonts w:ascii="Times New Roman" w:hAnsi="Times New Roman"/>
          <w:sz w:val="20"/>
        </w:rPr>
        <w:t xml:space="preserve"> requirements, giving industry</w:t>
      </w:r>
      <w:r>
        <w:rPr>
          <w:rFonts w:ascii="Times New Roman" w:hAnsi="Times New Roman"/>
          <w:sz w:val="20"/>
        </w:rPr>
        <w:t>—</w:t>
      </w:r>
      <w:r w:rsidRPr="00A450F2">
        <w:rPr>
          <w:rFonts w:ascii="Times New Roman" w:hAnsi="Times New Roman"/>
          <w:sz w:val="20"/>
        </w:rPr>
        <w:t>including small entities</w:t>
      </w:r>
      <w:r>
        <w:rPr>
          <w:rFonts w:ascii="Times New Roman" w:hAnsi="Times New Roman"/>
          <w:sz w:val="20"/>
        </w:rPr>
        <w:t>—</w:t>
      </w:r>
      <w:r w:rsidRPr="006119D1">
        <w:rPr>
          <w:rFonts w:ascii="Times New Roman" w:hAnsi="Times New Roman"/>
          <w:sz w:val="20"/>
        </w:rPr>
        <w:t>greater flexibility and scalability that may reduce future burden</w:t>
      </w:r>
      <w:r>
        <w:rPr>
          <w:rFonts w:ascii="Times New Roman" w:hAnsi="Times New Roman"/>
          <w:sz w:val="20"/>
        </w:rPr>
        <w:t xml:space="preserve"> and costs</w:t>
      </w:r>
      <w:r w:rsidRPr="006119D1">
        <w:rPr>
          <w:rFonts w:ascii="Times New Roman" w:hAnsi="Times New Roman"/>
          <w:sz w:val="20"/>
        </w:rPr>
        <w:t>.</w:t>
      </w:r>
    </w:p>
  </w:footnote>
  <w:footnote w:id="4">
    <w:p w14:paraId="5FBDEE1A" w14:textId="2FCA1059" w:rsidR="00526520" w:rsidRDefault="00526520">
      <w:pPr>
        <w:pStyle w:val="FootnoteText"/>
        <w:rPr>
          <w:rFonts w:ascii="Times New Roman" w:hAnsi="Times New Roman"/>
          <w:sz w:val="20"/>
        </w:rPr>
      </w:pPr>
      <w:r w:rsidRPr="002B4BC6">
        <w:rPr>
          <w:rStyle w:val="FootnoteReference"/>
        </w:rPr>
        <w:footnoteRef/>
      </w:r>
      <w:r w:rsidRPr="002B4BC6">
        <w:rPr>
          <w:rFonts w:ascii="Times New Roman" w:hAnsi="Times New Roman"/>
          <w:sz w:val="20"/>
        </w:rPr>
        <w:t xml:space="preserve"> </w:t>
      </w:r>
      <w:r w:rsidRPr="008C16FA">
        <w:rPr>
          <w:rFonts w:ascii="Times New Roman" w:hAnsi="Times New Roman"/>
          <w:sz w:val="20"/>
        </w:rPr>
        <w:t>Discussions in 2018 with AST personnel</w:t>
      </w:r>
      <w:r>
        <w:rPr>
          <w:rFonts w:ascii="Times New Roman" w:hAnsi="Times New Roman"/>
          <w:sz w:val="20"/>
        </w:rPr>
        <w:t xml:space="preserve"> indicate that as much as 10 percent of the 2,903 hours are expended collecting information necessary to support a license renewal application.  In addition, data suggests that major modifications require as much as 50% of the 2,903 hours expended for initial applications.</w:t>
      </w:r>
    </w:p>
  </w:footnote>
  <w:footnote w:id="5">
    <w:p w14:paraId="1464361D" w14:textId="78DA7C2C" w:rsidR="00526520" w:rsidRDefault="00526520">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Space transportation salaries are based on information obtained from the U.S. Bureau of Labor Statistics (BLS). </w:t>
      </w:r>
    </w:p>
  </w:footnote>
  <w:footnote w:id="6">
    <w:p w14:paraId="69D16AA7" w14:textId="68CA4B82" w:rsidR="00526520" w:rsidRPr="00F97D73" w:rsidRDefault="00526520" w:rsidP="00F97D73">
      <w:pPr>
        <w:pStyle w:val="FootnoteText"/>
        <w:rPr>
          <w:rFonts w:ascii="Times New Roman" w:hAnsi="Times New Roman"/>
          <w:sz w:val="20"/>
        </w:rPr>
      </w:pPr>
      <w:r w:rsidRPr="00F97D73">
        <w:rPr>
          <w:rStyle w:val="FootnoteReference"/>
          <w:rFonts w:ascii="Times New Roman" w:hAnsi="Times New Roman"/>
          <w:sz w:val="20"/>
        </w:rPr>
        <w:footnoteRef/>
      </w:r>
      <w:r w:rsidRPr="00F97D73">
        <w:rPr>
          <w:rFonts w:ascii="Times New Roman" w:hAnsi="Times New Roman"/>
          <w:sz w:val="20"/>
        </w:rPr>
        <w:t xml:space="preserve"> </w:t>
      </w:r>
      <w:r>
        <w:rPr>
          <w:rFonts w:ascii="Times New Roman" w:hAnsi="Times New Roman"/>
          <w:sz w:val="20"/>
        </w:rPr>
        <w:t>Ranges developed b</w:t>
      </w:r>
      <w:r w:rsidRPr="00F97D73">
        <w:rPr>
          <w:rFonts w:ascii="Times New Roman" w:hAnsi="Times New Roman"/>
          <w:sz w:val="20"/>
        </w:rPr>
        <w:t xml:space="preserve">ased on discussions </w:t>
      </w:r>
      <w:r>
        <w:rPr>
          <w:rFonts w:ascii="Times New Roman" w:hAnsi="Times New Roman"/>
          <w:sz w:val="20"/>
        </w:rPr>
        <w:t xml:space="preserve">with current applicants and information from FAA’s </w:t>
      </w:r>
      <w:r w:rsidRPr="00F97D73">
        <w:rPr>
          <w:rFonts w:ascii="Times New Roman" w:hAnsi="Times New Roman"/>
          <w:sz w:val="20"/>
        </w:rPr>
        <w:t>Office of Commercial Space Transportation</w:t>
      </w:r>
      <w:r>
        <w:rPr>
          <w:rFonts w:ascii="Times New Roman" w:hAnsi="Times New Roman"/>
          <w:sz w:val="20"/>
        </w:rPr>
        <w:t>. PRA guidance suggests using a range i</w:t>
      </w:r>
      <w:r w:rsidRPr="00F97D73">
        <w:rPr>
          <w:rFonts w:ascii="Times New Roman" w:hAnsi="Times New Roman"/>
          <w:sz w:val="20"/>
        </w:rPr>
        <w:t>f cost estimates are expected to vary widely</w:t>
      </w:r>
      <w:r>
        <w:rPr>
          <w:rFonts w:ascii="Times New Roman" w:hAnsi="Times New Roman"/>
          <w:sz w:val="20"/>
        </w:rPr>
        <w:t xml:space="preserve"> (see Paperwork Reduction Act (PRA) </w:t>
      </w:r>
      <w:r w:rsidRPr="00F97D73">
        <w:rPr>
          <w:rFonts w:ascii="Times New Roman" w:hAnsi="Times New Roman"/>
          <w:sz w:val="20"/>
        </w:rPr>
        <w:t>Guide</w:t>
      </w:r>
      <w:r>
        <w:rPr>
          <w:rFonts w:ascii="Times New Roman" w:hAnsi="Times New Roman"/>
          <w:sz w:val="20"/>
        </w:rPr>
        <w:t>,</w:t>
      </w:r>
      <w:r w:rsidRPr="00F97D73">
        <w:rPr>
          <w:rFonts w:ascii="Times New Roman" w:hAnsi="Times New Roman"/>
          <w:sz w:val="20"/>
        </w:rPr>
        <w:t xml:space="preserve"> </w:t>
      </w:r>
      <w:r>
        <w:rPr>
          <w:rFonts w:ascii="Times New Roman" w:hAnsi="Times New Roman"/>
          <w:sz w:val="20"/>
        </w:rPr>
        <w:t xml:space="preserve">page 40, </w:t>
      </w:r>
      <w:hyperlink r:id="rId1" w:history="1">
        <w:r w:rsidRPr="00015D1E">
          <w:rPr>
            <w:rStyle w:val="Hyperlink"/>
            <w:rFonts w:ascii="Times New Roman" w:hAnsi="Times New Roman"/>
            <w:sz w:val="20"/>
          </w:rPr>
          <w:t>https://www.opm.gov/about-us/open-government/digital-government-strategy/fitara/paperwork-reduction-act-guide.pdf</w:t>
        </w:r>
      </w:hyperlink>
      <w:r>
        <w:rPr>
          <w:rFonts w:ascii="Times New Roman" w:hAnsi="Times New Roman"/>
          <w:sz w:val="20"/>
        </w:rPr>
        <w:t>)</w:t>
      </w:r>
      <w:r w:rsidRPr="00F97D73">
        <w:rPr>
          <w:rFonts w:ascii="Times New Roman" w:hAnsi="Times New Roman"/>
          <w:sz w:val="20"/>
        </w:rPr>
        <w:t>.</w:t>
      </w:r>
    </w:p>
  </w:footnote>
  <w:footnote w:id="7">
    <w:p w14:paraId="0135C043" w14:textId="16AA9763" w:rsidR="00526520" w:rsidRPr="00BB47B4" w:rsidRDefault="00526520">
      <w:pPr>
        <w:pStyle w:val="FootnoteText"/>
        <w:rPr>
          <w:rFonts w:ascii="Times New Roman" w:hAnsi="Times New Roman"/>
          <w:sz w:val="20"/>
        </w:rPr>
      </w:pPr>
      <w:r w:rsidRPr="00BB47B4">
        <w:rPr>
          <w:rStyle w:val="FootnoteReference"/>
        </w:rPr>
        <w:footnoteRef/>
      </w:r>
      <w:r w:rsidRPr="00BB47B4">
        <w:rPr>
          <w:rFonts w:ascii="Times New Roman" w:hAnsi="Times New Roman"/>
          <w:sz w:val="20"/>
        </w:rPr>
        <w:t xml:space="preserve"> Discussions </w:t>
      </w:r>
      <w:r>
        <w:rPr>
          <w:rFonts w:ascii="Times New Roman" w:hAnsi="Times New Roman"/>
          <w:sz w:val="20"/>
        </w:rPr>
        <w:t xml:space="preserve">in 2018 </w:t>
      </w:r>
      <w:r w:rsidRPr="00BB47B4">
        <w:rPr>
          <w:rFonts w:ascii="Times New Roman" w:hAnsi="Times New Roman"/>
          <w:sz w:val="20"/>
        </w:rPr>
        <w:t>with AST personnel indicate that as much as 10 percent of the 3,</w:t>
      </w:r>
      <w:r>
        <w:rPr>
          <w:rFonts w:ascii="Times New Roman" w:hAnsi="Times New Roman"/>
          <w:sz w:val="20"/>
        </w:rPr>
        <w:t>866</w:t>
      </w:r>
      <w:r w:rsidRPr="00BB47B4">
        <w:rPr>
          <w:rFonts w:ascii="Times New Roman" w:hAnsi="Times New Roman"/>
          <w:sz w:val="20"/>
        </w:rPr>
        <w:t xml:space="preserve"> hours are expended reviewing and processing the information collected to support</w:t>
      </w:r>
      <w:r>
        <w:rPr>
          <w:rFonts w:ascii="Times New Roman" w:hAnsi="Times New Roman"/>
          <w:sz w:val="20"/>
        </w:rPr>
        <w:t xml:space="preserve"> a license renewal application.</w:t>
      </w:r>
    </w:p>
  </w:footnote>
  <w:footnote w:id="8">
    <w:p w14:paraId="27C4BC2F" w14:textId="5C32EC0D" w:rsidR="00526520" w:rsidRDefault="00526520">
      <w:pPr>
        <w:pStyle w:val="FootnoteText"/>
      </w:pPr>
      <w:r>
        <w:rPr>
          <w:rStyle w:val="FootnoteReference"/>
        </w:rPr>
        <w:footnoteRef/>
      </w:r>
      <w:r w:rsidRPr="00BB47B4">
        <w:rPr>
          <w:rFonts w:ascii="Times New Roman" w:hAnsi="Times New Roman"/>
          <w:sz w:val="20"/>
        </w:rPr>
        <w:t xml:space="preserve">Base salary from </w:t>
      </w:r>
      <w:r w:rsidRPr="008E6A3B">
        <w:rPr>
          <w:rFonts w:ascii="Times New Roman" w:hAnsi="Times New Roman"/>
          <w:sz w:val="20"/>
        </w:rPr>
        <w:t>S</w:t>
      </w:r>
      <w:r>
        <w:rPr>
          <w:rFonts w:ascii="Times New Roman" w:hAnsi="Times New Roman"/>
          <w:sz w:val="20"/>
        </w:rPr>
        <w:t>alary Table</w:t>
      </w:r>
      <w:r w:rsidRPr="008E6A3B">
        <w:rPr>
          <w:rFonts w:ascii="Times New Roman" w:hAnsi="Times New Roman"/>
          <w:sz w:val="20"/>
        </w:rPr>
        <w:t xml:space="preserve"> 2017-DCB </w:t>
      </w:r>
      <w:r>
        <w:rPr>
          <w:rFonts w:ascii="Times New Roman" w:hAnsi="Times New Roman"/>
          <w:sz w:val="20"/>
        </w:rPr>
        <w:t xml:space="preserve">for the locality Pay area of </w:t>
      </w:r>
      <w:r w:rsidRPr="008E6A3B">
        <w:rPr>
          <w:rFonts w:ascii="Times New Roman" w:hAnsi="Times New Roman"/>
          <w:sz w:val="20"/>
        </w:rPr>
        <w:t>W</w:t>
      </w:r>
      <w:r>
        <w:rPr>
          <w:rFonts w:ascii="Times New Roman" w:hAnsi="Times New Roman"/>
          <w:sz w:val="20"/>
        </w:rPr>
        <w:t>ashington</w:t>
      </w:r>
      <w:r w:rsidRPr="008E6A3B">
        <w:rPr>
          <w:rFonts w:ascii="Times New Roman" w:hAnsi="Times New Roman"/>
          <w:sz w:val="20"/>
        </w:rPr>
        <w:t>-B</w:t>
      </w:r>
      <w:r>
        <w:rPr>
          <w:rFonts w:ascii="Times New Roman" w:hAnsi="Times New Roman"/>
          <w:sz w:val="20"/>
        </w:rPr>
        <w:t>altimore-</w:t>
      </w:r>
      <w:r w:rsidRPr="008E6A3B">
        <w:rPr>
          <w:rFonts w:ascii="Times New Roman" w:hAnsi="Times New Roman"/>
          <w:sz w:val="20"/>
        </w:rPr>
        <w:t>A</w:t>
      </w:r>
      <w:r>
        <w:rPr>
          <w:rFonts w:ascii="Times New Roman" w:hAnsi="Times New Roman"/>
          <w:sz w:val="20"/>
        </w:rPr>
        <w:t>rlington</w:t>
      </w:r>
      <w:r w:rsidRPr="008E6A3B">
        <w:rPr>
          <w:rFonts w:ascii="Times New Roman" w:hAnsi="Times New Roman"/>
          <w:sz w:val="20"/>
        </w:rPr>
        <w:t>, DC-MD-VA-WV-PA</w:t>
      </w:r>
      <w:r>
        <w:rPr>
          <w:rFonts w:ascii="Times New Roman" w:hAnsi="Times New Roman"/>
          <w:sz w:val="20"/>
        </w:rPr>
        <w:t xml:space="preserve">, </w:t>
      </w:r>
      <w:r w:rsidRPr="00BB47B4">
        <w:rPr>
          <w:rFonts w:ascii="Times New Roman" w:hAnsi="Times New Roman"/>
          <w:sz w:val="20"/>
        </w:rPr>
        <w:t>GS-1</w:t>
      </w:r>
      <w:r>
        <w:rPr>
          <w:rFonts w:ascii="Times New Roman" w:hAnsi="Times New Roman"/>
          <w:sz w:val="20"/>
        </w:rPr>
        <w:t>4</w:t>
      </w:r>
      <w:r w:rsidRPr="00BB47B4">
        <w:rPr>
          <w:rFonts w:ascii="Times New Roman" w:hAnsi="Times New Roman"/>
          <w:sz w:val="20"/>
        </w:rPr>
        <w:t xml:space="preserve">, Step </w:t>
      </w:r>
      <w:r w:rsidRPr="00C67F72">
        <w:rPr>
          <w:rFonts w:ascii="Times New Roman" w:hAnsi="Times New Roman"/>
          <w:sz w:val="20"/>
        </w:rPr>
        <w:t xml:space="preserve">5.  Fringe benefit factor from </w:t>
      </w:r>
      <w:hyperlink r:id="rId2" w:history="1">
        <w:r w:rsidRPr="00015D1E">
          <w:rPr>
            <w:rStyle w:val="Hyperlink"/>
            <w:rFonts w:ascii="Times New Roman" w:hAnsi="Times New Roman"/>
            <w:sz w:val="20"/>
          </w:rPr>
          <w:t>https://www.whitehouse.gov/sites/whitehouse.gov/files/omb/memoranda/2008/m08-13.pdf</w:t>
        </w:r>
      </w:hyperlink>
      <w:r>
        <w:rPr>
          <w:rFonts w:ascii="Times New Roman" w:hAnsi="Times New Roman"/>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B72F3" w14:textId="5C0862D4" w:rsidR="00526520" w:rsidRDefault="00526520">
    <w:pPr>
      <w:pStyle w:val="Header"/>
      <w:jc w:val="right"/>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EAF3F" w14:textId="28BC687F" w:rsidR="00526520" w:rsidRPr="008E47CB" w:rsidRDefault="00526520" w:rsidP="008E47CB">
    <w:pPr>
      <w:pStyle w:val="Header"/>
      <w:tabs>
        <w:tab w:val="clear" w:pos="8640"/>
        <w:tab w:val="right" w:pos="9360"/>
      </w:tabs>
      <w:rPr>
        <w:szCs w:val="20"/>
      </w:rPr>
    </w:pPr>
    <w:r>
      <w:rPr>
        <w:rFonts w:ascii="Arial" w:hAnsi="Arial" w:cs="Arial"/>
        <w:sz w:val="20"/>
        <w:szCs w:val="20"/>
      </w:rPr>
      <w:tab/>
    </w:r>
    <w:r>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DE81A2"/>
    <w:lvl w:ilvl="0">
      <w:start w:val="1"/>
      <w:numFmt w:val="decimal"/>
      <w:lvlText w:val="%1."/>
      <w:lvlJc w:val="left"/>
      <w:pPr>
        <w:tabs>
          <w:tab w:val="num" w:pos="1800"/>
        </w:tabs>
        <w:ind w:left="1800" w:hanging="360"/>
      </w:pPr>
    </w:lvl>
  </w:abstractNum>
  <w:abstractNum w:abstractNumId="1">
    <w:nsid w:val="FFFFFF7D"/>
    <w:multiLevelType w:val="singleLevel"/>
    <w:tmpl w:val="A36AC646"/>
    <w:lvl w:ilvl="0">
      <w:start w:val="1"/>
      <w:numFmt w:val="decimal"/>
      <w:lvlText w:val="%1."/>
      <w:lvlJc w:val="left"/>
      <w:pPr>
        <w:tabs>
          <w:tab w:val="num" w:pos="1440"/>
        </w:tabs>
        <w:ind w:left="1440" w:hanging="360"/>
      </w:pPr>
    </w:lvl>
  </w:abstractNum>
  <w:abstractNum w:abstractNumId="2">
    <w:nsid w:val="FFFFFF7E"/>
    <w:multiLevelType w:val="singleLevel"/>
    <w:tmpl w:val="332C7C94"/>
    <w:lvl w:ilvl="0">
      <w:start w:val="1"/>
      <w:numFmt w:val="decimal"/>
      <w:lvlText w:val="%1."/>
      <w:lvlJc w:val="left"/>
      <w:pPr>
        <w:tabs>
          <w:tab w:val="num" w:pos="1080"/>
        </w:tabs>
        <w:ind w:left="1080" w:hanging="360"/>
      </w:pPr>
    </w:lvl>
  </w:abstractNum>
  <w:abstractNum w:abstractNumId="3">
    <w:nsid w:val="FFFFFF7F"/>
    <w:multiLevelType w:val="singleLevel"/>
    <w:tmpl w:val="3EE8C738"/>
    <w:lvl w:ilvl="0">
      <w:start w:val="1"/>
      <w:numFmt w:val="decimal"/>
      <w:lvlText w:val="%1."/>
      <w:lvlJc w:val="left"/>
      <w:pPr>
        <w:tabs>
          <w:tab w:val="num" w:pos="720"/>
        </w:tabs>
        <w:ind w:left="720" w:hanging="360"/>
      </w:pPr>
    </w:lvl>
  </w:abstractNum>
  <w:abstractNum w:abstractNumId="4">
    <w:nsid w:val="FFFFFF80"/>
    <w:multiLevelType w:val="singleLevel"/>
    <w:tmpl w:val="3072E39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2F0E8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39633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8B62E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AA7E42"/>
    <w:lvl w:ilvl="0">
      <w:start w:val="1"/>
      <w:numFmt w:val="decimal"/>
      <w:lvlText w:val="%1."/>
      <w:lvlJc w:val="left"/>
      <w:pPr>
        <w:tabs>
          <w:tab w:val="num" w:pos="360"/>
        </w:tabs>
        <w:ind w:left="360" w:hanging="360"/>
      </w:pPr>
    </w:lvl>
  </w:abstractNum>
  <w:abstractNum w:abstractNumId="9">
    <w:nsid w:val="FFFFFF89"/>
    <w:multiLevelType w:val="singleLevel"/>
    <w:tmpl w:val="A3849952"/>
    <w:lvl w:ilvl="0">
      <w:start w:val="1"/>
      <w:numFmt w:val="bullet"/>
      <w:lvlText w:val=""/>
      <w:lvlJc w:val="left"/>
      <w:pPr>
        <w:tabs>
          <w:tab w:val="num" w:pos="360"/>
        </w:tabs>
        <w:ind w:left="360" w:hanging="360"/>
      </w:pPr>
      <w:rPr>
        <w:rFonts w:ascii="Symbol" w:hAnsi="Symbol" w:hint="default"/>
      </w:rPr>
    </w:lvl>
  </w:abstractNum>
  <w:abstractNum w:abstractNumId="10">
    <w:nsid w:val="07591D2E"/>
    <w:multiLevelType w:val="multilevel"/>
    <w:tmpl w:val="BA9201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07B55DC2"/>
    <w:multiLevelType w:val="hybridMultilevel"/>
    <w:tmpl w:val="6288517C"/>
    <w:lvl w:ilvl="0" w:tplc="9218310C">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D2876F1"/>
    <w:multiLevelType w:val="hybridMultilevel"/>
    <w:tmpl w:val="B0229312"/>
    <w:lvl w:ilvl="0" w:tplc="FD66DE12">
      <w:start w:val="1"/>
      <w:numFmt w:val="bullet"/>
      <w:lvlText w:val="•"/>
      <w:lvlJc w:val="left"/>
      <w:pPr>
        <w:tabs>
          <w:tab w:val="num" w:pos="1260"/>
        </w:tabs>
        <w:ind w:left="126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5F0DC4"/>
    <w:multiLevelType w:val="singleLevel"/>
    <w:tmpl w:val="768E828A"/>
    <w:lvl w:ilvl="0">
      <w:start w:val="1"/>
      <w:numFmt w:val="decimal"/>
      <w:lvlText w:val="%1."/>
      <w:legacy w:legacy="1" w:legacySpace="0" w:legacyIndent="360"/>
      <w:lvlJc w:val="left"/>
      <w:pPr>
        <w:ind w:left="360" w:hanging="360"/>
      </w:pPr>
    </w:lvl>
  </w:abstractNum>
  <w:abstractNum w:abstractNumId="14">
    <w:nsid w:val="1EE60D50"/>
    <w:multiLevelType w:val="hybridMultilevel"/>
    <w:tmpl w:val="61F6AAC8"/>
    <w:lvl w:ilvl="0" w:tplc="9218310C">
      <w:start w:val="7"/>
      <w:numFmt w:val="decimal"/>
      <w:lvlText w:val="%1."/>
      <w:lvlJc w:val="left"/>
      <w:pPr>
        <w:tabs>
          <w:tab w:val="num" w:pos="720"/>
        </w:tabs>
        <w:ind w:left="720" w:hanging="360"/>
      </w:pPr>
      <w:rPr>
        <w:rFonts w:hint="default"/>
      </w:rPr>
    </w:lvl>
    <w:lvl w:ilvl="1" w:tplc="393C2DAC">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5A5BC9"/>
    <w:multiLevelType w:val="hybridMultilevel"/>
    <w:tmpl w:val="1E32E6B6"/>
    <w:lvl w:ilvl="0" w:tplc="F72CDA5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9E06CA"/>
    <w:multiLevelType w:val="hybridMultilevel"/>
    <w:tmpl w:val="22881594"/>
    <w:lvl w:ilvl="0" w:tplc="FD66DE12">
      <w:start w:val="1"/>
      <w:numFmt w:val="bullet"/>
      <w:lvlText w:val="•"/>
      <w:lvlJc w:val="left"/>
      <w:pPr>
        <w:tabs>
          <w:tab w:val="num" w:pos="1080"/>
        </w:tabs>
        <w:ind w:left="1080" w:hanging="360"/>
      </w:pPr>
      <w:rPr>
        <w:rFonts w:ascii="Times New Roman" w:hAnsi="Times New Roman" w:cs="Times New Roman" w:hint="default"/>
        <w:sz w:val="2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7742C06"/>
    <w:multiLevelType w:val="hybridMultilevel"/>
    <w:tmpl w:val="E02C7E70"/>
    <w:lvl w:ilvl="0" w:tplc="F72CDA50">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3E57B4"/>
    <w:multiLevelType w:val="hybridMultilevel"/>
    <w:tmpl w:val="BB344D0E"/>
    <w:lvl w:ilvl="0" w:tplc="9218310C">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18B4354"/>
    <w:multiLevelType w:val="hybridMultilevel"/>
    <w:tmpl w:val="5FD87638"/>
    <w:lvl w:ilvl="0" w:tplc="9218310C">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73731D"/>
    <w:multiLevelType w:val="hybridMultilevel"/>
    <w:tmpl w:val="A8761F76"/>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47DE53D2"/>
    <w:multiLevelType w:val="hybridMultilevel"/>
    <w:tmpl w:val="DC0EB6AA"/>
    <w:lvl w:ilvl="0" w:tplc="9218310C">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B182B72"/>
    <w:multiLevelType w:val="hybridMultilevel"/>
    <w:tmpl w:val="BA9201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7B92438"/>
    <w:multiLevelType w:val="hybridMultilevel"/>
    <w:tmpl w:val="5DC26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BDE24EB"/>
    <w:multiLevelType w:val="hybridMultilevel"/>
    <w:tmpl w:val="07C6917E"/>
    <w:lvl w:ilvl="0" w:tplc="5F3E36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4530476"/>
    <w:multiLevelType w:val="hybridMultilevel"/>
    <w:tmpl w:val="AED017FC"/>
    <w:lvl w:ilvl="0" w:tplc="249AADEC">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9F5258E"/>
    <w:multiLevelType w:val="hybridMultilevel"/>
    <w:tmpl w:val="A6EE6108"/>
    <w:lvl w:ilvl="0" w:tplc="F72CDA50">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CC10692"/>
    <w:multiLevelType w:val="hybridMultilevel"/>
    <w:tmpl w:val="86B41CEA"/>
    <w:lvl w:ilvl="0" w:tplc="F72CDA50">
      <w:start w:val="1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0941E53"/>
    <w:multiLevelType w:val="hybridMultilevel"/>
    <w:tmpl w:val="04B28D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5E11637"/>
    <w:multiLevelType w:val="singleLevel"/>
    <w:tmpl w:val="D7C076C4"/>
    <w:lvl w:ilvl="0">
      <w:start w:val="8"/>
      <w:numFmt w:val="decimal"/>
      <w:lvlText w:val="%1."/>
      <w:lvlJc w:val="left"/>
      <w:pPr>
        <w:tabs>
          <w:tab w:val="num" w:pos="720"/>
        </w:tabs>
        <w:ind w:left="720" w:hanging="720"/>
      </w:pPr>
      <w:rPr>
        <w:rFonts w:hint="default"/>
      </w:rPr>
    </w:lvl>
  </w:abstractNum>
  <w:abstractNum w:abstractNumId="30">
    <w:nsid w:val="7685121B"/>
    <w:multiLevelType w:val="hybridMultilevel"/>
    <w:tmpl w:val="9EAA6C58"/>
    <w:lvl w:ilvl="0" w:tplc="9FF61F02">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AA85F46"/>
    <w:multiLevelType w:val="singleLevel"/>
    <w:tmpl w:val="0409001B"/>
    <w:lvl w:ilvl="0">
      <w:start w:val="1"/>
      <w:numFmt w:val="lowerRoman"/>
      <w:lvlText w:val="%1."/>
      <w:lvlJc w:val="right"/>
      <w:pPr>
        <w:tabs>
          <w:tab w:val="num" w:pos="504"/>
        </w:tabs>
        <w:ind w:left="504" w:hanging="216"/>
      </w:pPr>
    </w:lvl>
  </w:abstractNum>
  <w:abstractNum w:abstractNumId="32">
    <w:nsid w:val="7C981C35"/>
    <w:multiLevelType w:val="singleLevel"/>
    <w:tmpl w:val="0409000F"/>
    <w:lvl w:ilvl="0">
      <w:start w:val="1"/>
      <w:numFmt w:val="decimal"/>
      <w:lvlText w:val="%1."/>
      <w:lvlJc w:val="left"/>
      <w:pPr>
        <w:tabs>
          <w:tab w:val="num" w:pos="360"/>
        </w:tabs>
        <w:ind w:left="360" w:hanging="360"/>
      </w:pPr>
    </w:lvl>
  </w:abstractNum>
  <w:num w:numId="1">
    <w:abstractNumId w:val="28"/>
  </w:num>
  <w:num w:numId="2">
    <w:abstractNumId w:val="20"/>
  </w:num>
  <w:num w:numId="3">
    <w:abstractNumId w:val="29"/>
  </w:num>
  <w:num w:numId="4">
    <w:abstractNumId w:val="22"/>
  </w:num>
  <w:num w:numId="5">
    <w:abstractNumId w:val="10"/>
  </w:num>
  <w:num w:numId="6">
    <w:abstractNumId w:val="16"/>
  </w:num>
  <w:num w:numId="7">
    <w:abstractNumId w:val="14"/>
  </w:num>
  <w:num w:numId="8">
    <w:abstractNumId w:val="17"/>
  </w:num>
  <w:num w:numId="9">
    <w:abstractNumId w:val="27"/>
  </w:num>
  <w:num w:numId="10">
    <w:abstractNumId w:val="18"/>
  </w:num>
  <w:num w:numId="11">
    <w:abstractNumId w:val="21"/>
  </w:num>
  <w:num w:numId="12">
    <w:abstractNumId w:val="15"/>
  </w:num>
  <w:num w:numId="13">
    <w:abstractNumId w:val="12"/>
  </w:num>
  <w:num w:numId="14">
    <w:abstractNumId w:val="26"/>
  </w:num>
  <w:num w:numId="15">
    <w:abstractNumId w:val="11"/>
  </w:num>
  <w:num w:numId="16">
    <w:abstractNumId w:val="19"/>
  </w:num>
  <w:num w:numId="17">
    <w:abstractNumId w:val="31"/>
  </w:num>
  <w:num w:numId="18">
    <w:abstractNumId w:val="32"/>
  </w:num>
  <w:num w:numId="19">
    <w:abstractNumId w:val="13"/>
  </w:num>
  <w:num w:numId="20">
    <w:abstractNumId w:val="24"/>
  </w:num>
  <w:num w:numId="21">
    <w:abstractNumId w:val="25"/>
  </w:num>
  <w:num w:numId="22">
    <w:abstractNumId w:val="3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1FD"/>
    <w:rsid w:val="00000E0E"/>
    <w:rsid w:val="0000201C"/>
    <w:rsid w:val="00002491"/>
    <w:rsid w:val="00004C11"/>
    <w:rsid w:val="0001010E"/>
    <w:rsid w:val="0001138D"/>
    <w:rsid w:val="00013003"/>
    <w:rsid w:val="00020884"/>
    <w:rsid w:val="00024300"/>
    <w:rsid w:val="00036AB6"/>
    <w:rsid w:val="000403BB"/>
    <w:rsid w:val="0004507B"/>
    <w:rsid w:val="000458B0"/>
    <w:rsid w:val="00051B47"/>
    <w:rsid w:val="000602C6"/>
    <w:rsid w:val="00065D43"/>
    <w:rsid w:val="00085A04"/>
    <w:rsid w:val="000906B9"/>
    <w:rsid w:val="00097B8E"/>
    <w:rsid w:val="000A0E8F"/>
    <w:rsid w:val="000B2890"/>
    <w:rsid w:val="000B4ACF"/>
    <w:rsid w:val="000B56C1"/>
    <w:rsid w:val="000B6630"/>
    <w:rsid w:val="000C0278"/>
    <w:rsid w:val="000C6301"/>
    <w:rsid w:val="000D1E01"/>
    <w:rsid w:val="000D396A"/>
    <w:rsid w:val="000E5DC0"/>
    <w:rsid w:val="000E6B62"/>
    <w:rsid w:val="000E7A0B"/>
    <w:rsid w:val="000F08AB"/>
    <w:rsid w:val="000F0C7C"/>
    <w:rsid w:val="000F0DAF"/>
    <w:rsid w:val="00102847"/>
    <w:rsid w:val="0011079C"/>
    <w:rsid w:val="00110A69"/>
    <w:rsid w:val="00113BF7"/>
    <w:rsid w:val="001204BB"/>
    <w:rsid w:val="00123547"/>
    <w:rsid w:val="001239D9"/>
    <w:rsid w:val="0013603C"/>
    <w:rsid w:val="0014153A"/>
    <w:rsid w:val="0014207A"/>
    <w:rsid w:val="0014382D"/>
    <w:rsid w:val="00143B4E"/>
    <w:rsid w:val="00146289"/>
    <w:rsid w:val="00146440"/>
    <w:rsid w:val="00152900"/>
    <w:rsid w:val="001546BC"/>
    <w:rsid w:val="00154DEF"/>
    <w:rsid w:val="001671E7"/>
    <w:rsid w:val="0017211D"/>
    <w:rsid w:val="00176E3B"/>
    <w:rsid w:val="00185D9E"/>
    <w:rsid w:val="00187321"/>
    <w:rsid w:val="00193646"/>
    <w:rsid w:val="00196176"/>
    <w:rsid w:val="001A42AC"/>
    <w:rsid w:val="001B1D61"/>
    <w:rsid w:val="001B4C76"/>
    <w:rsid w:val="001C587C"/>
    <w:rsid w:val="001C628B"/>
    <w:rsid w:val="001D00D4"/>
    <w:rsid w:val="001E70F1"/>
    <w:rsid w:val="001F7EDC"/>
    <w:rsid w:val="002051CA"/>
    <w:rsid w:val="00207033"/>
    <w:rsid w:val="002168B3"/>
    <w:rsid w:val="0021737C"/>
    <w:rsid w:val="002368DE"/>
    <w:rsid w:val="00237278"/>
    <w:rsid w:val="00242508"/>
    <w:rsid w:val="00256FFB"/>
    <w:rsid w:val="00260DCC"/>
    <w:rsid w:val="00263326"/>
    <w:rsid w:val="00271BE7"/>
    <w:rsid w:val="0028339C"/>
    <w:rsid w:val="002901FF"/>
    <w:rsid w:val="002922FE"/>
    <w:rsid w:val="002929AB"/>
    <w:rsid w:val="00292A52"/>
    <w:rsid w:val="00294AFA"/>
    <w:rsid w:val="00294E5C"/>
    <w:rsid w:val="002A064A"/>
    <w:rsid w:val="002B4BC6"/>
    <w:rsid w:val="002B6E16"/>
    <w:rsid w:val="002C3164"/>
    <w:rsid w:val="002C5FD4"/>
    <w:rsid w:val="002D172D"/>
    <w:rsid w:val="002D6190"/>
    <w:rsid w:val="002E63CF"/>
    <w:rsid w:val="002F2AF7"/>
    <w:rsid w:val="002F3F9F"/>
    <w:rsid w:val="002F51C6"/>
    <w:rsid w:val="002F6D66"/>
    <w:rsid w:val="00300CDF"/>
    <w:rsid w:val="00301081"/>
    <w:rsid w:val="00301976"/>
    <w:rsid w:val="0030274D"/>
    <w:rsid w:val="003309C3"/>
    <w:rsid w:val="00333B7C"/>
    <w:rsid w:val="00336428"/>
    <w:rsid w:val="00337454"/>
    <w:rsid w:val="00341A80"/>
    <w:rsid w:val="003432DA"/>
    <w:rsid w:val="0034401B"/>
    <w:rsid w:val="00344639"/>
    <w:rsid w:val="003446D4"/>
    <w:rsid w:val="00347CF5"/>
    <w:rsid w:val="00361DF7"/>
    <w:rsid w:val="0036222D"/>
    <w:rsid w:val="003668CD"/>
    <w:rsid w:val="0037432B"/>
    <w:rsid w:val="00375749"/>
    <w:rsid w:val="00376B52"/>
    <w:rsid w:val="0037786A"/>
    <w:rsid w:val="0038051B"/>
    <w:rsid w:val="0038444A"/>
    <w:rsid w:val="00396124"/>
    <w:rsid w:val="003A4279"/>
    <w:rsid w:val="003A616B"/>
    <w:rsid w:val="003A7BBC"/>
    <w:rsid w:val="003B163A"/>
    <w:rsid w:val="003B327D"/>
    <w:rsid w:val="003C4219"/>
    <w:rsid w:val="003C4393"/>
    <w:rsid w:val="003C4E02"/>
    <w:rsid w:val="003C533B"/>
    <w:rsid w:val="003D66EE"/>
    <w:rsid w:val="003F2606"/>
    <w:rsid w:val="003F4266"/>
    <w:rsid w:val="004078E7"/>
    <w:rsid w:val="00413DDB"/>
    <w:rsid w:val="00420FE8"/>
    <w:rsid w:val="00424D6E"/>
    <w:rsid w:val="0042544F"/>
    <w:rsid w:val="00440690"/>
    <w:rsid w:val="00446BA5"/>
    <w:rsid w:val="00450820"/>
    <w:rsid w:val="00453704"/>
    <w:rsid w:val="00455E24"/>
    <w:rsid w:val="00456D68"/>
    <w:rsid w:val="00465E32"/>
    <w:rsid w:val="0047000F"/>
    <w:rsid w:val="004876AC"/>
    <w:rsid w:val="004A2948"/>
    <w:rsid w:val="004A2B29"/>
    <w:rsid w:val="004A6DEF"/>
    <w:rsid w:val="004B5C34"/>
    <w:rsid w:val="004C0319"/>
    <w:rsid w:val="004C1602"/>
    <w:rsid w:val="004C6340"/>
    <w:rsid w:val="004D034D"/>
    <w:rsid w:val="004D70FB"/>
    <w:rsid w:val="004E2AA2"/>
    <w:rsid w:val="004E5E04"/>
    <w:rsid w:val="004E781B"/>
    <w:rsid w:val="004F4562"/>
    <w:rsid w:val="004F5D49"/>
    <w:rsid w:val="004F5D8C"/>
    <w:rsid w:val="00504BD9"/>
    <w:rsid w:val="00514A7A"/>
    <w:rsid w:val="00517024"/>
    <w:rsid w:val="00517D1C"/>
    <w:rsid w:val="0052172E"/>
    <w:rsid w:val="005221A2"/>
    <w:rsid w:val="00524684"/>
    <w:rsid w:val="005256B2"/>
    <w:rsid w:val="00526520"/>
    <w:rsid w:val="0052685E"/>
    <w:rsid w:val="00531329"/>
    <w:rsid w:val="005314C1"/>
    <w:rsid w:val="00532037"/>
    <w:rsid w:val="00532DA9"/>
    <w:rsid w:val="00533145"/>
    <w:rsid w:val="00541FE7"/>
    <w:rsid w:val="0055263B"/>
    <w:rsid w:val="00562435"/>
    <w:rsid w:val="00562F23"/>
    <w:rsid w:val="005662BA"/>
    <w:rsid w:val="005703A8"/>
    <w:rsid w:val="00572FB9"/>
    <w:rsid w:val="00575686"/>
    <w:rsid w:val="00590694"/>
    <w:rsid w:val="005A6A9F"/>
    <w:rsid w:val="005A76DB"/>
    <w:rsid w:val="005A7AB8"/>
    <w:rsid w:val="005B3D95"/>
    <w:rsid w:val="005C0316"/>
    <w:rsid w:val="005C512B"/>
    <w:rsid w:val="005D1320"/>
    <w:rsid w:val="005D13A9"/>
    <w:rsid w:val="005D3271"/>
    <w:rsid w:val="005D6EE9"/>
    <w:rsid w:val="005E3FB8"/>
    <w:rsid w:val="005E55F1"/>
    <w:rsid w:val="005E6CD4"/>
    <w:rsid w:val="005E7A35"/>
    <w:rsid w:val="005F31D8"/>
    <w:rsid w:val="006034DB"/>
    <w:rsid w:val="00604699"/>
    <w:rsid w:val="006061D7"/>
    <w:rsid w:val="00610673"/>
    <w:rsid w:val="0061127E"/>
    <w:rsid w:val="00611A50"/>
    <w:rsid w:val="00635253"/>
    <w:rsid w:val="0063757E"/>
    <w:rsid w:val="00643778"/>
    <w:rsid w:val="00651BFE"/>
    <w:rsid w:val="006530E6"/>
    <w:rsid w:val="006534EE"/>
    <w:rsid w:val="00655FFE"/>
    <w:rsid w:val="0065768B"/>
    <w:rsid w:val="00661BE7"/>
    <w:rsid w:val="00667775"/>
    <w:rsid w:val="00667BB8"/>
    <w:rsid w:val="0067088F"/>
    <w:rsid w:val="006752D1"/>
    <w:rsid w:val="00675C3D"/>
    <w:rsid w:val="00675C6F"/>
    <w:rsid w:val="00680F63"/>
    <w:rsid w:val="00682094"/>
    <w:rsid w:val="00682CBA"/>
    <w:rsid w:val="006B4C58"/>
    <w:rsid w:val="006C2D09"/>
    <w:rsid w:val="006C59ED"/>
    <w:rsid w:val="006C706A"/>
    <w:rsid w:val="006D397F"/>
    <w:rsid w:val="006D398F"/>
    <w:rsid w:val="006D56EE"/>
    <w:rsid w:val="006D5F34"/>
    <w:rsid w:val="006F1DAA"/>
    <w:rsid w:val="00707052"/>
    <w:rsid w:val="0071313D"/>
    <w:rsid w:val="00717411"/>
    <w:rsid w:val="00724FAB"/>
    <w:rsid w:val="007261AD"/>
    <w:rsid w:val="00726FB5"/>
    <w:rsid w:val="0073269F"/>
    <w:rsid w:val="007330B2"/>
    <w:rsid w:val="007363A1"/>
    <w:rsid w:val="00740367"/>
    <w:rsid w:val="00745EEF"/>
    <w:rsid w:val="00750466"/>
    <w:rsid w:val="007542FE"/>
    <w:rsid w:val="007550A3"/>
    <w:rsid w:val="00766820"/>
    <w:rsid w:val="007727EF"/>
    <w:rsid w:val="007738AE"/>
    <w:rsid w:val="00776205"/>
    <w:rsid w:val="00782FA1"/>
    <w:rsid w:val="007848B7"/>
    <w:rsid w:val="00785F4E"/>
    <w:rsid w:val="007873F2"/>
    <w:rsid w:val="007B0FBB"/>
    <w:rsid w:val="007B1634"/>
    <w:rsid w:val="007B4CED"/>
    <w:rsid w:val="007C7908"/>
    <w:rsid w:val="007D307E"/>
    <w:rsid w:val="007E71E1"/>
    <w:rsid w:val="007F3BBB"/>
    <w:rsid w:val="00811C81"/>
    <w:rsid w:val="0081344C"/>
    <w:rsid w:val="00817204"/>
    <w:rsid w:val="008261CC"/>
    <w:rsid w:val="008325F5"/>
    <w:rsid w:val="00836C44"/>
    <w:rsid w:val="00845914"/>
    <w:rsid w:val="008506C6"/>
    <w:rsid w:val="008525C5"/>
    <w:rsid w:val="008535C0"/>
    <w:rsid w:val="008544DC"/>
    <w:rsid w:val="008574B6"/>
    <w:rsid w:val="00866A33"/>
    <w:rsid w:val="00867B0B"/>
    <w:rsid w:val="0087586C"/>
    <w:rsid w:val="00884872"/>
    <w:rsid w:val="008877A9"/>
    <w:rsid w:val="00891C52"/>
    <w:rsid w:val="00897DF3"/>
    <w:rsid w:val="008A4B60"/>
    <w:rsid w:val="008A5030"/>
    <w:rsid w:val="008B0909"/>
    <w:rsid w:val="008B7E18"/>
    <w:rsid w:val="008C0399"/>
    <w:rsid w:val="008C16FA"/>
    <w:rsid w:val="008C3BAC"/>
    <w:rsid w:val="008C43DC"/>
    <w:rsid w:val="008D1317"/>
    <w:rsid w:val="008D3E62"/>
    <w:rsid w:val="008D6D50"/>
    <w:rsid w:val="008D7727"/>
    <w:rsid w:val="008E47CB"/>
    <w:rsid w:val="008E6A3B"/>
    <w:rsid w:val="008F1CB4"/>
    <w:rsid w:val="008F27AA"/>
    <w:rsid w:val="00912CBB"/>
    <w:rsid w:val="0091599D"/>
    <w:rsid w:val="00915B15"/>
    <w:rsid w:val="00916742"/>
    <w:rsid w:val="00920B77"/>
    <w:rsid w:val="0092763D"/>
    <w:rsid w:val="00931F3E"/>
    <w:rsid w:val="00940F65"/>
    <w:rsid w:val="00953007"/>
    <w:rsid w:val="0095357F"/>
    <w:rsid w:val="00972B03"/>
    <w:rsid w:val="00986590"/>
    <w:rsid w:val="0099163D"/>
    <w:rsid w:val="00991CAF"/>
    <w:rsid w:val="009959FD"/>
    <w:rsid w:val="009971FE"/>
    <w:rsid w:val="009A7962"/>
    <w:rsid w:val="009B5CCC"/>
    <w:rsid w:val="009B6C6C"/>
    <w:rsid w:val="009C20A6"/>
    <w:rsid w:val="009C4F40"/>
    <w:rsid w:val="009C7774"/>
    <w:rsid w:val="009D600E"/>
    <w:rsid w:val="009E1EF6"/>
    <w:rsid w:val="009F2D03"/>
    <w:rsid w:val="009F788A"/>
    <w:rsid w:val="00A031C7"/>
    <w:rsid w:val="00A05B45"/>
    <w:rsid w:val="00A074EF"/>
    <w:rsid w:val="00A10612"/>
    <w:rsid w:val="00A15690"/>
    <w:rsid w:val="00A1762D"/>
    <w:rsid w:val="00A201D9"/>
    <w:rsid w:val="00A2683E"/>
    <w:rsid w:val="00A35119"/>
    <w:rsid w:val="00A42A39"/>
    <w:rsid w:val="00A476DD"/>
    <w:rsid w:val="00A5253D"/>
    <w:rsid w:val="00A572D2"/>
    <w:rsid w:val="00A62D20"/>
    <w:rsid w:val="00A636A4"/>
    <w:rsid w:val="00A6537E"/>
    <w:rsid w:val="00A70252"/>
    <w:rsid w:val="00A74CA0"/>
    <w:rsid w:val="00A80CE7"/>
    <w:rsid w:val="00A8290F"/>
    <w:rsid w:val="00A82F82"/>
    <w:rsid w:val="00A83C1B"/>
    <w:rsid w:val="00AA628C"/>
    <w:rsid w:val="00AC002A"/>
    <w:rsid w:val="00AC0B91"/>
    <w:rsid w:val="00AC3208"/>
    <w:rsid w:val="00AD282B"/>
    <w:rsid w:val="00AD57A0"/>
    <w:rsid w:val="00AD7953"/>
    <w:rsid w:val="00AE35D8"/>
    <w:rsid w:val="00AF0BF2"/>
    <w:rsid w:val="00AF11C9"/>
    <w:rsid w:val="00AF167C"/>
    <w:rsid w:val="00AF38D7"/>
    <w:rsid w:val="00AF6D22"/>
    <w:rsid w:val="00B02436"/>
    <w:rsid w:val="00B04A65"/>
    <w:rsid w:val="00B26D82"/>
    <w:rsid w:val="00B302D6"/>
    <w:rsid w:val="00B33C53"/>
    <w:rsid w:val="00B37431"/>
    <w:rsid w:val="00B378E4"/>
    <w:rsid w:val="00B41EFC"/>
    <w:rsid w:val="00B421CE"/>
    <w:rsid w:val="00B4631F"/>
    <w:rsid w:val="00B52DEA"/>
    <w:rsid w:val="00B6757E"/>
    <w:rsid w:val="00B679D1"/>
    <w:rsid w:val="00B70B85"/>
    <w:rsid w:val="00B7157E"/>
    <w:rsid w:val="00B76E0C"/>
    <w:rsid w:val="00B87063"/>
    <w:rsid w:val="00B9034F"/>
    <w:rsid w:val="00BA048C"/>
    <w:rsid w:val="00BA0885"/>
    <w:rsid w:val="00BA33CB"/>
    <w:rsid w:val="00BA5B59"/>
    <w:rsid w:val="00BB47B4"/>
    <w:rsid w:val="00BB7F76"/>
    <w:rsid w:val="00BC2D9E"/>
    <w:rsid w:val="00BC5FEB"/>
    <w:rsid w:val="00BD074C"/>
    <w:rsid w:val="00BD3E41"/>
    <w:rsid w:val="00BE3F3B"/>
    <w:rsid w:val="00BE46A8"/>
    <w:rsid w:val="00BE48B0"/>
    <w:rsid w:val="00BE4A45"/>
    <w:rsid w:val="00BE4B49"/>
    <w:rsid w:val="00BF39A1"/>
    <w:rsid w:val="00BF5FB5"/>
    <w:rsid w:val="00C00C7D"/>
    <w:rsid w:val="00C16D87"/>
    <w:rsid w:val="00C17403"/>
    <w:rsid w:val="00C205E0"/>
    <w:rsid w:val="00C21EE5"/>
    <w:rsid w:val="00C22019"/>
    <w:rsid w:val="00C3059A"/>
    <w:rsid w:val="00C31B12"/>
    <w:rsid w:val="00C31E20"/>
    <w:rsid w:val="00C32173"/>
    <w:rsid w:val="00C333C6"/>
    <w:rsid w:val="00C36403"/>
    <w:rsid w:val="00C52693"/>
    <w:rsid w:val="00C54919"/>
    <w:rsid w:val="00C54ED0"/>
    <w:rsid w:val="00C562D4"/>
    <w:rsid w:val="00C617B9"/>
    <w:rsid w:val="00C624B4"/>
    <w:rsid w:val="00C67024"/>
    <w:rsid w:val="00C67F72"/>
    <w:rsid w:val="00C850BD"/>
    <w:rsid w:val="00C87800"/>
    <w:rsid w:val="00C878D4"/>
    <w:rsid w:val="00CA23F8"/>
    <w:rsid w:val="00CA36F2"/>
    <w:rsid w:val="00CA6346"/>
    <w:rsid w:val="00CA7503"/>
    <w:rsid w:val="00CA7D38"/>
    <w:rsid w:val="00CC35C8"/>
    <w:rsid w:val="00CC623B"/>
    <w:rsid w:val="00CC6E94"/>
    <w:rsid w:val="00CD0079"/>
    <w:rsid w:val="00CD2A1B"/>
    <w:rsid w:val="00CD4748"/>
    <w:rsid w:val="00CE12F9"/>
    <w:rsid w:val="00CF13F2"/>
    <w:rsid w:val="00CF2545"/>
    <w:rsid w:val="00CF297C"/>
    <w:rsid w:val="00CF3109"/>
    <w:rsid w:val="00CF595A"/>
    <w:rsid w:val="00D026B4"/>
    <w:rsid w:val="00D02B72"/>
    <w:rsid w:val="00D04D8D"/>
    <w:rsid w:val="00D10F2F"/>
    <w:rsid w:val="00D11AC9"/>
    <w:rsid w:val="00D11ADD"/>
    <w:rsid w:val="00D26F4F"/>
    <w:rsid w:val="00D3208E"/>
    <w:rsid w:val="00D34733"/>
    <w:rsid w:val="00D37E7B"/>
    <w:rsid w:val="00D37FEB"/>
    <w:rsid w:val="00D4168A"/>
    <w:rsid w:val="00D51BB5"/>
    <w:rsid w:val="00D51D6C"/>
    <w:rsid w:val="00D6461C"/>
    <w:rsid w:val="00D67366"/>
    <w:rsid w:val="00D674E3"/>
    <w:rsid w:val="00D766B6"/>
    <w:rsid w:val="00D8623D"/>
    <w:rsid w:val="00D90B83"/>
    <w:rsid w:val="00DC0012"/>
    <w:rsid w:val="00DC19CB"/>
    <w:rsid w:val="00DC3AE9"/>
    <w:rsid w:val="00DC7862"/>
    <w:rsid w:val="00DD7280"/>
    <w:rsid w:val="00DE4A3A"/>
    <w:rsid w:val="00DF1903"/>
    <w:rsid w:val="00DF56AC"/>
    <w:rsid w:val="00E10458"/>
    <w:rsid w:val="00E105EE"/>
    <w:rsid w:val="00E12E14"/>
    <w:rsid w:val="00E15A22"/>
    <w:rsid w:val="00E17326"/>
    <w:rsid w:val="00E42F37"/>
    <w:rsid w:val="00E47F09"/>
    <w:rsid w:val="00E6216C"/>
    <w:rsid w:val="00E66E47"/>
    <w:rsid w:val="00E677AA"/>
    <w:rsid w:val="00E679D2"/>
    <w:rsid w:val="00E70B1D"/>
    <w:rsid w:val="00E736E3"/>
    <w:rsid w:val="00E73DE7"/>
    <w:rsid w:val="00E75A07"/>
    <w:rsid w:val="00E830ED"/>
    <w:rsid w:val="00E90059"/>
    <w:rsid w:val="00E9129D"/>
    <w:rsid w:val="00E95183"/>
    <w:rsid w:val="00EA21FD"/>
    <w:rsid w:val="00EA4C10"/>
    <w:rsid w:val="00EA4E98"/>
    <w:rsid w:val="00EA5193"/>
    <w:rsid w:val="00EB0BA6"/>
    <w:rsid w:val="00EB4199"/>
    <w:rsid w:val="00EB539E"/>
    <w:rsid w:val="00EB7869"/>
    <w:rsid w:val="00EC460A"/>
    <w:rsid w:val="00EC762F"/>
    <w:rsid w:val="00ED00BF"/>
    <w:rsid w:val="00ED20AF"/>
    <w:rsid w:val="00EE2340"/>
    <w:rsid w:val="00EE3364"/>
    <w:rsid w:val="00F00DB6"/>
    <w:rsid w:val="00F048D1"/>
    <w:rsid w:val="00F06487"/>
    <w:rsid w:val="00F069D2"/>
    <w:rsid w:val="00F14115"/>
    <w:rsid w:val="00F23E9C"/>
    <w:rsid w:val="00F25E9B"/>
    <w:rsid w:val="00F326A5"/>
    <w:rsid w:val="00F4013E"/>
    <w:rsid w:val="00F41D50"/>
    <w:rsid w:val="00F46067"/>
    <w:rsid w:val="00F6320C"/>
    <w:rsid w:val="00F86557"/>
    <w:rsid w:val="00F87FBE"/>
    <w:rsid w:val="00F94EBE"/>
    <w:rsid w:val="00F95962"/>
    <w:rsid w:val="00F97D73"/>
    <w:rsid w:val="00FA3404"/>
    <w:rsid w:val="00FA7DF7"/>
    <w:rsid w:val="00FB26CD"/>
    <w:rsid w:val="00FB5393"/>
    <w:rsid w:val="00FB5778"/>
    <w:rsid w:val="00FB662F"/>
    <w:rsid w:val="00FB6DE4"/>
    <w:rsid w:val="00FC5269"/>
    <w:rsid w:val="00FD59A8"/>
    <w:rsid w:val="00FD600D"/>
    <w:rsid w:val="00FD79A7"/>
    <w:rsid w:val="00FD79DA"/>
    <w:rsid w:val="00FE254A"/>
    <w:rsid w:val="00FE75E1"/>
    <w:rsid w:val="00FE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C4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BodyText"/>
    <w:autoRedefine/>
    <w:qFormat/>
    <w:rsid w:val="004B5C34"/>
    <w:pPr>
      <w:keepNext/>
      <w:keepLines/>
      <w:suppressAutoHyphens/>
      <w:outlineLvl w:val="2"/>
    </w:pPr>
    <w:rPr>
      <w:b/>
      <w:bCs/>
      <w:sz w:val="24"/>
      <w:szCs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next w:val="Normal"/>
    <w:autoRedefine/>
    <w:qFormat/>
    <w:rsid w:val="00517024"/>
    <w:pPr>
      <w:keepNext/>
      <w:suppressAutoHyphens/>
      <w:jc w:val="center"/>
      <w:outlineLvl w:val="5"/>
    </w:pPr>
    <w:rPr>
      <w:rFonts w:ascii="Arial" w:hAnsi="Arial"/>
      <w:b/>
      <w:bCs/>
      <w:sz w:val="24"/>
      <w:szCs w:val="24"/>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w:basedOn w:val="Normal"/>
    <w:next w:val="Normal"/>
    <w:semiHidden/>
    <w:pPr>
      <w:ind w:left="480" w:hanging="480"/>
    </w:pPr>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b/>
      <w:smallCaps/>
    </w:rPr>
  </w:style>
  <w:style w:type="paragraph" w:styleId="TOC1">
    <w:name w:val="toc 1"/>
    <w:basedOn w:val="Normal"/>
    <w:next w:val="Normal"/>
    <w:autoRedefine/>
    <w:semiHidden/>
    <w:pPr>
      <w:spacing w:before="120" w:after="120"/>
    </w:pPr>
    <w:rPr>
      <w:bCs/>
    </w:rPr>
  </w:style>
  <w:style w:type="paragraph" w:styleId="Footer">
    <w:name w:val="footer"/>
    <w:basedOn w:val="Normal"/>
    <w:pPr>
      <w:tabs>
        <w:tab w:val="center" w:pos="4320"/>
        <w:tab w:val="right" w:pos="8640"/>
      </w:tabs>
    </w:pPr>
  </w:style>
  <w:style w:type="paragraph" w:customStyle="1" w:styleId="Style1">
    <w:name w:val="Style1"/>
    <w:basedOn w:val="Heading1"/>
    <w:pPr>
      <w:jc w:val="center"/>
    </w:pPr>
    <w:rPr>
      <w:rFonts w:ascii="Times New Roman" w:hAnsi="Times New Roman" w:cs="Times New Roman"/>
      <w:sz w:val="24"/>
      <w:szCs w:val="24"/>
    </w:rPr>
  </w:style>
  <w:style w:type="paragraph" w:customStyle="1" w:styleId="Style2">
    <w:name w:val="Style2"/>
    <w:basedOn w:val="Heading1"/>
    <w:pPr>
      <w:jc w:val="center"/>
    </w:pPr>
    <w:rPr>
      <w:rFonts w:ascii="Times New Roman" w:hAnsi="Times New Roman"/>
      <w:kern w:val="0"/>
      <w:sz w:val="24"/>
    </w:rPr>
  </w:style>
  <w:style w:type="paragraph" w:customStyle="1" w:styleId="Style3">
    <w:name w:val="Style3"/>
    <w:basedOn w:val="BodyTextIndent3"/>
    <w:next w:val="Normal"/>
    <w:pPr>
      <w:spacing w:after="0" w:line="360" w:lineRule="auto"/>
      <w:ind w:firstLine="720"/>
    </w:pPr>
    <w:rPr>
      <w:b/>
      <w:sz w:val="24"/>
      <w:szCs w:val="24"/>
    </w:rPr>
  </w:style>
  <w:style w:type="paragraph" w:styleId="BodyTextIndent3">
    <w:name w:val="Body Text Indent 3"/>
    <w:basedOn w:val="Normal"/>
    <w:pPr>
      <w:spacing w:after="120"/>
      <w:ind w:left="360"/>
    </w:pPr>
    <w:rPr>
      <w:sz w:val="16"/>
      <w:szCs w:val="16"/>
    </w:rPr>
  </w:style>
  <w:style w:type="paragraph" w:customStyle="1" w:styleId="Style4">
    <w:name w:val="Style4"/>
    <w:basedOn w:val="Heading2"/>
    <w:autoRedefine/>
    <w:pPr>
      <w:spacing w:line="360" w:lineRule="auto"/>
    </w:pPr>
    <w:rPr>
      <w:rFonts w:ascii="Times New Roman" w:hAnsi="Times New Roman"/>
      <w:i w:val="0"/>
      <w:sz w:val="24"/>
      <w:szCs w:val="24"/>
    </w:rPr>
  </w:style>
  <w:style w:type="paragraph" w:customStyle="1" w:styleId="Style5">
    <w:name w:val="Style5"/>
    <w:basedOn w:val="Heading2"/>
    <w:autoRedefine/>
    <w:pPr>
      <w:spacing w:after="120" w:line="360" w:lineRule="auto"/>
    </w:pPr>
    <w:rPr>
      <w:rFonts w:ascii="Times New Roman" w:hAnsi="Times New Roman"/>
      <w:i w:val="0"/>
      <w:iCs w:val="0"/>
      <w:sz w:val="24"/>
    </w:rPr>
  </w:style>
  <w:style w:type="paragraph" w:styleId="BodyTextIndent">
    <w:name w:val="Body Text Indent"/>
    <w:basedOn w:val="Normal"/>
    <w:pPr>
      <w:tabs>
        <w:tab w:val="left" w:pos="-720"/>
        <w:tab w:val="left" w:pos="0"/>
      </w:tabs>
      <w:suppressAutoHyphens/>
      <w:ind w:left="720" w:hanging="720"/>
    </w:pPr>
    <w:rPr>
      <w:szCs w:val="20"/>
    </w:rPr>
  </w:style>
  <w:style w:type="paragraph" w:styleId="FootnoteText">
    <w:name w:val="footnote text"/>
    <w:basedOn w:val="Normal"/>
    <w:semiHidden/>
    <w:pPr>
      <w:widowControl w:val="0"/>
    </w:pPr>
    <w:rPr>
      <w:rFonts w:ascii="Courier" w:hAnsi="Courier"/>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ListBullet">
    <w:name w:val="List Bullet"/>
    <w:basedOn w:val="Normal"/>
    <w:autoRedefine/>
    <w:rsid w:val="00FA3404"/>
    <w:pPr>
      <w:ind w:left="450"/>
    </w:pPr>
  </w:style>
  <w:style w:type="character" w:styleId="CommentReference">
    <w:name w:val="annotation reference"/>
    <w:uiPriority w:val="99"/>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Tahoma" w:hAnsi="Tahoma" w:cs="Tahoma"/>
      <w:sz w:val="16"/>
      <w:szCs w:val="16"/>
    </w:rPr>
  </w:style>
  <w:style w:type="paragraph" w:styleId="BodyText">
    <w:name w:val="Body Text"/>
    <w:link w:val="BodyTextChar"/>
    <w:autoRedefine/>
    <w:rsid w:val="00B33C53"/>
    <w:rPr>
      <w:sz w:val="24"/>
      <w:szCs w:val="24"/>
    </w:rPr>
  </w:style>
  <w:style w:type="paragraph" w:customStyle="1" w:styleId="BodyText21CharCharChar">
    <w:name w:val="Body Text 21 Char Char Char"/>
    <w:basedOn w:val="Normal"/>
    <w:pPr>
      <w:widowControl w:val="0"/>
      <w:spacing w:line="360" w:lineRule="auto"/>
    </w:pPr>
    <w:rPr>
      <w:rFonts w:ascii="Courier New" w:hAnsi="Courier New"/>
      <w:sz w:val="22"/>
      <w:szCs w:val="20"/>
    </w:rPr>
  </w:style>
  <w:style w:type="paragraph" w:styleId="Header">
    <w:name w:val="head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spacing w:val="-5"/>
      <w:sz w:val="20"/>
      <w:szCs w:val="20"/>
    </w:rPr>
  </w:style>
  <w:style w:type="paragraph" w:customStyle="1" w:styleId="TableText">
    <w:name w:val="Table Text"/>
    <w:basedOn w:val="Normal"/>
    <w:pPr>
      <w:spacing w:before="60"/>
    </w:pPr>
    <w:rPr>
      <w:rFonts w:ascii="Arial" w:hAnsi="Arial"/>
      <w:spacing w:val="-5"/>
      <w:sz w:val="16"/>
      <w:szCs w:val="20"/>
    </w:rPr>
  </w:style>
  <w:style w:type="paragraph" w:styleId="Title">
    <w:name w:val="Title"/>
    <w:basedOn w:val="Normal"/>
    <w:next w:val="Subtitle"/>
    <w:qFormat/>
    <w:pPr>
      <w:keepNext/>
      <w:keepLines/>
      <w:pBdr>
        <w:top w:val="single" w:sz="6" w:space="16" w:color="auto"/>
      </w:pBdr>
      <w:spacing w:before="220" w:after="60" w:line="320" w:lineRule="atLeast"/>
    </w:pPr>
    <w:rPr>
      <w:rFonts w:ascii="Arial Black" w:hAnsi="Arial Black"/>
      <w:spacing w:val="-30"/>
      <w:kern w:val="28"/>
      <w:sz w:val="40"/>
      <w:szCs w:val="20"/>
    </w:rPr>
  </w:style>
  <w:style w:type="paragraph" w:styleId="Subtitle">
    <w:name w:val="Subtitle"/>
    <w:basedOn w:val="Normal"/>
    <w:qFormat/>
    <w:pPr>
      <w:spacing w:after="60"/>
      <w:jc w:val="center"/>
      <w:outlineLvl w:val="1"/>
    </w:pPr>
    <w:rPr>
      <w:rFonts w:ascii="Arial" w:hAnsi="Arial" w:cs="Arial"/>
    </w:rPr>
  </w:style>
  <w:style w:type="paragraph" w:styleId="BodyTextIndent2">
    <w:name w:val="Body Text Indent 2"/>
    <w:basedOn w:val="Normal"/>
    <w:pPr>
      <w:spacing w:after="120" w:line="480" w:lineRule="auto"/>
      <w:ind w:left="360"/>
    </w:pPr>
  </w:style>
  <w:style w:type="paragraph" w:styleId="BodyText2">
    <w:name w:val="Body Text 2"/>
    <w:basedOn w:val="Normal"/>
    <w:pPr>
      <w:spacing w:after="120" w:line="480" w:lineRule="auto"/>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keepNext/>
      <w:spacing w:line="480" w:lineRule="atLeast"/>
    </w:pPr>
    <w:rPr>
      <w:rFonts w:ascii="Arial Black" w:hAnsi="Arial Black"/>
      <w:spacing w:val="-5"/>
      <w:szCs w:val="20"/>
    </w:rPr>
  </w:style>
  <w:style w:type="paragraph" w:customStyle="1" w:styleId="paragraph">
    <w:name w:val="paragraph"/>
    <w:basedOn w:val="Normal"/>
    <w:pPr>
      <w:spacing w:before="120" w:after="120" w:line="360" w:lineRule="auto"/>
    </w:pPr>
    <w:rPr>
      <w:kern w:val="28"/>
      <w:szCs w:val="20"/>
    </w:rPr>
  </w:style>
  <w:style w:type="character" w:styleId="HTMLTypewriter">
    <w:name w:val="HTML Typewriter"/>
    <w:rPr>
      <w:rFonts w:ascii="Courier New" w:eastAsia="Times New Roman" w:hAnsi="Courier New" w:cs="Courier New"/>
      <w:sz w:val="20"/>
      <w:szCs w:val="20"/>
    </w:rPr>
  </w:style>
  <w:style w:type="paragraph" w:customStyle="1" w:styleId="CellBodyLeft">
    <w:name w:val="CellBody Left"/>
    <w:autoRedefine/>
    <w:rsid w:val="006061D7"/>
    <w:pPr>
      <w:keepNext/>
      <w:keepLines/>
      <w:tabs>
        <w:tab w:val="left" w:pos="-720"/>
      </w:tabs>
      <w:suppressAutoHyphens/>
    </w:pPr>
    <w:rPr>
      <w:rFonts w:ascii="Arial" w:hAnsi="Arial" w:cs="Arial"/>
      <w:sz w:val="22"/>
      <w:szCs w:val="24"/>
    </w:rPr>
  </w:style>
  <w:style w:type="paragraph" w:customStyle="1" w:styleId="CellBodyCenter">
    <w:name w:val="CellBody Center"/>
    <w:basedOn w:val="CellBodyLeft"/>
    <w:autoRedefine/>
    <w:rsid w:val="00A62D20"/>
    <w:pPr>
      <w:jc w:val="center"/>
    </w:pPr>
  </w:style>
  <w:style w:type="paragraph" w:customStyle="1" w:styleId="Title2">
    <w:name w:val="Title2"/>
    <w:autoRedefine/>
    <w:rsid w:val="00456D68"/>
    <w:pPr>
      <w:keepLines/>
      <w:pageBreakBefore/>
      <w:suppressAutoHyphens/>
      <w:spacing w:after="360"/>
      <w:jc w:val="center"/>
    </w:pPr>
    <w:rPr>
      <w:rFonts w:ascii="Arial" w:hAnsi="Arial"/>
      <w:b/>
      <w:spacing w:val="-30"/>
      <w:sz w:val="32"/>
    </w:rPr>
  </w:style>
  <w:style w:type="paragraph" w:customStyle="1" w:styleId="Subtitle2">
    <w:name w:val="Subtitle 2"/>
    <w:autoRedefine/>
    <w:rsid w:val="00456D68"/>
    <w:pPr>
      <w:tabs>
        <w:tab w:val="left" w:pos="4170"/>
      </w:tabs>
      <w:spacing w:before="360" w:after="360"/>
      <w:jc w:val="center"/>
    </w:pPr>
    <w:rPr>
      <w:rFonts w:ascii="Arial" w:hAnsi="Arial"/>
      <w:b/>
      <w:sz w:val="28"/>
      <w:szCs w:val="24"/>
    </w:rPr>
  </w:style>
  <w:style w:type="paragraph" w:customStyle="1" w:styleId="TableNotes">
    <w:name w:val="Table Notes"/>
    <w:autoRedefine/>
    <w:rsid w:val="007B0FBB"/>
    <w:pPr>
      <w:ind w:right="720"/>
    </w:pPr>
  </w:style>
  <w:style w:type="character" w:customStyle="1" w:styleId="BodyTextChar">
    <w:name w:val="Body Text Char"/>
    <w:link w:val="BodyText"/>
    <w:rsid w:val="00B33C53"/>
    <w:rPr>
      <w:sz w:val="24"/>
      <w:szCs w:val="24"/>
    </w:rPr>
  </w:style>
  <w:style w:type="paragraph" w:styleId="CommentSubject">
    <w:name w:val="annotation subject"/>
    <w:basedOn w:val="CommentText"/>
    <w:next w:val="CommentText"/>
    <w:link w:val="CommentSubjectChar"/>
    <w:rsid w:val="00C17403"/>
    <w:rPr>
      <w:b/>
      <w:bCs/>
    </w:rPr>
  </w:style>
  <w:style w:type="character" w:customStyle="1" w:styleId="CommentTextChar">
    <w:name w:val="Comment Text Char"/>
    <w:basedOn w:val="DefaultParagraphFont"/>
    <w:link w:val="CommentText"/>
    <w:semiHidden/>
    <w:rsid w:val="00C17403"/>
  </w:style>
  <w:style w:type="character" w:customStyle="1" w:styleId="CommentSubjectChar">
    <w:name w:val="Comment Subject Char"/>
    <w:link w:val="CommentSubject"/>
    <w:rsid w:val="00C17403"/>
    <w:rPr>
      <w:b/>
      <w:bCs/>
    </w:rPr>
  </w:style>
  <w:style w:type="paragraph" w:styleId="Revision">
    <w:name w:val="Revision"/>
    <w:hidden/>
    <w:uiPriority w:val="99"/>
    <w:semiHidden/>
    <w:rsid w:val="00242508"/>
    <w:rPr>
      <w:sz w:val="24"/>
      <w:szCs w:val="24"/>
    </w:rPr>
  </w:style>
  <w:style w:type="paragraph" w:styleId="EndnoteText">
    <w:name w:val="endnote text"/>
    <w:basedOn w:val="Normal"/>
    <w:link w:val="EndnoteTextChar"/>
    <w:semiHidden/>
    <w:unhideWhenUsed/>
    <w:rsid w:val="00891C52"/>
    <w:rPr>
      <w:sz w:val="20"/>
      <w:szCs w:val="20"/>
    </w:rPr>
  </w:style>
  <w:style w:type="character" w:customStyle="1" w:styleId="EndnoteTextChar">
    <w:name w:val="Endnote Text Char"/>
    <w:basedOn w:val="DefaultParagraphFont"/>
    <w:link w:val="EndnoteText"/>
    <w:semiHidden/>
    <w:rsid w:val="00891C52"/>
  </w:style>
  <w:style w:type="character" w:styleId="EndnoteReference">
    <w:name w:val="endnote reference"/>
    <w:basedOn w:val="DefaultParagraphFont"/>
    <w:semiHidden/>
    <w:unhideWhenUsed/>
    <w:rsid w:val="00891C52"/>
    <w:rPr>
      <w:vertAlign w:val="superscript"/>
    </w:rPr>
  </w:style>
  <w:style w:type="character" w:styleId="Hyperlink">
    <w:name w:val="Hyperlink"/>
    <w:basedOn w:val="DefaultParagraphFont"/>
    <w:unhideWhenUsed/>
    <w:rsid w:val="00F97D73"/>
    <w:rPr>
      <w:color w:val="0563C1" w:themeColor="hyperlink"/>
      <w:u w:val="single"/>
    </w:rPr>
  </w:style>
  <w:style w:type="character" w:styleId="FollowedHyperlink">
    <w:name w:val="FollowedHyperlink"/>
    <w:basedOn w:val="DefaultParagraphFont"/>
    <w:semiHidden/>
    <w:unhideWhenUsed/>
    <w:rsid w:val="000F08A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BodyText"/>
    <w:autoRedefine/>
    <w:qFormat/>
    <w:rsid w:val="004B5C34"/>
    <w:pPr>
      <w:keepNext/>
      <w:keepLines/>
      <w:suppressAutoHyphens/>
      <w:outlineLvl w:val="2"/>
    </w:pPr>
    <w:rPr>
      <w:b/>
      <w:bCs/>
      <w:sz w:val="24"/>
      <w:szCs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next w:val="Normal"/>
    <w:autoRedefine/>
    <w:qFormat/>
    <w:rsid w:val="00517024"/>
    <w:pPr>
      <w:keepNext/>
      <w:suppressAutoHyphens/>
      <w:jc w:val="center"/>
      <w:outlineLvl w:val="5"/>
    </w:pPr>
    <w:rPr>
      <w:rFonts w:ascii="Arial" w:hAnsi="Arial"/>
      <w:b/>
      <w:bCs/>
      <w:sz w:val="24"/>
      <w:szCs w:val="24"/>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w:basedOn w:val="Normal"/>
    <w:next w:val="Normal"/>
    <w:semiHidden/>
    <w:pPr>
      <w:ind w:left="480" w:hanging="480"/>
    </w:pPr>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b/>
      <w:smallCaps/>
    </w:rPr>
  </w:style>
  <w:style w:type="paragraph" w:styleId="TOC1">
    <w:name w:val="toc 1"/>
    <w:basedOn w:val="Normal"/>
    <w:next w:val="Normal"/>
    <w:autoRedefine/>
    <w:semiHidden/>
    <w:pPr>
      <w:spacing w:before="120" w:after="120"/>
    </w:pPr>
    <w:rPr>
      <w:bCs/>
    </w:rPr>
  </w:style>
  <w:style w:type="paragraph" w:styleId="Footer">
    <w:name w:val="footer"/>
    <w:basedOn w:val="Normal"/>
    <w:pPr>
      <w:tabs>
        <w:tab w:val="center" w:pos="4320"/>
        <w:tab w:val="right" w:pos="8640"/>
      </w:tabs>
    </w:pPr>
  </w:style>
  <w:style w:type="paragraph" w:customStyle="1" w:styleId="Style1">
    <w:name w:val="Style1"/>
    <w:basedOn w:val="Heading1"/>
    <w:pPr>
      <w:jc w:val="center"/>
    </w:pPr>
    <w:rPr>
      <w:rFonts w:ascii="Times New Roman" w:hAnsi="Times New Roman" w:cs="Times New Roman"/>
      <w:sz w:val="24"/>
      <w:szCs w:val="24"/>
    </w:rPr>
  </w:style>
  <w:style w:type="paragraph" w:customStyle="1" w:styleId="Style2">
    <w:name w:val="Style2"/>
    <w:basedOn w:val="Heading1"/>
    <w:pPr>
      <w:jc w:val="center"/>
    </w:pPr>
    <w:rPr>
      <w:rFonts w:ascii="Times New Roman" w:hAnsi="Times New Roman"/>
      <w:kern w:val="0"/>
      <w:sz w:val="24"/>
    </w:rPr>
  </w:style>
  <w:style w:type="paragraph" w:customStyle="1" w:styleId="Style3">
    <w:name w:val="Style3"/>
    <w:basedOn w:val="BodyTextIndent3"/>
    <w:next w:val="Normal"/>
    <w:pPr>
      <w:spacing w:after="0" w:line="360" w:lineRule="auto"/>
      <w:ind w:firstLine="720"/>
    </w:pPr>
    <w:rPr>
      <w:b/>
      <w:sz w:val="24"/>
      <w:szCs w:val="24"/>
    </w:rPr>
  </w:style>
  <w:style w:type="paragraph" w:styleId="BodyTextIndent3">
    <w:name w:val="Body Text Indent 3"/>
    <w:basedOn w:val="Normal"/>
    <w:pPr>
      <w:spacing w:after="120"/>
      <w:ind w:left="360"/>
    </w:pPr>
    <w:rPr>
      <w:sz w:val="16"/>
      <w:szCs w:val="16"/>
    </w:rPr>
  </w:style>
  <w:style w:type="paragraph" w:customStyle="1" w:styleId="Style4">
    <w:name w:val="Style4"/>
    <w:basedOn w:val="Heading2"/>
    <w:autoRedefine/>
    <w:pPr>
      <w:spacing w:line="360" w:lineRule="auto"/>
    </w:pPr>
    <w:rPr>
      <w:rFonts w:ascii="Times New Roman" w:hAnsi="Times New Roman"/>
      <w:i w:val="0"/>
      <w:sz w:val="24"/>
      <w:szCs w:val="24"/>
    </w:rPr>
  </w:style>
  <w:style w:type="paragraph" w:customStyle="1" w:styleId="Style5">
    <w:name w:val="Style5"/>
    <w:basedOn w:val="Heading2"/>
    <w:autoRedefine/>
    <w:pPr>
      <w:spacing w:after="120" w:line="360" w:lineRule="auto"/>
    </w:pPr>
    <w:rPr>
      <w:rFonts w:ascii="Times New Roman" w:hAnsi="Times New Roman"/>
      <w:i w:val="0"/>
      <w:iCs w:val="0"/>
      <w:sz w:val="24"/>
    </w:rPr>
  </w:style>
  <w:style w:type="paragraph" w:styleId="BodyTextIndent">
    <w:name w:val="Body Text Indent"/>
    <w:basedOn w:val="Normal"/>
    <w:pPr>
      <w:tabs>
        <w:tab w:val="left" w:pos="-720"/>
        <w:tab w:val="left" w:pos="0"/>
      </w:tabs>
      <w:suppressAutoHyphens/>
      <w:ind w:left="720" w:hanging="720"/>
    </w:pPr>
    <w:rPr>
      <w:szCs w:val="20"/>
    </w:rPr>
  </w:style>
  <w:style w:type="paragraph" w:styleId="FootnoteText">
    <w:name w:val="footnote text"/>
    <w:basedOn w:val="Normal"/>
    <w:semiHidden/>
    <w:pPr>
      <w:widowControl w:val="0"/>
    </w:pPr>
    <w:rPr>
      <w:rFonts w:ascii="Courier" w:hAnsi="Courier"/>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ListBullet">
    <w:name w:val="List Bullet"/>
    <w:basedOn w:val="Normal"/>
    <w:autoRedefine/>
    <w:rsid w:val="00FA3404"/>
    <w:pPr>
      <w:ind w:left="450"/>
    </w:pPr>
  </w:style>
  <w:style w:type="character" w:styleId="CommentReference">
    <w:name w:val="annotation reference"/>
    <w:uiPriority w:val="99"/>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Tahoma" w:hAnsi="Tahoma" w:cs="Tahoma"/>
      <w:sz w:val="16"/>
      <w:szCs w:val="16"/>
    </w:rPr>
  </w:style>
  <w:style w:type="paragraph" w:styleId="BodyText">
    <w:name w:val="Body Text"/>
    <w:link w:val="BodyTextChar"/>
    <w:autoRedefine/>
    <w:rsid w:val="00B33C53"/>
    <w:rPr>
      <w:sz w:val="24"/>
      <w:szCs w:val="24"/>
    </w:rPr>
  </w:style>
  <w:style w:type="paragraph" w:customStyle="1" w:styleId="BodyText21CharCharChar">
    <w:name w:val="Body Text 21 Char Char Char"/>
    <w:basedOn w:val="Normal"/>
    <w:pPr>
      <w:widowControl w:val="0"/>
      <w:spacing w:line="360" w:lineRule="auto"/>
    </w:pPr>
    <w:rPr>
      <w:rFonts w:ascii="Courier New" w:hAnsi="Courier New"/>
      <w:sz w:val="22"/>
      <w:szCs w:val="20"/>
    </w:rPr>
  </w:style>
  <w:style w:type="paragraph" w:styleId="Header">
    <w:name w:val="head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spacing w:val="-5"/>
      <w:sz w:val="20"/>
      <w:szCs w:val="20"/>
    </w:rPr>
  </w:style>
  <w:style w:type="paragraph" w:customStyle="1" w:styleId="TableText">
    <w:name w:val="Table Text"/>
    <w:basedOn w:val="Normal"/>
    <w:pPr>
      <w:spacing w:before="60"/>
    </w:pPr>
    <w:rPr>
      <w:rFonts w:ascii="Arial" w:hAnsi="Arial"/>
      <w:spacing w:val="-5"/>
      <w:sz w:val="16"/>
      <w:szCs w:val="20"/>
    </w:rPr>
  </w:style>
  <w:style w:type="paragraph" w:styleId="Title">
    <w:name w:val="Title"/>
    <w:basedOn w:val="Normal"/>
    <w:next w:val="Subtitle"/>
    <w:qFormat/>
    <w:pPr>
      <w:keepNext/>
      <w:keepLines/>
      <w:pBdr>
        <w:top w:val="single" w:sz="6" w:space="16" w:color="auto"/>
      </w:pBdr>
      <w:spacing w:before="220" w:after="60" w:line="320" w:lineRule="atLeast"/>
    </w:pPr>
    <w:rPr>
      <w:rFonts w:ascii="Arial Black" w:hAnsi="Arial Black"/>
      <w:spacing w:val="-30"/>
      <w:kern w:val="28"/>
      <w:sz w:val="40"/>
      <w:szCs w:val="20"/>
    </w:rPr>
  </w:style>
  <w:style w:type="paragraph" w:styleId="Subtitle">
    <w:name w:val="Subtitle"/>
    <w:basedOn w:val="Normal"/>
    <w:qFormat/>
    <w:pPr>
      <w:spacing w:after="60"/>
      <w:jc w:val="center"/>
      <w:outlineLvl w:val="1"/>
    </w:pPr>
    <w:rPr>
      <w:rFonts w:ascii="Arial" w:hAnsi="Arial" w:cs="Arial"/>
    </w:rPr>
  </w:style>
  <w:style w:type="paragraph" w:styleId="BodyTextIndent2">
    <w:name w:val="Body Text Indent 2"/>
    <w:basedOn w:val="Normal"/>
    <w:pPr>
      <w:spacing w:after="120" w:line="480" w:lineRule="auto"/>
      <w:ind w:left="360"/>
    </w:pPr>
  </w:style>
  <w:style w:type="paragraph" w:styleId="BodyText2">
    <w:name w:val="Body Text 2"/>
    <w:basedOn w:val="Normal"/>
    <w:pPr>
      <w:spacing w:after="120" w:line="480" w:lineRule="auto"/>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keepNext/>
      <w:spacing w:line="480" w:lineRule="atLeast"/>
    </w:pPr>
    <w:rPr>
      <w:rFonts w:ascii="Arial Black" w:hAnsi="Arial Black"/>
      <w:spacing w:val="-5"/>
      <w:szCs w:val="20"/>
    </w:rPr>
  </w:style>
  <w:style w:type="paragraph" w:customStyle="1" w:styleId="paragraph">
    <w:name w:val="paragraph"/>
    <w:basedOn w:val="Normal"/>
    <w:pPr>
      <w:spacing w:before="120" w:after="120" w:line="360" w:lineRule="auto"/>
    </w:pPr>
    <w:rPr>
      <w:kern w:val="28"/>
      <w:szCs w:val="20"/>
    </w:rPr>
  </w:style>
  <w:style w:type="character" w:styleId="HTMLTypewriter">
    <w:name w:val="HTML Typewriter"/>
    <w:rPr>
      <w:rFonts w:ascii="Courier New" w:eastAsia="Times New Roman" w:hAnsi="Courier New" w:cs="Courier New"/>
      <w:sz w:val="20"/>
      <w:szCs w:val="20"/>
    </w:rPr>
  </w:style>
  <w:style w:type="paragraph" w:customStyle="1" w:styleId="CellBodyLeft">
    <w:name w:val="CellBody Left"/>
    <w:autoRedefine/>
    <w:rsid w:val="006061D7"/>
    <w:pPr>
      <w:keepNext/>
      <w:keepLines/>
      <w:tabs>
        <w:tab w:val="left" w:pos="-720"/>
      </w:tabs>
      <w:suppressAutoHyphens/>
    </w:pPr>
    <w:rPr>
      <w:rFonts w:ascii="Arial" w:hAnsi="Arial" w:cs="Arial"/>
      <w:sz w:val="22"/>
      <w:szCs w:val="24"/>
    </w:rPr>
  </w:style>
  <w:style w:type="paragraph" w:customStyle="1" w:styleId="CellBodyCenter">
    <w:name w:val="CellBody Center"/>
    <w:basedOn w:val="CellBodyLeft"/>
    <w:autoRedefine/>
    <w:rsid w:val="00A62D20"/>
    <w:pPr>
      <w:jc w:val="center"/>
    </w:pPr>
  </w:style>
  <w:style w:type="paragraph" w:customStyle="1" w:styleId="Title2">
    <w:name w:val="Title2"/>
    <w:autoRedefine/>
    <w:rsid w:val="00456D68"/>
    <w:pPr>
      <w:keepLines/>
      <w:pageBreakBefore/>
      <w:suppressAutoHyphens/>
      <w:spacing w:after="360"/>
      <w:jc w:val="center"/>
    </w:pPr>
    <w:rPr>
      <w:rFonts w:ascii="Arial" w:hAnsi="Arial"/>
      <w:b/>
      <w:spacing w:val="-30"/>
      <w:sz w:val="32"/>
    </w:rPr>
  </w:style>
  <w:style w:type="paragraph" w:customStyle="1" w:styleId="Subtitle2">
    <w:name w:val="Subtitle 2"/>
    <w:autoRedefine/>
    <w:rsid w:val="00456D68"/>
    <w:pPr>
      <w:tabs>
        <w:tab w:val="left" w:pos="4170"/>
      </w:tabs>
      <w:spacing w:before="360" w:after="360"/>
      <w:jc w:val="center"/>
    </w:pPr>
    <w:rPr>
      <w:rFonts w:ascii="Arial" w:hAnsi="Arial"/>
      <w:b/>
      <w:sz w:val="28"/>
      <w:szCs w:val="24"/>
    </w:rPr>
  </w:style>
  <w:style w:type="paragraph" w:customStyle="1" w:styleId="TableNotes">
    <w:name w:val="Table Notes"/>
    <w:autoRedefine/>
    <w:rsid w:val="007B0FBB"/>
    <w:pPr>
      <w:ind w:right="720"/>
    </w:pPr>
  </w:style>
  <w:style w:type="character" w:customStyle="1" w:styleId="BodyTextChar">
    <w:name w:val="Body Text Char"/>
    <w:link w:val="BodyText"/>
    <w:rsid w:val="00B33C53"/>
    <w:rPr>
      <w:sz w:val="24"/>
      <w:szCs w:val="24"/>
    </w:rPr>
  </w:style>
  <w:style w:type="paragraph" w:styleId="CommentSubject">
    <w:name w:val="annotation subject"/>
    <w:basedOn w:val="CommentText"/>
    <w:next w:val="CommentText"/>
    <w:link w:val="CommentSubjectChar"/>
    <w:rsid w:val="00C17403"/>
    <w:rPr>
      <w:b/>
      <w:bCs/>
    </w:rPr>
  </w:style>
  <w:style w:type="character" w:customStyle="1" w:styleId="CommentTextChar">
    <w:name w:val="Comment Text Char"/>
    <w:basedOn w:val="DefaultParagraphFont"/>
    <w:link w:val="CommentText"/>
    <w:semiHidden/>
    <w:rsid w:val="00C17403"/>
  </w:style>
  <w:style w:type="character" w:customStyle="1" w:styleId="CommentSubjectChar">
    <w:name w:val="Comment Subject Char"/>
    <w:link w:val="CommentSubject"/>
    <w:rsid w:val="00C17403"/>
    <w:rPr>
      <w:b/>
      <w:bCs/>
    </w:rPr>
  </w:style>
  <w:style w:type="paragraph" w:styleId="Revision">
    <w:name w:val="Revision"/>
    <w:hidden/>
    <w:uiPriority w:val="99"/>
    <w:semiHidden/>
    <w:rsid w:val="00242508"/>
    <w:rPr>
      <w:sz w:val="24"/>
      <w:szCs w:val="24"/>
    </w:rPr>
  </w:style>
  <w:style w:type="paragraph" w:styleId="EndnoteText">
    <w:name w:val="endnote text"/>
    <w:basedOn w:val="Normal"/>
    <w:link w:val="EndnoteTextChar"/>
    <w:semiHidden/>
    <w:unhideWhenUsed/>
    <w:rsid w:val="00891C52"/>
    <w:rPr>
      <w:sz w:val="20"/>
      <w:szCs w:val="20"/>
    </w:rPr>
  </w:style>
  <w:style w:type="character" w:customStyle="1" w:styleId="EndnoteTextChar">
    <w:name w:val="Endnote Text Char"/>
    <w:basedOn w:val="DefaultParagraphFont"/>
    <w:link w:val="EndnoteText"/>
    <w:semiHidden/>
    <w:rsid w:val="00891C52"/>
  </w:style>
  <w:style w:type="character" w:styleId="EndnoteReference">
    <w:name w:val="endnote reference"/>
    <w:basedOn w:val="DefaultParagraphFont"/>
    <w:semiHidden/>
    <w:unhideWhenUsed/>
    <w:rsid w:val="00891C52"/>
    <w:rPr>
      <w:vertAlign w:val="superscript"/>
    </w:rPr>
  </w:style>
  <w:style w:type="character" w:styleId="Hyperlink">
    <w:name w:val="Hyperlink"/>
    <w:basedOn w:val="DefaultParagraphFont"/>
    <w:unhideWhenUsed/>
    <w:rsid w:val="00F97D73"/>
    <w:rPr>
      <w:color w:val="0563C1" w:themeColor="hyperlink"/>
      <w:u w:val="single"/>
    </w:rPr>
  </w:style>
  <w:style w:type="character" w:styleId="FollowedHyperlink">
    <w:name w:val="FollowedHyperlink"/>
    <w:basedOn w:val="DefaultParagraphFont"/>
    <w:semiHidden/>
    <w:unhideWhenUsed/>
    <w:rsid w:val="000F08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5539">
      <w:bodyDiv w:val="1"/>
      <w:marLeft w:val="0"/>
      <w:marRight w:val="0"/>
      <w:marTop w:val="0"/>
      <w:marBottom w:val="0"/>
      <w:divBdr>
        <w:top w:val="none" w:sz="0" w:space="0" w:color="auto"/>
        <w:left w:val="none" w:sz="0" w:space="0" w:color="auto"/>
        <w:bottom w:val="none" w:sz="0" w:space="0" w:color="auto"/>
        <w:right w:val="none" w:sz="0" w:space="0" w:color="auto"/>
      </w:divBdr>
    </w:div>
    <w:div w:id="190608582">
      <w:bodyDiv w:val="1"/>
      <w:marLeft w:val="0"/>
      <w:marRight w:val="0"/>
      <w:marTop w:val="0"/>
      <w:marBottom w:val="0"/>
      <w:divBdr>
        <w:top w:val="none" w:sz="0" w:space="0" w:color="auto"/>
        <w:left w:val="none" w:sz="0" w:space="0" w:color="auto"/>
        <w:bottom w:val="none" w:sz="0" w:space="0" w:color="auto"/>
        <w:right w:val="none" w:sz="0" w:space="0" w:color="auto"/>
      </w:divBdr>
    </w:div>
    <w:div w:id="287441464">
      <w:bodyDiv w:val="1"/>
      <w:marLeft w:val="0"/>
      <w:marRight w:val="0"/>
      <w:marTop w:val="0"/>
      <w:marBottom w:val="0"/>
      <w:divBdr>
        <w:top w:val="none" w:sz="0" w:space="0" w:color="auto"/>
        <w:left w:val="none" w:sz="0" w:space="0" w:color="auto"/>
        <w:bottom w:val="none" w:sz="0" w:space="0" w:color="auto"/>
        <w:right w:val="none" w:sz="0" w:space="0" w:color="auto"/>
      </w:divBdr>
    </w:div>
    <w:div w:id="293946991">
      <w:bodyDiv w:val="1"/>
      <w:marLeft w:val="0"/>
      <w:marRight w:val="0"/>
      <w:marTop w:val="0"/>
      <w:marBottom w:val="0"/>
      <w:divBdr>
        <w:top w:val="none" w:sz="0" w:space="0" w:color="auto"/>
        <w:left w:val="none" w:sz="0" w:space="0" w:color="auto"/>
        <w:bottom w:val="none" w:sz="0" w:space="0" w:color="auto"/>
        <w:right w:val="none" w:sz="0" w:space="0" w:color="auto"/>
      </w:divBdr>
    </w:div>
    <w:div w:id="342897196">
      <w:bodyDiv w:val="1"/>
      <w:marLeft w:val="0"/>
      <w:marRight w:val="0"/>
      <w:marTop w:val="0"/>
      <w:marBottom w:val="0"/>
      <w:divBdr>
        <w:top w:val="none" w:sz="0" w:space="0" w:color="auto"/>
        <w:left w:val="none" w:sz="0" w:space="0" w:color="auto"/>
        <w:bottom w:val="none" w:sz="0" w:space="0" w:color="auto"/>
        <w:right w:val="none" w:sz="0" w:space="0" w:color="auto"/>
      </w:divBdr>
    </w:div>
    <w:div w:id="453334812">
      <w:bodyDiv w:val="1"/>
      <w:marLeft w:val="0"/>
      <w:marRight w:val="0"/>
      <w:marTop w:val="0"/>
      <w:marBottom w:val="0"/>
      <w:divBdr>
        <w:top w:val="none" w:sz="0" w:space="0" w:color="auto"/>
        <w:left w:val="none" w:sz="0" w:space="0" w:color="auto"/>
        <w:bottom w:val="none" w:sz="0" w:space="0" w:color="auto"/>
        <w:right w:val="none" w:sz="0" w:space="0" w:color="auto"/>
      </w:divBdr>
    </w:div>
    <w:div w:id="472715957">
      <w:bodyDiv w:val="1"/>
      <w:marLeft w:val="0"/>
      <w:marRight w:val="0"/>
      <w:marTop w:val="0"/>
      <w:marBottom w:val="0"/>
      <w:divBdr>
        <w:top w:val="none" w:sz="0" w:space="0" w:color="auto"/>
        <w:left w:val="none" w:sz="0" w:space="0" w:color="auto"/>
        <w:bottom w:val="none" w:sz="0" w:space="0" w:color="auto"/>
        <w:right w:val="none" w:sz="0" w:space="0" w:color="auto"/>
      </w:divBdr>
    </w:div>
    <w:div w:id="489559972">
      <w:bodyDiv w:val="1"/>
      <w:marLeft w:val="0"/>
      <w:marRight w:val="0"/>
      <w:marTop w:val="0"/>
      <w:marBottom w:val="0"/>
      <w:divBdr>
        <w:top w:val="none" w:sz="0" w:space="0" w:color="auto"/>
        <w:left w:val="none" w:sz="0" w:space="0" w:color="auto"/>
        <w:bottom w:val="none" w:sz="0" w:space="0" w:color="auto"/>
        <w:right w:val="none" w:sz="0" w:space="0" w:color="auto"/>
      </w:divBdr>
    </w:div>
    <w:div w:id="647324911">
      <w:bodyDiv w:val="1"/>
      <w:marLeft w:val="0"/>
      <w:marRight w:val="0"/>
      <w:marTop w:val="0"/>
      <w:marBottom w:val="0"/>
      <w:divBdr>
        <w:top w:val="none" w:sz="0" w:space="0" w:color="auto"/>
        <w:left w:val="none" w:sz="0" w:space="0" w:color="auto"/>
        <w:bottom w:val="none" w:sz="0" w:space="0" w:color="auto"/>
        <w:right w:val="none" w:sz="0" w:space="0" w:color="auto"/>
      </w:divBdr>
    </w:div>
    <w:div w:id="783770397">
      <w:bodyDiv w:val="1"/>
      <w:marLeft w:val="0"/>
      <w:marRight w:val="0"/>
      <w:marTop w:val="0"/>
      <w:marBottom w:val="0"/>
      <w:divBdr>
        <w:top w:val="none" w:sz="0" w:space="0" w:color="auto"/>
        <w:left w:val="none" w:sz="0" w:space="0" w:color="auto"/>
        <w:bottom w:val="none" w:sz="0" w:space="0" w:color="auto"/>
        <w:right w:val="none" w:sz="0" w:space="0" w:color="auto"/>
      </w:divBdr>
    </w:div>
    <w:div w:id="794562550">
      <w:bodyDiv w:val="1"/>
      <w:marLeft w:val="0"/>
      <w:marRight w:val="0"/>
      <w:marTop w:val="0"/>
      <w:marBottom w:val="0"/>
      <w:divBdr>
        <w:top w:val="none" w:sz="0" w:space="0" w:color="auto"/>
        <w:left w:val="none" w:sz="0" w:space="0" w:color="auto"/>
        <w:bottom w:val="none" w:sz="0" w:space="0" w:color="auto"/>
        <w:right w:val="none" w:sz="0" w:space="0" w:color="auto"/>
      </w:divBdr>
    </w:div>
    <w:div w:id="1092627101">
      <w:bodyDiv w:val="1"/>
      <w:marLeft w:val="0"/>
      <w:marRight w:val="0"/>
      <w:marTop w:val="0"/>
      <w:marBottom w:val="0"/>
      <w:divBdr>
        <w:top w:val="none" w:sz="0" w:space="0" w:color="auto"/>
        <w:left w:val="none" w:sz="0" w:space="0" w:color="auto"/>
        <w:bottom w:val="none" w:sz="0" w:space="0" w:color="auto"/>
        <w:right w:val="none" w:sz="0" w:space="0" w:color="auto"/>
      </w:divBdr>
    </w:div>
    <w:div w:id="1097868271">
      <w:bodyDiv w:val="1"/>
      <w:marLeft w:val="0"/>
      <w:marRight w:val="0"/>
      <w:marTop w:val="0"/>
      <w:marBottom w:val="0"/>
      <w:divBdr>
        <w:top w:val="none" w:sz="0" w:space="0" w:color="auto"/>
        <w:left w:val="none" w:sz="0" w:space="0" w:color="auto"/>
        <w:bottom w:val="none" w:sz="0" w:space="0" w:color="auto"/>
        <w:right w:val="none" w:sz="0" w:space="0" w:color="auto"/>
      </w:divBdr>
    </w:div>
    <w:div w:id="1146506955">
      <w:bodyDiv w:val="1"/>
      <w:marLeft w:val="0"/>
      <w:marRight w:val="0"/>
      <w:marTop w:val="0"/>
      <w:marBottom w:val="0"/>
      <w:divBdr>
        <w:top w:val="none" w:sz="0" w:space="0" w:color="auto"/>
        <w:left w:val="none" w:sz="0" w:space="0" w:color="auto"/>
        <w:bottom w:val="none" w:sz="0" w:space="0" w:color="auto"/>
        <w:right w:val="none" w:sz="0" w:space="0" w:color="auto"/>
      </w:divBdr>
    </w:div>
    <w:div w:id="1265500910">
      <w:bodyDiv w:val="1"/>
      <w:marLeft w:val="0"/>
      <w:marRight w:val="0"/>
      <w:marTop w:val="0"/>
      <w:marBottom w:val="0"/>
      <w:divBdr>
        <w:top w:val="none" w:sz="0" w:space="0" w:color="auto"/>
        <w:left w:val="none" w:sz="0" w:space="0" w:color="auto"/>
        <w:bottom w:val="none" w:sz="0" w:space="0" w:color="auto"/>
        <w:right w:val="none" w:sz="0" w:space="0" w:color="auto"/>
      </w:divBdr>
    </w:div>
    <w:div w:id="1268345540">
      <w:bodyDiv w:val="1"/>
      <w:marLeft w:val="0"/>
      <w:marRight w:val="0"/>
      <w:marTop w:val="0"/>
      <w:marBottom w:val="0"/>
      <w:divBdr>
        <w:top w:val="none" w:sz="0" w:space="0" w:color="auto"/>
        <w:left w:val="none" w:sz="0" w:space="0" w:color="auto"/>
        <w:bottom w:val="none" w:sz="0" w:space="0" w:color="auto"/>
        <w:right w:val="none" w:sz="0" w:space="0" w:color="auto"/>
      </w:divBdr>
    </w:div>
    <w:div w:id="1582442806">
      <w:bodyDiv w:val="1"/>
      <w:marLeft w:val="0"/>
      <w:marRight w:val="0"/>
      <w:marTop w:val="0"/>
      <w:marBottom w:val="0"/>
      <w:divBdr>
        <w:top w:val="none" w:sz="0" w:space="0" w:color="auto"/>
        <w:left w:val="none" w:sz="0" w:space="0" w:color="auto"/>
        <w:bottom w:val="none" w:sz="0" w:space="0" w:color="auto"/>
        <w:right w:val="none" w:sz="0" w:space="0" w:color="auto"/>
      </w:divBdr>
    </w:div>
    <w:div w:id="1607082703">
      <w:bodyDiv w:val="1"/>
      <w:marLeft w:val="0"/>
      <w:marRight w:val="0"/>
      <w:marTop w:val="0"/>
      <w:marBottom w:val="0"/>
      <w:divBdr>
        <w:top w:val="none" w:sz="0" w:space="0" w:color="auto"/>
        <w:left w:val="none" w:sz="0" w:space="0" w:color="auto"/>
        <w:bottom w:val="none" w:sz="0" w:space="0" w:color="auto"/>
        <w:right w:val="none" w:sz="0" w:space="0" w:color="auto"/>
      </w:divBdr>
    </w:div>
    <w:div w:id="193154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hitehouse.gov/sites/whitehouse.gov/files/omb/memoranda/2008/m08-13.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news.release/pdf/ecec.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whitehouse.gov/sites/whitehouse.gov/files/omb/memoranda/2008/m08-13.pdf" TargetMode="External"/><Relationship Id="rId1" Type="http://schemas.openxmlformats.org/officeDocument/2006/relationships/hyperlink" Target="https://www.opm.gov/about-us/open-government/digital-government-strategy/fitara/paperwork-reduction-act-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skGroup xmlns="d69ce139-2f9a-4828-a7cb-9b2c10ca7e16">
      <Value>Other/None</Value>
    </TaskGroup>
    <Type_x0020_of_x0020_Document xmlns="D69CE139-2F9A-4828-A7CB-9B2C10CA7E16">Rulemaking Products</Type_x0020_of_x0020_Document>
    <ReadyForReview xmlns="d69ce139-2f9a-4828-a7cb-9b2c10ca7e16">true</ReadyForReview>
    <Assigned_x0020_to0 xmlns="D69CE139-2F9A-4828-A7CB-9B2C10CA7E16">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DD7D266C5A26448B5F09B965862448" ma:contentTypeVersion="" ma:contentTypeDescription="Create a new document." ma:contentTypeScope="" ma:versionID="427d50daa3a49be2cbf81134e9cc41b2">
  <xsd:schema xmlns:xsd="http://www.w3.org/2001/XMLSchema" xmlns:xs="http://www.w3.org/2001/XMLSchema" xmlns:p="http://schemas.microsoft.com/office/2006/metadata/properties" xmlns:ns2="D69CE139-2F9A-4828-A7CB-9B2C10CA7E16" xmlns:ns3="d69ce139-2f9a-4828-a7cb-9b2c10ca7e16" targetNamespace="http://schemas.microsoft.com/office/2006/metadata/properties" ma:root="true" ma:fieldsID="e95fa78ae49d2bc6948cf1adbd2ccc6c" ns2:_="" ns3:_="">
    <xsd:import namespace="D69CE139-2F9A-4828-A7CB-9B2C10CA7E16"/>
    <xsd:import namespace="d69ce139-2f9a-4828-a7cb-9b2c10ca7e16"/>
    <xsd:element name="properties">
      <xsd:complexType>
        <xsd:sequence>
          <xsd:element name="documentManagement">
            <xsd:complexType>
              <xsd:all>
                <xsd:element ref="ns2:Type_x0020_of_x0020_Document"/>
                <xsd:element ref="ns2:Assigned_x0020_to0" minOccurs="0"/>
                <xsd:element ref="ns3:TaskGroup" minOccurs="0"/>
                <xsd:element ref="ns3:ReadyFor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CE139-2F9A-4828-A7CB-9B2C10CA7E16" elementFormDefault="qualified">
    <xsd:import namespace="http://schemas.microsoft.com/office/2006/documentManagement/types"/>
    <xsd:import namespace="http://schemas.microsoft.com/office/infopath/2007/PartnerControls"/>
    <xsd:element name="Type_x0020_of_x0020_Document" ma:index="8" ma:displayName="File Type" ma:format="Dropdown" ma:internalName="Type_x0020_of_x0020_Document">
      <xsd:simpleType>
        <xsd:restriction base="dms:Choice">
          <xsd:enumeration value="ARC Documents"/>
          <xsd:enumeration value="Communications"/>
          <xsd:enumeration value="Guides and Instructions"/>
          <xsd:enumeration value="Industry Files"/>
          <xsd:enumeration value="Project Management"/>
          <xsd:enumeration value="Project Plans"/>
          <xsd:enumeration value="Regulatory Guidance"/>
          <xsd:enumeration value="Rulemaking Products"/>
          <xsd:enumeration value="Schedules"/>
          <xsd:enumeration value="Standards"/>
          <xsd:enumeration value="Working Documents"/>
          <xsd:enumeration value="Working Group Files"/>
        </xsd:restriction>
      </xsd:simpleType>
    </xsd:element>
    <xsd:element name="Assigned_x0020_to0" ma:index="9" nillable="true" ma:displayName="Assigned to" ma:list="UserInfo" ma:SharePointGroup="1136"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9ce139-2f9a-4828-a7cb-9b2c10ca7e16" elementFormDefault="qualified">
    <xsd:import namespace="http://schemas.microsoft.com/office/2006/documentManagement/types"/>
    <xsd:import namespace="http://schemas.microsoft.com/office/infopath/2007/PartnerControls"/>
    <xsd:element name="TaskGroup" ma:index="10" nillable="true" ma:displayName="Category" ma:internalName="TaskGroup" ma:requiredMultiChoice="true">
      <xsd:complexType>
        <xsd:complexContent>
          <xsd:extension base="dms:MultiChoice">
            <xsd:sequence>
              <xsd:element name="Value" maxOccurs="unbounded" minOccurs="0" nillable="true">
                <xsd:simpleType>
                  <xsd:restriction base="dms:Choice">
                    <xsd:enumeration value="Application Reqs, Reps, Plans, Agmnts"/>
                    <xsd:enumeration value="COLA"/>
                    <xsd:enumeration value="Definitions"/>
                    <xsd:enumeration value="Environmental Review"/>
                    <xsd:enumeration value="Flight Safety Analysis"/>
                    <xsd:enumeration value="Flight Safety System"/>
                    <xsd:enumeration value="Ground Safety"/>
                    <xsd:enumeration value="Hybrids"/>
                    <xsd:enumeration value="Intragovernmental Coordination"/>
                    <xsd:enumeration value="Mishaps"/>
                    <xsd:enumeration value="MPL Info Requirements"/>
                    <xsd:enumeration value="Other/None"/>
                    <xsd:enumeration value="Personnel and Operations"/>
                    <xsd:enumeration value="Property Protection Criteria"/>
                    <xsd:enumeration value="Reentry and Landing"/>
                    <xsd:enumeration value="Reuse"/>
                    <xsd:enumeration value="Software Safety"/>
                    <xsd:enumeration value="Sounding Rockets"/>
                    <xsd:enumeration value="System Safety"/>
                    <xsd:enumeration value="Toxics"/>
                    <xsd:enumeration value="Unguided Suborbital Launch Vehicles"/>
                    <xsd:enumeration value="Weather and Lightning"/>
                  </xsd:restriction>
                </xsd:simpleType>
              </xsd:element>
            </xsd:sequence>
          </xsd:extension>
        </xsd:complexContent>
      </xsd:complexType>
    </xsd:element>
    <xsd:element name="ReadyForReview" ma:index="11" nillable="true" ma:displayName="Ready For Review" ma:default="0" ma:internalName="ReadyForRe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4EEC-9AD5-4E63-BF6E-A054A02D3A91}">
  <ds:schemaRefs>
    <ds:schemaRef ds:uri="http://schemas.microsoft.com/office/2006/metadata/properties"/>
    <ds:schemaRef ds:uri="http://schemas.microsoft.com/office/infopath/2007/PartnerControls"/>
    <ds:schemaRef ds:uri="d69ce139-2f9a-4828-a7cb-9b2c10ca7e16"/>
    <ds:schemaRef ds:uri="D69CE139-2F9A-4828-A7CB-9B2C10CA7E16"/>
  </ds:schemaRefs>
</ds:datastoreItem>
</file>

<file path=customXml/itemProps2.xml><?xml version="1.0" encoding="utf-8"?>
<ds:datastoreItem xmlns:ds="http://schemas.openxmlformats.org/officeDocument/2006/customXml" ds:itemID="{28ABDCE3-C0A5-4A03-8E5B-D86A9E91576B}">
  <ds:schemaRefs>
    <ds:schemaRef ds:uri="http://schemas.microsoft.com/sharepoint/v3/contenttype/forms"/>
  </ds:schemaRefs>
</ds:datastoreItem>
</file>

<file path=customXml/itemProps3.xml><?xml version="1.0" encoding="utf-8"?>
<ds:datastoreItem xmlns:ds="http://schemas.openxmlformats.org/officeDocument/2006/customXml" ds:itemID="{5D793D48-675D-4031-9996-9697F6180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CE139-2F9A-4828-A7CB-9B2C10CA7E16"/>
    <ds:schemaRef ds:uri="d69ce139-2f9a-4828-a7cb-9b2c10ca7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E5959-7EB9-410D-B98F-74A0EBC7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3994</Words>
  <Characters>22769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David M. Berkey &amp; Associates</Company>
  <LinksUpToDate>false</LinksUpToDate>
  <CharactersWithSpaces>26710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David M. Berkey</dc:creator>
  <cp:keywords/>
  <cp:lastModifiedBy>SYSTEM</cp:lastModifiedBy>
  <cp:revision>2</cp:revision>
  <cp:lastPrinted>2019-03-27T11:29:00Z</cp:lastPrinted>
  <dcterms:created xsi:type="dcterms:W3CDTF">2019-05-15T12:43:00Z</dcterms:created>
  <dcterms:modified xsi:type="dcterms:W3CDTF">2019-05-15T12:43:00Z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0x01010091DD7D266C5A26448B5F09B965862448</vt:lpwstr>
  </property>
</Properties>
</file>