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6560E" w14:textId="7797E997" w:rsidR="00041C96" w:rsidRDefault="00041C96" w:rsidP="00C7259A">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United States Environmental Protection Agency (EPA)</w:t>
      </w:r>
    </w:p>
    <w:p w14:paraId="3BB5DA76" w14:textId="04174E31" w:rsidR="00041C96" w:rsidRDefault="00041C96" w:rsidP="00560E95">
      <w:pPr>
        <w:pStyle w:val="NoSpacing"/>
        <w:jc w:val="center"/>
        <w:rPr>
          <w:rFonts w:ascii="Times New Roman" w:hAnsi="Times New Roman" w:cs="Times New Roman"/>
          <w:sz w:val="24"/>
          <w:szCs w:val="24"/>
        </w:rPr>
      </w:pPr>
      <w:r>
        <w:rPr>
          <w:rFonts w:ascii="Times New Roman" w:hAnsi="Times New Roman" w:cs="Times New Roman"/>
          <w:sz w:val="24"/>
          <w:szCs w:val="24"/>
        </w:rPr>
        <w:t>INFORMATION COLLECTION REQUEST (ICR)</w:t>
      </w:r>
    </w:p>
    <w:p w14:paraId="4A8AC173" w14:textId="49C02735" w:rsidR="00041C96" w:rsidRDefault="00B3147C" w:rsidP="00C7259A">
      <w:pPr>
        <w:pStyle w:val="NoSpacing"/>
        <w:jc w:val="center"/>
        <w:rPr>
          <w:rFonts w:ascii="Times New Roman" w:hAnsi="Times New Roman" w:cs="Times New Roman"/>
          <w:sz w:val="24"/>
          <w:szCs w:val="24"/>
        </w:rPr>
      </w:pPr>
      <w:r>
        <w:rPr>
          <w:rFonts w:ascii="Times New Roman" w:hAnsi="Times New Roman" w:cs="Times New Roman"/>
          <w:sz w:val="24"/>
          <w:szCs w:val="24"/>
        </w:rPr>
        <w:t>March 2019</w:t>
      </w:r>
    </w:p>
    <w:p w14:paraId="3E0BA6E9" w14:textId="77777777" w:rsidR="00560E95" w:rsidRPr="00FE50C6" w:rsidRDefault="00560E95" w:rsidP="00560E95"/>
    <w:p w14:paraId="6CD72729" w14:textId="77777777" w:rsidR="008B75C2" w:rsidRDefault="008B75C2" w:rsidP="00560E95">
      <w:pPr>
        <w:outlineLvl w:val="0"/>
        <w:rPr>
          <w:b/>
          <w:bCs/>
          <w:szCs w:val="24"/>
          <w:u w:val="single"/>
        </w:rPr>
      </w:pPr>
    </w:p>
    <w:p w14:paraId="600F1F98" w14:textId="60BA7995" w:rsidR="00560E95" w:rsidRDefault="00560E95" w:rsidP="00560E95">
      <w:pPr>
        <w:outlineLvl w:val="0"/>
        <w:rPr>
          <w:b/>
          <w:bCs/>
          <w:szCs w:val="24"/>
          <w:u w:val="single"/>
        </w:rPr>
      </w:pPr>
      <w:r w:rsidRPr="00280CC8">
        <w:rPr>
          <w:b/>
          <w:bCs/>
          <w:szCs w:val="24"/>
          <w:u w:val="single"/>
        </w:rPr>
        <w:t xml:space="preserve">Part </w:t>
      </w:r>
      <w:r w:rsidR="00AC5ECF">
        <w:rPr>
          <w:b/>
          <w:bCs/>
          <w:szCs w:val="24"/>
          <w:u w:val="single"/>
        </w:rPr>
        <w:t>A</w:t>
      </w:r>
      <w:r w:rsidRPr="00280CC8">
        <w:rPr>
          <w:b/>
          <w:bCs/>
          <w:szCs w:val="24"/>
          <w:u w:val="single"/>
        </w:rPr>
        <w:t xml:space="preserve"> of the Supporting Statement</w:t>
      </w:r>
    </w:p>
    <w:p w14:paraId="63650025" w14:textId="77777777" w:rsidR="00041C96" w:rsidRDefault="00041C96" w:rsidP="00041C96">
      <w:pPr>
        <w:pStyle w:val="NoSpacing"/>
        <w:rPr>
          <w:rFonts w:ascii="Times New Roman" w:hAnsi="Times New Roman" w:cs="Times New Roman"/>
          <w:sz w:val="24"/>
          <w:szCs w:val="24"/>
        </w:rPr>
      </w:pPr>
    </w:p>
    <w:p w14:paraId="34C37B63" w14:textId="77777777" w:rsidR="00041C96" w:rsidRPr="00C7259A" w:rsidRDefault="00041C96" w:rsidP="00041C96">
      <w:pPr>
        <w:pStyle w:val="NoSpacing"/>
        <w:rPr>
          <w:rFonts w:ascii="Times New Roman" w:hAnsi="Times New Roman" w:cs="Times New Roman"/>
          <w:b/>
          <w:sz w:val="24"/>
          <w:szCs w:val="24"/>
        </w:rPr>
      </w:pPr>
      <w:r w:rsidRPr="00C7259A">
        <w:rPr>
          <w:rFonts w:ascii="Times New Roman" w:hAnsi="Times New Roman" w:cs="Times New Roman"/>
          <w:b/>
          <w:sz w:val="24"/>
          <w:szCs w:val="24"/>
        </w:rPr>
        <w:t xml:space="preserve">1. </w:t>
      </w:r>
      <w:r w:rsidRPr="00C7259A">
        <w:rPr>
          <w:rFonts w:ascii="Times New Roman" w:hAnsi="Times New Roman" w:cs="Times New Roman"/>
          <w:b/>
          <w:sz w:val="24"/>
          <w:szCs w:val="24"/>
        </w:rPr>
        <w:tab/>
        <w:t>IDENTIFICATION OF THE INFORMATION COLLECTION</w:t>
      </w:r>
    </w:p>
    <w:p w14:paraId="4A6146AD" w14:textId="77777777" w:rsidR="00041C96" w:rsidRDefault="00041C96" w:rsidP="00041C96">
      <w:pPr>
        <w:pStyle w:val="NoSpacing"/>
        <w:rPr>
          <w:rFonts w:ascii="Times New Roman" w:hAnsi="Times New Roman" w:cs="Times New Roman"/>
          <w:sz w:val="24"/>
          <w:szCs w:val="24"/>
        </w:rPr>
      </w:pPr>
    </w:p>
    <w:p w14:paraId="10E14027" w14:textId="77777777" w:rsidR="00041C96" w:rsidRDefault="00041C96" w:rsidP="00041C96">
      <w:pPr>
        <w:pStyle w:val="NoSpacing"/>
        <w:ind w:left="1440" w:hanging="720"/>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t>Title: Recordkeeping and Reporting Requirements for the Performance-Based Measurement System for Fuels (Renewal)</w:t>
      </w:r>
    </w:p>
    <w:p w14:paraId="2C66E1D3" w14:textId="77777777" w:rsidR="00041C96" w:rsidRDefault="00041C96" w:rsidP="00041C96">
      <w:pPr>
        <w:pStyle w:val="NoSpacing"/>
        <w:ind w:left="720" w:firstLine="720"/>
        <w:rPr>
          <w:rFonts w:ascii="Times New Roman" w:hAnsi="Times New Roman" w:cs="Times New Roman"/>
          <w:sz w:val="24"/>
          <w:szCs w:val="24"/>
        </w:rPr>
      </w:pPr>
      <w:r>
        <w:rPr>
          <w:rFonts w:ascii="Times New Roman" w:hAnsi="Times New Roman" w:cs="Times New Roman"/>
          <w:sz w:val="24"/>
          <w:szCs w:val="24"/>
        </w:rPr>
        <w:t>EPA ICR Number 2459.03</w:t>
      </w:r>
    </w:p>
    <w:p w14:paraId="01F22456" w14:textId="77777777" w:rsidR="00041C96" w:rsidRDefault="00041C96" w:rsidP="00041C96">
      <w:pPr>
        <w:pStyle w:val="NoSpacing"/>
        <w:ind w:left="720" w:firstLine="720"/>
        <w:rPr>
          <w:rFonts w:ascii="Times New Roman" w:hAnsi="Times New Roman" w:cs="Times New Roman"/>
          <w:sz w:val="24"/>
          <w:szCs w:val="24"/>
        </w:rPr>
      </w:pPr>
      <w:r>
        <w:rPr>
          <w:rFonts w:ascii="Times New Roman" w:hAnsi="Times New Roman" w:cs="Times New Roman"/>
          <w:sz w:val="24"/>
          <w:szCs w:val="24"/>
        </w:rPr>
        <w:t>OMB Control Number 2060-0692</w:t>
      </w:r>
    </w:p>
    <w:p w14:paraId="4168B210" w14:textId="77777777" w:rsidR="00041C96" w:rsidRDefault="00041C96" w:rsidP="00041C96">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Docket ID Number EPA-HQ-OAR-2018-0663 </w:t>
      </w:r>
    </w:p>
    <w:p w14:paraId="6883D9D8" w14:textId="77777777" w:rsidR="00475D9B" w:rsidRPr="00280CC8" w:rsidRDefault="00475D9B" w:rsidP="00900EEC">
      <w:pPr>
        <w:outlineLvl w:val="0"/>
      </w:pPr>
    </w:p>
    <w:p w14:paraId="7EE97D5C" w14:textId="77777777" w:rsidR="00BA36F8" w:rsidRPr="00280CC8" w:rsidRDefault="000500E7">
      <w:r>
        <w:tab/>
      </w:r>
      <w:r w:rsidR="00041C96">
        <w:t>1(b)</w:t>
      </w:r>
      <w:r w:rsidR="00325EFF" w:rsidRPr="00280CC8">
        <w:t xml:space="preserve"> </w:t>
      </w:r>
      <w:r>
        <w:tab/>
      </w:r>
      <w:r w:rsidR="002E14AB">
        <w:t>Abstract</w:t>
      </w:r>
    </w:p>
    <w:p w14:paraId="5E7B2583" w14:textId="77777777" w:rsidR="00BA36F8" w:rsidRPr="00280CC8" w:rsidRDefault="00BA36F8"/>
    <w:p w14:paraId="355AEC6E" w14:textId="2784CC9F" w:rsidR="00BA36F8" w:rsidRPr="00280CC8" w:rsidRDefault="00BA36F8">
      <w:r w:rsidRPr="00280CC8">
        <w:tab/>
      </w:r>
      <w:r w:rsidR="0019334E">
        <w:t xml:space="preserve">EPA regulations at 40 CFR 80 </w:t>
      </w:r>
      <w:r w:rsidR="00177EB1">
        <w:t>restrict certain properties of gasoline and diesel fuel, such as sulfur</w:t>
      </w:r>
      <w:r w:rsidR="00AE7A8D">
        <w:t xml:space="preserve"> content</w:t>
      </w:r>
      <w:r w:rsidR="00177EB1">
        <w:t>, to limit harmful vehicle emissions.</w:t>
      </w:r>
      <w:r w:rsidR="00AC5ECF">
        <w:t xml:space="preserve"> </w:t>
      </w:r>
      <w:r w:rsidR="00E20DB1">
        <w:t>To promote compliance, t</w:t>
      </w:r>
      <w:r w:rsidR="00177EB1">
        <w:t xml:space="preserve">he regulations </w:t>
      </w:r>
      <w:r w:rsidR="00E20DB1">
        <w:t>requi</w:t>
      </w:r>
      <w:r w:rsidR="00177EB1">
        <w:t xml:space="preserve">re fuel </w:t>
      </w:r>
      <w:r w:rsidR="00177EB1" w:rsidRPr="00CF1990">
        <w:t>producers and importers</w:t>
      </w:r>
      <w:r w:rsidR="00177EB1">
        <w:t xml:space="preserve"> to test for these </w:t>
      </w:r>
      <w:r w:rsidR="00177EB1" w:rsidRPr="00D12EC4">
        <w:t xml:space="preserve">properties </w:t>
      </w:r>
      <w:r w:rsidR="00E20DB1" w:rsidRPr="00D12EC4">
        <w:t>and report the results</w:t>
      </w:r>
      <w:r w:rsidR="00177EB1" w:rsidRPr="00D12EC4">
        <w:t>.</w:t>
      </w:r>
      <w:r w:rsidR="009B4B24" w:rsidRPr="00D12EC4">
        <w:rPr>
          <w:rStyle w:val="FootnoteReference"/>
        </w:rPr>
        <w:footnoteReference w:id="1"/>
      </w:r>
      <w:r w:rsidR="000A14B3" w:rsidRPr="00D12EC4">
        <w:t xml:space="preserve"> </w:t>
      </w:r>
      <w:r w:rsidR="00E20DB1" w:rsidRPr="00D12EC4">
        <w:t>T</w:t>
      </w:r>
      <w:r w:rsidR="00AE7A8D" w:rsidRPr="00D12EC4">
        <w:t>he regulations at 40 CFR 80.47</w:t>
      </w:r>
      <w:r w:rsidR="00E20DB1" w:rsidRPr="00D12EC4">
        <w:t xml:space="preserve"> (Performance-based Analytical Test Method Approach)</w:t>
      </w:r>
      <w:r w:rsidR="000631FA" w:rsidRPr="00D12EC4">
        <w:t>,</w:t>
      </w:r>
      <w:r w:rsidR="00E20DB1" w:rsidRPr="00D12EC4">
        <w:t xml:space="preserve"> 40 CFR 80.584 (</w:t>
      </w:r>
      <w:r w:rsidR="000631FA" w:rsidRPr="00D12EC4">
        <w:t>precision and accuracy criteria</w:t>
      </w:r>
      <w:r w:rsidR="00F525B7" w:rsidRPr="00D12EC4">
        <w:t>)</w:t>
      </w:r>
      <w:r w:rsidR="000631FA" w:rsidRPr="00D12EC4">
        <w:t xml:space="preserve">, </w:t>
      </w:r>
      <w:r w:rsidR="004123D0" w:rsidRPr="00D12EC4">
        <w:t xml:space="preserve">and </w:t>
      </w:r>
      <w:r w:rsidR="000631FA" w:rsidRPr="00D12EC4">
        <w:t>40 CFR 80.585 (process for approval of a test method)</w:t>
      </w:r>
      <w:r w:rsidR="00AE7A8D" w:rsidRPr="00D12EC4">
        <w:t xml:space="preserve"> </w:t>
      </w:r>
      <w:r w:rsidR="00F525B7" w:rsidRPr="00D12EC4">
        <w:t>require each</w:t>
      </w:r>
      <w:r w:rsidR="00AE7A8D" w:rsidRPr="00D12EC4">
        <w:t xml:space="preserve"> test method </w:t>
      </w:r>
      <w:r w:rsidR="00F525B7" w:rsidRPr="00D12EC4">
        <w:t>to</w:t>
      </w:r>
      <w:r w:rsidR="00A95603" w:rsidRPr="00D12EC4">
        <w:t xml:space="preserve"> </w:t>
      </w:r>
      <w:r w:rsidR="00027582" w:rsidRPr="00D12EC4">
        <w:t>demonstrate compliance with</w:t>
      </w:r>
      <w:r w:rsidR="00A95603" w:rsidRPr="00D12EC4">
        <w:t xml:space="preserve"> performance-based accuracy and precision criteria.</w:t>
      </w:r>
      <w:r w:rsidR="002F6369" w:rsidRPr="00D12EC4">
        <w:rPr>
          <w:rStyle w:val="FootnoteReference"/>
        </w:rPr>
        <w:footnoteReference w:id="2"/>
      </w:r>
      <w:r w:rsidR="00A95603" w:rsidRPr="00D12EC4">
        <w:t xml:space="preserve"> This ICR covers the recordkeeping and reporting requirements for</w:t>
      </w:r>
      <w:r w:rsidRPr="00D12EC4">
        <w:t xml:space="preserve"> </w:t>
      </w:r>
      <w:r w:rsidR="00C5688F" w:rsidRPr="00D12EC4">
        <w:t xml:space="preserve">the test methods employed by </w:t>
      </w:r>
      <w:r w:rsidRPr="00D12EC4">
        <w:t>refiners</w:t>
      </w:r>
      <w:r w:rsidR="00661E93" w:rsidRPr="00D12EC4">
        <w:t>’ and i</w:t>
      </w:r>
      <w:r w:rsidRPr="00D12EC4">
        <w:t>mporters</w:t>
      </w:r>
      <w:r w:rsidR="00661E93" w:rsidRPr="00D12EC4">
        <w:t>’ fuel testing laboratories</w:t>
      </w:r>
      <w:r w:rsidRPr="00D12EC4">
        <w:t>, and independent</w:t>
      </w:r>
      <w:r w:rsidR="00661E93" w:rsidRPr="00D12EC4">
        <w:t xml:space="preserve"> fuel testing</w:t>
      </w:r>
      <w:r w:rsidRPr="00D12EC4">
        <w:t xml:space="preserve"> laboratories</w:t>
      </w:r>
      <w:r w:rsidR="00661E93" w:rsidRPr="00D12EC4">
        <w:t>,</w:t>
      </w:r>
      <w:r w:rsidRPr="00D12EC4">
        <w:t xml:space="preserve"> to </w:t>
      </w:r>
      <w:r w:rsidR="00FF6695" w:rsidRPr="00D12EC4">
        <w:t>measur</w:t>
      </w:r>
      <w:r w:rsidR="00C5688F" w:rsidRPr="00D12EC4">
        <w:t>e</w:t>
      </w:r>
      <w:r w:rsidR="00FF6695" w:rsidRPr="00D12EC4">
        <w:t xml:space="preserve"> </w:t>
      </w:r>
      <w:r w:rsidR="00C5688F" w:rsidRPr="00D12EC4">
        <w:t xml:space="preserve">certain </w:t>
      </w:r>
      <w:r w:rsidR="00FF6695" w:rsidRPr="00D12EC4">
        <w:t>fuel</w:t>
      </w:r>
      <w:r w:rsidR="00C5688F" w:rsidRPr="00D12EC4">
        <w:t xml:space="preserve"> properties.</w:t>
      </w:r>
      <w:r w:rsidR="00B827D6" w:rsidRPr="00D12EC4">
        <w:t xml:space="preserve"> This program is known as the</w:t>
      </w:r>
      <w:r w:rsidR="00B827D6">
        <w:t xml:space="preserve"> Performance-</w:t>
      </w:r>
      <w:r w:rsidR="00E95A0F">
        <w:t>B</w:t>
      </w:r>
      <w:r w:rsidR="00B827D6">
        <w:t>ased Measurement System (PBMS).</w:t>
      </w:r>
    </w:p>
    <w:p w14:paraId="7C2D09A1" w14:textId="77777777" w:rsidR="00BA36F8" w:rsidRPr="00280CC8" w:rsidRDefault="00BA36F8"/>
    <w:p w14:paraId="66D7653D" w14:textId="250B215C" w:rsidR="0091311E" w:rsidRPr="00280CC8" w:rsidRDefault="00BA36F8">
      <w:r w:rsidRPr="00280CC8">
        <w:tab/>
        <w:t>In the past</w:t>
      </w:r>
      <w:r w:rsidR="00027582">
        <w:t>,</w:t>
      </w:r>
      <w:r w:rsidR="00BB5BCB">
        <w:t xml:space="preserve"> a</w:t>
      </w:r>
      <w:r w:rsidRPr="00280CC8">
        <w:t xml:space="preserve"> test method for measuring compliance with </w:t>
      </w:r>
      <w:r w:rsidR="00BB5BCB">
        <w:t>a</w:t>
      </w:r>
      <w:r w:rsidRPr="00280CC8">
        <w:t xml:space="preserve"> fuel p</w:t>
      </w:r>
      <w:r w:rsidR="00626711">
        <w:t>roperty</w:t>
      </w:r>
      <w:r w:rsidR="00BB5BCB">
        <w:t xml:space="preserve"> was designated in the regulations.</w:t>
      </w:r>
      <w:r w:rsidRPr="00280CC8">
        <w:t xml:space="preserve"> Typically</w:t>
      </w:r>
      <w:r w:rsidR="00BB5BCB">
        <w:t>,</w:t>
      </w:r>
      <w:r w:rsidRPr="00280CC8">
        <w:t xml:space="preserve"> this method was an American Society for Testing and Materials (ASTM) procedure </w:t>
      </w:r>
      <w:r w:rsidR="00027582">
        <w:t>used by</w:t>
      </w:r>
      <w:r w:rsidRPr="00280CC8">
        <w:t xml:space="preserve"> </w:t>
      </w:r>
      <w:r w:rsidR="00BB5BCB">
        <w:t>an EPA</w:t>
      </w:r>
      <w:r w:rsidRPr="00280CC8">
        <w:t xml:space="preserve"> laboratory. Regulated parties would have to use th</w:t>
      </w:r>
      <w:r w:rsidR="004123D0">
        <w:t>is</w:t>
      </w:r>
      <w:r w:rsidRPr="00280CC8">
        <w:t xml:space="preserve"> method</w:t>
      </w:r>
      <w:r w:rsidR="00A9786D">
        <w:t xml:space="preserve"> for compliance purposes</w:t>
      </w:r>
      <w:r w:rsidRPr="00280CC8">
        <w:t>. In certain circumstances, alternative test methods were named</w:t>
      </w:r>
      <w:r w:rsidR="005B6CA1">
        <w:t xml:space="preserve"> in </w:t>
      </w:r>
      <w:r w:rsidR="00BB5BCB">
        <w:t>the</w:t>
      </w:r>
      <w:r w:rsidR="005B6CA1">
        <w:t xml:space="preserve"> regulations</w:t>
      </w:r>
      <w:r w:rsidRPr="00280CC8">
        <w:t>. If a regulated party used a</w:t>
      </w:r>
      <w:r w:rsidR="004123D0">
        <w:t xml:space="preserve"> </w:t>
      </w:r>
      <w:r w:rsidRPr="00280CC8">
        <w:t>n</w:t>
      </w:r>
      <w:r w:rsidR="004123D0">
        <w:t>amed</w:t>
      </w:r>
      <w:r w:rsidRPr="00280CC8">
        <w:t xml:space="preserve"> alternative test method, all results would have to be correlated to the designated test method. </w:t>
      </w:r>
      <w:r w:rsidR="00BB5BCB">
        <w:t>T</w:t>
      </w:r>
      <w:r w:rsidRPr="00280CC8">
        <w:t>he party would have to develop and apply a correlation equation to all its results to bring them in line with the designated test method.</w:t>
      </w:r>
      <w:r w:rsidR="00FF6695" w:rsidRPr="00280CC8">
        <w:t xml:space="preserve"> A limited performance-based test method approach </w:t>
      </w:r>
      <w:r w:rsidR="005B6CA1">
        <w:t xml:space="preserve">was adopted to address the </w:t>
      </w:r>
      <w:r w:rsidR="00FF6695" w:rsidRPr="00280CC8">
        <w:t>measurement of sulfur in diesel fuel</w:t>
      </w:r>
      <w:r w:rsidR="00027582">
        <w:t xml:space="preserve"> per 40 CFR 80.584-.585</w:t>
      </w:r>
      <w:r w:rsidR="00C557A4">
        <w:t>.</w:t>
      </w:r>
      <w:r w:rsidR="005B6CA1">
        <w:t xml:space="preserve"> </w:t>
      </w:r>
      <w:r w:rsidR="00C557A4">
        <w:t>H</w:t>
      </w:r>
      <w:r w:rsidR="00A9786D">
        <w:t xml:space="preserve">owever, </w:t>
      </w:r>
      <w:r w:rsidR="005B6CA1">
        <w:t xml:space="preserve">outside of </w:t>
      </w:r>
      <w:r w:rsidR="00FE50C6">
        <w:t>the</w:t>
      </w:r>
      <w:r w:rsidR="00A9786D">
        <w:t xml:space="preserve"> diesel</w:t>
      </w:r>
      <w:r w:rsidR="005B6CA1">
        <w:t xml:space="preserve"> program, there was no opportunity for </w:t>
      </w:r>
      <w:r w:rsidR="00C557A4">
        <w:t xml:space="preserve">a </w:t>
      </w:r>
      <w:r w:rsidR="005B6CA1">
        <w:t>laborator</w:t>
      </w:r>
      <w:r w:rsidR="00C557A4">
        <w:t>y</w:t>
      </w:r>
      <w:r w:rsidR="005B6CA1">
        <w:t xml:space="preserve"> to use </w:t>
      </w:r>
      <w:r w:rsidR="00C557A4">
        <w:t xml:space="preserve">a </w:t>
      </w:r>
      <w:r w:rsidR="005B6CA1">
        <w:t xml:space="preserve">test method not designated in </w:t>
      </w:r>
      <w:r w:rsidR="004123D0">
        <w:t>the</w:t>
      </w:r>
      <w:r w:rsidR="005B6CA1">
        <w:t xml:space="preserve"> regulations</w:t>
      </w:r>
      <w:r w:rsidR="004123D0">
        <w:t>.</w:t>
      </w:r>
      <w:r w:rsidR="004D584B">
        <w:t xml:space="preserve"> </w:t>
      </w:r>
      <w:r w:rsidR="005B6CA1">
        <w:t>The regulation</w:t>
      </w:r>
      <w:r w:rsidR="00FE1B36">
        <w:t xml:space="preserve">s </w:t>
      </w:r>
      <w:r w:rsidR="00BB5BCB">
        <w:t xml:space="preserve">at 40 CFR 80.47 </w:t>
      </w:r>
      <w:r w:rsidR="005B6CA1">
        <w:t xml:space="preserve">permit </w:t>
      </w:r>
      <w:r w:rsidR="00A81B44">
        <w:t xml:space="preserve">a </w:t>
      </w:r>
      <w:r w:rsidR="005B6CA1">
        <w:t>laborator</w:t>
      </w:r>
      <w:r w:rsidR="00A81B44">
        <w:t>y</w:t>
      </w:r>
      <w:r w:rsidR="005B6CA1">
        <w:t xml:space="preserve"> to </w:t>
      </w:r>
      <w:r w:rsidR="001B73EB">
        <w:t xml:space="preserve">qualify itself to </w:t>
      </w:r>
      <w:r w:rsidR="00A81B44">
        <w:t xml:space="preserve">use </w:t>
      </w:r>
      <w:r w:rsidR="00474087">
        <w:t xml:space="preserve">an alternative </w:t>
      </w:r>
      <w:r w:rsidR="00B53F7E">
        <w:t xml:space="preserve">test </w:t>
      </w:r>
      <w:r w:rsidR="00A81B44">
        <w:t xml:space="preserve">method </w:t>
      </w:r>
      <w:r w:rsidR="00B53F7E">
        <w:t>if the method meets the precision, accuracy, and other criteria specified in 40 CFR 80.47.</w:t>
      </w:r>
      <w:r w:rsidR="00A81B44">
        <w:t xml:space="preserve"> </w:t>
      </w:r>
    </w:p>
    <w:p w14:paraId="423FCF31" w14:textId="45142985" w:rsidR="00FF6695" w:rsidRPr="00280CC8" w:rsidRDefault="00FF6695"/>
    <w:p w14:paraId="24FC5BCD" w14:textId="4F8E21A2" w:rsidR="00D82972" w:rsidRPr="00280CC8" w:rsidRDefault="004D584B" w:rsidP="00FF6695">
      <w:pPr>
        <w:ind w:firstLine="720"/>
      </w:pPr>
      <w:r>
        <w:lastRenderedPageBreak/>
        <w:t>T</w:t>
      </w:r>
      <w:r w:rsidR="00BA36F8" w:rsidRPr="00280CC8">
        <w:t xml:space="preserve">o </w:t>
      </w:r>
      <w:r w:rsidR="00564534" w:rsidRPr="00280CC8">
        <w:t xml:space="preserve">be qualified to use </w:t>
      </w:r>
      <w:r w:rsidR="00BA36F8" w:rsidRPr="00280CC8">
        <w:t>a</w:t>
      </w:r>
      <w:r w:rsidR="00474087">
        <w:t>n alternative</w:t>
      </w:r>
      <w:r w:rsidR="00BA36F8" w:rsidRPr="00280CC8">
        <w:t xml:space="preserve"> test method, a refiner's or importer's laboratory</w:t>
      </w:r>
      <w:r w:rsidR="00A9786D">
        <w:t>,</w:t>
      </w:r>
      <w:r w:rsidR="00BA36F8" w:rsidRPr="00280CC8">
        <w:t xml:space="preserve"> or an independent laboratory</w:t>
      </w:r>
      <w:r w:rsidR="00A9786D">
        <w:t>,</w:t>
      </w:r>
      <w:r w:rsidR="00BA36F8" w:rsidRPr="00280CC8">
        <w:t xml:space="preserve"> </w:t>
      </w:r>
      <w:r w:rsidR="00A77181">
        <w:t>is required</w:t>
      </w:r>
      <w:r w:rsidR="00BA36F8" w:rsidRPr="00280CC8">
        <w:t xml:space="preserve"> to </w:t>
      </w:r>
      <w:r>
        <w:t>develop</w:t>
      </w:r>
      <w:r w:rsidR="00BA36F8" w:rsidRPr="00280CC8">
        <w:t xml:space="preserve"> certain information</w:t>
      </w:r>
      <w:r>
        <w:t>. Having to report to EPA</w:t>
      </w:r>
      <w:r w:rsidR="00474087">
        <w:t>,</w:t>
      </w:r>
      <w:r>
        <w:t xml:space="preserve"> or just retain the</w:t>
      </w:r>
      <w:r w:rsidR="00BD4632">
        <w:t xml:space="preserve"> information</w:t>
      </w:r>
      <w:r w:rsidR="00474087">
        <w:t>,</w:t>
      </w:r>
      <w:r w:rsidR="00BD4632">
        <w:t xml:space="preserve"> will depend upon the nature of the method</w:t>
      </w:r>
      <w:r w:rsidR="00B237DE">
        <w:t xml:space="preserve">. </w:t>
      </w:r>
      <w:r w:rsidR="001B73EB">
        <w:t>A</w:t>
      </w:r>
      <w:r w:rsidR="00B237DE">
        <w:t xml:space="preserve"> test method</w:t>
      </w:r>
      <w:r w:rsidR="001B73EB">
        <w:t xml:space="preserve"> developed by a voluntary consensus-based standards body (VCSB)</w:t>
      </w:r>
      <w:r w:rsidR="00B237DE">
        <w:t xml:space="preserve"> will self-qualify provided </w:t>
      </w:r>
      <w:r w:rsidR="00626711">
        <w:t>it</w:t>
      </w:r>
      <w:r w:rsidR="00B237DE">
        <w:t xml:space="preserve"> meet</w:t>
      </w:r>
      <w:r w:rsidR="00626711">
        <w:t>s</w:t>
      </w:r>
      <w:r w:rsidR="00B237DE">
        <w:t xml:space="preserve"> performance</w:t>
      </w:r>
      <w:r w:rsidR="00626711">
        <w:t>-</w:t>
      </w:r>
      <w:r w:rsidR="00B237DE">
        <w:t>based requirements for accuracy</w:t>
      </w:r>
      <w:r w:rsidR="00E4117A">
        <w:t xml:space="preserve"> </w:t>
      </w:r>
      <w:r w:rsidR="00B237DE">
        <w:t>and precision</w:t>
      </w:r>
      <w:r w:rsidR="00474087">
        <w:t xml:space="preserve"> specified in the regulations</w:t>
      </w:r>
      <w:r w:rsidR="00B237DE">
        <w:t xml:space="preserve">. </w:t>
      </w:r>
      <w:r w:rsidR="001B73EB">
        <w:t>A l</w:t>
      </w:r>
      <w:r w:rsidR="00951521">
        <w:t>aborator</w:t>
      </w:r>
      <w:r w:rsidR="001B73EB">
        <w:t>y</w:t>
      </w:r>
      <w:r w:rsidR="00951521">
        <w:t xml:space="preserve"> will only need to </w:t>
      </w:r>
      <w:r w:rsidR="00412939">
        <w:t xml:space="preserve">generate and </w:t>
      </w:r>
      <w:r w:rsidR="00951521">
        <w:t xml:space="preserve">store the </w:t>
      </w:r>
      <w:r w:rsidR="00412939">
        <w:t>records specified in the regulations</w:t>
      </w:r>
      <w:r w:rsidR="00951521">
        <w:t xml:space="preserve">. </w:t>
      </w:r>
      <w:r w:rsidR="00C148CA">
        <w:t>Likewise</w:t>
      </w:r>
      <w:r w:rsidR="00735B37">
        <w:t>,</w:t>
      </w:r>
      <w:r w:rsidR="00C148CA">
        <w:t xml:space="preserve"> for a non-VCSB method for an absolute fuel parameter. </w:t>
      </w:r>
      <w:r w:rsidR="00951521">
        <w:t xml:space="preserve">For </w:t>
      </w:r>
      <w:r w:rsidR="001B73EB">
        <w:t xml:space="preserve">a </w:t>
      </w:r>
      <w:r w:rsidR="00951521">
        <w:t>n</w:t>
      </w:r>
      <w:r w:rsidR="00B237DE">
        <w:t>on-VCSB test method</w:t>
      </w:r>
      <w:r w:rsidR="00C148CA">
        <w:t xml:space="preserve"> for a method-defined fuel parameter</w:t>
      </w:r>
      <w:r w:rsidR="00B237DE">
        <w:t xml:space="preserve">, </w:t>
      </w:r>
      <w:r w:rsidR="00BB5BCB">
        <w:t xml:space="preserve">essentially </w:t>
      </w:r>
      <w:r w:rsidR="001B73EB">
        <w:t>one</w:t>
      </w:r>
      <w:r w:rsidR="00B237DE">
        <w:t xml:space="preserve"> developed “in-house</w:t>
      </w:r>
      <w:r w:rsidR="00951521">
        <w:t>,</w:t>
      </w:r>
      <w:r w:rsidR="00B237DE">
        <w:t xml:space="preserve">” </w:t>
      </w:r>
      <w:r w:rsidR="001B73EB">
        <w:t xml:space="preserve">the </w:t>
      </w:r>
      <w:r w:rsidR="00951521">
        <w:t>laborator</w:t>
      </w:r>
      <w:r w:rsidR="001B73EB">
        <w:t>y</w:t>
      </w:r>
      <w:r w:rsidR="00951521">
        <w:t xml:space="preserve"> </w:t>
      </w:r>
      <w:r w:rsidR="00B237DE">
        <w:t xml:space="preserve">will be required to </w:t>
      </w:r>
      <w:r w:rsidR="00412939">
        <w:t xml:space="preserve">generate, store, and </w:t>
      </w:r>
      <w:r w:rsidR="00B237DE">
        <w:t xml:space="preserve">submit certain </w:t>
      </w:r>
      <w:r w:rsidR="00412939">
        <w:t xml:space="preserve">records </w:t>
      </w:r>
      <w:r w:rsidR="00B237DE">
        <w:t xml:space="preserve">to </w:t>
      </w:r>
      <w:r w:rsidR="00951521">
        <w:t>EPA</w:t>
      </w:r>
      <w:r w:rsidR="00412939">
        <w:t>,</w:t>
      </w:r>
      <w:r w:rsidR="00B237DE">
        <w:t xml:space="preserve"> </w:t>
      </w:r>
      <w:r w:rsidR="001B73EB">
        <w:t>and obtain approval</w:t>
      </w:r>
      <w:r w:rsidR="00412939">
        <w:t>,</w:t>
      </w:r>
      <w:r w:rsidR="001B73EB">
        <w:t xml:space="preserve"> </w:t>
      </w:r>
      <w:r w:rsidR="00B237DE">
        <w:t xml:space="preserve">to </w:t>
      </w:r>
      <w:r w:rsidR="009B593E">
        <w:t>become</w:t>
      </w:r>
      <w:r w:rsidR="00B237DE">
        <w:t xml:space="preserve"> qualified. </w:t>
      </w:r>
      <w:r w:rsidR="00BA36F8" w:rsidRPr="00280CC8">
        <w:t xml:space="preserve"> </w:t>
      </w:r>
      <w:r w:rsidR="00FF6695" w:rsidRPr="00280CC8">
        <w:t xml:space="preserve">In addition, </w:t>
      </w:r>
      <w:r w:rsidR="009B593E">
        <w:t xml:space="preserve">the regulations require </w:t>
      </w:r>
      <w:r w:rsidR="00FF6695" w:rsidRPr="00280CC8">
        <w:t>laborator</w:t>
      </w:r>
      <w:r w:rsidR="008F15DE">
        <w:t>ies</w:t>
      </w:r>
      <w:r w:rsidR="00A77181">
        <w:t xml:space="preserve"> </w:t>
      </w:r>
      <w:r w:rsidR="001B73EB">
        <w:t>to</w:t>
      </w:r>
      <w:r w:rsidR="009B593E">
        <w:t xml:space="preserve"> </w:t>
      </w:r>
      <w:r w:rsidR="00FF6695" w:rsidRPr="00280CC8">
        <w:t xml:space="preserve">engage in </w:t>
      </w:r>
      <w:r w:rsidR="00951521">
        <w:t xml:space="preserve">statistical </w:t>
      </w:r>
      <w:r w:rsidR="00FF6695" w:rsidRPr="00280CC8">
        <w:t xml:space="preserve">quality control </w:t>
      </w:r>
      <w:r w:rsidR="00951521">
        <w:t xml:space="preserve">(SQC) </w:t>
      </w:r>
      <w:r w:rsidR="00FF6695" w:rsidRPr="00280CC8">
        <w:t>activities</w:t>
      </w:r>
      <w:r w:rsidR="00A77181">
        <w:t xml:space="preserve">. </w:t>
      </w:r>
      <w:r w:rsidR="00104A9E">
        <w:t xml:space="preserve">While </w:t>
      </w:r>
      <w:r w:rsidR="00BD4632">
        <w:t>SQC activities are a</w:t>
      </w:r>
      <w:r w:rsidR="008469E1">
        <w:t xml:space="preserve"> customary business</w:t>
      </w:r>
      <w:r w:rsidR="00BD4632">
        <w:t xml:space="preserve"> practice</w:t>
      </w:r>
      <w:r w:rsidR="004C5922">
        <w:t xml:space="preserve"> (CBP)</w:t>
      </w:r>
      <w:r w:rsidR="00A77181">
        <w:t xml:space="preserve"> </w:t>
      </w:r>
      <w:r w:rsidR="00104A9E">
        <w:t>for a laboratory, they are not necessarily as stringent as re</w:t>
      </w:r>
      <w:r w:rsidR="00407CFC">
        <w:t xml:space="preserve">quired by the regulations. Thus, there is an estimated burden for </w:t>
      </w:r>
      <w:r w:rsidR="00412939">
        <w:t xml:space="preserve">the development of the </w:t>
      </w:r>
      <w:r w:rsidR="00407CFC">
        <w:t xml:space="preserve">SQC </w:t>
      </w:r>
      <w:r w:rsidR="00412939">
        <w:t xml:space="preserve">records required by the regulations </w:t>
      </w:r>
      <w:r w:rsidR="000E0912">
        <w:t xml:space="preserve">and </w:t>
      </w:r>
      <w:r w:rsidR="00412939">
        <w:t>their</w:t>
      </w:r>
      <w:r w:rsidR="00407CFC">
        <w:t xml:space="preserve"> retention for five years.</w:t>
      </w:r>
      <w:r w:rsidR="00A9786D">
        <w:t xml:space="preserve"> </w:t>
      </w:r>
    </w:p>
    <w:p w14:paraId="005A8884" w14:textId="77777777" w:rsidR="00BA36F8" w:rsidRDefault="00BA36F8"/>
    <w:p w14:paraId="2C33D68B" w14:textId="77777777" w:rsidR="00280CC8" w:rsidRPr="00280CC8" w:rsidRDefault="00280CC8">
      <w:r>
        <w:tab/>
      </w:r>
    </w:p>
    <w:p w14:paraId="5BBA5AE0" w14:textId="51D9B25E" w:rsidR="00BA36F8" w:rsidRPr="00C7259A" w:rsidRDefault="00BA36F8">
      <w:pPr>
        <w:rPr>
          <w:b/>
          <w:u w:val="single"/>
        </w:rPr>
      </w:pPr>
      <w:r w:rsidRPr="00C7259A">
        <w:rPr>
          <w:b/>
        </w:rPr>
        <w:t>2.</w:t>
      </w:r>
      <w:r w:rsidR="00C7259A">
        <w:rPr>
          <w:b/>
        </w:rPr>
        <w:tab/>
      </w:r>
      <w:r w:rsidRPr="00C7259A">
        <w:rPr>
          <w:b/>
        </w:rPr>
        <w:t>N</w:t>
      </w:r>
      <w:r w:rsidR="004C5922" w:rsidRPr="00C7259A">
        <w:rPr>
          <w:b/>
        </w:rPr>
        <w:t>EED FOR AND USE OF THE COLLECTION</w:t>
      </w:r>
    </w:p>
    <w:p w14:paraId="173D3D70" w14:textId="77777777" w:rsidR="00BA36F8" w:rsidRPr="00280CC8" w:rsidRDefault="00BA36F8">
      <w:pPr>
        <w:rPr>
          <w:u w:val="single"/>
        </w:rPr>
      </w:pPr>
    </w:p>
    <w:p w14:paraId="236AA10B" w14:textId="77777777" w:rsidR="00BA36F8" w:rsidRPr="00280CC8" w:rsidRDefault="004C5922" w:rsidP="004C5922">
      <w:pPr>
        <w:ind w:left="720"/>
      </w:pPr>
      <w:r>
        <w:t xml:space="preserve">2(a) </w:t>
      </w:r>
      <w:r>
        <w:tab/>
      </w:r>
      <w:r w:rsidR="001942CB">
        <w:t>Need/</w:t>
      </w:r>
      <w:r w:rsidR="00BA36F8" w:rsidRPr="00280CC8">
        <w:t>Authority for the Collection</w:t>
      </w:r>
    </w:p>
    <w:p w14:paraId="4CB0F50B" w14:textId="77777777" w:rsidR="00126179" w:rsidRPr="00280CC8" w:rsidRDefault="00126179" w:rsidP="00126179">
      <w:pPr>
        <w:ind w:left="720"/>
      </w:pPr>
    </w:p>
    <w:p w14:paraId="3BB57CDD" w14:textId="0194BBBB" w:rsidR="00126179" w:rsidRPr="00280CC8" w:rsidRDefault="00A9786D" w:rsidP="00126179">
      <w:pPr>
        <w:autoSpaceDE w:val="0"/>
        <w:autoSpaceDN w:val="0"/>
        <w:adjustRightInd w:val="0"/>
      </w:pPr>
      <w:r>
        <w:rPr>
          <w:szCs w:val="24"/>
          <w:lang w:val="en-CA"/>
        </w:rPr>
        <w:tab/>
      </w:r>
      <w:r w:rsidR="001942CB">
        <w:rPr>
          <w:szCs w:val="24"/>
          <w:lang w:val="en-CA"/>
        </w:rPr>
        <w:t>Vehicle emissions constitute a significant source of air pollution in the United States. The regulations at 40 CFR 80, Regulation of Fuels and Fuel Additives, restrict certain properties of gasoline and diesel fuel to limit harmful em</w:t>
      </w:r>
      <w:r w:rsidR="00A23939">
        <w:rPr>
          <w:szCs w:val="24"/>
          <w:lang w:val="en-CA"/>
        </w:rPr>
        <w:t>issions and their impact on public health.</w:t>
      </w:r>
      <w:r w:rsidR="00396CDA">
        <w:rPr>
          <w:szCs w:val="24"/>
          <w:lang w:val="en-CA"/>
        </w:rPr>
        <w:t xml:space="preserve"> Accurate measurements of these properties, and the recordkeeping and reporting requirements, are</w:t>
      </w:r>
      <w:r w:rsidR="00396CDA" w:rsidRPr="00396CDA">
        <w:rPr>
          <w:szCs w:val="24"/>
          <w:lang w:val="en-CA"/>
        </w:rPr>
        <w:t xml:space="preserve"> </w:t>
      </w:r>
      <w:r w:rsidR="00396CDA">
        <w:rPr>
          <w:szCs w:val="24"/>
          <w:lang w:val="en-CA"/>
        </w:rPr>
        <w:t xml:space="preserve">essential for enforcement and compliance. </w:t>
      </w:r>
      <w:r w:rsidR="00FB4B4B" w:rsidRPr="00280CC8">
        <w:rPr>
          <w:szCs w:val="24"/>
          <w:lang w:val="en-CA"/>
        </w:rPr>
        <w:fldChar w:fldCharType="begin"/>
      </w:r>
      <w:r w:rsidR="00126179" w:rsidRPr="00280CC8">
        <w:rPr>
          <w:szCs w:val="24"/>
          <w:lang w:val="en-CA"/>
        </w:rPr>
        <w:instrText xml:space="preserve"> SEQ CHAPTER \h \r 1</w:instrText>
      </w:r>
      <w:r w:rsidR="00FB4B4B" w:rsidRPr="00280CC8">
        <w:rPr>
          <w:szCs w:val="24"/>
          <w:lang w:val="en-CA"/>
        </w:rPr>
        <w:fldChar w:fldCharType="end"/>
      </w:r>
      <w:r w:rsidR="00126179" w:rsidRPr="00280CC8">
        <w:rPr>
          <w:szCs w:val="24"/>
        </w:rPr>
        <w:t xml:space="preserve">Sections 114 and 208 of the Clean Air Act (CAA), 42 U.S.C. §§ 7414 and 7542, authorize EPA to require recordkeeping and reporting regarding enforcement of the provisions of Title II of the CAA.    </w:t>
      </w:r>
    </w:p>
    <w:p w14:paraId="308AC6B2" w14:textId="77777777" w:rsidR="00126179" w:rsidRPr="00280CC8" w:rsidRDefault="00BA36F8">
      <w:r w:rsidRPr="00280CC8">
        <w:tab/>
      </w:r>
    </w:p>
    <w:p w14:paraId="56F55508" w14:textId="77777777" w:rsidR="00BA36F8" w:rsidRPr="00280CC8" w:rsidRDefault="00BA36F8">
      <w:r w:rsidRPr="00280CC8">
        <w:tab/>
      </w:r>
      <w:r w:rsidR="004C5922">
        <w:t>2(b)</w:t>
      </w:r>
      <w:r w:rsidR="00FE50C6" w:rsidRPr="00280CC8">
        <w:t xml:space="preserve"> </w:t>
      </w:r>
      <w:r w:rsidR="000500E7">
        <w:tab/>
      </w:r>
      <w:r w:rsidR="00FE50C6" w:rsidRPr="00280CC8">
        <w:t>Practical</w:t>
      </w:r>
      <w:r w:rsidRPr="00280CC8">
        <w:t xml:space="preserve"> Utility/Uses of the Data</w:t>
      </w:r>
    </w:p>
    <w:p w14:paraId="1CCC00DB" w14:textId="77777777" w:rsidR="00BA36F8" w:rsidRPr="00280CC8" w:rsidRDefault="00BA36F8"/>
    <w:p w14:paraId="59498914" w14:textId="77777777" w:rsidR="00BA36F8" w:rsidRPr="00280CC8" w:rsidRDefault="00BA36F8">
      <w:r w:rsidRPr="00280CC8">
        <w:tab/>
        <w:t>The data will</w:t>
      </w:r>
      <w:r w:rsidR="004C5922">
        <w:t>:</w:t>
      </w:r>
    </w:p>
    <w:p w14:paraId="751CB4F4" w14:textId="77777777" w:rsidR="00BA36F8" w:rsidRPr="00280CC8" w:rsidRDefault="00BA36F8"/>
    <w:p w14:paraId="094C8184" w14:textId="77777777" w:rsidR="00C7259A" w:rsidRDefault="00DC54A3" w:rsidP="00C7259A">
      <w:pPr>
        <w:pStyle w:val="ListParagraph"/>
        <w:numPr>
          <w:ilvl w:val="0"/>
          <w:numId w:val="11"/>
        </w:numPr>
      </w:pPr>
      <w:r>
        <w:t xml:space="preserve">Enable </w:t>
      </w:r>
      <w:r w:rsidR="00564534" w:rsidRPr="00280CC8">
        <w:t xml:space="preserve">laboratories to </w:t>
      </w:r>
      <w:r>
        <w:t xml:space="preserve">self-qualify </w:t>
      </w:r>
      <w:r w:rsidR="00C148CA">
        <w:t>certain</w:t>
      </w:r>
      <w:r w:rsidR="00564534" w:rsidRPr="00280CC8">
        <w:t xml:space="preserve"> </w:t>
      </w:r>
      <w:r w:rsidR="00BA36F8" w:rsidRPr="00280CC8">
        <w:t xml:space="preserve">test methods based upon </w:t>
      </w:r>
      <w:r w:rsidR="00325EFF" w:rsidRPr="00280CC8">
        <w:t>accuracy</w:t>
      </w:r>
      <w:r w:rsidR="00BA36F8" w:rsidRPr="00280CC8">
        <w:t xml:space="preserve"> and precision criteria</w:t>
      </w:r>
      <w:r>
        <w:t>.</w:t>
      </w:r>
    </w:p>
    <w:p w14:paraId="51E449D4" w14:textId="77777777" w:rsidR="00C7259A" w:rsidRDefault="00C7259A" w:rsidP="00C7259A">
      <w:pPr>
        <w:pStyle w:val="ListParagraph"/>
        <w:ind w:left="1440"/>
      </w:pPr>
    </w:p>
    <w:p w14:paraId="1EF4DD94" w14:textId="77777777" w:rsidR="00C7259A" w:rsidRDefault="00DC54A3" w:rsidP="00C7259A">
      <w:pPr>
        <w:pStyle w:val="ListParagraph"/>
        <w:numPr>
          <w:ilvl w:val="0"/>
          <w:numId w:val="11"/>
        </w:numPr>
      </w:pPr>
      <w:r>
        <w:t xml:space="preserve">Enable EPA to qualify </w:t>
      </w:r>
      <w:r w:rsidR="00C148CA">
        <w:t xml:space="preserve">certain </w:t>
      </w:r>
      <w:r>
        <w:t>non-VCSB test methods based upon accuracy and precision criteria.</w:t>
      </w:r>
    </w:p>
    <w:p w14:paraId="1D169840" w14:textId="77777777" w:rsidR="00C7259A" w:rsidRDefault="00C7259A" w:rsidP="00C7259A">
      <w:pPr>
        <w:pStyle w:val="ListParagraph"/>
        <w:ind w:left="1440"/>
      </w:pPr>
    </w:p>
    <w:p w14:paraId="63722EBE" w14:textId="32E52DB0" w:rsidR="00463ADC" w:rsidRPr="00280CC8" w:rsidRDefault="00DC54A3" w:rsidP="00C7259A">
      <w:pPr>
        <w:pStyle w:val="ListParagraph"/>
        <w:numPr>
          <w:ilvl w:val="0"/>
          <w:numId w:val="11"/>
        </w:numPr>
      </w:pPr>
      <w:r>
        <w:t>Promote compliance with the</w:t>
      </w:r>
      <w:r w:rsidR="00BA36F8" w:rsidRPr="00280CC8">
        <w:t xml:space="preserve"> </w:t>
      </w:r>
      <w:r w:rsidR="00D12D84">
        <w:t>reformulated gasoline (RFG)</w:t>
      </w:r>
      <w:r w:rsidR="00C23956">
        <w:t>,</w:t>
      </w:r>
      <w:r w:rsidR="00B93668">
        <w:t xml:space="preserve"> c</w:t>
      </w:r>
      <w:r w:rsidR="00C23956">
        <w:t>onventi</w:t>
      </w:r>
      <w:r w:rsidR="00B93668">
        <w:t>o</w:t>
      </w:r>
      <w:r w:rsidR="00C23956">
        <w:t xml:space="preserve">nal </w:t>
      </w:r>
      <w:r w:rsidR="00B93668">
        <w:t>g</w:t>
      </w:r>
      <w:r w:rsidR="00C23956">
        <w:t xml:space="preserve">asoline (CG) and diesel fuel </w:t>
      </w:r>
      <w:r w:rsidR="00BA36F8" w:rsidRPr="00280CC8">
        <w:t xml:space="preserve">standards </w:t>
      </w:r>
      <w:r w:rsidR="00463ADC" w:rsidRPr="00280CC8">
        <w:t xml:space="preserve">at </w:t>
      </w:r>
      <w:r w:rsidR="00126179" w:rsidRPr="00280CC8">
        <w:t xml:space="preserve">40 CFR 80 </w:t>
      </w:r>
      <w:r w:rsidR="00BA36F8" w:rsidRPr="00280CC8">
        <w:t>and the associated benefits to human health and the environment.</w:t>
      </w:r>
    </w:p>
    <w:p w14:paraId="2E780F4F" w14:textId="77777777" w:rsidR="00BA36F8" w:rsidRPr="00280CC8" w:rsidRDefault="00BA36F8"/>
    <w:p w14:paraId="4EF00CD6" w14:textId="77777777" w:rsidR="00BA36F8" w:rsidRPr="00C7259A" w:rsidRDefault="00BA36F8">
      <w:pPr>
        <w:rPr>
          <w:b/>
        </w:rPr>
      </w:pPr>
    </w:p>
    <w:p w14:paraId="5E350E04" w14:textId="77777777" w:rsidR="000D4AED" w:rsidRPr="000D4AED" w:rsidRDefault="000D4AED" w:rsidP="000D4AED">
      <w:pPr>
        <w:pStyle w:val="ListParagraph"/>
        <w:ind w:left="360"/>
        <w:rPr>
          <w:b/>
          <w:u w:val="single"/>
        </w:rPr>
      </w:pPr>
    </w:p>
    <w:p w14:paraId="03838E7E" w14:textId="77777777" w:rsidR="000D4AED" w:rsidRPr="000D4AED" w:rsidRDefault="000D4AED" w:rsidP="000D4AED">
      <w:pPr>
        <w:pStyle w:val="ListParagraph"/>
        <w:ind w:left="360"/>
        <w:rPr>
          <w:b/>
          <w:u w:val="single"/>
        </w:rPr>
      </w:pPr>
    </w:p>
    <w:p w14:paraId="76CBAA94" w14:textId="77777777" w:rsidR="000D4AED" w:rsidRPr="000D4AED" w:rsidRDefault="000D4AED" w:rsidP="000D4AED">
      <w:pPr>
        <w:pStyle w:val="ListParagraph"/>
        <w:ind w:left="360"/>
        <w:rPr>
          <w:b/>
          <w:u w:val="single"/>
        </w:rPr>
      </w:pPr>
    </w:p>
    <w:p w14:paraId="6A293DFD" w14:textId="68FE172B" w:rsidR="00BA36F8" w:rsidRPr="00C7259A" w:rsidRDefault="00DC54A3" w:rsidP="00C7259A">
      <w:pPr>
        <w:pStyle w:val="ListParagraph"/>
        <w:numPr>
          <w:ilvl w:val="0"/>
          <w:numId w:val="13"/>
        </w:numPr>
        <w:rPr>
          <w:b/>
          <w:u w:val="single"/>
        </w:rPr>
      </w:pPr>
      <w:r w:rsidRPr="00C7259A">
        <w:rPr>
          <w:b/>
        </w:rPr>
        <w:lastRenderedPageBreak/>
        <w:t xml:space="preserve">NONDUPLICATION, CONSULTATION, AND OTHER COLLECTION </w:t>
      </w:r>
      <w:r w:rsidR="00F371C3" w:rsidRPr="00C7259A">
        <w:rPr>
          <w:b/>
        </w:rPr>
        <w:t>CRITERIA</w:t>
      </w:r>
    </w:p>
    <w:p w14:paraId="4B3C015B" w14:textId="77777777" w:rsidR="00BA36F8" w:rsidRPr="00280CC8" w:rsidRDefault="00BA36F8">
      <w:pPr>
        <w:rPr>
          <w:u w:val="single"/>
        </w:rPr>
      </w:pPr>
    </w:p>
    <w:p w14:paraId="580CCFDB" w14:textId="77777777" w:rsidR="00BA36F8" w:rsidRPr="00280CC8" w:rsidRDefault="00BA36F8">
      <w:r w:rsidRPr="00280CC8">
        <w:tab/>
      </w:r>
      <w:r w:rsidR="00F371C3">
        <w:t>3(a)</w:t>
      </w:r>
      <w:r w:rsidR="00CD3295">
        <w:t xml:space="preserve"> </w:t>
      </w:r>
      <w:r w:rsidR="000500E7">
        <w:tab/>
      </w:r>
      <w:r w:rsidRPr="00280CC8">
        <w:t>Nonduplication</w:t>
      </w:r>
    </w:p>
    <w:p w14:paraId="7E8EEF8D" w14:textId="77777777" w:rsidR="00BA36F8" w:rsidRPr="00280CC8" w:rsidRDefault="00BA36F8"/>
    <w:p w14:paraId="4C89031C" w14:textId="2A2E18F0" w:rsidR="00BA36F8" w:rsidRPr="00280CC8" w:rsidRDefault="00BA36F8">
      <w:pPr>
        <w:rPr>
          <w:szCs w:val="24"/>
        </w:rPr>
      </w:pPr>
      <w:r w:rsidRPr="00280CC8">
        <w:tab/>
      </w:r>
      <w:r w:rsidR="00CD3295">
        <w:t xml:space="preserve">Efforts have been made to eliminate duplication in this information collection. The information collected is unique to the closed </w:t>
      </w:r>
      <w:r w:rsidR="00626711">
        <w:t>EPA</w:t>
      </w:r>
      <w:r w:rsidR="00CD3295">
        <w:t xml:space="preserve"> database. EPA has provided </w:t>
      </w:r>
      <w:r w:rsidR="00987816">
        <w:t xml:space="preserve">a spreadsheet </w:t>
      </w:r>
      <w:r w:rsidR="00CD3295">
        <w:t xml:space="preserve">in which the parties </w:t>
      </w:r>
      <w:r w:rsidR="001D3892">
        <w:t xml:space="preserve">can </w:t>
      </w:r>
      <w:r w:rsidR="00CD3295">
        <w:t xml:space="preserve">submit data in the Unified Report Form (XLS) to </w:t>
      </w:r>
      <w:r w:rsidR="001D3892">
        <w:t>EPA</w:t>
      </w:r>
      <w:r w:rsidR="00CD3295">
        <w:t>’s Central Data Exchange (CDX).</w:t>
      </w:r>
      <w:r w:rsidR="00126179" w:rsidRPr="00280CC8">
        <w:rPr>
          <w:szCs w:val="24"/>
        </w:rPr>
        <w:t xml:space="preserve"> </w:t>
      </w:r>
      <w:r w:rsidR="00B237DE">
        <w:rPr>
          <w:szCs w:val="24"/>
        </w:rPr>
        <w:t xml:space="preserve">VCSB test methods self-qualify </w:t>
      </w:r>
      <w:r w:rsidR="00407CFC">
        <w:rPr>
          <w:szCs w:val="24"/>
        </w:rPr>
        <w:t>and the</w:t>
      </w:r>
      <w:r w:rsidR="00B237DE">
        <w:rPr>
          <w:szCs w:val="24"/>
        </w:rPr>
        <w:t xml:space="preserve"> records </w:t>
      </w:r>
      <w:r w:rsidR="001D3892">
        <w:rPr>
          <w:szCs w:val="24"/>
        </w:rPr>
        <w:t>are</w:t>
      </w:r>
      <w:r w:rsidR="00B237DE">
        <w:rPr>
          <w:szCs w:val="24"/>
        </w:rPr>
        <w:t xml:space="preserve"> maintained by the </w:t>
      </w:r>
      <w:r w:rsidR="001D3892">
        <w:rPr>
          <w:szCs w:val="24"/>
        </w:rPr>
        <w:t>laboratory</w:t>
      </w:r>
      <w:r w:rsidR="00B237DE">
        <w:rPr>
          <w:szCs w:val="24"/>
        </w:rPr>
        <w:t xml:space="preserve"> for five</w:t>
      </w:r>
      <w:r w:rsidR="00F371C3">
        <w:rPr>
          <w:szCs w:val="24"/>
        </w:rPr>
        <w:t xml:space="preserve"> years.</w:t>
      </w:r>
      <w:r w:rsidR="00B237DE">
        <w:rPr>
          <w:szCs w:val="24"/>
        </w:rPr>
        <w:t xml:space="preserve"> Non-VCSB test methods need to provide data</w:t>
      </w:r>
      <w:r w:rsidR="00CF0951">
        <w:rPr>
          <w:szCs w:val="24"/>
        </w:rPr>
        <w:t>, usually confidential,</w:t>
      </w:r>
      <w:r w:rsidR="00B237DE">
        <w:rPr>
          <w:szCs w:val="24"/>
        </w:rPr>
        <w:t xml:space="preserve"> to </w:t>
      </w:r>
      <w:r w:rsidR="001D3892">
        <w:rPr>
          <w:szCs w:val="24"/>
        </w:rPr>
        <w:t>obtain</w:t>
      </w:r>
      <w:r w:rsidR="00B237DE">
        <w:rPr>
          <w:szCs w:val="24"/>
        </w:rPr>
        <w:t xml:space="preserve"> EPA approval. Since these test methods have not undergone the peer review associated with VCSB test method</w:t>
      </w:r>
      <w:r w:rsidR="00F371C3">
        <w:rPr>
          <w:szCs w:val="24"/>
        </w:rPr>
        <w:t>s</w:t>
      </w:r>
      <w:r w:rsidR="00CF0951">
        <w:rPr>
          <w:szCs w:val="24"/>
        </w:rPr>
        <w:t>,</w:t>
      </w:r>
      <w:r w:rsidR="00B237DE">
        <w:rPr>
          <w:szCs w:val="24"/>
        </w:rPr>
        <w:t xml:space="preserve"> </w:t>
      </w:r>
      <w:r w:rsidR="00054AEF">
        <w:rPr>
          <w:szCs w:val="24"/>
        </w:rPr>
        <w:t>t</w:t>
      </w:r>
      <w:r w:rsidR="00054AEF" w:rsidRPr="00280CC8">
        <w:rPr>
          <w:szCs w:val="24"/>
        </w:rPr>
        <w:t xml:space="preserve">he </w:t>
      </w:r>
      <w:r w:rsidR="00CD3295">
        <w:rPr>
          <w:szCs w:val="24"/>
        </w:rPr>
        <w:t xml:space="preserve">data relate to </w:t>
      </w:r>
      <w:r w:rsidR="00CF0951">
        <w:rPr>
          <w:szCs w:val="24"/>
        </w:rPr>
        <w:t xml:space="preserve">individual </w:t>
      </w:r>
      <w:r w:rsidR="00D65BA5">
        <w:rPr>
          <w:szCs w:val="24"/>
        </w:rPr>
        <w:t>lab results in</w:t>
      </w:r>
      <w:r w:rsidR="00CD3295">
        <w:rPr>
          <w:szCs w:val="24"/>
        </w:rPr>
        <w:t xml:space="preserve"> </w:t>
      </w:r>
      <w:r w:rsidR="00CF0951">
        <w:rPr>
          <w:szCs w:val="24"/>
        </w:rPr>
        <w:t xml:space="preserve">the </w:t>
      </w:r>
      <w:r w:rsidR="00CD3295">
        <w:rPr>
          <w:szCs w:val="24"/>
        </w:rPr>
        <w:t xml:space="preserve">testing of fuel parameters and </w:t>
      </w:r>
      <w:r w:rsidR="00F371C3">
        <w:rPr>
          <w:szCs w:val="24"/>
        </w:rPr>
        <w:t xml:space="preserve">are </w:t>
      </w:r>
      <w:r w:rsidR="00CD3295">
        <w:rPr>
          <w:szCs w:val="24"/>
        </w:rPr>
        <w:t xml:space="preserve">not </w:t>
      </w:r>
      <w:r w:rsidR="00126179" w:rsidRPr="00280CC8">
        <w:rPr>
          <w:szCs w:val="24"/>
        </w:rPr>
        <w:t>available from another source.</w:t>
      </w:r>
    </w:p>
    <w:p w14:paraId="3F4931FF" w14:textId="77777777" w:rsidR="00587DC0" w:rsidRPr="00280CC8" w:rsidRDefault="00587DC0"/>
    <w:p w14:paraId="760FE1E5" w14:textId="77777777" w:rsidR="00BA36F8" w:rsidRPr="00280CC8" w:rsidRDefault="00BA36F8">
      <w:r w:rsidRPr="00280CC8">
        <w:tab/>
      </w:r>
      <w:r w:rsidR="00F371C3">
        <w:t>3(b)</w:t>
      </w:r>
      <w:r w:rsidRPr="00280CC8">
        <w:tab/>
        <w:t>Public Notice</w:t>
      </w:r>
    </w:p>
    <w:p w14:paraId="5A59FB5C" w14:textId="77777777" w:rsidR="00BA36F8" w:rsidRPr="00280CC8" w:rsidRDefault="00BA36F8"/>
    <w:p w14:paraId="490CEB49" w14:textId="457F7F23" w:rsidR="00BA36F8" w:rsidRPr="00280CC8" w:rsidRDefault="00BA36F8">
      <w:r w:rsidRPr="00280CC8">
        <w:tab/>
      </w:r>
      <w:r w:rsidR="00F371C3">
        <w:t xml:space="preserve">A notice </w:t>
      </w:r>
      <w:r w:rsidR="00B3147C">
        <w:t>was</w:t>
      </w:r>
      <w:r w:rsidR="00F371C3">
        <w:t xml:space="preserve"> published in the </w:t>
      </w:r>
      <w:r w:rsidR="00F371C3">
        <w:rPr>
          <w:u w:val="single"/>
        </w:rPr>
        <w:t>Federal Register</w:t>
      </w:r>
      <w:r w:rsidR="00CC2772">
        <w:t xml:space="preserve"> </w:t>
      </w:r>
      <w:r w:rsidR="005F518E">
        <w:t>on Novem</w:t>
      </w:r>
      <w:r w:rsidR="006E0CCF">
        <w:t xml:space="preserve">ber 5, 2018 </w:t>
      </w:r>
      <w:r w:rsidR="00B3147C">
        <w:t xml:space="preserve">(83 FR 55362) </w:t>
      </w:r>
      <w:r w:rsidR="00CC2772">
        <w:t xml:space="preserve">announcing this ICR </w:t>
      </w:r>
      <w:r w:rsidR="00BE19B0">
        <w:t xml:space="preserve">renewal </w:t>
      </w:r>
      <w:r w:rsidR="00CC2772">
        <w:t>and inviting public comment</w:t>
      </w:r>
      <w:r w:rsidR="005B019C">
        <w:t>s</w:t>
      </w:r>
      <w:r w:rsidR="0090446D">
        <w:t xml:space="preserve"> </w:t>
      </w:r>
      <w:r w:rsidR="00F2789F">
        <w:t>on the previous burden estimate and any</w:t>
      </w:r>
      <w:r w:rsidR="0090446D">
        <w:t xml:space="preserve"> </w:t>
      </w:r>
      <w:r w:rsidR="00F2789F">
        <w:t>proposed</w:t>
      </w:r>
      <w:r w:rsidR="008C12E8">
        <w:t xml:space="preserve"> </w:t>
      </w:r>
      <w:r w:rsidR="00F2789F">
        <w:t>changes</w:t>
      </w:r>
      <w:r w:rsidR="00CC2772">
        <w:t>.</w:t>
      </w:r>
      <w:r w:rsidR="002D7FEA">
        <w:t xml:space="preserve"> </w:t>
      </w:r>
      <w:r w:rsidR="00B3147C">
        <w:t>No comments were received.</w:t>
      </w:r>
    </w:p>
    <w:p w14:paraId="0FAB3AD2" w14:textId="77777777" w:rsidR="00BA36F8" w:rsidRPr="00280CC8" w:rsidRDefault="00BA36F8"/>
    <w:p w14:paraId="36FC41F6" w14:textId="77777777" w:rsidR="00BA36F8" w:rsidRPr="00280CC8" w:rsidRDefault="00BA36F8">
      <w:r w:rsidRPr="00280CC8">
        <w:tab/>
      </w:r>
      <w:r w:rsidR="00F371C3">
        <w:t>3(c)</w:t>
      </w:r>
      <w:r w:rsidR="00FE50C6" w:rsidRPr="00280CC8">
        <w:t xml:space="preserve"> </w:t>
      </w:r>
      <w:r w:rsidR="000500E7">
        <w:tab/>
      </w:r>
      <w:r w:rsidR="00FE50C6" w:rsidRPr="00280CC8">
        <w:t>Consultations</w:t>
      </w:r>
    </w:p>
    <w:p w14:paraId="067B52A3" w14:textId="77777777" w:rsidR="00BA36F8" w:rsidRPr="00280CC8" w:rsidRDefault="00BA36F8"/>
    <w:p w14:paraId="441DE9A4" w14:textId="119E5AB7" w:rsidR="00BA36F8" w:rsidRPr="00280CC8" w:rsidRDefault="00BA36F8">
      <w:r w:rsidRPr="00280CC8">
        <w:tab/>
      </w:r>
      <w:r w:rsidR="00F9345B">
        <w:t xml:space="preserve">For this renewal, we consulted with a representative of </w:t>
      </w:r>
      <w:r w:rsidR="009D17D1">
        <w:t>We</w:t>
      </w:r>
      <w:r w:rsidR="00BC1FA4">
        <w:t>aver</w:t>
      </w:r>
      <w:r w:rsidR="00504732">
        <w:t xml:space="preserve">, provider of energy compliance services, </w:t>
      </w:r>
      <w:r w:rsidR="003D7D6A">
        <w:t xml:space="preserve">and </w:t>
      </w:r>
      <w:r w:rsidR="00E73B78">
        <w:t xml:space="preserve">a representative of </w:t>
      </w:r>
      <w:r w:rsidR="00B76AC6">
        <w:t xml:space="preserve">Intertek, </w:t>
      </w:r>
      <w:r w:rsidR="00F24A3B">
        <w:t xml:space="preserve">a major </w:t>
      </w:r>
      <w:r w:rsidR="00D85409">
        <w:t xml:space="preserve">provider of </w:t>
      </w:r>
      <w:r w:rsidR="00B76AC6">
        <w:t>laboratory testing services</w:t>
      </w:r>
      <w:r w:rsidR="003D7D6A">
        <w:t xml:space="preserve">. Both are </w:t>
      </w:r>
      <w:r w:rsidR="004B5452" w:rsidRPr="004B5452">
        <w:t>in general agreement with our estimates,</w:t>
      </w:r>
      <w:r w:rsidR="007863C3">
        <w:t xml:space="preserve"> </w:t>
      </w:r>
      <w:r w:rsidR="004B5452" w:rsidRPr="004B5452">
        <w:t xml:space="preserve">with the exception of the weekly burden to generate and maintain statistical quality control (SQC) records. </w:t>
      </w:r>
      <w:r w:rsidR="005207D5">
        <w:t xml:space="preserve">With the use of </w:t>
      </w:r>
      <w:r w:rsidR="004B5452" w:rsidRPr="004B5452">
        <w:t xml:space="preserve">computers, </w:t>
      </w:r>
      <w:r w:rsidR="006965F7">
        <w:t xml:space="preserve">we </w:t>
      </w:r>
      <w:r w:rsidR="009D47B9">
        <w:t xml:space="preserve">consider that </w:t>
      </w:r>
      <w:r w:rsidR="004B5452" w:rsidRPr="004B5452">
        <w:t xml:space="preserve">0.5 hour per week in </w:t>
      </w:r>
      <w:r w:rsidR="00986E3E">
        <w:t xml:space="preserve">of </w:t>
      </w:r>
      <w:r w:rsidR="004B5452" w:rsidRPr="004B5452">
        <w:t xml:space="preserve">screen </w:t>
      </w:r>
      <w:r w:rsidR="00986E3E">
        <w:t xml:space="preserve">time </w:t>
      </w:r>
      <w:r w:rsidR="004B5452" w:rsidRPr="004B5452">
        <w:t xml:space="preserve">is more reasonable than </w:t>
      </w:r>
      <w:r w:rsidR="00271ACE">
        <w:t xml:space="preserve">the </w:t>
      </w:r>
      <w:r w:rsidR="004B5452" w:rsidRPr="004B5452">
        <w:t xml:space="preserve">1.0 to 1.5 hours </w:t>
      </w:r>
      <w:r w:rsidR="00271ACE">
        <w:t xml:space="preserve">suggested </w:t>
      </w:r>
      <w:r w:rsidR="00D5139D">
        <w:t xml:space="preserve">by Intertek for </w:t>
      </w:r>
      <w:r w:rsidR="004B5452" w:rsidRPr="004B5452">
        <w:t>these routine and mostly customary lab records.</w:t>
      </w:r>
    </w:p>
    <w:p w14:paraId="4A991BC8" w14:textId="77777777" w:rsidR="00126179" w:rsidRPr="00280CC8" w:rsidRDefault="00126179"/>
    <w:p w14:paraId="6ECBB460" w14:textId="77777777" w:rsidR="00BA36F8" w:rsidRPr="00280CC8" w:rsidRDefault="00BA36F8">
      <w:r w:rsidRPr="00280CC8">
        <w:tab/>
      </w:r>
      <w:r w:rsidR="00CC2772">
        <w:t>3(d)</w:t>
      </w:r>
      <w:r w:rsidR="00FE50C6" w:rsidRPr="00280CC8">
        <w:t xml:space="preserve"> </w:t>
      </w:r>
      <w:r w:rsidR="000500E7">
        <w:tab/>
      </w:r>
      <w:r w:rsidR="00FE50C6" w:rsidRPr="00280CC8">
        <w:t>Effects</w:t>
      </w:r>
      <w:r w:rsidRPr="00280CC8">
        <w:t xml:space="preserve"> of Less Frequent Collection</w:t>
      </w:r>
    </w:p>
    <w:p w14:paraId="17D3B639" w14:textId="77777777" w:rsidR="00BA36F8" w:rsidRPr="00280CC8" w:rsidRDefault="00BA36F8"/>
    <w:p w14:paraId="30025930" w14:textId="27EADF3D" w:rsidR="00BA36F8" w:rsidRDefault="00BA36F8">
      <w:r w:rsidRPr="00280CC8">
        <w:tab/>
      </w:r>
      <w:r w:rsidR="00F7505D" w:rsidRPr="00280CC8">
        <w:t xml:space="preserve">The frequency of response is controlled by the </w:t>
      </w:r>
      <w:r w:rsidR="001D3892">
        <w:t>individual laboratory. A</w:t>
      </w:r>
      <w:r w:rsidR="00F7505D" w:rsidRPr="00280CC8">
        <w:t xml:space="preserve"> laboratory </w:t>
      </w:r>
      <w:r w:rsidR="001D3892">
        <w:t xml:space="preserve">will determine how </w:t>
      </w:r>
      <w:r w:rsidR="00F7505D" w:rsidRPr="00280CC8">
        <w:t>many test methods it wishes to qualify</w:t>
      </w:r>
      <w:r w:rsidR="001D3892">
        <w:t>.</w:t>
      </w:r>
      <w:r w:rsidRPr="00280CC8">
        <w:t xml:space="preserve"> </w:t>
      </w:r>
      <w:r w:rsidR="00F7505D" w:rsidRPr="00280CC8">
        <w:t xml:space="preserve">For </w:t>
      </w:r>
      <w:r w:rsidR="00CC2772">
        <w:t xml:space="preserve">existing laboratories, </w:t>
      </w:r>
      <w:r w:rsidR="00626711">
        <w:t xml:space="preserve">it is reasonable to conclude that </w:t>
      </w:r>
      <w:r w:rsidR="00CC2772">
        <w:t>this has essentially occurred over the past three years and little new activity from them is expected</w:t>
      </w:r>
      <w:r w:rsidR="00F7505D" w:rsidRPr="00280CC8">
        <w:t xml:space="preserve">. </w:t>
      </w:r>
      <w:r w:rsidR="001E7A2B">
        <w:t xml:space="preserve">All qualified methods </w:t>
      </w:r>
      <w:r w:rsidR="00886625">
        <w:t xml:space="preserve">since 2015 </w:t>
      </w:r>
      <w:r w:rsidR="001E7A2B">
        <w:t xml:space="preserve">have been VCSB methods. </w:t>
      </w:r>
      <w:r w:rsidR="00CC2772">
        <w:t>We are not aware of new laboratories entering the market.</w:t>
      </w:r>
    </w:p>
    <w:p w14:paraId="65244DEB" w14:textId="77777777" w:rsidR="00AF63FE" w:rsidRPr="00280CC8" w:rsidRDefault="00AF63FE"/>
    <w:p w14:paraId="3CCE1526" w14:textId="77777777" w:rsidR="00BA36F8" w:rsidRPr="00280CC8" w:rsidRDefault="00BA36F8">
      <w:r w:rsidRPr="00280CC8">
        <w:tab/>
      </w:r>
      <w:r w:rsidR="00CC2772">
        <w:t>3(e)</w:t>
      </w:r>
      <w:r w:rsidRPr="00280CC8">
        <w:tab/>
        <w:t>General Guidelines</w:t>
      </w:r>
    </w:p>
    <w:p w14:paraId="490E3868" w14:textId="77777777" w:rsidR="00BA36F8" w:rsidRPr="00280CC8" w:rsidRDefault="00BA36F8"/>
    <w:p w14:paraId="4196D34F" w14:textId="1105A086" w:rsidR="008C101E" w:rsidRDefault="00BA36F8" w:rsidP="008C101E">
      <w:pPr>
        <w:pStyle w:val="Standard"/>
      </w:pPr>
      <w:r w:rsidRPr="00280CC8">
        <w:tab/>
      </w:r>
      <w:r w:rsidR="00C845B4">
        <w:t>The regulations require record retention for five</w:t>
      </w:r>
      <w:r w:rsidR="00CD3295">
        <w:t xml:space="preserve"> years.</w:t>
      </w:r>
      <w:r w:rsidR="008C101E" w:rsidRPr="008C101E">
        <w:t xml:space="preserve"> </w:t>
      </w:r>
      <w:r w:rsidR="008C101E">
        <w:rPr>
          <w:rFonts w:cs="Times New Roman"/>
        </w:rPr>
        <w:t xml:space="preserve">Records can be kept either electronically or on paper. EPA needs </w:t>
      </w:r>
      <w:r w:rsidR="008C101E" w:rsidRPr="003F10F7">
        <w:t>to make sure regulated parties keep records long enough to be evaluated for compliance during this time</w:t>
      </w:r>
      <w:r w:rsidR="008C101E">
        <w:rPr>
          <w:color w:val="1F497D"/>
        </w:rPr>
        <w:t>.</w:t>
      </w:r>
      <w:r w:rsidR="008C101E">
        <w:t xml:space="preserve"> Section 40 CFR </w:t>
      </w:r>
      <w:r w:rsidR="00F32FCD">
        <w:t xml:space="preserve">Part </w:t>
      </w:r>
      <w:r w:rsidR="008C101E">
        <w:t>80.</w:t>
      </w:r>
      <w:r w:rsidR="00C845B4">
        <w:t>47(q)</w:t>
      </w:r>
      <w:r w:rsidR="008C101E">
        <w:t xml:space="preserve"> requires </w:t>
      </w:r>
      <w:r w:rsidR="008C101E">
        <w:rPr>
          <w:rFonts w:cs="Times New Roman"/>
        </w:rPr>
        <w:t>r</w:t>
      </w:r>
      <w:r w:rsidR="008C101E" w:rsidRPr="00D77572">
        <w:rPr>
          <w:rFonts w:cs="Times New Roman"/>
        </w:rPr>
        <w:t xml:space="preserve">ecord </w:t>
      </w:r>
      <w:r w:rsidR="008C101E">
        <w:rPr>
          <w:rFonts w:cs="Times New Roman"/>
        </w:rPr>
        <w:t>r</w:t>
      </w:r>
      <w:r w:rsidR="008C101E" w:rsidRPr="00D77572">
        <w:rPr>
          <w:rFonts w:cs="Times New Roman"/>
        </w:rPr>
        <w:t>etention</w:t>
      </w:r>
      <w:r w:rsidR="008C101E">
        <w:rPr>
          <w:rFonts w:cs="Times New Roman"/>
        </w:rPr>
        <w:t xml:space="preserve"> for five y</w:t>
      </w:r>
      <w:r w:rsidR="008C101E" w:rsidRPr="00D77572">
        <w:rPr>
          <w:rFonts w:cs="Times New Roman"/>
        </w:rPr>
        <w:t xml:space="preserve">ears </w:t>
      </w:r>
      <w:r w:rsidR="008C101E">
        <w:rPr>
          <w:rFonts w:cs="Times New Roman"/>
        </w:rPr>
        <w:t>f</w:t>
      </w:r>
      <w:r w:rsidR="008C101E" w:rsidRPr="00D77572">
        <w:rPr>
          <w:rFonts w:cs="Times New Roman"/>
        </w:rPr>
        <w:t xml:space="preserve">rom the </w:t>
      </w:r>
      <w:r w:rsidR="008C101E">
        <w:rPr>
          <w:rFonts w:cs="Times New Roman"/>
        </w:rPr>
        <w:t>d</w:t>
      </w:r>
      <w:r w:rsidR="008C101E" w:rsidRPr="00D77572">
        <w:rPr>
          <w:rFonts w:cs="Times New Roman"/>
        </w:rPr>
        <w:t>ate</w:t>
      </w:r>
      <w:r w:rsidR="008C101E">
        <w:rPr>
          <w:rFonts w:cs="Times New Roman"/>
        </w:rPr>
        <w:t xml:space="preserve"> the records were created. </w:t>
      </w:r>
      <w:r w:rsidR="008C101E">
        <w:t xml:space="preserve">Any information </w:t>
      </w:r>
      <w:r w:rsidR="00C845B4">
        <w:t xml:space="preserve">submitted to EPA and </w:t>
      </w:r>
      <w:r w:rsidR="008C101E">
        <w:t xml:space="preserve">claimed as confidential will be treated in accordance with 40 CFR 2 and established </w:t>
      </w:r>
      <w:r w:rsidR="00C845B4">
        <w:t>EPA</w:t>
      </w:r>
      <w:r w:rsidR="008C101E">
        <w:t xml:space="preserve"> procedures. Information that is received without a claim of confidentiality may be made available to the public without further notice to the submitter under 40 CFR 2.203.</w:t>
      </w:r>
    </w:p>
    <w:p w14:paraId="52355C42" w14:textId="77777777" w:rsidR="00BA36F8" w:rsidRPr="00280CC8" w:rsidRDefault="00BA36F8"/>
    <w:p w14:paraId="68A13956" w14:textId="77777777" w:rsidR="00BA36F8" w:rsidRPr="00280CC8" w:rsidRDefault="00BA36F8">
      <w:r w:rsidRPr="00280CC8">
        <w:tab/>
      </w:r>
      <w:r w:rsidR="00C845B4">
        <w:t xml:space="preserve">3(f) </w:t>
      </w:r>
      <w:r w:rsidR="00C845B4">
        <w:tab/>
      </w:r>
      <w:r w:rsidR="00FE50C6" w:rsidRPr="00280CC8">
        <w:t xml:space="preserve"> Confidentiality</w:t>
      </w:r>
    </w:p>
    <w:p w14:paraId="0C217E13" w14:textId="77777777" w:rsidR="00BA36F8" w:rsidRPr="00280CC8" w:rsidRDefault="00BA36F8"/>
    <w:p w14:paraId="7BEE4C9B" w14:textId="38EB300E" w:rsidR="00C93AEA" w:rsidRDefault="00BA36F8" w:rsidP="00C93AEA">
      <w:r w:rsidRPr="00280CC8">
        <w:tab/>
        <w:t>EPA informs respondents that they may assert claims of business confidentiality for any of the information they submit. Information claimed as confidential will be treated in accordance with 40 CFR 2</w:t>
      </w:r>
      <w:r w:rsidR="00280CC8">
        <w:t xml:space="preserve"> and established procedures</w:t>
      </w:r>
      <w:r w:rsidRPr="00280CC8">
        <w:t xml:space="preserve">. </w:t>
      </w:r>
      <w:r w:rsidR="00C845B4">
        <w:t xml:space="preserve">Information </w:t>
      </w:r>
      <w:r w:rsidR="00C93AEA" w:rsidRPr="00280CC8">
        <w:t xml:space="preserve">that is received </w:t>
      </w:r>
      <w:r w:rsidR="00C93AEA" w:rsidRPr="00BD4632">
        <w:rPr>
          <w:u w:val="single"/>
        </w:rPr>
        <w:t>without</w:t>
      </w:r>
      <w:r w:rsidR="00C93AEA" w:rsidRPr="00280CC8">
        <w:t xml:space="preserve"> a claim of confidentiality may be made available to the public without further notice to the submitter under 40 CFR 2.203.</w:t>
      </w:r>
    </w:p>
    <w:p w14:paraId="7FFDCEDD" w14:textId="77777777" w:rsidR="007947AC" w:rsidRPr="00280CC8" w:rsidRDefault="007947AC" w:rsidP="00C93AEA"/>
    <w:p w14:paraId="46F5FE87" w14:textId="77777777" w:rsidR="00BA36F8" w:rsidRPr="00280CC8" w:rsidRDefault="00C845B4">
      <w:pPr>
        <w:ind w:firstLine="720"/>
      </w:pPr>
      <w:r>
        <w:t>3(g)</w:t>
      </w:r>
      <w:r w:rsidR="00BA36F8" w:rsidRPr="00280CC8">
        <w:tab/>
        <w:t>Sensitive Information</w:t>
      </w:r>
    </w:p>
    <w:p w14:paraId="66325FD3" w14:textId="77777777" w:rsidR="00BA36F8" w:rsidRPr="00280CC8" w:rsidRDefault="00BA36F8">
      <w:r w:rsidRPr="00280CC8">
        <w:tab/>
      </w:r>
    </w:p>
    <w:p w14:paraId="3593193D" w14:textId="319F6B65" w:rsidR="00BA36F8" w:rsidRDefault="00BA36F8">
      <w:r w:rsidRPr="00280CC8">
        <w:tab/>
      </w:r>
      <w:r w:rsidR="008C101E">
        <w:t>This information collection does not require submission of any sensitive information</w:t>
      </w:r>
      <w:r w:rsidR="00054AEF">
        <w:t xml:space="preserve"> </w:t>
      </w:r>
      <w:r w:rsidR="00886625">
        <w:t>such as</w:t>
      </w:r>
      <w:r w:rsidR="00054AEF">
        <w:t xml:space="preserve"> social security numbers or credit card information</w:t>
      </w:r>
      <w:r w:rsidR="00AD0F0F">
        <w:t>,</w:t>
      </w:r>
      <w:r w:rsidR="002C0B01" w:rsidRPr="002C0B01">
        <w:t xml:space="preserve"> sexual behavior or attitudes, religious beliefs, or other matters usually considered private.</w:t>
      </w:r>
    </w:p>
    <w:p w14:paraId="64947448" w14:textId="77777777" w:rsidR="00327196" w:rsidRPr="00280CC8" w:rsidRDefault="00327196"/>
    <w:p w14:paraId="673C0F1A" w14:textId="77777777" w:rsidR="00BA36F8" w:rsidRPr="00280CC8" w:rsidRDefault="00BA36F8"/>
    <w:p w14:paraId="061C3F67" w14:textId="77777777" w:rsidR="00BA36F8" w:rsidRPr="00C7259A" w:rsidRDefault="00BA36F8">
      <w:pPr>
        <w:rPr>
          <w:b/>
        </w:rPr>
      </w:pPr>
      <w:r w:rsidRPr="00C7259A">
        <w:rPr>
          <w:b/>
        </w:rPr>
        <w:t>4.</w:t>
      </w:r>
      <w:r w:rsidRPr="00C7259A">
        <w:rPr>
          <w:b/>
        </w:rPr>
        <w:tab/>
        <w:t>T</w:t>
      </w:r>
      <w:r w:rsidR="002C2E29" w:rsidRPr="00C7259A">
        <w:rPr>
          <w:b/>
        </w:rPr>
        <w:t>HE RESPONDENTS AND THE INFORMATION COLLECTED</w:t>
      </w:r>
    </w:p>
    <w:p w14:paraId="04B8F590" w14:textId="77777777" w:rsidR="00BA36F8" w:rsidRPr="00280CC8" w:rsidRDefault="00BA36F8"/>
    <w:p w14:paraId="46B1500E" w14:textId="77777777" w:rsidR="00BA36F8" w:rsidRPr="00280CC8" w:rsidRDefault="00BA36F8">
      <w:r w:rsidRPr="00280CC8">
        <w:tab/>
      </w:r>
      <w:r w:rsidR="002C2E29">
        <w:t>4(a)</w:t>
      </w:r>
      <w:r w:rsidRPr="00280CC8">
        <w:tab/>
        <w:t>Respondents/SIC Codes</w:t>
      </w:r>
    </w:p>
    <w:p w14:paraId="1B591283" w14:textId="77777777" w:rsidR="00126179" w:rsidRPr="00280CC8" w:rsidRDefault="00126179"/>
    <w:p w14:paraId="4327F4DF" w14:textId="77777777" w:rsidR="00126179" w:rsidRPr="00280CC8" w:rsidRDefault="00FB4B4B" w:rsidP="00126179">
      <w:pPr>
        <w:autoSpaceDE w:val="0"/>
        <w:autoSpaceDN w:val="0"/>
        <w:adjustRightInd w:val="0"/>
        <w:rPr>
          <w:szCs w:val="24"/>
        </w:rPr>
      </w:pPr>
      <w:r w:rsidRPr="00280CC8">
        <w:rPr>
          <w:szCs w:val="24"/>
          <w:lang w:val="en-CA"/>
        </w:rPr>
        <w:fldChar w:fldCharType="begin"/>
      </w:r>
      <w:r w:rsidR="00126179" w:rsidRPr="00280CC8">
        <w:rPr>
          <w:szCs w:val="24"/>
          <w:lang w:val="en-CA"/>
        </w:rPr>
        <w:instrText xml:space="preserve"> SEQ CHAPTER \h \r 1</w:instrText>
      </w:r>
      <w:r w:rsidRPr="00280CC8">
        <w:rPr>
          <w:szCs w:val="24"/>
          <w:lang w:val="en-CA"/>
        </w:rPr>
        <w:fldChar w:fldCharType="end"/>
      </w:r>
      <w:r w:rsidR="00126179" w:rsidRPr="00280CC8">
        <w:rPr>
          <w:szCs w:val="24"/>
        </w:rPr>
        <w:t>The respondents to this information collection are:</w:t>
      </w:r>
    </w:p>
    <w:p w14:paraId="6EE9DB36" w14:textId="77777777" w:rsidR="00661E93" w:rsidRPr="00280CC8" w:rsidRDefault="00661E93" w:rsidP="00661E93">
      <w:pPr>
        <w:numPr>
          <w:ilvl w:val="0"/>
          <w:numId w:val="3"/>
        </w:numPr>
        <w:autoSpaceDE w:val="0"/>
        <w:autoSpaceDN w:val="0"/>
        <w:adjustRightInd w:val="0"/>
        <w:rPr>
          <w:szCs w:val="24"/>
        </w:rPr>
      </w:pPr>
      <w:r w:rsidRPr="00280CC8">
        <w:rPr>
          <w:szCs w:val="24"/>
        </w:rPr>
        <w:t>Refiners’ testing laboratories (i.e., refiners)</w:t>
      </w:r>
    </w:p>
    <w:p w14:paraId="1C8B9C68" w14:textId="77777777" w:rsidR="00661E93" w:rsidRPr="00280CC8" w:rsidRDefault="00661E93" w:rsidP="00661E93">
      <w:pPr>
        <w:numPr>
          <w:ilvl w:val="0"/>
          <w:numId w:val="3"/>
        </w:numPr>
        <w:autoSpaceDE w:val="0"/>
        <w:autoSpaceDN w:val="0"/>
        <w:adjustRightInd w:val="0"/>
        <w:rPr>
          <w:szCs w:val="24"/>
        </w:rPr>
      </w:pPr>
      <w:r w:rsidRPr="00280CC8">
        <w:rPr>
          <w:szCs w:val="24"/>
        </w:rPr>
        <w:t>Importers’ testing laboratories (i.e., importers)</w:t>
      </w:r>
    </w:p>
    <w:p w14:paraId="32FC09F0" w14:textId="77777777" w:rsidR="00661E93" w:rsidRPr="00280CC8" w:rsidRDefault="00661E93" w:rsidP="00661E93">
      <w:pPr>
        <w:numPr>
          <w:ilvl w:val="0"/>
          <w:numId w:val="3"/>
        </w:numPr>
        <w:autoSpaceDE w:val="0"/>
        <w:autoSpaceDN w:val="0"/>
        <w:adjustRightInd w:val="0"/>
        <w:rPr>
          <w:szCs w:val="24"/>
        </w:rPr>
      </w:pPr>
      <w:r w:rsidRPr="00280CC8">
        <w:rPr>
          <w:szCs w:val="24"/>
        </w:rPr>
        <w:t>Independent fuel testing laboratories (i.e., laboratories)</w:t>
      </w:r>
    </w:p>
    <w:p w14:paraId="0A1612F5" w14:textId="77777777" w:rsidR="00126179" w:rsidRPr="00280CC8" w:rsidRDefault="00126179" w:rsidP="00126179">
      <w:pPr>
        <w:tabs>
          <w:tab w:val="left" w:pos="720"/>
          <w:tab w:val="left" w:pos="1440"/>
        </w:tabs>
        <w:autoSpaceDE w:val="0"/>
        <w:autoSpaceDN w:val="0"/>
        <w:adjustRightInd w:val="0"/>
        <w:ind w:left="1440" w:hanging="720"/>
        <w:rPr>
          <w:szCs w:val="24"/>
        </w:rPr>
      </w:pPr>
      <w:r w:rsidRPr="00280CC8">
        <w:rPr>
          <w:szCs w:val="24"/>
        </w:rPr>
        <w:tab/>
      </w:r>
    </w:p>
    <w:p w14:paraId="0BE20185" w14:textId="77777777" w:rsidR="00126179" w:rsidRDefault="00126179" w:rsidP="00126179">
      <w:pPr>
        <w:rPr>
          <w:szCs w:val="24"/>
        </w:rPr>
      </w:pPr>
      <w:r w:rsidRPr="00280CC8">
        <w:rPr>
          <w:szCs w:val="24"/>
        </w:rPr>
        <w:tab/>
        <w:t xml:space="preserve">Recordkeeping and reporting are required by the following industries, </w:t>
      </w:r>
      <w:r w:rsidRPr="00280CC8">
        <w:rPr>
          <w:i/>
          <w:iCs/>
          <w:szCs w:val="24"/>
        </w:rPr>
        <w:t>with SIC Code/2002 NAICS Code indicated in parentheses</w:t>
      </w:r>
      <w:r w:rsidRPr="00280CC8">
        <w:rPr>
          <w:szCs w:val="24"/>
        </w:rPr>
        <w:t xml:space="preserve">:  refiners (2911/324110), importers (5172/424720), </w:t>
      </w:r>
      <w:r w:rsidR="00325EFF" w:rsidRPr="00280CC8">
        <w:rPr>
          <w:szCs w:val="24"/>
        </w:rPr>
        <w:t>and laboratories</w:t>
      </w:r>
      <w:r w:rsidR="005326C6" w:rsidRPr="00280CC8">
        <w:rPr>
          <w:szCs w:val="24"/>
        </w:rPr>
        <w:t xml:space="preserve"> (8734/541380)</w:t>
      </w:r>
      <w:r w:rsidRPr="00280CC8">
        <w:rPr>
          <w:szCs w:val="24"/>
        </w:rPr>
        <w:t>.</w:t>
      </w:r>
    </w:p>
    <w:p w14:paraId="78610DDA" w14:textId="77777777" w:rsidR="00D65BA5" w:rsidRDefault="00D65BA5" w:rsidP="00126179">
      <w:pPr>
        <w:rPr>
          <w:szCs w:val="24"/>
        </w:rPr>
      </w:pPr>
    </w:p>
    <w:p w14:paraId="3E5D496D" w14:textId="6C17928E" w:rsidR="00D65BA5" w:rsidRPr="00280CC8" w:rsidRDefault="002C2E29" w:rsidP="002C2E29">
      <w:pPr>
        <w:ind w:firstLine="720"/>
      </w:pPr>
      <w:r>
        <w:rPr>
          <w:szCs w:val="24"/>
        </w:rPr>
        <w:t xml:space="preserve">We estimate that there are </w:t>
      </w:r>
      <w:r w:rsidR="001E7A2B">
        <w:rPr>
          <w:szCs w:val="24"/>
        </w:rPr>
        <w:t>1,000</w:t>
      </w:r>
      <w:r>
        <w:rPr>
          <w:szCs w:val="24"/>
        </w:rPr>
        <w:t xml:space="preserve"> </w:t>
      </w:r>
      <w:r w:rsidR="001E7A2B">
        <w:rPr>
          <w:szCs w:val="24"/>
        </w:rPr>
        <w:t>fuel testing</w:t>
      </w:r>
      <w:r>
        <w:rPr>
          <w:szCs w:val="24"/>
        </w:rPr>
        <w:t xml:space="preserve"> labs</w:t>
      </w:r>
      <w:r w:rsidR="001E7A2B">
        <w:rPr>
          <w:szCs w:val="24"/>
        </w:rPr>
        <w:t xml:space="preserve"> </w:t>
      </w:r>
      <w:r w:rsidR="008F15DE">
        <w:rPr>
          <w:szCs w:val="24"/>
        </w:rPr>
        <w:t>for gasoline and diesel fuel. All are required to engage in SQC activities.</w:t>
      </w:r>
      <w:r w:rsidR="00D65BA5" w:rsidRPr="001B4F71">
        <w:rPr>
          <w:szCs w:val="24"/>
        </w:rPr>
        <w:t xml:space="preserve"> These labs test for compliance with various fuel </w:t>
      </w:r>
      <w:r w:rsidR="007C3C31">
        <w:rPr>
          <w:szCs w:val="24"/>
        </w:rPr>
        <w:t>properties</w:t>
      </w:r>
      <w:r w:rsidR="00D65BA5" w:rsidRPr="001B4F71">
        <w:rPr>
          <w:szCs w:val="24"/>
        </w:rPr>
        <w:t>.</w:t>
      </w:r>
      <w:r w:rsidR="00AB5060">
        <w:rPr>
          <w:szCs w:val="24"/>
        </w:rPr>
        <w:t xml:space="preserve"> </w:t>
      </w:r>
      <w:r w:rsidR="00D65BA5" w:rsidRPr="001B4F71">
        <w:rPr>
          <w:szCs w:val="24"/>
        </w:rPr>
        <w:t>Fuel refiners and importers are required to hire independent certified public accountants or certified internal auditors to audit all fuel test results, volume reports, and other information that is submitted.</w:t>
      </w:r>
      <w:r w:rsidR="00180E4E">
        <w:rPr>
          <w:rStyle w:val="FootnoteReference"/>
          <w:szCs w:val="24"/>
        </w:rPr>
        <w:footnoteReference w:id="3"/>
      </w:r>
      <w:r w:rsidR="00886625">
        <w:rPr>
          <w:szCs w:val="24"/>
        </w:rPr>
        <w:t xml:space="preserve"> </w:t>
      </w:r>
      <w:r w:rsidR="00D65BA5" w:rsidRPr="001B4F71">
        <w:rPr>
          <w:szCs w:val="24"/>
        </w:rPr>
        <w:t xml:space="preserve">EPA rules place liability on refiners, importers, distributors, carriers, resellers, retail and wholesale purchase-consumers to sell or use </w:t>
      </w:r>
      <w:r w:rsidR="00886625">
        <w:rPr>
          <w:szCs w:val="24"/>
        </w:rPr>
        <w:t xml:space="preserve">gasoline and </w:t>
      </w:r>
      <w:r w:rsidR="00D65BA5" w:rsidRPr="001B4F71">
        <w:rPr>
          <w:szCs w:val="24"/>
        </w:rPr>
        <w:t xml:space="preserve">diesel fuel that meet the sulfur, benzene, volatility, toxics, and lead contamination standards. When a violation is found, </w:t>
      </w:r>
      <w:r w:rsidR="00DC4A05">
        <w:rPr>
          <w:szCs w:val="24"/>
        </w:rPr>
        <w:t xml:space="preserve">both </w:t>
      </w:r>
      <w:r w:rsidR="00D65BA5" w:rsidRPr="001B4F71">
        <w:rPr>
          <w:szCs w:val="24"/>
        </w:rPr>
        <w:t>the party in possession of the non-compliant fuel</w:t>
      </w:r>
      <w:r w:rsidR="00DC4A05">
        <w:rPr>
          <w:szCs w:val="24"/>
        </w:rPr>
        <w:t xml:space="preserve"> as well as the</w:t>
      </w:r>
      <w:r w:rsidR="009122C2">
        <w:rPr>
          <w:szCs w:val="24"/>
        </w:rPr>
        <w:t xml:space="preserve"> </w:t>
      </w:r>
      <w:r w:rsidR="00D65BA5" w:rsidRPr="009122C2">
        <w:rPr>
          <w:szCs w:val="24"/>
        </w:rPr>
        <w:t>upstream parties in the fuel distribution system</w:t>
      </w:r>
      <w:r w:rsidR="00DC4A05">
        <w:rPr>
          <w:szCs w:val="24"/>
        </w:rPr>
        <w:t xml:space="preserve"> </w:t>
      </w:r>
      <w:r w:rsidR="00D65BA5" w:rsidRPr="009122C2">
        <w:rPr>
          <w:szCs w:val="24"/>
        </w:rPr>
        <w:t xml:space="preserve">are presumed liable unless they establish a credible defense. </w:t>
      </w:r>
      <w:r w:rsidR="00DC4A05">
        <w:rPr>
          <w:szCs w:val="24"/>
        </w:rPr>
        <w:t xml:space="preserve">To protect themselves, and make sure compliance is maintained after a product leaves their hands, </w:t>
      </w:r>
      <w:r w:rsidR="00D65BA5" w:rsidRPr="009122C2">
        <w:rPr>
          <w:szCs w:val="24"/>
        </w:rPr>
        <w:t>many refiners and importers whose brands appear at retail outlets</w:t>
      </w:r>
      <w:r w:rsidR="00054AEF" w:rsidRPr="009122C2">
        <w:rPr>
          <w:szCs w:val="24"/>
        </w:rPr>
        <w:t xml:space="preserve"> </w:t>
      </w:r>
      <w:r w:rsidR="008F15DE" w:rsidRPr="009122C2">
        <w:rPr>
          <w:szCs w:val="24"/>
        </w:rPr>
        <w:t>i</w:t>
      </w:r>
      <w:r w:rsidR="00D65BA5" w:rsidRPr="009122C2">
        <w:rPr>
          <w:szCs w:val="24"/>
        </w:rPr>
        <w:t>mplement downstream quality assurance program</w:t>
      </w:r>
      <w:r w:rsidR="00DC4A05">
        <w:rPr>
          <w:szCs w:val="24"/>
        </w:rPr>
        <w:t>s</w:t>
      </w:r>
      <w:r w:rsidR="00D65BA5" w:rsidRPr="009122C2">
        <w:rPr>
          <w:szCs w:val="24"/>
        </w:rPr>
        <w:t>. EPA can fi</w:t>
      </w:r>
      <w:r w:rsidR="00D65BA5" w:rsidRPr="001B4F71">
        <w:rPr>
          <w:szCs w:val="24"/>
        </w:rPr>
        <w:t>le criminal charges against refiners, importers and independent labs should they be found to have falsified, or assisted in falsifying, test results.</w:t>
      </w:r>
    </w:p>
    <w:p w14:paraId="1BD69D5C" w14:textId="77777777" w:rsidR="00D65BA5" w:rsidRPr="00280CC8" w:rsidRDefault="00D65BA5" w:rsidP="00126179"/>
    <w:p w14:paraId="26CA1D96" w14:textId="77777777" w:rsidR="000D4AED" w:rsidRDefault="00D553A3">
      <w:r>
        <w:tab/>
      </w:r>
    </w:p>
    <w:p w14:paraId="01283E18" w14:textId="77777777" w:rsidR="000D4AED" w:rsidRDefault="000D4AED"/>
    <w:p w14:paraId="5777827C" w14:textId="32DDC701" w:rsidR="00BA36F8" w:rsidRDefault="001E7A2B" w:rsidP="000D4AED">
      <w:pPr>
        <w:ind w:firstLine="720"/>
      </w:pPr>
      <w:r>
        <w:t>4(b)</w:t>
      </w:r>
      <w:r w:rsidR="00BA36F8" w:rsidRPr="00280CC8">
        <w:tab/>
        <w:t>Information Requested</w:t>
      </w:r>
    </w:p>
    <w:p w14:paraId="1ED5C357" w14:textId="77777777" w:rsidR="00F72F27" w:rsidRDefault="00F72F27"/>
    <w:p w14:paraId="09B3907D" w14:textId="77777777" w:rsidR="00F72F27" w:rsidRPr="003965E9" w:rsidRDefault="00F72F27" w:rsidP="00327196">
      <w:pPr>
        <w:pStyle w:val="ListParagraph"/>
        <w:numPr>
          <w:ilvl w:val="0"/>
          <w:numId w:val="14"/>
        </w:numPr>
      </w:pPr>
      <w:r w:rsidRPr="003965E9">
        <w:t>Data Items</w:t>
      </w:r>
    </w:p>
    <w:p w14:paraId="48BAC182" w14:textId="77777777" w:rsidR="00F72F27" w:rsidRDefault="00F72F27" w:rsidP="00F72F27">
      <w:pPr>
        <w:pStyle w:val="ListParagraph"/>
        <w:ind w:left="1080"/>
      </w:pPr>
    </w:p>
    <w:p w14:paraId="3D5F7E47" w14:textId="70C19013" w:rsidR="00F72F27" w:rsidRDefault="00F72F27" w:rsidP="00327196">
      <w:pPr>
        <w:pStyle w:val="ListParagraph"/>
        <w:ind w:left="1440"/>
      </w:pPr>
      <w:r>
        <w:t>Knowledge of the following definitions at 40 CFR 80.47(a) is important for a thorough understanding of the recordkeeping and reporting requirements:</w:t>
      </w:r>
    </w:p>
    <w:p w14:paraId="4CC11240" w14:textId="77777777" w:rsidR="00327196" w:rsidRPr="00327196" w:rsidRDefault="00327196" w:rsidP="00327196">
      <w:pPr>
        <w:pStyle w:val="ListParagraph"/>
        <w:ind w:left="1440"/>
        <w:rPr>
          <w:szCs w:val="24"/>
        </w:rPr>
      </w:pPr>
    </w:p>
    <w:p w14:paraId="24EC0A3F"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Performance-based Analytical Test Method Approach</w:t>
      </w:r>
      <w:r w:rsidRPr="00327196">
        <w:rPr>
          <w:szCs w:val="24"/>
        </w:rPr>
        <w:t xml:space="preserve"> means a measurement system based upon established performance criteria for accuracy and precision with use of analytical test methods. As used in this subpart, this is a measurement system used by laboratories to demonstrate that a particular analytical test method is acceptable for demonstrating compliance.</w:t>
      </w:r>
    </w:p>
    <w:p w14:paraId="775DF3F7" w14:textId="77777777" w:rsidR="00327196" w:rsidRPr="00327196" w:rsidRDefault="00327196" w:rsidP="00327196">
      <w:pPr>
        <w:pStyle w:val="ListParagraph"/>
        <w:spacing w:before="100" w:beforeAutospacing="1" w:after="100" w:afterAutospacing="1"/>
        <w:ind w:left="1920"/>
        <w:rPr>
          <w:szCs w:val="24"/>
        </w:rPr>
      </w:pPr>
    </w:p>
    <w:p w14:paraId="3EDF6971"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Accuracy</w:t>
      </w:r>
      <w:r w:rsidRPr="00327196">
        <w:rPr>
          <w:szCs w:val="24"/>
        </w:rPr>
        <w:t xml:space="preserve"> means the closeness of agreement between an observed value from a single test measurement and an accepted reference value.</w:t>
      </w:r>
    </w:p>
    <w:p w14:paraId="07C13CEF" w14:textId="77777777" w:rsidR="00327196" w:rsidRPr="00327196" w:rsidRDefault="00327196" w:rsidP="00327196">
      <w:pPr>
        <w:pStyle w:val="ListParagraph"/>
        <w:spacing w:before="100" w:beforeAutospacing="1" w:after="100" w:afterAutospacing="1"/>
        <w:ind w:left="1920"/>
        <w:rPr>
          <w:szCs w:val="24"/>
        </w:rPr>
      </w:pPr>
    </w:p>
    <w:p w14:paraId="6FEEB600"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Precision</w:t>
      </w:r>
      <w:r w:rsidRPr="00327196">
        <w:rPr>
          <w:szCs w:val="24"/>
        </w:rPr>
        <w:t xml:space="preserve"> means the degree of agreement in a set of measurements performed on the same property of identical test material.</w:t>
      </w:r>
    </w:p>
    <w:p w14:paraId="42F7E0E6" w14:textId="77777777" w:rsidR="00327196" w:rsidRPr="00327196" w:rsidRDefault="00327196" w:rsidP="00327196">
      <w:pPr>
        <w:pStyle w:val="ListParagraph"/>
        <w:spacing w:before="100" w:beforeAutospacing="1" w:after="100" w:afterAutospacing="1"/>
        <w:ind w:left="1920"/>
        <w:rPr>
          <w:szCs w:val="24"/>
        </w:rPr>
      </w:pPr>
    </w:p>
    <w:p w14:paraId="67481F9F"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Absolute fuel parameter</w:t>
      </w:r>
      <w:r w:rsidRPr="00327196">
        <w:rPr>
          <w:szCs w:val="24"/>
        </w:rPr>
        <w:t xml:space="preserve"> means a fuel parameter for which a gravimetric standard is practical to construct and use. Sulfur content of gasoline, butane, or diesel fuel are examples of an absolute fuel parameter.</w:t>
      </w:r>
    </w:p>
    <w:p w14:paraId="65A45C32" w14:textId="77777777" w:rsidR="00327196" w:rsidRPr="00327196" w:rsidRDefault="00327196" w:rsidP="00327196">
      <w:pPr>
        <w:pStyle w:val="ListParagraph"/>
        <w:spacing w:before="100" w:beforeAutospacing="1" w:after="100" w:afterAutospacing="1"/>
        <w:ind w:left="1920"/>
        <w:rPr>
          <w:szCs w:val="24"/>
        </w:rPr>
      </w:pPr>
    </w:p>
    <w:p w14:paraId="3CDE4430"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Gravimetric standard</w:t>
      </w:r>
      <w:r w:rsidRPr="00327196">
        <w:rPr>
          <w:szCs w:val="24"/>
        </w:rPr>
        <w:t xml:space="preserve"> means a test material made by adding a carefully weighed quantity of the analyte to a measured quantity of another substance known not to contain any of the analyte, resulting in a solution with an accurately known concentrate of the analyte</w:t>
      </w:r>
      <w:r w:rsidR="00327196" w:rsidRPr="00327196">
        <w:rPr>
          <w:szCs w:val="24"/>
        </w:rPr>
        <w:t>.</w:t>
      </w:r>
    </w:p>
    <w:p w14:paraId="0B960300" w14:textId="77777777" w:rsidR="00327196" w:rsidRPr="00327196" w:rsidRDefault="00327196" w:rsidP="00327196">
      <w:pPr>
        <w:pStyle w:val="ListParagraph"/>
        <w:spacing w:before="100" w:beforeAutospacing="1" w:after="100" w:afterAutospacing="1"/>
        <w:ind w:left="1920"/>
        <w:rPr>
          <w:szCs w:val="24"/>
        </w:rPr>
      </w:pPr>
    </w:p>
    <w:p w14:paraId="38DF6C44"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Consensus named fuels</w:t>
      </w:r>
      <w:r w:rsidRPr="00327196">
        <w:rPr>
          <w:szCs w:val="24"/>
        </w:rPr>
        <w:t xml:space="preserve"> are homogeneous quantities of fuel that have been analyzed by a number of different laboratories (by sending around small samples). The average concentration of some parameter of interest across all of the different laboratories is then used as the “consensus name” for that material.</w:t>
      </w:r>
    </w:p>
    <w:p w14:paraId="0D1874A5" w14:textId="77777777" w:rsidR="00327196" w:rsidRPr="00327196" w:rsidRDefault="00327196" w:rsidP="00327196">
      <w:pPr>
        <w:pStyle w:val="ListParagraph"/>
        <w:spacing w:before="100" w:beforeAutospacing="1" w:after="100" w:afterAutospacing="1"/>
        <w:ind w:left="1920"/>
        <w:rPr>
          <w:szCs w:val="24"/>
        </w:rPr>
      </w:pPr>
    </w:p>
    <w:p w14:paraId="707920BD"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Locally-named reference materials</w:t>
      </w:r>
      <w:r w:rsidRPr="00327196">
        <w:rPr>
          <w:szCs w:val="24"/>
        </w:rPr>
        <w:t xml:space="preserve"> are gasoline or diesel fuels that are usually from the regular production of the facility where they are used in laboratory quality control efforts and have been analyzed using the designated method (either by the facility's lab or by a reference lab) to obtain an estimate of their concentration.</w:t>
      </w:r>
    </w:p>
    <w:p w14:paraId="35818C58" w14:textId="77777777" w:rsidR="00327196" w:rsidRPr="00327196" w:rsidRDefault="00327196" w:rsidP="00327196">
      <w:pPr>
        <w:pStyle w:val="ListParagraph"/>
        <w:spacing w:before="100" w:beforeAutospacing="1" w:after="100" w:afterAutospacing="1"/>
        <w:ind w:left="1920"/>
        <w:rPr>
          <w:szCs w:val="24"/>
        </w:rPr>
      </w:pPr>
    </w:p>
    <w:p w14:paraId="30EE0E41"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Method-defined fuel parameter</w:t>
      </w:r>
      <w:r w:rsidRPr="00327196">
        <w:rPr>
          <w:szCs w:val="24"/>
        </w:rPr>
        <w:t xml:space="preserve"> means a fuel parameter for which an EPA-prescribed primary test method or designated method defines the regulatory standard. Examples of method-defined fuel parameters include olefin content in gasoline, Reid vapor pressure (RVP) of gasoline, distillation parameters of gasoline, benzene content of gasoline, aromatic content of gasoline and diesel fuel, and oxygen/oxygenates content of gasoline.</w:t>
      </w:r>
    </w:p>
    <w:p w14:paraId="66643632" w14:textId="77777777" w:rsidR="00327196" w:rsidRPr="00327196" w:rsidRDefault="00327196" w:rsidP="00327196">
      <w:pPr>
        <w:pStyle w:val="ListParagraph"/>
        <w:spacing w:before="100" w:beforeAutospacing="1" w:after="100" w:afterAutospacing="1"/>
        <w:ind w:left="1920"/>
        <w:rPr>
          <w:szCs w:val="24"/>
        </w:rPr>
      </w:pPr>
    </w:p>
    <w:p w14:paraId="3F2A66EF"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Reference installations</w:t>
      </w:r>
      <w:r w:rsidRPr="00327196">
        <w:rPr>
          <w:szCs w:val="24"/>
        </w:rPr>
        <w:t xml:space="preserve"> are designated test method installations that are used to qualify the accuracy of other method-defined parameter instruments. Reference installations of the designated test method will be used to evaluate the accuracy of other method-defined alternative test methods and to establish correlation equations if necessary.</w:t>
      </w:r>
    </w:p>
    <w:p w14:paraId="32FECD93" w14:textId="77777777" w:rsidR="00327196" w:rsidRPr="00327196" w:rsidRDefault="00327196" w:rsidP="00327196">
      <w:pPr>
        <w:pStyle w:val="ListParagraph"/>
        <w:spacing w:before="100" w:beforeAutospacing="1" w:after="100" w:afterAutospacing="1"/>
        <w:ind w:left="1920"/>
        <w:rPr>
          <w:szCs w:val="24"/>
        </w:rPr>
      </w:pPr>
    </w:p>
    <w:p w14:paraId="5384AC31"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Correlation equation</w:t>
      </w:r>
      <w:r w:rsidRPr="00327196">
        <w:rPr>
          <w:szCs w:val="24"/>
        </w:rPr>
        <w:t xml:space="preserve"> is a correction equation as determined by the use of ASTM D6708. This standard practice determines whether the comparison between the alternative test method and the designated test method is a null result. If the comparison is not null, then the standard practice provides for a correlation equation that predicts designated test method results from the applicable method-defined alternative test method.</w:t>
      </w:r>
    </w:p>
    <w:p w14:paraId="4E241901" w14:textId="77777777" w:rsidR="00327196" w:rsidRPr="00327196" w:rsidRDefault="00327196" w:rsidP="00327196">
      <w:pPr>
        <w:pStyle w:val="ListParagraph"/>
        <w:spacing w:before="100" w:beforeAutospacing="1" w:after="100" w:afterAutospacing="1"/>
        <w:ind w:left="1920"/>
        <w:rPr>
          <w:szCs w:val="24"/>
        </w:rPr>
      </w:pPr>
    </w:p>
    <w:p w14:paraId="2B3566D2"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Statistical quality control (SQC)</w:t>
      </w:r>
      <w:r w:rsidRPr="00327196">
        <w:rPr>
          <w:szCs w:val="24"/>
        </w:rPr>
        <w:t xml:space="preserve"> means a planned system of activities whose purpose is to provide a level of quality that meets the needs of compliance with the standards of this part. This subpart prescribes specific SQC requirements for both absolute and method driven fuel parameters for both voluntary and non-voluntary consensus-based standards bodies.</w:t>
      </w:r>
    </w:p>
    <w:p w14:paraId="7E0C0C44" w14:textId="77777777" w:rsidR="00327196" w:rsidRPr="00327196" w:rsidRDefault="00327196" w:rsidP="00327196">
      <w:pPr>
        <w:pStyle w:val="ListParagraph"/>
        <w:spacing w:before="100" w:beforeAutospacing="1" w:after="100" w:afterAutospacing="1"/>
        <w:ind w:left="1920"/>
        <w:rPr>
          <w:szCs w:val="24"/>
        </w:rPr>
      </w:pPr>
    </w:p>
    <w:p w14:paraId="6B58DD74" w14:textId="77777777" w:rsidR="00327196" w:rsidRPr="00327196" w:rsidRDefault="00F72F27" w:rsidP="00327196">
      <w:pPr>
        <w:pStyle w:val="ListParagraph"/>
        <w:numPr>
          <w:ilvl w:val="0"/>
          <w:numId w:val="15"/>
        </w:numPr>
        <w:spacing w:before="100" w:beforeAutospacing="1" w:after="100" w:afterAutospacing="1"/>
        <w:rPr>
          <w:szCs w:val="24"/>
        </w:rPr>
      </w:pPr>
      <w:r w:rsidRPr="00327196">
        <w:rPr>
          <w:i/>
          <w:iCs/>
          <w:szCs w:val="24"/>
        </w:rPr>
        <w:t>Voluntary consensus-based standards body (VCSB)</w:t>
      </w:r>
      <w:r w:rsidRPr="00327196">
        <w:rPr>
          <w:szCs w:val="24"/>
        </w:rPr>
        <w:t xml:space="preserve"> means a domestic or international organization that plans, develops, establishes, or coordinates voluntary consensus standards using agreed-upon procedures and which possesses the attributes of openness, balance of interest, due process, and consensus, as explained in OMB Circular A-119 and the National Technology Transfer and Advancement Act of 1995, P.L. 104-113, sec. 12(d).</w:t>
      </w:r>
    </w:p>
    <w:p w14:paraId="3C1BAD95" w14:textId="77777777" w:rsidR="00327196" w:rsidRPr="00327196" w:rsidRDefault="00327196" w:rsidP="00327196">
      <w:pPr>
        <w:pStyle w:val="ListParagraph"/>
        <w:spacing w:before="100" w:beforeAutospacing="1" w:after="100" w:afterAutospacing="1"/>
        <w:ind w:left="1920"/>
        <w:rPr>
          <w:szCs w:val="24"/>
        </w:rPr>
      </w:pPr>
    </w:p>
    <w:p w14:paraId="0EAD21E4" w14:textId="0CDF0A58" w:rsidR="00F72F27" w:rsidRPr="00327196" w:rsidRDefault="00F72F27" w:rsidP="00327196">
      <w:pPr>
        <w:pStyle w:val="ListParagraph"/>
        <w:numPr>
          <w:ilvl w:val="0"/>
          <w:numId w:val="15"/>
        </w:numPr>
        <w:spacing w:before="100" w:beforeAutospacing="1" w:after="100" w:afterAutospacing="1"/>
        <w:rPr>
          <w:szCs w:val="24"/>
        </w:rPr>
      </w:pPr>
      <w:r w:rsidRPr="00327196">
        <w:rPr>
          <w:i/>
          <w:iCs/>
          <w:szCs w:val="24"/>
        </w:rPr>
        <w:t>Non-voluntary consensus-based standards body (non-VCSB)</w:t>
      </w:r>
      <w:r w:rsidRPr="00327196">
        <w:rPr>
          <w:szCs w:val="24"/>
        </w:rPr>
        <w:t xml:space="preserve"> means a domestic or international regulated party that has developed a proprietary analytical test method that has not been adopted by a VCSB organization.</w:t>
      </w:r>
    </w:p>
    <w:p w14:paraId="61BB1B6A" w14:textId="77777777" w:rsidR="00327196" w:rsidRDefault="00327196" w:rsidP="00327196">
      <w:pPr>
        <w:pStyle w:val="ListParagraph"/>
        <w:ind w:left="0"/>
        <w:rPr>
          <w:rFonts w:ascii="Arial" w:hAnsi="Arial" w:cs="Arial"/>
          <w:sz w:val="21"/>
          <w:szCs w:val="21"/>
        </w:rPr>
      </w:pPr>
    </w:p>
    <w:p w14:paraId="22F9DC81" w14:textId="2508E80E" w:rsidR="00F72F27" w:rsidRDefault="00F72F27" w:rsidP="00327196">
      <w:pPr>
        <w:pStyle w:val="ListParagraph"/>
        <w:numPr>
          <w:ilvl w:val="0"/>
          <w:numId w:val="14"/>
        </w:numPr>
      </w:pPr>
      <w:r>
        <w:t>Recordkeeping and Reporting Requirements</w:t>
      </w:r>
      <w:r w:rsidR="00615660">
        <w:t xml:space="preserve"> for a Laboratory</w:t>
      </w:r>
      <w:r w:rsidR="00504A6F">
        <w:t xml:space="preserve"> (</w:t>
      </w:r>
      <w:r w:rsidR="00E240D9">
        <w:t xml:space="preserve">generation, storage, and reporting of </w:t>
      </w:r>
      <w:r w:rsidR="00BE3F07">
        <w:t xml:space="preserve">test method </w:t>
      </w:r>
      <w:r w:rsidR="00E240D9">
        <w:t xml:space="preserve">records </w:t>
      </w:r>
      <w:r w:rsidR="00504A6F">
        <w:t>per the cited regulations below in 40 CFR 80)</w:t>
      </w:r>
    </w:p>
    <w:p w14:paraId="668D0EF0" w14:textId="77777777" w:rsidR="00F72F27" w:rsidRDefault="00F72F27" w:rsidP="00F72F27">
      <w:pPr>
        <w:pStyle w:val="ListParagraph"/>
        <w:ind w:left="0" w:firstLine="720"/>
      </w:pPr>
    </w:p>
    <w:p w14:paraId="4C82F15E" w14:textId="77777777" w:rsidR="00F72F27" w:rsidRDefault="007C3C31" w:rsidP="00BE41EA">
      <w:pPr>
        <w:pStyle w:val="ListParagraph"/>
        <w:numPr>
          <w:ilvl w:val="0"/>
          <w:numId w:val="8"/>
        </w:numPr>
        <w:ind w:left="1800"/>
      </w:pPr>
      <w:r>
        <w:t>Sulfur in Gasoline (absolute fuel parameter)</w:t>
      </w:r>
    </w:p>
    <w:p w14:paraId="5672775E" w14:textId="77777777" w:rsidR="007C3C31" w:rsidRDefault="00504A6F" w:rsidP="00BE41EA">
      <w:pPr>
        <w:pStyle w:val="ListParagraph"/>
        <w:ind w:left="1800"/>
      </w:pPr>
      <w:r>
        <w:t xml:space="preserve">(Designated </w:t>
      </w:r>
      <w:r w:rsidR="008F15DE">
        <w:t xml:space="preserve">Primary </w:t>
      </w:r>
      <w:r>
        <w:t>Test Method (D</w:t>
      </w:r>
      <w:r w:rsidR="008F15DE">
        <w:t>P</w:t>
      </w:r>
      <w:r>
        <w:t>TM) – ASTM D2622-10)</w:t>
      </w:r>
    </w:p>
    <w:p w14:paraId="005A3149" w14:textId="77777777" w:rsidR="00504A6F" w:rsidRDefault="00504A6F" w:rsidP="00BE41EA">
      <w:pPr>
        <w:pStyle w:val="ListParagraph"/>
        <w:ind w:left="1800"/>
      </w:pPr>
    </w:p>
    <w:p w14:paraId="1F2172B9" w14:textId="77777777" w:rsidR="00504A6F" w:rsidRDefault="00504A6F" w:rsidP="00BE41EA">
      <w:pPr>
        <w:pStyle w:val="ListParagraph"/>
        <w:ind w:left="1800"/>
      </w:pPr>
      <w:r>
        <w:t>VCSB Alternative Test Method (ATM)</w:t>
      </w:r>
      <w:r w:rsidR="00E240D9">
        <w:t xml:space="preserve"> – Self-qualification</w:t>
      </w:r>
    </w:p>
    <w:p w14:paraId="613AD555" w14:textId="77777777" w:rsidR="00504A6F" w:rsidRDefault="00504A6F" w:rsidP="00BE41EA">
      <w:pPr>
        <w:pStyle w:val="ListParagraph"/>
        <w:ind w:left="1800"/>
      </w:pPr>
      <w:r>
        <w:tab/>
        <w:t>Precision and accuracy – 80.47(b)</w:t>
      </w:r>
    </w:p>
    <w:p w14:paraId="291719F6" w14:textId="6890775A" w:rsidR="00504A6F" w:rsidRDefault="00504A6F" w:rsidP="00BE41EA">
      <w:pPr>
        <w:pStyle w:val="ListParagraph"/>
        <w:ind w:left="1800"/>
      </w:pPr>
      <w:r>
        <w:tab/>
      </w:r>
      <w:r>
        <w:tab/>
      </w:r>
      <w:r>
        <w:tab/>
        <w:t xml:space="preserve">     SQC</w:t>
      </w:r>
      <w:r w:rsidR="00A40A32">
        <w:t xml:space="preserve"> </w:t>
      </w:r>
      <w:r w:rsidR="000C363E">
        <w:t>–</w:t>
      </w:r>
      <w:r>
        <w:t xml:space="preserve"> 80.47(n)</w:t>
      </w:r>
    </w:p>
    <w:p w14:paraId="764BC469" w14:textId="093FA252" w:rsidR="00504A6F" w:rsidRDefault="00504A6F" w:rsidP="00BE41EA">
      <w:pPr>
        <w:pStyle w:val="ListParagraph"/>
        <w:ind w:left="1800"/>
      </w:pPr>
      <w:r>
        <w:tab/>
      </w:r>
      <w:r>
        <w:tab/>
        <w:t xml:space="preserve"> Recordkeeping – 80.47(q)</w:t>
      </w:r>
    </w:p>
    <w:p w14:paraId="53BAEC60" w14:textId="77777777" w:rsidR="00E240D9" w:rsidRDefault="00E240D9" w:rsidP="00BE41EA">
      <w:pPr>
        <w:pStyle w:val="ListParagraph"/>
        <w:ind w:left="1800"/>
      </w:pPr>
    </w:p>
    <w:p w14:paraId="450AFF02" w14:textId="77777777" w:rsidR="00E240D9" w:rsidRDefault="00E240D9" w:rsidP="00BE41EA">
      <w:pPr>
        <w:pStyle w:val="ListParagraph"/>
        <w:ind w:left="1800"/>
      </w:pPr>
      <w:r>
        <w:t xml:space="preserve">Non-VCSB ATM – </w:t>
      </w:r>
      <w:r w:rsidR="00C148CA">
        <w:t>Self-qualification</w:t>
      </w:r>
    </w:p>
    <w:p w14:paraId="51E5CB4A" w14:textId="77777777" w:rsidR="00E240D9" w:rsidRDefault="00E240D9" w:rsidP="00BE41EA">
      <w:pPr>
        <w:pStyle w:val="ListParagraph"/>
        <w:ind w:left="1800"/>
      </w:pPr>
      <w:r>
        <w:tab/>
        <w:t>Precision and accuracy – 80.47(b)</w:t>
      </w:r>
    </w:p>
    <w:p w14:paraId="77B4AE5F" w14:textId="77777777" w:rsidR="00E240D9" w:rsidRDefault="00E240D9" w:rsidP="00BE41EA">
      <w:pPr>
        <w:pStyle w:val="ListParagraph"/>
        <w:ind w:left="1800"/>
      </w:pPr>
      <w:r>
        <w:tab/>
      </w:r>
      <w:r>
        <w:tab/>
      </w:r>
      <w:r w:rsidR="00C148CA">
        <w:t xml:space="preserve">    </w:t>
      </w:r>
      <w:r>
        <w:t xml:space="preserve">Qualification </w:t>
      </w:r>
      <w:r w:rsidR="00C148CA">
        <w:t>–</w:t>
      </w:r>
      <w:r>
        <w:t xml:space="preserve"> </w:t>
      </w:r>
      <w:r w:rsidR="00C148CA">
        <w:t>80.47(l)</w:t>
      </w:r>
    </w:p>
    <w:p w14:paraId="69926034" w14:textId="77777777" w:rsidR="00C148CA" w:rsidRDefault="00C148CA" w:rsidP="00BE41EA">
      <w:pPr>
        <w:pStyle w:val="ListParagraph"/>
        <w:ind w:left="1800"/>
      </w:pPr>
      <w:r>
        <w:tab/>
      </w:r>
      <w:r>
        <w:tab/>
      </w:r>
      <w:r>
        <w:tab/>
        <w:t xml:space="preserve">     SQC – 80.47(n)</w:t>
      </w:r>
    </w:p>
    <w:p w14:paraId="2F81A819" w14:textId="17F726D6" w:rsidR="00C148CA" w:rsidRDefault="00C148CA" w:rsidP="00BE41EA">
      <w:pPr>
        <w:pStyle w:val="ListParagraph"/>
        <w:ind w:left="1800"/>
      </w:pPr>
      <w:r>
        <w:tab/>
      </w:r>
      <w:r>
        <w:tab/>
      </w:r>
      <w:r w:rsidR="00EC556C">
        <w:t xml:space="preserve"> </w:t>
      </w:r>
      <w:r>
        <w:t>Recordkeeping – 80.47(q)</w:t>
      </w:r>
    </w:p>
    <w:p w14:paraId="1C1A8E91" w14:textId="77777777" w:rsidR="00764A4F" w:rsidRDefault="00764A4F" w:rsidP="00BE41EA">
      <w:pPr>
        <w:ind w:left="1440"/>
      </w:pPr>
    </w:p>
    <w:p w14:paraId="41DC0F17" w14:textId="77777777" w:rsidR="00764A4F" w:rsidRDefault="00764A4F" w:rsidP="00BE41EA">
      <w:pPr>
        <w:pStyle w:val="ListParagraph"/>
        <w:numPr>
          <w:ilvl w:val="0"/>
          <w:numId w:val="8"/>
        </w:numPr>
        <w:ind w:left="1800"/>
      </w:pPr>
      <w:r>
        <w:t>Sulfur in Butane (absolute fuel parameter)</w:t>
      </w:r>
    </w:p>
    <w:p w14:paraId="323BCAF6" w14:textId="77777777" w:rsidR="00764A4F" w:rsidRDefault="00764A4F" w:rsidP="00BE41EA">
      <w:pPr>
        <w:pStyle w:val="ListParagraph"/>
        <w:ind w:left="1800"/>
      </w:pPr>
      <w:r>
        <w:t>(D</w:t>
      </w:r>
      <w:r w:rsidR="008F15DE">
        <w:t>P</w:t>
      </w:r>
      <w:r>
        <w:t>TM – ASTM D6667-10)</w:t>
      </w:r>
    </w:p>
    <w:p w14:paraId="3AE5FE88" w14:textId="77777777" w:rsidR="00764A4F" w:rsidRDefault="00764A4F" w:rsidP="00BE41EA">
      <w:pPr>
        <w:ind w:left="720"/>
      </w:pPr>
    </w:p>
    <w:p w14:paraId="246285F8" w14:textId="77777777" w:rsidR="00764A4F" w:rsidRDefault="00764A4F" w:rsidP="00BE41EA">
      <w:pPr>
        <w:ind w:left="1800"/>
      </w:pPr>
      <w:r>
        <w:t>VCSB ATM – Self-qualification</w:t>
      </w:r>
    </w:p>
    <w:p w14:paraId="72BA3769" w14:textId="77777777" w:rsidR="00764A4F" w:rsidRDefault="00764A4F" w:rsidP="00BE41EA">
      <w:pPr>
        <w:ind w:left="1800"/>
      </w:pPr>
      <w:r>
        <w:tab/>
        <w:t>Precision and accuracy – 80.47(c)</w:t>
      </w:r>
    </w:p>
    <w:p w14:paraId="6CEC9973" w14:textId="77777777" w:rsidR="00764A4F" w:rsidRDefault="00764A4F" w:rsidP="00BE41EA">
      <w:pPr>
        <w:ind w:left="1800"/>
      </w:pPr>
      <w:r>
        <w:tab/>
      </w:r>
      <w:r>
        <w:tab/>
      </w:r>
      <w:r>
        <w:tab/>
        <w:t xml:space="preserve">     SQC – 80.47(n)</w:t>
      </w:r>
    </w:p>
    <w:p w14:paraId="4BC7B69B" w14:textId="07AD2E6F" w:rsidR="00764A4F" w:rsidRDefault="00764A4F" w:rsidP="00A40A32">
      <w:pPr>
        <w:ind w:left="1800"/>
      </w:pPr>
      <w:r>
        <w:tab/>
        <w:t xml:space="preserve"> </w:t>
      </w:r>
      <w:r w:rsidR="00A40A32">
        <w:t xml:space="preserve">            </w:t>
      </w:r>
      <w:r>
        <w:t>Recordkeeping</w:t>
      </w:r>
      <w:r w:rsidR="00A40A32">
        <w:t xml:space="preserve"> –</w:t>
      </w:r>
      <w:r>
        <w:t xml:space="preserve"> 80.47(q)</w:t>
      </w:r>
    </w:p>
    <w:p w14:paraId="47B52C74" w14:textId="77777777" w:rsidR="00764A4F" w:rsidRDefault="00764A4F" w:rsidP="00BE41EA">
      <w:pPr>
        <w:ind w:left="1800"/>
      </w:pPr>
    </w:p>
    <w:p w14:paraId="54918B05" w14:textId="77777777" w:rsidR="00764A4F" w:rsidRDefault="00764A4F" w:rsidP="00BE41EA">
      <w:pPr>
        <w:ind w:left="1800"/>
      </w:pPr>
      <w:r>
        <w:t>Non-VCSB ATM – Self-qualification</w:t>
      </w:r>
    </w:p>
    <w:p w14:paraId="6E8F16EE" w14:textId="77777777" w:rsidR="00764A4F" w:rsidRDefault="00764A4F" w:rsidP="00BE41EA">
      <w:pPr>
        <w:ind w:left="1800"/>
      </w:pPr>
      <w:r>
        <w:tab/>
        <w:t>Precision and accuracy – 80.47(c)</w:t>
      </w:r>
    </w:p>
    <w:p w14:paraId="026F99AF" w14:textId="77777777" w:rsidR="00764A4F" w:rsidRDefault="00764A4F" w:rsidP="00BE41EA">
      <w:pPr>
        <w:ind w:left="1800"/>
      </w:pPr>
      <w:r>
        <w:tab/>
      </w:r>
      <w:r>
        <w:tab/>
        <w:t xml:space="preserve">    Qualification – 80.47(l)</w:t>
      </w:r>
    </w:p>
    <w:p w14:paraId="0E676D60" w14:textId="77777777" w:rsidR="00764A4F" w:rsidRDefault="00764A4F" w:rsidP="00BE41EA">
      <w:pPr>
        <w:ind w:left="1800"/>
      </w:pPr>
      <w:r>
        <w:tab/>
      </w:r>
      <w:r>
        <w:tab/>
      </w:r>
      <w:r>
        <w:tab/>
        <w:t xml:space="preserve">     SQC – 80.47(n)</w:t>
      </w:r>
    </w:p>
    <w:p w14:paraId="30DBA218" w14:textId="77777777" w:rsidR="00764A4F" w:rsidRDefault="00764A4F" w:rsidP="00BE41EA">
      <w:pPr>
        <w:ind w:left="1800"/>
      </w:pPr>
      <w:r>
        <w:tab/>
      </w:r>
      <w:r>
        <w:tab/>
        <w:t xml:space="preserve"> Recordkeeping – 80.47(q)</w:t>
      </w:r>
    </w:p>
    <w:p w14:paraId="3DAFEE30" w14:textId="77777777" w:rsidR="003C785B" w:rsidRDefault="003C785B" w:rsidP="00BE41EA">
      <w:pPr>
        <w:ind w:left="720"/>
      </w:pPr>
    </w:p>
    <w:p w14:paraId="215180FB" w14:textId="77777777" w:rsidR="003C785B" w:rsidRDefault="003C785B" w:rsidP="00BE41EA">
      <w:pPr>
        <w:pStyle w:val="ListParagraph"/>
        <w:numPr>
          <w:ilvl w:val="0"/>
          <w:numId w:val="8"/>
        </w:numPr>
        <w:ind w:left="1800"/>
      </w:pPr>
      <w:r>
        <w:t>Olefins in Gasoline (method-defined fuel parameter)</w:t>
      </w:r>
    </w:p>
    <w:p w14:paraId="4ECDD2FB" w14:textId="77777777" w:rsidR="003C785B" w:rsidRDefault="003C785B" w:rsidP="00BE41EA">
      <w:pPr>
        <w:pStyle w:val="ListParagraph"/>
        <w:ind w:left="1800"/>
      </w:pPr>
      <w:r>
        <w:t>(D</w:t>
      </w:r>
      <w:r w:rsidR="008F15DE">
        <w:t>P</w:t>
      </w:r>
      <w:r>
        <w:t>TM – ASTM D1319-13)</w:t>
      </w:r>
    </w:p>
    <w:p w14:paraId="4923D10F" w14:textId="77777777" w:rsidR="003C785B" w:rsidRDefault="003C785B" w:rsidP="00BE41EA">
      <w:pPr>
        <w:pStyle w:val="ListParagraph"/>
        <w:ind w:left="1800"/>
      </w:pPr>
    </w:p>
    <w:p w14:paraId="7E17F92C" w14:textId="77777777" w:rsidR="003C785B" w:rsidRDefault="003C785B" w:rsidP="00BE41EA">
      <w:pPr>
        <w:pStyle w:val="ListParagraph"/>
        <w:ind w:left="1800"/>
      </w:pPr>
      <w:r>
        <w:t>VCSB ATM – Self-qualified</w:t>
      </w:r>
    </w:p>
    <w:p w14:paraId="78BF0D2F" w14:textId="77777777" w:rsidR="003C785B" w:rsidRDefault="003C785B" w:rsidP="00BE41EA">
      <w:pPr>
        <w:pStyle w:val="ListParagraph"/>
        <w:ind w:left="1800"/>
      </w:pPr>
      <w:r>
        <w:tab/>
      </w:r>
      <w:r>
        <w:tab/>
        <w:t>Precision – 80.47(d)</w:t>
      </w:r>
    </w:p>
    <w:p w14:paraId="5469BC2F" w14:textId="77777777" w:rsidR="003C785B" w:rsidRDefault="003C785B" w:rsidP="00BE41EA">
      <w:pPr>
        <w:pStyle w:val="ListParagraph"/>
        <w:ind w:left="1800"/>
      </w:pPr>
      <w:r>
        <w:tab/>
      </w:r>
      <w:r>
        <w:tab/>
        <w:t xml:space="preserve">Accuracy – 80.47(k) (reference installations/labs </w:t>
      </w:r>
      <w:r w:rsidR="00166C7A">
        <w:t>required</w:t>
      </w:r>
      <w:r>
        <w:t>)</w:t>
      </w:r>
    </w:p>
    <w:p w14:paraId="77653781" w14:textId="77777777" w:rsidR="003C785B" w:rsidRDefault="003C785B" w:rsidP="00BE41EA">
      <w:pPr>
        <w:pStyle w:val="ListParagraph"/>
        <w:ind w:left="1800"/>
      </w:pPr>
      <w:r>
        <w:tab/>
      </w:r>
      <w:r w:rsidR="008F15DE">
        <w:t xml:space="preserve">       </w:t>
      </w:r>
      <w:r>
        <w:t xml:space="preserve">Qualification </w:t>
      </w:r>
      <w:r w:rsidR="008F15DE">
        <w:t>–</w:t>
      </w:r>
      <w:r>
        <w:t xml:space="preserve"> </w:t>
      </w:r>
      <w:r w:rsidR="008F15DE">
        <w:t>80.47(l)</w:t>
      </w:r>
    </w:p>
    <w:p w14:paraId="010F474E" w14:textId="77777777" w:rsidR="008F15DE" w:rsidRDefault="008F15DE" w:rsidP="00BE41EA">
      <w:pPr>
        <w:pStyle w:val="ListParagraph"/>
        <w:ind w:left="1800"/>
      </w:pPr>
      <w:r>
        <w:tab/>
      </w:r>
      <w:r>
        <w:tab/>
        <w:t xml:space="preserve">        SQC – 80.47(o)</w:t>
      </w:r>
    </w:p>
    <w:p w14:paraId="422F1D21" w14:textId="77777777" w:rsidR="008F15DE" w:rsidRDefault="008F15DE" w:rsidP="00BE41EA">
      <w:pPr>
        <w:pStyle w:val="ListParagraph"/>
        <w:ind w:left="1800"/>
      </w:pPr>
      <w:r>
        <w:t xml:space="preserve">          Recordkeeping – 80.47(q)</w:t>
      </w:r>
    </w:p>
    <w:p w14:paraId="247D51C2" w14:textId="77777777" w:rsidR="00166C7A" w:rsidRDefault="00166C7A" w:rsidP="00BE41EA">
      <w:pPr>
        <w:pStyle w:val="ListParagraph"/>
        <w:ind w:left="1800"/>
      </w:pPr>
    </w:p>
    <w:p w14:paraId="76B64B73" w14:textId="77777777" w:rsidR="00166C7A" w:rsidRDefault="00166C7A" w:rsidP="00BE41EA">
      <w:pPr>
        <w:pStyle w:val="ListParagraph"/>
        <w:ind w:left="1800"/>
      </w:pPr>
      <w:r>
        <w:t>Non-VCSB ATM – EPA approval required</w:t>
      </w:r>
    </w:p>
    <w:p w14:paraId="4A798206" w14:textId="77777777" w:rsidR="00166C7A" w:rsidRDefault="00166C7A" w:rsidP="00BE41EA">
      <w:pPr>
        <w:pStyle w:val="ListParagraph"/>
        <w:ind w:left="1800"/>
      </w:pPr>
      <w:r>
        <w:tab/>
      </w:r>
      <w:r>
        <w:tab/>
        <w:t>Precision – 80.47(d)</w:t>
      </w:r>
    </w:p>
    <w:p w14:paraId="327DF4C6" w14:textId="77777777" w:rsidR="00166C7A" w:rsidRDefault="00166C7A" w:rsidP="00BE41EA">
      <w:pPr>
        <w:pStyle w:val="ListParagraph"/>
        <w:ind w:left="1800"/>
      </w:pPr>
      <w:r>
        <w:tab/>
      </w:r>
      <w:r>
        <w:tab/>
        <w:t>Accuracy – 80.47(k) (reference installations required)</w:t>
      </w:r>
    </w:p>
    <w:p w14:paraId="25242C8B" w14:textId="77777777" w:rsidR="00166C7A" w:rsidRDefault="00166C7A" w:rsidP="00BE41EA">
      <w:pPr>
        <w:pStyle w:val="ListParagraph"/>
        <w:ind w:left="1800"/>
      </w:pPr>
      <w:r>
        <w:t xml:space="preserve">             Qualification – 80.47(m) (report to EPA)</w:t>
      </w:r>
    </w:p>
    <w:p w14:paraId="77CD9773" w14:textId="77777777" w:rsidR="00166C7A" w:rsidRDefault="00166C7A" w:rsidP="00BE41EA">
      <w:pPr>
        <w:pStyle w:val="ListParagraph"/>
        <w:ind w:left="1800"/>
      </w:pPr>
      <w:r>
        <w:t xml:space="preserve">                          SQC – 80.47(p)</w:t>
      </w:r>
    </w:p>
    <w:p w14:paraId="25381782" w14:textId="77777777" w:rsidR="00166C7A" w:rsidRDefault="00CD66AC" w:rsidP="00BE41EA">
      <w:pPr>
        <w:pStyle w:val="ListParagraph"/>
        <w:ind w:left="1800"/>
      </w:pPr>
      <w:r>
        <w:t xml:space="preserve">          Recordkeeping – 80.47(q) (lab seeking approval)</w:t>
      </w:r>
    </w:p>
    <w:p w14:paraId="73EA8C19" w14:textId="77777777" w:rsidR="00CD66AC" w:rsidRDefault="00CD66AC" w:rsidP="00BE41EA">
      <w:pPr>
        <w:pStyle w:val="ListParagraph"/>
        <w:ind w:left="1800"/>
      </w:pPr>
      <w:r>
        <w:tab/>
        <w:t xml:space="preserve">    Recordkeeping – 80.47(m) (reference installations)</w:t>
      </w:r>
    </w:p>
    <w:p w14:paraId="080D8BEE" w14:textId="77777777" w:rsidR="006A3F1A" w:rsidRDefault="006A3F1A" w:rsidP="00BE41EA">
      <w:pPr>
        <w:ind w:left="720"/>
      </w:pPr>
    </w:p>
    <w:p w14:paraId="0ABDCBDB" w14:textId="77777777" w:rsidR="006A3F1A" w:rsidRDefault="006A3F1A" w:rsidP="00BE41EA">
      <w:pPr>
        <w:pStyle w:val="ListParagraph"/>
        <w:numPr>
          <w:ilvl w:val="0"/>
          <w:numId w:val="8"/>
        </w:numPr>
        <w:ind w:left="1800"/>
      </w:pPr>
      <w:r>
        <w:t>Aromatics in Gasoline (method-defined fuel parameter)</w:t>
      </w:r>
    </w:p>
    <w:p w14:paraId="2E425259" w14:textId="77777777" w:rsidR="006A3F1A" w:rsidRDefault="006A3F1A" w:rsidP="00BE41EA">
      <w:pPr>
        <w:pStyle w:val="ListParagraph"/>
        <w:ind w:left="1800"/>
      </w:pPr>
      <w:r>
        <w:t>(DPMT – ASTM D5769-10)</w:t>
      </w:r>
    </w:p>
    <w:p w14:paraId="415DE63E" w14:textId="77777777" w:rsidR="006A3F1A" w:rsidRDefault="006A3F1A" w:rsidP="00BE41EA">
      <w:pPr>
        <w:pStyle w:val="ListParagraph"/>
        <w:ind w:left="1800"/>
      </w:pPr>
    </w:p>
    <w:p w14:paraId="4A569E0E" w14:textId="77777777" w:rsidR="006A3F1A" w:rsidRDefault="006A3F1A" w:rsidP="00BE41EA">
      <w:pPr>
        <w:pStyle w:val="ListParagraph"/>
        <w:ind w:left="1800"/>
      </w:pPr>
      <w:r>
        <w:t>VCSB ATM – Self-qualified</w:t>
      </w:r>
    </w:p>
    <w:p w14:paraId="77FA6E80" w14:textId="77777777" w:rsidR="006A3F1A" w:rsidRDefault="006A3F1A" w:rsidP="00BE41EA">
      <w:pPr>
        <w:pStyle w:val="ListParagraph"/>
        <w:ind w:left="1800"/>
      </w:pPr>
      <w:r>
        <w:tab/>
      </w:r>
      <w:r>
        <w:tab/>
        <w:t>Precision – 80.47(e)</w:t>
      </w:r>
    </w:p>
    <w:p w14:paraId="5D6E2886" w14:textId="77777777" w:rsidR="004700A3" w:rsidRDefault="006A3F1A" w:rsidP="00BE41EA">
      <w:pPr>
        <w:pStyle w:val="ListParagraph"/>
        <w:ind w:left="1800"/>
      </w:pPr>
      <w:r>
        <w:tab/>
      </w:r>
      <w:r>
        <w:tab/>
        <w:t>Accuracy – 80.47(k) (reference installations required)</w:t>
      </w:r>
    </w:p>
    <w:p w14:paraId="6615789D" w14:textId="77777777" w:rsidR="004700A3" w:rsidRDefault="004700A3" w:rsidP="00BE41EA">
      <w:pPr>
        <w:pStyle w:val="ListParagraph"/>
        <w:ind w:left="1800"/>
      </w:pPr>
      <w:r>
        <w:tab/>
        <w:t xml:space="preserve">      Qualification – 80.47(l)</w:t>
      </w:r>
    </w:p>
    <w:p w14:paraId="60C11A5E" w14:textId="77777777" w:rsidR="004700A3" w:rsidRDefault="004700A3" w:rsidP="00BE41EA">
      <w:pPr>
        <w:pStyle w:val="ListParagraph"/>
        <w:ind w:left="3240"/>
      </w:pPr>
      <w:r>
        <w:t xml:space="preserve">  SQC – 80.47(o)</w:t>
      </w:r>
    </w:p>
    <w:p w14:paraId="6B1D613C" w14:textId="77777777" w:rsidR="006A3F1A" w:rsidRDefault="004700A3" w:rsidP="00BE41EA">
      <w:pPr>
        <w:ind w:left="720"/>
      </w:pPr>
      <w:r>
        <w:tab/>
      </w:r>
      <w:r>
        <w:tab/>
        <w:t xml:space="preserve">    Recordkeeping – 80.47(q)</w:t>
      </w:r>
      <w:r w:rsidR="006A3F1A">
        <w:t xml:space="preserve"> </w:t>
      </w:r>
    </w:p>
    <w:p w14:paraId="612839E0" w14:textId="77777777" w:rsidR="004700A3" w:rsidRDefault="004700A3" w:rsidP="00BE41EA">
      <w:pPr>
        <w:ind w:left="720"/>
      </w:pPr>
    </w:p>
    <w:p w14:paraId="5F41229C" w14:textId="77777777" w:rsidR="004700A3" w:rsidRDefault="004700A3" w:rsidP="00BE41EA">
      <w:pPr>
        <w:ind w:left="720"/>
      </w:pPr>
      <w:r>
        <w:tab/>
        <w:t xml:space="preserve">       Non -VCSB ATM – EPA approval required</w:t>
      </w:r>
    </w:p>
    <w:p w14:paraId="60D9AB83" w14:textId="77777777" w:rsidR="004700A3" w:rsidRDefault="004700A3" w:rsidP="00BE41EA">
      <w:pPr>
        <w:ind w:left="720"/>
      </w:pPr>
      <w:r>
        <w:tab/>
      </w:r>
      <w:r>
        <w:tab/>
      </w:r>
      <w:r>
        <w:tab/>
        <w:t>Precision – 80.47(e)</w:t>
      </w:r>
    </w:p>
    <w:p w14:paraId="1995AF90" w14:textId="77777777" w:rsidR="004700A3" w:rsidRDefault="004700A3" w:rsidP="00BE41EA">
      <w:pPr>
        <w:ind w:left="720"/>
      </w:pPr>
      <w:r>
        <w:tab/>
      </w:r>
      <w:r>
        <w:tab/>
      </w:r>
      <w:r>
        <w:tab/>
        <w:t>Accuracy – 80.47(k) (reference installations required)</w:t>
      </w:r>
    </w:p>
    <w:p w14:paraId="1E7CDB2A" w14:textId="77777777" w:rsidR="004700A3" w:rsidRDefault="004700A3" w:rsidP="00BE41EA">
      <w:pPr>
        <w:ind w:left="720"/>
      </w:pPr>
      <w:r>
        <w:tab/>
      </w:r>
      <w:r>
        <w:tab/>
        <w:t xml:space="preserve">      Qualification – 80.47(m) (report to EPA)</w:t>
      </w:r>
    </w:p>
    <w:p w14:paraId="36F0A869" w14:textId="77777777" w:rsidR="004700A3" w:rsidRDefault="004700A3" w:rsidP="00BE41EA">
      <w:pPr>
        <w:ind w:left="720"/>
      </w:pPr>
      <w:r>
        <w:tab/>
      </w:r>
      <w:r>
        <w:tab/>
      </w:r>
      <w:r>
        <w:tab/>
        <w:t xml:space="preserve">        SQC – 80.47(p)</w:t>
      </w:r>
    </w:p>
    <w:p w14:paraId="497988EE" w14:textId="77777777" w:rsidR="00405652" w:rsidRDefault="004700A3" w:rsidP="00BE41EA">
      <w:pPr>
        <w:ind w:left="720"/>
      </w:pPr>
      <w:r>
        <w:tab/>
      </w:r>
      <w:r>
        <w:tab/>
      </w:r>
      <w:r w:rsidR="00405652">
        <w:t xml:space="preserve">    </w:t>
      </w:r>
      <w:r>
        <w:t>Recordkeeping – 80.47</w:t>
      </w:r>
      <w:r w:rsidR="00405652">
        <w:t>(q) (lab seeking approval)</w:t>
      </w:r>
      <w:r>
        <w:t xml:space="preserve"> </w:t>
      </w:r>
    </w:p>
    <w:p w14:paraId="5686E28F" w14:textId="77777777" w:rsidR="00405652" w:rsidRDefault="00405652" w:rsidP="00BE41EA">
      <w:pPr>
        <w:ind w:left="720"/>
      </w:pPr>
      <w:r>
        <w:tab/>
      </w:r>
      <w:r>
        <w:tab/>
        <w:t xml:space="preserve">    Recordkeeping – 80.47(m) (reference installations)</w:t>
      </w:r>
    </w:p>
    <w:p w14:paraId="0FAE6876" w14:textId="77777777" w:rsidR="00405652" w:rsidRDefault="00405652" w:rsidP="00BE41EA">
      <w:pPr>
        <w:ind w:left="720"/>
      </w:pPr>
    </w:p>
    <w:p w14:paraId="30EA288C" w14:textId="77777777" w:rsidR="00405652" w:rsidRDefault="00405652" w:rsidP="00BE41EA">
      <w:pPr>
        <w:pStyle w:val="ListParagraph"/>
        <w:numPr>
          <w:ilvl w:val="0"/>
          <w:numId w:val="8"/>
        </w:numPr>
        <w:ind w:left="1800"/>
      </w:pPr>
      <w:r>
        <w:t xml:space="preserve"> Oxygen and Oxygen Content in Gasoline (method-defined fuel parameters)</w:t>
      </w:r>
    </w:p>
    <w:p w14:paraId="222246BF" w14:textId="77777777" w:rsidR="004700A3" w:rsidRDefault="00405652" w:rsidP="00BE41EA">
      <w:pPr>
        <w:ind w:left="1800"/>
      </w:pPr>
      <w:r>
        <w:t>(DPMT – ASTM D5599-00 (Reapproved 2010))</w:t>
      </w:r>
    </w:p>
    <w:p w14:paraId="1800D698" w14:textId="77777777" w:rsidR="00405652" w:rsidRDefault="00405652" w:rsidP="00BE41EA">
      <w:pPr>
        <w:ind w:left="1800"/>
      </w:pPr>
    </w:p>
    <w:p w14:paraId="73354A73" w14:textId="77777777" w:rsidR="00405652" w:rsidRDefault="00405652" w:rsidP="00BE41EA">
      <w:pPr>
        <w:ind w:left="1800"/>
      </w:pPr>
      <w:r>
        <w:t>VCS</w:t>
      </w:r>
      <w:r w:rsidR="00C31EC9">
        <w:t>B</w:t>
      </w:r>
      <w:r>
        <w:t xml:space="preserve"> ATM – Self-qualified</w:t>
      </w:r>
    </w:p>
    <w:p w14:paraId="5E7617AF" w14:textId="77777777" w:rsidR="00405652" w:rsidRDefault="00405652" w:rsidP="00BE41EA">
      <w:pPr>
        <w:ind w:left="1800"/>
      </w:pPr>
      <w:r>
        <w:tab/>
      </w:r>
      <w:r>
        <w:tab/>
        <w:t>Precision – 80.47(f)</w:t>
      </w:r>
    </w:p>
    <w:p w14:paraId="737782CA" w14:textId="77777777" w:rsidR="00405652" w:rsidRDefault="00405652" w:rsidP="00BE41EA">
      <w:pPr>
        <w:ind w:left="1800"/>
      </w:pPr>
      <w:r>
        <w:tab/>
      </w:r>
      <w:r>
        <w:tab/>
        <w:t>Accuracy – 80.47(k) (reference installations required)</w:t>
      </w:r>
    </w:p>
    <w:p w14:paraId="4AE18701" w14:textId="77777777" w:rsidR="00405652" w:rsidRDefault="00405652" w:rsidP="00BE41EA">
      <w:pPr>
        <w:ind w:left="1800"/>
      </w:pPr>
      <w:r>
        <w:tab/>
        <w:t xml:space="preserve">      Qualification – 80.47(l)</w:t>
      </w:r>
    </w:p>
    <w:p w14:paraId="49050283" w14:textId="77777777" w:rsidR="00405652" w:rsidRDefault="00405652" w:rsidP="00BE41EA">
      <w:pPr>
        <w:ind w:left="1800"/>
      </w:pPr>
      <w:r>
        <w:t xml:space="preserve">                         SQC – 80.47(o)</w:t>
      </w:r>
    </w:p>
    <w:p w14:paraId="603E2A90" w14:textId="77777777" w:rsidR="00405652" w:rsidRDefault="00405652" w:rsidP="00BE41EA">
      <w:pPr>
        <w:ind w:left="1800"/>
      </w:pPr>
      <w:r>
        <w:t xml:space="preserve">         Recordkeeping – 80.47(q)</w:t>
      </w:r>
    </w:p>
    <w:p w14:paraId="4BF3C162" w14:textId="77777777" w:rsidR="00405652" w:rsidRDefault="00405652" w:rsidP="00BE41EA">
      <w:pPr>
        <w:ind w:left="1800"/>
      </w:pPr>
    </w:p>
    <w:p w14:paraId="614EBC18" w14:textId="77777777" w:rsidR="00405652" w:rsidRDefault="00405652" w:rsidP="00BE41EA">
      <w:pPr>
        <w:ind w:left="1800"/>
      </w:pPr>
      <w:r>
        <w:t>Non</w:t>
      </w:r>
      <w:r w:rsidR="00C31EC9">
        <w:t xml:space="preserve">-VCSB </w:t>
      </w:r>
      <w:r w:rsidR="009851A1">
        <w:t xml:space="preserve">ATM </w:t>
      </w:r>
      <w:r w:rsidR="00C31EC9">
        <w:t>– EPA approval required</w:t>
      </w:r>
    </w:p>
    <w:p w14:paraId="2492C959" w14:textId="77777777" w:rsidR="00C31EC9" w:rsidRDefault="00C31EC9" w:rsidP="00BE41EA">
      <w:pPr>
        <w:ind w:left="1800"/>
      </w:pPr>
      <w:r>
        <w:tab/>
      </w:r>
      <w:r>
        <w:tab/>
        <w:t>Precision – 80.47(f)</w:t>
      </w:r>
    </w:p>
    <w:p w14:paraId="2E433300" w14:textId="77777777" w:rsidR="00C31EC9" w:rsidRDefault="00C31EC9" w:rsidP="00BE41EA">
      <w:pPr>
        <w:ind w:left="1800"/>
      </w:pPr>
      <w:r>
        <w:tab/>
      </w:r>
      <w:r>
        <w:tab/>
        <w:t>Accuracy – 80.47(k) (reference installations required)</w:t>
      </w:r>
    </w:p>
    <w:p w14:paraId="63084E68" w14:textId="77777777" w:rsidR="00C31EC9" w:rsidRDefault="00C31EC9" w:rsidP="00BE41EA">
      <w:pPr>
        <w:ind w:left="1800"/>
      </w:pPr>
      <w:r>
        <w:tab/>
        <w:t xml:space="preserve">      Qualification – 80.47(m) (report to EPA)</w:t>
      </w:r>
    </w:p>
    <w:p w14:paraId="50B4C997" w14:textId="77777777" w:rsidR="00C31EC9" w:rsidRDefault="00C31EC9" w:rsidP="00BE41EA">
      <w:pPr>
        <w:ind w:left="1800"/>
      </w:pPr>
      <w:r>
        <w:t xml:space="preserve">                         SQC – 80.47(p)</w:t>
      </w:r>
    </w:p>
    <w:p w14:paraId="42A68F94" w14:textId="77777777" w:rsidR="00C31EC9" w:rsidRDefault="00C31EC9" w:rsidP="00BE41EA">
      <w:pPr>
        <w:ind w:left="1800"/>
      </w:pPr>
      <w:r>
        <w:t xml:space="preserve">         Recordkeeping – 80.47(q) (lab seeking approval)</w:t>
      </w:r>
    </w:p>
    <w:p w14:paraId="0ADF05EC" w14:textId="77777777" w:rsidR="00C31EC9" w:rsidRDefault="00C31EC9" w:rsidP="00BE41EA">
      <w:pPr>
        <w:ind w:left="1800"/>
      </w:pPr>
      <w:r>
        <w:t xml:space="preserve">         Recordkeeping – 80.47(m) (reference installations)</w:t>
      </w:r>
    </w:p>
    <w:p w14:paraId="28F2EA74" w14:textId="77777777" w:rsidR="00C31EC9" w:rsidRDefault="00C31EC9" w:rsidP="00BE41EA">
      <w:pPr>
        <w:ind w:left="720"/>
      </w:pPr>
    </w:p>
    <w:p w14:paraId="0A193511" w14:textId="77777777" w:rsidR="00C31EC9" w:rsidRDefault="00C31EC9" w:rsidP="00BE41EA">
      <w:pPr>
        <w:pStyle w:val="ListParagraph"/>
        <w:numPr>
          <w:ilvl w:val="0"/>
          <w:numId w:val="8"/>
        </w:numPr>
        <w:ind w:left="1800"/>
      </w:pPr>
      <w:r>
        <w:t xml:space="preserve"> Reid Vapor Pressure (RVP) in Gasoline (method-defined fuel parameter)</w:t>
      </w:r>
    </w:p>
    <w:p w14:paraId="04158740" w14:textId="77777777" w:rsidR="00C31EC9" w:rsidRDefault="00C31EC9" w:rsidP="00BE41EA">
      <w:pPr>
        <w:pStyle w:val="ListParagraph"/>
        <w:ind w:left="1800"/>
      </w:pPr>
      <w:r>
        <w:t>(DPTM – ASTM D5191-13)</w:t>
      </w:r>
    </w:p>
    <w:p w14:paraId="48F24CF5" w14:textId="77777777" w:rsidR="00C31EC9" w:rsidRDefault="00C31EC9" w:rsidP="00BE41EA">
      <w:pPr>
        <w:pStyle w:val="ListParagraph"/>
        <w:ind w:left="1800"/>
      </w:pPr>
    </w:p>
    <w:p w14:paraId="127F4160" w14:textId="77777777" w:rsidR="00C31EC9" w:rsidRDefault="00C31EC9" w:rsidP="00BE41EA">
      <w:pPr>
        <w:pStyle w:val="ListParagraph"/>
        <w:ind w:left="1800"/>
      </w:pPr>
      <w:r>
        <w:t>VCSB ATM – Self-qualified</w:t>
      </w:r>
    </w:p>
    <w:p w14:paraId="36FBC8B5" w14:textId="77777777" w:rsidR="00C31EC9" w:rsidRDefault="00C31EC9" w:rsidP="00BE41EA">
      <w:pPr>
        <w:pStyle w:val="ListParagraph"/>
        <w:ind w:left="1800"/>
      </w:pPr>
      <w:r>
        <w:tab/>
      </w:r>
      <w:r>
        <w:tab/>
        <w:t>Precision – 80.47(g)</w:t>
      </w:r>
    </w:p>
    <w:p w14:paraId="744F9082" w14:textId="77777777" w:rsidR="00C31EC9" w:rsidRDefault="00C31EC9" w:rsidP="00BE41EA">
      <w:pPr>
        <w:pStyle w:val="ListParagraph"/>
        <w:ind w:left="1800"/>
      </w:pPr>
      <w:r>
        <w:tab/>
      </w:r>
      <w:r>
        <w:tab/>
        <w:t>Accuracy – 80.47(k) (reference installations required)</w:t>
      </w:r>
    </w:p>
    <w:p w14:paraId="2B67B361" w14:textId="77777777" w:rsidR="00C31EC9" w:rsidRDefault="00C31EC9" w:rsidP="00BE41EA">
      <w:pPr>
        <w:pStyle w:val="ListParagraph"/>
        <w:ind w:left="1800"/>
      </w:pPr>
      <w:r>
        <w:t xml:space="preserve">            Qualification – 80.47(l)</w:t>
      </w:r>
    </w:p>
    <w:p w14:paraId="4459564C" w14:textId="77777777" w:rsidR="00C31EC9" w:rsidRDefault="00C31EC9" w:rsidP="00BE41EA">
      <w:pPr>
        <w:pStyle w:val="ListParagraph"/>
        <w:ind w:left="1800"/>
      </w:pPr>
      <w:r>
        <w:t xml:space="preserve">                         SQC – 80.47(o)</w:t>
      </w:r>
    </w:p>
    <w:p w14:paraId="32507515" w14:textId="77777777" w:rsidR="00C31EC9" w:rsidRDefault="00C31EC9" w:rsidP="00BE41EA">
      <w:pPr>
        <w:pStyle w:val="ListParagraph"/>
        <w:ind w:left="1800"/>
      </w:pPr>
      <w:r>
        <w:t xml:space="preserve">         Recordkeeping – 80.47(q)</w:t>
      </w:r>
    </w:p>
    <w:p w14:paraId="53A86771" w14:textId="77777777" w:rsidR="009851A1" w:rsidRDefault="009851A1" w:rsidP="00BE41EA">
      <w:pPr>
        <w:pStyle w:val="ListParagraph"/>
        <w:ind w:left="1800"/>
      </w:pPr>
    </w:p>
    <w:p w14:paraId="7E953875" w14:textId="77777777" w:rsidR="009851A1" w:rsidRDefault="009851A1" w:rsidP="00BE41EA">
      <w:pPr>
        <w:pStyle w:val="ListParagraph"/>
        <w:ind w:left="1800"/>
      </w:pPr>
      <w:r>
        <w:t>Non-VCSB ATM – EPA approval required</w:t>
      </w:r>
    </w:p>
    <w:p w14:paraId="3DA3DB9D" w14:textId="77777777" w:rsidR="009851A1" w:rsidRDefault="009851A1" w:rsidP="00BE41EA">
      <w:pPr>
        <w:pStyle w:val="ListParagraph"/>
        <w:ind w:left="1800"/>
      </w:pPr>
      <w:r>
        <w:tab/>
      </w:r>
      <w:r>
        <w:tab/>
        <w:t>Precision – 80.47(g)</w:t>
      </w:r>
    </w:p>
    <w:p w14:paraId="522CDA4B" w14:textId="77777777" w:rsidR="009851A1" w:rsidRDefault="009851A1" w:rsidP="00BE41EA">
      <w:pPr>
        <w:pStyle w:val="ListParagraph"/>
        <w:ind w:left="1800"/>
      </w:pPr>
      <w:r>
        <w:tab/>
      </w:r>
      <w:r>
        <w:tab/>
        <w:t>Accuracy – 80.47(k) (reference installations required)</w:t>
      </w:r>
    </w:p>
    <w:p w14:paraId="1DBF5B4C" w14:textId="77777777" w:rsidR="009851A1" w:rsidRDefault="009851A1" w:rsidP="00BE41EA">
      <w:pPr>
        <w:pStyle w:val="ListParagraph"/>
        <w:ind w:left="1800"/>
      </w:pPr>
      <w:r>
        <w:t xml:space="preserve">            Qualification – 80.47(m) (report to EPA)</w:t>
      </w:r>
    </w:p>
    <w:p w14:paraId="511E233D" w14:textId="77777777" w:rsidR="009851A1" w:rsidRDefault="009851A1" w:rsidP="00BE41EA">
      <w:pPr>
        <w:pStyle w:val="ListParagraph"/>
        <w:ind w:left="1800"/>
      </w:pPr>
      <w:r>
        <w:t xml:space="preserve">                         SQC – 80.47(p)</w:t>
      </w:r>
    </w:p>
    <w:p w14:paraId="0C3AB095" w14:textId="77777777" w:rsidR="009851A1" w:rsidRDefault="009851A1" w:rsidP="00BE41EA">
      <w:pPr>
        <w:pStyle w:val="ListParagraph"/>
        <w:ind w:left="1800"/>
      </w:pPr>
      <w:r>
        <w:t xml:space="preserve">         Recordkeeping – 80.47(q) (lab seeking approval)</w:t>
      </w:r>
    </w:p>
    <w:p w14:paraId="4294FA4D" w14:textId="77777777" w:rsidR="009851A1" w:rsidRDefault="009851A1" w:rsidP="00BE41EA">
      <w:pPr>
        <w:pStyle w:val="ListParagraph"/>
        <w:ind w:left="1800"/>
      </w:pPr>
      <w:r>
        <w:t xml:space="preserve">         Recordkeeping – 80.47(m) (reference installations)</w:t>
      </w:r>
    </w:p>
    <w:p w14:paraId="68534253" w14:textId="77777777" w:rsidR="009851A1" w:rsidRDefault="009851A1" w:rsidP="00BE41EA">
      <w:pPr>
        <w:ind w:left="720"/>
      </w:pPr>
      <w:r>
        <w:tab/>
      </w:r>
    </w:p>
    <w:p w14:paraId="5D2448A3" w14:textId="77777777" w:rsidR="009910F9" w:rsidRDefault="009910F9" w:rsidP="00BE41EA">
      <w:pPr>
        <w:pStyle w:val="ListParagraph"/>
        <w:numPr>
          <w:ilvl w:val="0"/>
          <w:numId w:val="8"/>
        </w:numPr>
        <w:ind w:left="1800"/>
      </w:pPr>
      <w:r>
        <w:t xml:space="preserve"> Gasoline Distillation (method-defined fuel parameter)</w:t>
      </w:r>
    </w:p>
    <w:p w14:paraId="540370ED" w14:textId="77777777" w:rsidR="009910F9" w:rsidRDefault="009910F9" w:rsidP="00BE41EA">
      <w:pPr>
        <w:pStyle w:val="ListParagraph"/>
        <w:ind w:left="1800"/>
      </w:pPr>
      <w:r>
        <w:t>(DPTM – ASTM D86-12)</w:t>
      </w:r>
    </w:p>
    <w:p w14:paraId="23101A87" w14:textId="77777777" w:rsidR="009910F9" w:rsidRDefault="009910F9" w:rsidP="00BE41EA">
      <w:pPr>
        <w:pStyle w:val="ListParagraph"/>
        <w:ind w:left="1800"/>
      </w:pPr>
    </w:p>
    <w:p w14:paraId="3BD66C22" w14:textId="77777777" w:rsidR="009910F9" w:rsidRDefault="009910F9" w:rsidP="00BE41EA">
      <w:pPr>
        <w:pStyle w:val="ListParagraph"/>
        <w:ind w:left="1800"/>
      </w:pPr>
      <w:r>
        <w:t>VCS</w:t>
      </w:r>
      <w:r w:rsidR="003A49DD">
        <w:t>B</w:t>
      </w:r>
      <w:r>
        <w:t xml:space="preserve"> ATM – Self-qualified</w:t>
      </w:r>
    </w:p>
    <w:p w14:paraId="2BFF2BF2" w14:textId="77777777" w:rsidR="009910F9" w:rsidRDefault="009910F9" w:rsidP="00BE41EA">
      <w:pPr>
        <w:pStyle w:val="ListParagraph"/>
        <w:ind w:left="1800"/>
      </w:pPr>
      <w:r>
        <w:tab/>
      </w:r>
      <w:r>
        <w:tab/>
        <w:t>Precision – 80.47(h)</w:t>
      </w:r>
    </w:p>
    <w:p w14:paraId="7745A359" w14:textId="77777777" w:rsidR="009910F9" w:rsidRDefault="009910F9" w:rsidP="00BE41EA">
      <w:pPr>
        <w:pStyle w:val="ListParagraph"/>
        <w:ind w:left="1800"/>
      </w:pPr>
      <w:r>
        <w:tab/>
      </w:r>
      <w:r>
        <w:tab/>
        <w:t>Accuracy – 80.47(k) (reference installations required)</w:t>
      </w:r>
    </w:p>
    <w:p w14:paraId="459895A0" w14:textId="77777777" w:rsidR="009910F9" w:rsidRDefault="009910F9" w:rsidP="00BE41EA">
      <w:pPr>
        <w:pStyle w:val="ListParagraph"/>
        <w:ind w:left="1800"/>
      </w:pPr>
      <w:r>
        <w:t xml:space="preserve">            Qualification – 80.47(l)</w:t>
      </w:r>
    </w:p>
    <w:p w14:paraId="09B1048E" w14:textId="77777777" w:rsidR="009910F9" w:rsidRDefault="009910F9" w:rsidP="00BE41EA">
      <w:pPr>
        <w:pStyle w:val="ListParagraph"/>
        <w:ind w:left="1800"/>
      </w:pPr>
      <w:r>
        <w:t xml:space="preserve">                         SQC – 80.47(o)</w:t>
      </w:r>
    </w:p>
    <w:p w14:paraId="67085E80" w14:textId="77777777" w:rsidR="009910F9" w:rsidRDefault="009910F9" w:rsidP="00BE41EA">
      <w:pPr>
        <w:pStyle w:val="ListParagraph"/>
        <w:ind w:left="1800"/>
      </w:pPr>
      <w:r>
        <w:t xml:space="preserve">         Recordkeeping – 80.47(q)</w:t>
      </w:r>
    </w:p>
    <w:p w14:paraId="471E4711" w14:textId="77777777" w:rsidR="009910F9" w:rsidRDefault="009910F9" w:rsidP="00BE41EA">
      <w:pPr>
        <w:pStyle w:val="ListParagraph"/>
        <w:ind w:left="1800"/>
      </w:pPr>
    </w:p>
    <w:p w14:paraId="6F992699" w14:textId="77777777" w:rsidR="009910F9" w:rsidRDefault="009910F9" w:rsidP="00BE41EA">
      <w:pPr>
        <w:pStyle w:val="ListParagraph"/>
        <w:ind w:left="1800"/>
      </w:pPr>
      <w:r>
        <w:t>Non-VCSB ATM – EPA approval required</w:t>
      </w:r>
    </w:p>
    <w:p w14:paraId="616AAA19" w14:textId="77777777" w:rsidR="009910F9" w:rsidRDefault="009910F9" w:rsidP="00BE41EA">
      <w:pPr>
        <w:pStyle w:val="ListParagraph"/>
        <w:ind w:left="1800"/>
      </w:pPr>
      <w:r>
        <w:tab/>
      </w:r>
      <w:r>
        <w:tab/>
        <w:t>Precision – 80.47(h)</w:t>
      </w:r>
    </w:p>
    <w:p w14:paraId="540C7E49" w14:textId="77777777" w:rsidR="009910F9" w:rsidRDefault="009910F9" w:rsidP="00BE41EA">
      <w:pPr>
        <w:pStyle w:val="ListParagraph"/>
        <w:ind w:left="1800"/>
      </w:pPr>
      <w:r>
        <w:tab/>
      </w:r>
      <w:r>
        <w:tab/>
        <w:t>Accuracy – 80.47(k) (reference installations required)</w:t>
      </w:r>
    </w:p>
    <w:p w14:paraId="7E55A45C" w14:textId="77777777" w:rsidR="009910F9" w:rsidRDefault="003A49DD" w:rsidP="00BE41EA">
      <w:pPr>
        <w:pStyle w:val="ListParagraph"/>
        <w:ind w:left="1800"/>
      </w:pPr>
      <w:r>
        <w:t xml:space="preserve">             </w:t>
      </w:r>
      <w:r w:rsidR="009910F9">
        <w:t>Qualification – 80.47(m) (report to EPA)</w:t>
      </w:r>
    </w:p>
    <w:p w14:paraId="368F6891" w14:textId="77777777" w:rsidR="009910F9" w:rsidRDefault="003A49DD" w:rsidP="00BE41EA">
      <w:pPr>
        <w:pStyle w:val="ListParagraph"/>
        <w:ind w:left="1800"/>
      </w:pPr>
      <w:r>
        <w:t xml:space="preserve">                          </w:t>
      </w:r>
      <w:r w:rsidR="009910F9">
        <w:t>SQC – 80.47(p)</w:t>
      </w:r>
    </w:p>
    <w:p w14:paraId="36AB41FE" w14:textId="77777777" w:rsidR="009910F9" w:rsidRDefault="003A49DD" w:rsidP="00BE41EA">
      <w:pPr>
        <w:pStyle w:val="ListParagraph"/>
        <w:ind w:left="1800"/>
      </w:pPr>
      <w:r>
        <w:t xml:space="preserve">          </w:t>
      </w:r>
      <w:r w:rsidR="009910F9">
        <w:t>Recordkeeping – 80.47(q) (lab seeking approval)</w:t>
      </w:r>
    </w:p>
    <w:p w14:paraId="630F7368" w14:textId="77777777" w:rsidR="009910F9" w:rsidRDefault="003A49DD" w:rsidP="00BE41EA">
      <w:pPr>
        <w:pStyle w:val="ListParagraph"/>
        <w:ind w:left="1800"/>
      </w:pPr>
      <w:r>
        <w:t xml:space="preserve">          </w:t>
      </w:r>
      <w:r w:rsidR="009910F9">
        <w:t>Recordkeeping – 80.47(m) (reference installations)</w:t>
      </w:r>
    </w:p>
    <w:p w14:paraId="62CB3738" w14:textId="77777777" w:rsidR="003A49DD" w:rsidRDefault="003A49DD" w:rsidP="00BE41EA">
      <w:pPr>
        <w:ind w:left="720"/>
      </w:pPr>
    </w:p>
    <w:p w14:paraId="29124267" w14:textId="77777777" w:rsidR="003A49DD" w:rsidRDefault="003A49DD" w:rsidP="00BE41EA">
      <w:pPr>
        <w:pStyle w:val="ListParagraph"/>
        <w:numPr>
          <w:ilvl w:val="0"/>
          <w:numId w:val="8"/>
        </w:numPr>
        <w:ind w:left="1800"/>
      </w:pPr>
      <w:r>
        <w:t xml:space="preserve"> Benzene in Gasoline (method-defined fuel parameter)</w:t>
      </w:r>
    </w:p>
    <w:p w14:paraId="3C8A21D7" w14:textId="77777777" w:rsidR="003A49DD" w:rsidRDefault="003A49DD" w:rsidP="00BE41EA">
      <w:pPr>
        <w:pStyle w:val="ListParagraph"/>
        <w:ind w:left="1800"/>
      </w:pPr>
      <w:r>
        <w:t>(DPTM – ASTM D3606-10)</w:t>
      </w:r>
    </w:p>
    <w:p w14:paraId="1A410655" w14:textId="77777777" w:rsidR="003A49DD" w:rsidRDefault="003A49DD" w:rsidP="00BE41EA">
      <w:pPr>
        <w:pStyle w:val="ListParagraph"/>
        <w:ind w:left="1800"/>
      </w:pPr>
    </w:p>
    <w:p w14:paraId="4B9C9A75" w14:textId="77777777" w:rsidR="003A49DD" w:rsidRDefault="003A49DD" w:rsidP="00BE41EA">
      <w:pPr>
        <w:pStyle w:val="ListParagraph"/>
        <w:ind w:left="1800"/>
      </w:pPr>
      <w:r>
        <w:t>VCSB ATM – Self-qualified</w:t>
      </w:r>
    </w:p>
    <w:p w14:paraId="51DE6174" w14:textId="77777777" w:rsidR="003A49DD" w:rsidRDefault="003A49DD" w:rsidP="00BE41EA">
      <w:pPr>
        <w:pStyle w:val="ListParagraph"/>
        <w:ind w:left="1800"/>
      </w:pPr>
      <w:r>
        <w:tab/>
      </w:r>
      <w:r>
        <w:tab/>
        <w:t>Precision – 80.47(i)</w:t>
      </w:r>
    </w:p>
    <w:p w14:paraId="5B4D8F02" w14:textId="77777777" w:rsidR="003A49DD" w:rsidRDefault="003A49DD" w:rsidP="00BE41EA">
      <w:pPr>
        <w:pStyle w:val="ListParagraph"/>
        <w:ind w:left="1800"/>
      </w:pPr>
      <w:r>
        <w:tab/>
      </w:r>
      <w:r>
        <w:tab/>
        <w:t>Accuracy – 80.47(k) (reference installations required)</w:t>
      </w:r>
    </w:p>
    <w:p w14:paraId="497420D5" w14:textId="77777777" w:rsidR="003A49DD" w:rsidRDefault="003A49DD" w:rsidP="00BE41EA">
      <w:pPr>
        <w:pStyle w:val="ListParagraph"/>
        <w:ind w:left="1800"/>
      </w:pPr>
      <w:r>
        <w:t xml:space="preserve">            Qualification – 80.47(l)</w:t>
      </w:r>
    </w:p>
    <w:p w14:paraId="071C74CF" w14:textId="77777777" w:rsidR="003A49DD" w:rsidRDefault="003A49DD" w:rsidP="00BE41EA">
      <w:pPr>
        <w:pStyle w:val="ListParagraph"/>
        <w:ind w:left="1800"/>
      </w:pPr>
      <w:r>
        <w:t xml:space="preserve">                         SQC – 80.47(o)</w:t>
      </w:r>
    </w:p>
    <w:p w14:paraId="69B9CC1D" w14:textId="77777777" w:rsidR="003A49DD" w:rsidRDefault="003A49DD" w:rsidP="00BE41EA">
      <w:pPr>
        <w:pStyle w:val="ListParagraph"/>
        <w:ind w:left="1800"/>
      </w:pPr>
      <w:r>
        <w:t xml:space="preserve">         Recordkeeping – 80.47(q) </w:t>
      </w:r>
    </w:p>
    <w:p w14:paraId="17D8671A" w14:textId="77777777" w:rsidR="003A49DD" w:rsidRDefault="003A49DD" w:rsidP="00BE41EA">
      <w:pPr>
        <w:pStyle w:val="ListParagraph"/>
        <w:ind w:left="1800"/>
      </w:pPr>
    </w:p>
    <w:p w14:paraId="63F81FDE" w14:textId="77777777" w:rsidR="003A49DD" w:rsidRDefault="003A49DD" w:rsidP="00BE41EA">
      <w:pPr>
        <w:pStyle w:val="ListParagraph"/>
        <w:ind w:left="1800"/>
      </w:pPr>
      <w:r>
        <w:t>Non-VCSB ATM – EPA approval required</w:t>
      </w:r>
    </w:p>
    <w:p w14:paraId="40EB762B" w14:textId="77777777" w:rsidR="003A49DD" w:rsidRDefault="003A49DD" w:rsidP="00BE41EA">
      <w:pPr>
        <w:pStyle w:val="ListParagraph"/>
        <w:ind w:left="1800"/>
      </w:pPr>
      <w:r>
        <w:tab/>
      </w:r>
      <w:r>
        <w:tab/>
        <w:t>Precision – 80.47(i)</w:t>
      </w:r>
    </w:p>
    <w:p w14:paraId="24212664" w14:textId="1C5648E5" w:rsidR="003A49DD" w:rsidRDefault="003A49DD" w:rsidP="0044005B">
      <w:pPr>
        <w:pStyle w:val="ListParagraph"/>
        <w:ind w:left="1800"/>
      </w:pPr>
      <w:r>
        <w:tab/>
      </w:r>
      <w:r>
        <w:tab/>
        <w:t>Accuracy</w:t>
      </w:r>
      <w:r w:rsidR="0044005B">
        <w:t xml:space="preserve"> – </w:t>
      </w:r>
      <w:r>
        <w:t>80.47(k) (reference installations required)</w:t>
      </w:r>
    </w:p>
    <w:p w14:paraId="26CA8AD8" w14:textId="353748D7" w:rsidR="003A49DD" w:rsidRDefault="0044005B" w:rsidP="00BE41EA">
      <w:pPr>
        <w:pStyle w:val="ListParagraph"/>
        <w:ind w:left="1800"/>
      </w:pPr>
      <w:r>
        <w:t xml:space="preserve">            </w:t>
      </w:r>
      <w:r w:rsidR="003A49DD">
        <w:t>Qualification – 80.47(m) (report to EPA)</w:t>
      </w:r>
    </w:p>
    <w:p w14:paraId="433D4301" w14:textId="17D39057" w:rsidR="003A49DD" w:rsidRDefault="0044005B" w:rsidP="00BE41EA">
      <w:pPr>
        <w:pStyle w:val="ListParagraph"/>
        <w:ind w:left="1800"/>
      </w:pPr>
      <w:r>
        <w:t xml:space="preserve">                         </w:t>
      </w:r>
      <w:r w:rsidR="003A49DD">
        <w:t>SQC – 80.47(p)</w:t>
      </w:r>
    </w:p>
    <w:p w14:paraId="20406298" w14:textId="371C7458" w:rsidR="003A49DD" w:rsidRDefault="0044005B" w:rsidP="00BE41EA">
      <w:pPr>
        <w:pStyle w:val="ListParagraph"/>
        <w:ind w:left="1800"/>
      </w:pPr>
      <w:r>
        <w:t xml:space="preserve">        </w:t>
      </w:r>
      <w:r w:rsidR="005403C4">
        <w:t xml:space="preserve"> </w:t>
      </w:r>
      <w:r w:rsidR="003A49DD">
        <w:t>Recordkeeping – 80.47(q) (lab seeking approval)</w:t>
      </w:r>
    </w:p>
    <w:p w14:paraId="611323E7" w14:textId="215A19AC" w:rsidR="003A49DD" w:rsidRDefault="005403C4" w:rsidP="00BE41EA">
      <w:pPr>
        <w:pStyle w:val="ListParagraph"/>
        <w:ind w:left="1800"/>
      </w:pPr>
      <w:r>
        <w:t xml:space="preserve">         </w:t>
      </w:r>
      <w:r w:rsidR="003A49DD">
        <w:t>Recordkeeping – 80.47(m) (reference installations)</w:t>
      </w:r>
    </w:p>
    <w:p w14:paraId="36554815" w14:textId="77777777" w:rsidR="003A49DD" w:rsidRDefault="003A49DD" w:rsidP="00BE41EA">
      <w:pPr>
        <w:ind w:left="720"/>
      </w:pPr>
    </w:p>
    <w:p w14:paraId="00BB2E71" w14:textId="77777777" w:rsidR="00C05F84" w:rsidRDefault="003A49DD" w:rsidP="00BE41EA">
      <w:pPr>
        <w:pStyle w:val="ListParagraph"/>
        <w:numPr>
          <w:ilvl w:val="0"/>
          <w:numId w:val="8"/>
        </w:numPr>
        <w:ind w:left="1800"/>
      </w:pPr>
      <w:r>
        <w:t xml:space="preserve"> </w:t>
      </w:r>
      <w:r w:rsidR="00C05F84">
        <w:t>Aromatics in Diesel (method-defined fuel parameter)</w:t>
      </w:r>
    </w:p>
    <w:p w14:paraId="27F14C3D" w14:textId="77777777" w:rsidR="00C05F84" w:rsidRDefault="00C05F84" w:rsidP="00BE41EA">
      <w:pPr>
        <w:pStyle w:val="ListParagraph"/>
        <w:ind w:left="1800"/>
      </w:pPr>
      <w:r>
        <w:t>(DPTM – ASTM D1319-13)</w:t>
      </w:r>
    </w:p>
    <w:p w14:paraId="6F0699EC" w14:textId="77777777" w:rsidR="00C05F84" w:rsidRDefault="00C05F84" w:rsidP="00BE41EA">
      <w:pPr>
        <w:pStyle w:val="ListParagraph"/>
        <w:ind w:left="1800"/>
      </w:pPr>
    </w:p>
    <w:p w14:paraId="6B4BEF4D" w14:textId="77777777" w:rsidR="00C05F84" w:rsidRDefault="00C05F84" w:rsidP="00BE41EA">
      <w:pPr>
        <w:pStyle w:val="ListParagraph"/>
        <w:ind w:left="1800"/>
      </w:pPr>
      <w:r>
        <w:t>VCSB ATM – Self-qualified</w:t>
      </w:r>
    </w:p>
    <w:p w14:paraId="5B28493E" w14:textId="77777777" w:rsidR="00C05F84" w:rsidRDefault="00C05F84" w:rsidP="00BE41EA">
      <w:pPr>
        <w:pStyle w:val="ListParagraph"/>
        <w:ind w:left="1800"/>
      </w:pPr>
      <w:r>
        <w:tab/>
      </w:r>
      <w:r>
        <w:tab/>
        <w:t>Precision – 80.47(j)</w:t>
      </w:r>
    </w:p>
    <w:p w14:paraId="338EBB7F" w14:textId="77777777" w:rsidR="00C05F84" w:rsidRDefault="00C05F84" w:rsidP="00BE41EA">
      <w:pPr>
        <w:pStyle w:val="ListParagraph"/>
        <w:ind w:left="1800"/>
      </w:pPr>
      <w:r>
        <w:tab/>
      </w:r>
      <w:r>
        <w:tab/>
        <w:t>Accuracy – 80.47(k) (reference installations required)</w:t>
      </w:r>
    </w:p>
    <w:p w14:paraId="05BBC72A" w14:textId="77777777" w:rsidR="00C05F84" w:rsidRDefault="00C05F84" w:rsidP="00BE41EA">
      <w:pPr>
        <w:pStyle w:val="ListParagraph"/>
        <w:ind w:left="1800"/>
      </w:pPr>
      <w:r>
        <w:t xml:space="preserve">            Qualification – 80.47(l)</w:t>
      </w:r>
    </w:p>
    <w:p w14:paraId="0FD44970" w14:textId="77777777" w:rsidR="00C05F84" w:rsidRDefault="00C05F84" w:rsidP="00BE41EA">
      <w:pPr>
        <w:pStyle w:val="ListParagraph"/>
        <w:ind w:left="1800"/>
      </w:pPr>
      <w:r>
        <w:t xml:space="preserve">                         SQC – 80.47(o)</w:t>
      </w:r>
    </w:p>
    <w:p w14:paraId="5E12037C" w14:textId="77777777" w:rsidR="00C05F84" w:rsidRDefault="00C05F84" w:rsidP="00BE41EA">
      <w:pPr>
        <w:pStyle w:val="ListParagraph"/>
        <w:ind w:left="1800"/>
      </w:pPr>
      <w:r>
        <w:t xml:space="preserve">         Recordkeeping – 80.47(q)</w:t>
      </w:r>
    </w:p>
    <w:p w14:paraId="741C95EB" w14:textId="77777777" w:rsidR="00C05F84" w:rsidRDefault="00C05F84" w:rsidP="00BE41EA">
      <w:pPr>
        <w:pStyle w:val="ListParagraph"/>
        <w:ind w:left="1800"/>
      </w:pPr>
    </w:p>
    <w:p w14:paraId="07B04B77" w14:textId="77777777" w:rsidR="00C05F84" w:rsidRDefault="00C05F84" w:rsidP="00BE41EA">
      <w:pPr>
        <w:pStyle w:val="ListParagraph"/>
        <w:ind w:left="1800"/>
      </w:pPr>
      <w:r>
        <w:t>Non-VCSB ATM – EPA approval required</w:t>
      </w:r>
    </w:p>
    <w:p w14:paraId="114BC7B6" w14:textId="77777777" w:rsidR="00C05F84" w:rsidRDefault="00C05F84" w:rsidP="00BE41EA">
      <w:pPr>
        <w:pStyle w:val="ListParagraph"/>
        <w:ind w:left="1800"/>
      </w:pPr>
      <w:r>
        <w:tab/>
      </w:r>
      <w:r>
        <w:tab/>
        <w:t>Precision – 80.47(j)</w:t>
      </w:r>
    </w:p>
    <w:p w14:paraId="23393C6E" w14:textId="77777777" w:rsidR="00C05F84" w:rsidRDefault="00C05F84" w:rsidP="00BE41EA">
      <w:pPr>
        <w:pStyle w:val="ListParagraph"/>
        <w:ind w:left="1800"/>
      </w:pPr>
      <w:r>
        <w:tab/>
        <w:t xml:space="preserve">            Accuracy – 80.47(k) (reference installations required)</w:t>
      </w:r>
    </w:p>
    <w:p w14:paraId="65CFFAFC" w14:textId="77777777" w:rsidR="00C05F84" w:rsidRDefault="00C05F84" w:rsidP="00BE41EA">
      <w:pPr>
        <w:pStyle w:val="ListParagraph"/>
        <w:ind w:left="1800"/>
      </w:pPr>
      <w:r>
        <w:t xml:space="preserve">            Qualification – 80.47(m) (report to EPA)</w:t>
      </w:r>
    </w:p>
    <w:p w14:paraId="76DC8A22" w14:textId="77777777" w:rsidR="00C05F84" w:rsidRDefault="00C05F84" w:rsidP="00BE41EA">
      <w:pPr>
        <w:pStyle w:val="ListParagraph"/>
        <w:ind w:left="1800"/>
      </w:pPr>
      <w:r>
        <w:t xml:space="preserve">                         SQC – 80.47(p)</w:t>
      </w:r>
    </w:p>
    <w:p w14:paraId="05AC2C79" w14:textId="77777777" w:rsidR="00C05F84" w:rsidRDefault="00C05F84" w:rsidP="00BE41EA">
      <w:pPr>
        <w:pStyle w:val="ListParagraph"/>
        <w:ind w:left="1800"/>
      </w:pPr>
      <w:r>
        <w:t xml:space="preserve">         Recordkeeping – 80.47(q) (lab seeking approval)</w:t>
      </w:r>
    </w:p>
    <w:p w14:paraId="3932C3A6" w14:textId="77777777" w:rsidR="00C05F84" w:rsidRDefault="00C05F84" w:rsidP="00BE41EA">
      <w:pPr>
        <w:pStyle w:val="ListParagraph"/>
        <w:ind w:left="1800"/>
      </w:pPr>
      <w:r>
        <w:t xml:space="preserve">          Recordkeeping - 80.47(m) (reference installations)</w:t>
      </w:r>
    </w:p>
    <w:p w14:paraId="6B8878CA" w14:textId="77777777" w:rsidR="00C05F84" w:rsidRDefault="00C05F84" w:rsidP="00BE41EA">
      <w:pPr>
        <w:ind w:left="720"/>
      </w:pPr>
    </w:p>
    <w:p w14:paraId="6D8ED424" w14:textId="77777777" w:rsidR="00B819E1" w:rsidRDefault="00C05F84" w:rsidP="00BE41EA">
      <w:pPr>
        <w:pStyle w:val="ListParagraph"/>
        <w:numPr>
          <w:ilvl w:val="0"/>
          <w:numId w:val="8"/>
        </w:numPr>
        <w:ind w:left="1800"/>
      </w:pPr>
      <w:r>
        <w:t xml:space="preserve"> Sulfur in Diesel (</w:t>
      </w:r>
      <w:r w:rsidR="00B819E1">
        <w:t>absolute fuel parameter)</w:t>
      </w:r>
    </w:p>
    <w:p w14:paraId="1B6D6589" w14:textId="77777777" w:rsidR="00B819E1" w:rsidRDefault="00B819E1" w:rsidP="00BE41EA">
      <w:pPr>
        <w:pStyle w:val="ListParagraph"/>
        <w:ind w:left="1800"/>
      </w:pPr>
      <w:r>
        <w:t>(DPTM – Not applicable)</w:t>
      </w:r>
    </w:p>
    <w:p w14:paraId="4EDD075E" w14:textId="77777777" w:rsidR="00B819E1" w:rsidRDefault="00B819E1" w:rsidP="00BE41EA">
      <w:pPr>
        <w:pStyle w:val="ListParagraph"/>
        <w:ind w:left="1800"/>
      </w:pPr>
    </w:p>
    <w:p w14:paraId="10708FBF" w14:textId="77777777" w:rsidR="00B819E1" w:rsidRDefault="00B819E1" w:rsidP="00BE41EA">
      <w:pPr>
        <w:pStyle w:val="ListParagraph"/>
        <w:ind w:left="1800"/>
      </w:pPr>
      <w:r>
        <w:t>VCSB ATM – Self-qualified</w:t>
      </w:r>
    </w:p>
    <w:p w14:paraId="494749C2" w14:textId="77777777" w:rsidR="00B819E1" w:rsidRDefault="00B819E1" w:rsidP="00BE41EA">
      <w:pPr>
        <w:pStyle w:val="ListParagraph"/>
        <w:ind w:left="1800"/>
      </w:pPr>
      <w:r>
        <w:tab/>
      </w:r>
      <w:r>
        <w:tab/>
        <w:t>Precision – 80.584(a)</w:t>
      </w:r>
    </w:p>
    <w:p w14:paraId="4EE57A3B" w14:textId="77777777" w:rsidR="00B819E1" w:rsidRDefault="00B819E1" w:rsidP="00BE41EA">
      <w:pPr>
        <w:pStyle w:val="ListParagraph"/>
        <w:ind w:left="1800"/>
      </w:pPr>
      <w:r>
        <w:tab/>
      </w:r>
      <w:r>
        <w:tab/>
        <w:t>Accuracy – 80.584(b)</w:t>
      </w:r>
    </w:p>
    <w:p w14:paraId="548F12B5" w14:textId="77777777" w:rsidR="00B819E1" w:rsidRDefault="00B819E1" w:rsidP="00BE41EA">
      <w:pPr>
        <w:pStyle w:val="ListParagraph"/>
        <w:ind w:left="1800"/>
      </w:pPr>
      <w:r>
        <w:tab/>
        <w:t xml:space="preserve">   Recordkeeping – 80.585(a)(2)</w:t>
      </w:r>
    </w:p>
    <w:p w14:paraId="0FCD8B77" w14:textId="77777777" w:rsidR="00B819E1" w:rsidRDefault="00B819E1" w:rsidP="00BE41EA">
      <w:pPr>
        <w:pStyle w:val="ListParagraph"/>
        <w:ind w:left="1800"/>
      </w:pPr>
      <w:r>
        <w:t xml:space="preserve">         QC procedures – 80.585(e)</w:t>
      </w:r>
    </w:p>
    <w:p w14:paraId="5B6C024F" w14:textId="77777777" w:rsidR="00B819E1" w:rsidRDefault="00B819E1" w:rsidP="00BE41EA">
      <w:pPr>
        <w:pStyle w:val="ListParagraph"/>
        <w:ind w:left="1800"/>
      </w:pPr>
    </w:p>
    <w:p w14:paraId="59A185BC" w14:textId="77777777" w:rsidR="00B819E1" w:rsidRDefault="00B819E1" w:rsidP="00BE41EA">
      <w:pPr>
        <w:pStyle w:val="ListParagraph"/>
        <w:ind w:left="1800"/>
      </w:pPr>
      <w:r>
        <w:t>Non-VCSB ATM – EPA approval required</w:t>
      </w:r>
    </w:p>
    <w:p w14:paraId="249472DD" w14:textId="77777777" w:rsidR="00B819E1" w:rsidRDefault="00B819E1" w:rsidP="00BE41EA">
      <w:pPr>
        <w:pStyle w:val="ListParagraph"/>
        <w:ind w:left="1800"/>
      </w:pPr>
      <w:r>
        <w:tab/>
      </w:r>
      <w:r>
        <w:tab/>
        <w:t>Precision – 80.584(a)</w:t>
      </w:r>
    </w:p>
    <w:p w14:paraId="6E073B89" w14:textId="77777777" w:rsidR="00B819E1" w:rsidRDefault="00B819E1" w:rsidP="00BE41EA">
      <w:pPr>
        <w:pStyle w:val="ListParagraph"/>
        <w:ind w:left="1800"/>
      </w:pPr>
      <w:r>
        <w:tab/>
      </w:r>
      <w:r>
        <w:tab/>
        <w:t>Accuracy – 80.584(b)</w:t>
      </w:r>
    </w:p>
    <w:p w14:paraId="2683D9E7" w14:textId="77777777" w:rsidR="00B819E1" w:rsidRDefault="00B819E1" w:rsidP="00BE41EA">
      <w:pPr>
        <w:pStyle w:val="ListParagraph"/>
        <w:ind w:left="1800"/>
      </w:pPr>
      <w:r>
        <w:t xml:space="preserve">            Qualification – 80.585(b) (report to EPA)</w:t>
      </w:r>
    </w:p>
    <w:p w14:paraId="2B4B3262" w14:textId="77777777" w:rsidR="003A49DD" w:rsidRDefault="00B819E1" w:rsidP="00BE41EA">
      <w:pPr>
        <w:pStyle w:val="ListParagraph"/>
        <w:ind w:left="1800"/>
      </w:pPr>
      <w:r>
        <w:t xml:space="preserve">         QC procedures – 80.585(e)</w:t>
      </w:r>
      <w:r w:rsidR="003A49DD">
        <w:t xml:space="preserve">       </w:t>
      </w:r>
    </w:p>
    <w:p w14:paraId="598B71AE" w14:textId="7DFA1414" w:rsidR="00C148CA" w:rsidRDefault="003A49DD" w:rsidP="00BE41EA">
      <w:r>
        <w:tab/>
      </w:r>
      <w:r w:rsidR="00C148CA">
        <w:tab/>
      </w:r>
    </w:p>
    <w:p w14:paraId="0DF6E76F" w14:textId="07B70A1C" w:rsidR="00BA36F8" w:rsidRPr="00280CC8" w:rsidRDefault="008D3CEB" w:rsidP="00327196">
      <w:pPr>
        <w:ind w:firstLine="720"/>
      </w:pPr>
      <w:r>
        <w:t>T</w:t>
      </w:r>
      <w:r w:rsidR="00BA36F8" w:rsidRPr="00280CC8">
        <w:t xml:space="preserve">o </w:t>
      </w:r>
      <w:r w:rsidR="0033666C">
        <w:t xml:space="preserve">summarize, to </w:t>
      </w:r>
      <w:r w:rsidR="00BA36F8" w:rsidRPr="00280CC8">
        <w:t xml:space="preserve">qualify a test method, the following information must be </w:t>
      </w:r>
      <w:r w:rsidR="0033666C">
        <w:t xml:space="preserve">stored or, in certain cases, </w:t>
      </w:r>
      <w:r w:rsidR="00BA36F8" w:rsidRPr="00280CC8">
        <w:t xml:space="preserve">provided to the </w:t>
      </w:r>
      <w:r w:rsidR="0033666C">
        <w:t>EPA</w:t>
      </w:r>
      <w:r>
        <w:t>:</w:t>
      </w:r>
    </w:p>
    <w:p w14:paraId="54194106" w14:textId="77777777" w:rsidR="00BA36F8" w:rsidRPr="00280CC8" w:rsidRDefault="00BA36F8"/>
    <w:p w14:paraId="7632CE85" w14:textId="77777777" w:rsidR="00BE41EA" w:rsidRDefault="00E002C4" w:rsidP="00BE41EA">
      <w:pPr>
        <w:pStyle w:val="ListParagraph"/>
        <w:numPr>
          <w:ilvl w:val="0"/>
          <w:numId w:val="16"/>
        </w:numPr>
      </w:pPr>
      <w:r>
        <w:t>L</w:t>
      </w:r>
      <w:r w:rsidR="00EF33C6">
        <w:t>aboratories</w:t>
      </w:r>
      <w:r w:rsidR="00661E93" w:rsidRPr="00280CC8">
        <w:t xml:space="preserve"> must submit information that will </w:t>
      </w:r>
      <w:r w:rsidR="00BA36F8" w:rsidRPr="00280CC8">
        <w:t xml:space="preserve">establish that </w:t>
      </w:r>
      <w:r w:rsidR="0033666C">
        <w:t>certain</w:t>
      </w:r>
      <w:r w:rsidR="008D3CEB">
        <w:t xml:space="preserve"> non-VCSB</w:t>
      </w:r>
      <w:r w:rsidR="00BA36F8" w:rsidRPr="00280CC8">
        <w:t xml:space="preserve"> test method</w:t>
      </w:r>
      <w:r w:rsidR="0033666C">
        <w:t>s</w:t>
      </w:r>
      <w:r w:rsidR="00564534" w:rsidRPr="00280CC8">
        <w:t xml:space="preserve"> </w:t>
      </w:r>
      <w:r w:rsidR="00BA36F8" w:rsidRPr="00280CC8">
        <w:t>meet the accuracy and precision requirements</w:t>
      </w:r>
      <w:r w:rsidR="008D3CEB">
        <w:t>.</w:t>
      </w:r>
      <w:r w:rsidR="00BA36F8" w:rsidRPr="00280CC8">
        <w:t xml:space="preserve"> </w:t>
      </w:r>
      <w:r w:rsidR="00EF33C6">
        <w:t xml:space="preserve">They must also </w:t>
      </w:r>
      <w:r w:rsidR="00F60F5A">
        <w:t xml:space="preserve">generate and </w:t>
      </w:r>
      <w:r w:rsidR="00EF33C6">
        <w:t>retain the subseq</w:t>
      </w:r>
      <w:r w:rsidR="00F60F5A">
        <w:t>uent SQC records for five years</w:t>
      </w:r>
      <w:r w:rsidR="0033666C">
        <w:t>.</w:t>
      </w:r>
    </w:p>
    <w:p w14:paraId="5859F709" w14:textId="77777777" w:rsidR="00BE41EA" w:rsidRDefault="00BE41EA" w:rsidP="00BE41EA">
      <w:pPr>
        <w:pStyle w:val="ListParagraph"/>
        <w:ind w:left="1080"/>
      </w:pPr>
    </w:p>
    <w:p w14:paraId="44279836" w14:textId="1629B037" w:rsidR="00BA36F8" w:rsidRDefault="0090147C" w:rsidP="00BE41EA">
      <w:pPr>
        <w:pStyle w:val="ListParagraph"/>
        <w:numPr>
          <w:ilvl w:val="0"/>
          <w:numId w:val="16"/>
        </w:numPr>
      </w:pPr>
      <w:r>
        <w:t>L</w:t>
      </w:r>
      <w:r w:rsidR="00EF33C6">
        <w:t>aboratories</w:t>
      </w:r>
      <w:r w:rsidR="00BA36F8" w:rsidRPr="00280CC8">
        <w:t xml:space="preserve"> must retain </w:t>
      </w:r>
      <w:r w:rsidR="00F60F5A">
        <w:t xml:space="preserve">the information that will establish that </w:t>
      </w:r>
      <w:r w:rsidR="00EF33C6">
        <w:t xml:space="preserve">VCSB </w:t>
      </w:r>
      <w:r w:rsidR="00BA36F8" w:rsidRPr="00280CC8">
        <w:t>test method</w:t>
      </w:r>
      <w:r w:rsidR="0033666C">
        <w:t>s and certain non-VCSB</w:t>
      </w:r>
      <w:r w:rsidR="00F60F5A">
        <w:t xml:space="preserve"> </w:t>
      </w:r>
      <w:r w:rsidR="0033666C">
        <w:t xml:space="preserve">test methods </w:t>
      </w:r>
      <w:r w:rsidR="00F60F5A">
        <w:t xml:space="preserve">meet the accuracy and precision requirements. </w:t>
      </w:r>
      <w:r w:rsidR="0099490A">
        <w:t xml:space="preserve">They must also generate and maintain </w:t>
      </w:r>
      <w:r w:rsidR="008D3CEB">
        <w:t xml:space="preserve">the subsequent SQC records </w:t>
      </w:r>
      <w:r w:rsidR="00BA36F8" w:rsidRPr="00280CC8">
        <w:t>for five years.</w:t>
      </w:r>
      <w:r w:rsidR="007C4A1E" w:rsidRPr="00280CC8">
        <w:t xml:space="preserve">  </w:t>
      </w:r>
      <w:r w:rsidR="00661E93" w:rsidRPr="00280CC8">
        <w:t>This period is consistent with the required record retention for all 40 CFR fuels programs.</w:t>
      </w:r>
    </w:p>
    <w:p w14:paraId="3E07372B" w14:textId="77777777" w:rsidR="00EF33C6" w:rsidRDefault="00EF33C6"/>
    <w:p w14:paraId="3E36D63B" w14:textId="77777777" w:rsidR="004A7DF5" w:rsidRDefault="004A7DF5" w:rsidP="00CC216C"/>
    <w:p w14:paraId="6019FB06" w14:textId="5B1B37C1" w:rsidR="00BA36F8" w:rsidRPr="00C7259A" w:rsidRDefault="00AB31E6" w:rsidP="004A7DF5">
      <w:pPr>
        <w:pStyle w:val="ListParagraph"/>
        <w:numPr>
          <w:ilvl w:val="0"/>
          <w:numId w:val="18"/>
        </w:numPr>
        <w:ind w:left="720" w:hanging="720"/>
      </w:pPr>
      <w:r w:rsidRPr="004A7DF5">
        <w:rPr>
          <w:b/>
        </w:rPr>
        <w:t>THE INFORMATION COLLECTED – AGENCY ACTIVITIES, COLLECTION METHODOLOGY, AND INFORMATION MANAGEMENT</w:t>
      </w:r>
    </w:p>
    <w:p w14:paraId="5FBFF131" w14:textId="77777777" w:rsidR="00BA36F8" w:rsidRPr="00280CC8" w:rsidRDefault="00BA36F8"/>
    <w:p w14:paraId="6194C0BC" w14:textId="77777777" w:rsidR="00BA36F8" w:rsidRPr="00280CC8" w:rsidRDefault="00D553A3">
      <w:r>
        <w:tab/>
      </w:r>
      <w:r w:rsidR="00AB31E6">
        <w:t>5(a)</w:t>
      </w:r>
      <w:r w:rsidR="00BA36F8" w:rsidRPr="00280CC8">
        <w:tab/>
        <w:t>Agency Activities</w:t>
      </w:r>
    </w:p>
    <w:p w14:paraId="22B2E7A2" w14:textId="77777777" w:rsidR="00BA36F8" w:rsidRPr="00280CC8" w:rsidRDefault="00BA36F8"/>
    <w:p w14:paraId="446CE494" w14:textId="77777777" w:rsidR="00BA36F8" w:rsidRPr="00280CC8" w:rsidRDefault="00BA36F8">
      <w:pPr>
        <w:numPr>
          <w:ilvl w:val="0"/>
          <w:numId w:val="1"/>
        </w:numPr>
        <w:tabs>
          <w:tab w:val="clear" w:pos="360"/>
          <w:tab w:val="num" w:pos="1080"/>
        </w:tabs>
        <w:ind w:left="1080"/>
      </w:pPr>
      <w:r w:rsidRPr="00280CC8">
        <w:t>All reported data will be reviewed by EPA.</w:t>
      </w:r>
    </w:p>
    <w:p w14:paraId="2089DA7C" w14:textId="77777777" w:rsidR="00BA36F8" w:rsidRPr="00280CC8" w:rsidRDefault="00BA36F8">
      <w:pPr>
        <w:numPr>
          <w:ilvl w:val="0"/>
          <w:numId w:val="1"/>
        </w:numPr>
        <w:tabs>
          <w:tab w:val="clear" w:pos="360"/>
          <w:tab w:val="num" w:pos="1080"/>
        </w:tabs>
        <w:ind w:left="1080"/>
      </w:pPr>
      <w:r w:rsidRPr="00280CC8">
        <w:t xml:space="preserve">EPA will </w:t>
      </w:r>
      <w:r w:rsidR="00AB31E6">
        <w:t>review</w:t>
      </w:r>
      <w:r w:rsidRPr="00280CC8">
        <w:t xml:space="preserve"> the data to determine if the </w:t>
      </w:r>
      <w:r w:rsidR="00AB31E6">
        <w:t>non-</w:t>
      </w:r>
      <w:r w:rsidR="00DA561F">
        <w:t>VCSB</w:t>
      </w:r>
      <w:r w:rsidR="00AB31E6">
        <w:t xml:space="preserve"> </w:t>
      </w:r>
      <w:r w:rsidRPr="00280CC8">
        <w:t>test method meets the accuracy and precision criteria of the regulation</w:t>
      </w:r>
      <w:r w:rsidR="002D0D05">
        <w:t xml:space="preserve"> and whether a correlation is necessary for the candidate alternative test method</w:t>
      </w:r>
      <w:r w:rsidRPr="00280CC8">
        <w:t>.</w:t>
      </w:r>
    </w:p>
    <w:p w14:paraId="638F7CEB" w14:textId="77777777" w:rsidR="00BA36F8" w:rsidRPr="00280CC8" w:rsidRDefault="00BA36F8">
      <w:pPr>
        <w:numPr>
          <w:ilvl w:val="0"/>
          <w:numId w:val="1"/>
        </w:numPr>
        <w:tabs>
          <w:tab w:val="clear" w:pos="360"/>
          <w:tab w:val="num" w:pos="1080"/>
        </w:tabs>
        <w:ind w:left="1080"/>
      </w:pPr>
      <w:r w:rsidRPr="00280CC8">
        <w:t xml:space="preserve">EPA will prepare a written response qualifying (or not qualifying) the </w:t>
      </w:r>
      <w:r w:rsidR="00661E93" w:rsidRPr="00280CC8">
        <w:t xml:space="preserve">laboratory to perform the </w:t>
      </w:r>
      <w:r w:rsidRPr="00280CC8">
        <w:t>test method.</w:t>
      </w:r>
    </w:p>
    <w:p w14:paraId="12B83437" w14:textId="77777777" w:rsidR="00BA36F8" w:rsidRPr="00280CC8" w:rsidRDefault="00BA36F8">
      <w:pPr>
        <w:numPr>
          <w:ilvl w:val="0"/>
          <w:numId w:val="1"/>
        </w:numPr>
        <w:tabs>
          <w:tab w:val="clear" w:pos="360"/>
          <w:tab w:val="num" w:pos="1080"/>
        </w:tabs>
        <w:ind w:left="1080"/>
      </w:pPr>
      <w:r w:rsidRPr="00280CC8">
        <w:t>The data will be stored.</w:t>
      </w:r>
    </w:p>
    <w:p w14:paraId="3FB7EA96" w14:textId="77777777" w:rsidR="00BA36F8" w:rsidRPr="00280CC8" w:rsidRDefault="00BA36F8"/>
    <w:p w14:paraId="0DAF56B6" w14:textId="77777777" w:rsidR="00BA36F8" w:rsidRPr="00280CC8" w:rsidRDefault="00D553A3">
      <w:r>
        <w:tab/>
      </w:r>
      <w:r w:rsidR="00AB31E6">
        <w:t>5(b)</w:t>
      </w:r>
      <w:r w:rsidR="00BA36F8" w:rsidRPr="00280CC8">
        <w:t xml:space="preserve"> </w:t>
      </w:r>
      <w:r w:rsidR="00BA36F8" w:rsidRPr="00280CC8">
        <w:tab/>
        <w:t>Collection and Methodology and Management</w:t>
      </w:r>
    </w:p>
    <w:p w14:paraId="1A9E2BE8" w14:textId="77777777" w:rsidR="00BA36F8" w:rsidRPr="00280CC8" w:rsidRDefault="00BA36F8"/>
    <w:p w14:paraId="41072811" w14:textId="3B568773" w:rsidR="00E31230" w:rsidRDefault="00BA36F8">
      <w:r w:rsidRPr="00280CC8">
        <w:tab/>
        <w:t xml:space="preserve">Data will be collected by industry and reported to EPA in the form of </w:t>
      </w:r>
      <w:r w:rsidR="00661E93" w:rsidRPr="00280CC8">
        <w:t xml:space="preserve">a </w:t>
      </w:r>
      <w:r w:rsidRPr="00280CC8">
        <w:t xml:space="preserve">template, typically submitted with an accompanying letter and contact information. </w:t>
      </w:r>
      <w:r w:rsidR="00AB31E6">
        <w:t>Sample templets are on our web site for each eligible fuel parameter.</w:t>
      </w:r>
    </w:p>
    <w:p w14:paraId="4A98E446" w14:textId="77777777" w:rsidR="00E31230" w:rsidRPr="00280CC8" w:rsidRDefault="00E31230">
      <w:r w:rsidRPr="00280CC8">
        <w:t xml:space="preserve"> </w:t>
      </w:r>
    </w:p>
    <w:p w14:paraId="667A31EF" w14:textId="77777777" w:rsidR="00BA36F8" w:rsidRPr="00280CC8" w:rsidRDefault="00D553A3">
      <w:r>
        <w:tab/>
      </w:r>
      <w:r w:rsidR="00AB31E6">
        <w:t>5(c)</w:t>
      </w:r>
      <w:r w:rsidR="00BA36F8" w:rsidRPr="00280CC8">
        <w:tab/>
        <w:t>Small Entity Flexibility</w:t>
      </w:r>
    </w:p>
    <w:p w14:paraId="78DA9C3A" w14:textId="77777777" w:rsidR="00BA36F8" w:rsidRPr="00280CC8" w:rsidRDefault="00BA36F8"/>
    <w:p w14:paraId="75A84751" w14:textId="01970EF0" w:rsidR="00BA36F8" w:rsidRPr="00280CC8" w:rsidRDefault="00BA36F8">
      <w:r w:rsidRPr="00280CC8">
        <w:tab/>
        <w:t xml:space="preserve">This collection will not adversely affect small entities. The regulation provides a means of qualifying </w:t>
      </w:r>
      <w:r w:rsidR="00AB31E6">
        <w:t xml:space="preserve">alternative </w:t>
      </w:r>
      <w:r w:rsidRPr="00280CC8">
        <w:t>test methods that may encourage development of new test methods by entities of all sizes.</w:t>
      </w:r>
    </w:p>
    <w:p w14:paraId="428B04B0" w14:textId="77777777" w:rsidR="00A247DE" w:rsidRDefault="00D553A3">
      <w:r>
        <w:tab/>
      </w:r>
    </w:p>
    <w:p w14:paraId="6A3FA635" w14:textId="77777777" w:rsidR="00BA36F8" w:rsidRPr="00280CC8" w:rsidRDefault="00AB31E6" w:rsidP="00A247DE">
      <w:pPr>
        <w:ind w:firstLine="720"/>
      </w:pPr>
      <w:r>
        <w:t>5(d)</w:t>
      </w:r>
      <w:r w:rsidR="00BA36F8" w:rsidRPr="00280CC8">
        <w:tab/>
        <w:t>Collection Schedule</w:t>
      </w:r>
    </w:p>
    <w:p w14:paraId="26D82A07" w14:textId="77777777" w:rsidR="00BA36F8" w:rsidRPr="00280CC8" w:rsidRDefault="00BA36F8"/>
    <w:p w14:paraId="4DD1222A" w14:textId="2F7C6A56" w:rsidR="00BA36F8" w:rsidRPr="00280CC8" w:rsidRDefault="00BA36F8">
      <w:r w:rsidRPr="00280CC8">
        <w:tab/>
      </w:r>
      <w:r w:rsidR="00E31230">
        <w:t xml:space="preserve">Test methods are expected </w:t>
      </w:r>
      <w:r w:rsidRPr="00280CC8">
        <w:t>to be submitted on a one</w:t>
      </w:r>
      <w:r w:rsidR="008D3CEB">
        <w:t>-</w:t>
      </w:r>
      <w:r w:rsidRPr="00280CC8">
        <w:t>time basis</w:t>
      </w:r>
      <w:r w:rsidR="00C97BA2" w:rsidRPr="00280CC8">
        <w:t xml:space="preserve"> by parties</w:t>
      </w:r>
      <w:r w:rsidR="002D0D05">
        <w:t xml:space="preserve"> wishing to seek approval of non-VCSB test methods</w:t>
      </w:r>
      <w:r w:rsidRPr="00280CC8">
        <w:t>. The time of collection is driven by the respondent.</w:t>
      </w:r>
      <w:r w:rsidR="00661E93" w:rsidRPr="00280CC8">
        <w:t xml:space="preserve"> </w:t>
      </w:r>
      <w:r w:rsidR="006142B6">
        <w:t>Laboratories have qualified VCSB methods in the previous three years and we are not aware of recent activity. There have been no applications for qua</w:t>
      </w:r>
      <w:r w:rsidR="00314EA9">
        <w:t>lification of a non-VCSB method since 2015.</w:t>
      </w:r>
    </w:p>
    <w:p w14:paraId="6B187401" w14:textId="24EEEB0F" w:rsidR="00BA36F8" w:rsidRDefault="00BA36F8"/>
    <w:p w14:paraId="7CBC6926" w14:textId="77777777" w:rsidR="00C7259A" w:rsidRPr="00280CC8" w:rsidRDefault="00C7259A"/>
    <w:p w14:paraId="242746E5" w14:textId="23D5B320" w:rsidR="00BA36F8" w:rsidRPr="00C7259A" w:rsidRDefault="00BA36F8">
      <w:pPr>
        <w:rPr>
          <w:b/>
        </w:rPr>
      </w:pPr>
      <w:r w:rsidRPr="00C7259A">
        <w:rPr>
          <w:b/>
        </w:rPr>
        <w:t>6.</w:t>
      </w:r>
      <w:r w:rsidR="00C7259A" w:rsidRPr="00C7259A">
        <w:rPr>
          <w:b/>
        </w:rPr>
        <w:tab/>
        <w:t>ESTIMATING THE BURDEN AND COST OF THE COLLECTION</w:t>
      </w:r>
    </w:p>
    <w:p w14:paraId="11D794D6" w14:textId="77777777" w:rsidR="00BA36F8" w:rsidRPr="00280CC8" w:rsidRDefault="00BA36F8"/>
    <w:p w14:paraId="2688E541" w14:textId="77777777" w:rsidR="000638AD" w:rsidRDefault="00D553A3" w:rsidP="002D7FEA">
      <w:r>
        <w:tab/>
      </w:r>
      <w:r w:rsidR="005E3CCA">
        <w:t>6(a)</w:t>
      </w:r>
      <w:r>
        <w:tab/>
      </w:r>
      <w:r w:rsidR="000638AD">
        <w:t>Estimating Respondent Burden</w:t>
      </w:r>
    </w:p>
    <w:p w14:paraId="79AEA2CB" w14:textId="77777777" w:rsidR="000638AD" w:rsidRDefault="000638AD" w:rsidP="002D7FEA"/>
    <w:p w14:paraId="315E0A32" w14:textId="530832CB" w:rsidR="005F52C8" w:rsidRDefault="00BA36F8" w:rsidP="000638AD">
      <w:pPr>
        <w:ind w:firstLine="720"/>
      </w:pPr>
      <w:r w:rsidRPr="00280CC8">
        <w:t>We drew upon experience implementing similar regulations among the same entities to develop estimates of the burden associated with this collection.</w:t>
      </w:r>
      <w:r w:rsidR="007B78D4">
        <w:t xml:space="preserve"> We estimated </w:t>
      </w:r>
      <w:r w:rsidR="00314EA9">
        <w:t>1,000</w:t>
      </w:r>
      <w:r w:rsidR="00D65BA5">
        <w:t xml:space="preserve"> </w:t>
      </w:r>
      <w:r w:rsidR="007B78D4">
        <w:t>laboratories</w:t>
      </w:r>
      <w:r w:rsidR="00AA0BDA">
        <w:t xml:space="preserve"> would </w:t>
      </w:r>
      <w:r w:rsidR="002D0D05">
        <w:t>be impacted by the SQC requirements</w:t>
      </w:r>
      <w:r w:rsidR="007B78D4">
        <w:t xml:space="preserve">, based upon </w:t>
      </w:r>
      <w:r w:rsidR="00314EA9">
        <w:t>registration data and industry knowledge</w:t>
      </w:r>
      <w:r w:rsidR="007B78D4">
        <w:t>.</w:t>
      </w:r>
    </w:p>
    <w:p w14:paraId="1D42C3D4" w14:textId="77777777" w:rsidR="005F52C8" w:rsidRDefault="005F52C8" w:rsidP="000638AD">
      <w:pPr>
        <w:ind w:firstLine="720"/>
      </w:pPr>
    </w:p>
    <w:p w14:paraId="77941E7F" w14:textId="77777777" w:rsidR="00FC7886" w:rsidRDefault="00FC7886" w:rsidP="00FC7886">
      <w:pPr>
        <w:ind w:firstLine="720"/>
      </w:pPr>
      <w:r>
        <w:t>It is estimated that the average burden to qualify a new alternative test method is 180 hours. The bulk of new-qualification activity has occurred. We estimate two new qualifications annually, one VCSB method and one non-VCSB method, primarily as placeholders for a total of 360 hours. There appears to be little new activity in this area. The previous ICR estimated 52 new methods but at only 6.66 hours per qualification, for a total of 346 hours. We believe that the 6.66 figure was in error.</w:t>
      </w:r>
    </w:p>
    <w:p w14:paraId="0862F0E4" w14:textId="77777777" w:rsidR="00FC7886" w:rsidRDefault="00FC7886" w:rsidP="00FC7886"/>
    <w:p w14:paraId="56C00CF4" w14:textId="4ADB22DD" w:rsidR="00FC7886" w:rsidRDefault="00FC7886" w:rsidP="00FC7886">
      <w:r>
        <w:tab/>
        <w:t>We estimate that each of the 1,000 fuel test labs will spend one-half hour per week in the generation and retention of SQC records. Thus, 26 hours per lab per year by 1,000 labs gives an annual burden of 26,000 hours. The previous ICR estimated only 52 labs for a total of 5,408 hours. We believe that the only 52 labs was in error.</w:t>
      </w:r>
    </w:p>
    <w:p w14:paraId="20BDDA56" w14:textId="77777777" w:rsidR="00FC7886" w:rsidRDefault="00FC7886" w:rsidP="00FC7886"/>
    <w:p w14:paraId="2E6DEC16" w14:textId="77777777" w:rsidR="00FC7886" w:rsidRDefault="00FC7886" w:rsidP="00FC7886">
      <w:r>
        <w:tab/>
        <w:t>Reference installations/labs are required for certain qualifications. For two annual qualifications we estimate that 12 installations would be involved, at 24 hours each annually, for a total of 288 hours. The previous ICR estimated 52 installations for a total of 1,248 hours.</w:t>
      </w:r>
    </w:p>
    <w:p w14:paraId="4A06CF79" w14:textId="77777777" w:rsidR="00FC7886" w:rsidRDefault="00FC7886" w:rsidP="00FC7886"/>
    <w:p w14:paraId="1675A0D3" w14:textId="1A015A32" w:rsidR="002D7FEA" w:rsidRPr="00280CC8" w:rsidRDefault="00FC7886" w:rsidP="00FC7886">
      <w:r>
        <w:tab/>
        <w:t>A non-VCSB method may require a third-party engineering review. We estimate one annually at 48 hours. The previous ICR estimated 52 annually at 48 hours each for a total of 2,496 hours.</w:t>
      </w:r>
      <w:r w:rsidR="007B78D4">
        <w:t xml:space="preserve">  </w:t>
      </w:r>
      <w:r w:rsidR="002D7FEA" w:rsidRPr="00280CC8">
        <w:t xml:space="preserve">  </w:t>
      </w:r>
    </w:p>
    <w:p w14:paraId="39A77247" w14:textId="77777777" w:rsidR="00BA36F8" w:rsidRPr="00280CC8" w:rsidRDefault="005326C6">
      <w:r w:rsidRPr="00280CC8">
        <w:t xml:space="preserve"> </w:t>
      </w:r>
      <w:r w:rsidR="00BA36F8" w:rsidRPr="00280CC8">
        <w:t xml:space="preserve">  </w:t>
      </w:r>
    </w:p>
    <w:p w14:paraId="4059DAFE" w14:textId="4133E9A8" w:rsidR="000638AD" w:rsidRDefault="00D553A3" w:rsidP="000D4AED">
      <w:r>
        <w:tab/>
      </w:r>
      <w:r w:rsidR="005E3CCA">
        <w:t>6(b)</w:t>
      </w:r>
      <w:r w:rsidR="000638AD">
        <w:tab/>
        <w:t xml:space="preserve">Estimating </w:t>
      </w:r>
      <w:r w:rsidR="00252C72">
        <w:t>Respondent Cost</w:t>
      </w:r>
    </w:p>
    <w:p w14:paraId="0C7A0557" w14:textId="77777777" w:rsidR="000638AD" w:rsidRDefault="000638AD" w:rsidP="00EC0D90"/>
    <w:p w14:paraId="6B67DEA6" w14:textId="7C1D56F4" w:rsidR="00EC0D90" w:rsidRDefault="00BA36F8" w:rsidP="00EC0D90">
      <w:pPr>
        <w:rPr>
          <w:szCs w:val="24"/>
        </w:rPr>
      </w:pPr>
      <w:r w:rsidRPr="00280CC8">
        <w:tab/>
      </w:r>
      <w:r w:rsidR="00EC0D90" w:rsidRPr="00280CC8">
        <w:rPr>
          <w:szCs w:val="24"/>
        </w:rPr>
        <w:t xml:space="preserve">Three labor categories are involved: managerial (includes legal and professional review), technical, and clerical. </w:t>
      </w:r>
      <w:r w:rsidR="00EC0D90">
        <w:rPr>
          <w:szCs w:val="24"/>
        </w:rPr>
        <w:t>E</w:t>
      </w:r>
      <w:r w:rsidR="00EC0D90" w:rsidRPr="00280CC8">
        <w:rPr>
          <w:szCs w:val="24"/>
        </w:rPr>
        <w:t xml:space="preserve">stimates </w:t>
      </w:r>
      <w:r w:rsidR="00EC0D90">
        <w:rPr>
          <w:szCs w:val="24"/>
        </w:rPr>
        <w:t>were derived from average wages reported in the Bureau of Labor Statistics - May 201</w:t>
      </w:r>
      <w:r w:rsidR="00BE3F07">
        <w:rPr>
          <w:szCs w:val="24"/>
        </w:rPr>
        <w:t>7</w:t>
      </w:r>
      <w:r w:rsidR="00EC0D90">
        <w:rPr>
          <w:szCs w:val="24"/>
        </w:rPr>
        <w:t xml:space="preserve"> National Industry-Specific Occupational Employment and Wage Estimates NAICS; 541380 – Testing Laboratories</w:t>
      </w:r>
      <w:r w:rsidR="00EC0D90" w:rsidRPr="00280CC8">
        <w:rPr>
          <w:szCs w:val="24"/>
        </w:rPr>
        <w:t xml:space="preserve"> </w:t>
      </w:r>
      <w:r w:rsidR="00EC0D90">
        <w:rPr>
          <w:szCs w:val="24"/>
        </w:rPr>
        <w:t xml:space="preserve"> found at </w:t>
      </w:r>
      <w:hyperlink r:id="rId9" w:history="1">
        <w:r w:rsidR="001C5DFB" w:rsidRPr="00FD02CE">
          <w:rPr>
            <w:rStyle w:val="Hyperlink"/>
            <w:szCs w:val="24"/>
          </w:rPr>
          <w:t>https://www.bls.gov/oes/current/naics5_541380.htm</w:t>
        </w:r>
      </w:hyperlink>
      <w:r w:rsidR="001C5DFB">
        <w:rPr>
          <w:szCs w:val="24"/>
        </w:rPr>
        <w:t xml:space="preserve"> </w:t>
      </w:r>
      <w:r w:rsidR="00EC0D90" w:rsidRPr="00280CC8">
        <w:rPr>
          <w:szCs w:val="24"/>
        </w:rPr>
        <w:t>with a 3% annual inflation factor applied to bring the values to the present. Using this method, the following wages and benefits apply by category:</w:t>
      </w:r>
    </w:p>
    <w:p w14:paraId="34CF026B" w14:textId="77777777" w:rsidR="00A23B3E" w:rsidRPr="00280CC8" w:rsidRDefault="00A23B3E" w:rsidP="00E74D93">
      <w:pPr>
        <w:contextualSpacing/>
        <w:rPr>
          <w:szCs w:val="24"/>
        </w:rPr>
      </w:pPr>
    </w:p>
    <w:p w14:paraId="0AD57161" w14:textId="77777777" w:rsidR="00EC0D90" w:rsidRPr="00280CC8" w:rsidRDefault="00EC0D90" w:rsidP="004172CD">
      <w:pPr>
        <w:spacing w:after="120"/>
        <w:ind w:left="1440"/>
        <w:rPr>
          <w:szCs w:val="24"/>
          <w:u w:val="single"/>
        </w:rPr>
      </w:pPr>
      <w:r w:rsidRPr="00280CC8">
        <w:rPr>
          <w:szCs w:val="24"/>
          <w:u w:val="single"/>
        </w:rPr>
        <w:t>Wages and Benefits</w:t>
      </w:r>
      <w:r>
        <w:rPr>
          <w:szCs w:val="24"/>
          <w:u w:val="single"/>
        </w:rPr>
        <w:t xml:space="preserve"> </w:t>
      </w:r>
    </w:p>
    <w:p w14:paraId="67395DA5" w14:textId="77777777" w:rsidR="00EC0D90" w:rsidRPr="00280CC8" w:rsidRDefault="00EC0D90" w:rsidP="00252C72">
      <w:pPr>
        <w:ind w:left="1440"/>
        <w:rPr>
          <w:szCs w:val="24"/>
        </w:rPr>
      </w:pPr>
      <w:r w:rsidRPr="00280CC8">
        <w:rPr>
          <w:szCs w:val="24"/>
        </w:rPr>
        <w:t xml:space="preserve">Managerial </w:t>
      </w:r>
      <w:r w:rsidRPr="00280CC8">
        <w:rPr>
          <w:szCs w:val="24"/>
        </w:rPr>
        <w:tab/>
      </w:r>
      <w:r>
        <w:rPr>
          <w:szCs w:val="24"/>
        </w:rPr>
        <w:tab/>
      </w:r>
      <w:r w:rsidRPr="00280CC8">
        <w:rPr>
          <w:szCs w:val="24"/>
        </w:rPr>
        <w:t>$</w:t>
      </w:r>
      <w:r w:rsidR="00BE3F07">
        <w:rPr>
          <w:szCs w:val="24"/>
        </w:rPr>
        <w:t>65.69</w:t>
      </w:r>
      <w:r>
        <w:rPr>
          <w:szCs w:val="24"/>
        </w:rPr>
        <w:t xml:space="preserve"> </w:t>
      </w:r>
      <w:r w:rsidRPr="00280CC8">
        <w:rPr>
          <w:szCs w:val="24"/>
        </w:rPr>
        <w:t>per hour</w:t>
      </w:r>
    </w:p>
    <w:p w14:paraId="1ECA7CDA" w14:textId="77777777" w:rsidR="00EC0D90" w:rsidRPr="00280CC8" w:rsidRDefault="00EC0D90" w:rsidP="00252C72">
      <w:pPr>
        <w:ind w:left="1440"/>
        <w:rPr>
          <w:szCs w:val="24"/>
        </w:rPr>
      </w:pPr>
      <w:r w:rsidRPr="00280CC8">
        <w:rPr>
          <w:szCs w:val="24"/>
        </w:rPr>
        <w:t>Technical</w:t>
      </w:r>
      <w:r w:rsidRPr="00280CC8">
        <w:rPr>
          <w:szCs w:val="24"/>
        </w:rPr>
        <w:tab/>
      </w:r>
      <w:r w:rsidRPr="00280CC8">
        <w:rPr>
          <w:szCs w:val="24"/>
        </w:rPr>
        <w:tab/>
        <w:t>$</w:t>
      </w:r>
      <w:r w:rsidR="00BE3F07">
        <w:rPr>
          <w:szCs w:val="24"/>
        </w:rPr>
        <w:t>50.49</w:t>
      </w:r>
      <w:r>
        <w:rPr>
          <w:szCs w:val="24"/>
        </w:rPr>
        <w:t xml:space="preserve"> </w:t>
      </w:r>
      <w:r w:rsidRPr="00280CC8">
        <w:rPr>
          <w:szCs w:val="24"/>
        </w:rPr>
        <w:t>per hour</w:t>
      </w:r>
    </w:p>
    <w:p w14:paraId="59247EFA" w14:textId="77777777" w:rsidR="00EC0D90" w:rsidRPr="00280CC8" w:rsidRDefault="00EC0D90" w:rsidP="00252C72">
      <w:pPr>
        <w:ind w:left="1440"/>
        <w:rPr>
          <w:szCs w:val="24"/>
        </w:rPr>
      </w:pPr>
      <w:r w:rsidRPr="00280CC8">
        <w:rPr>
          <w:szCs w:val="24"/>
        </w:rPr>
        <w:t>Clerical</w:t>
      </w:r>
      <w:r w:rsidRPr="00280CC8">
        <w:rPr>
          <w:szCs w:val="24"/>
        </w:rPr>
        <w:tab/>
      </w:r>
      <w:r w:rsidRPr="00280CC8">
        <w:rPr>
          <w:szCs w:val="24"/>
        </w:rPr>
        <w:tab/>
        <w:t>$</w:t>
      </w:r>
      <w:r w:rsidR="00BE3F07">
        <w:rPr>
          <w:szCs w:val="24"/>
        </w:rPr>
        <w:t>20.57</w:t>
      </w:r>
      <w:r>
        <w:rPr>
          <w:szCs w:val="24"/>
        </w:rPr>
        <w:t xml:space="preserve"> </w:t>
      </w:r>
      <w:r w:rsidRPr="00280CC8">
        <w:rPr>
          <w:szCs w:val="24"/>
        </w:rPr>
        <w:t>per hour</w:t>
      </w:r>
    </w:p>
    <w:p w14:paraId="6828171B" w14:textId="77777777" w:rsidR="00EC0D90" w:rsidRPr="00280CC8" w:rsidRDefault="00EC0D90" w:rsidP="00EC0D90">
      <w:pPr>
        <w:rPr>
          <w:szCs w:val="24"/>
        </w:rPr>
      </w:pPr>
    </w:p>
    <w:p w14:paraId="650B624A" w14:textId="77777777" w:rsidR="00EC0D90" w:rsidRPr="00280CC8" w:rsidRDefault="00EC0D90" w:rsidP="0068151F">
      <w:pPr>
        <w:ind w:firstLine="720"/>
        <w:rPr>
          <w:szCs w:val="24"/>
        </w:rPr>
      </w:pPr>
      <w:r w:rsidRPr="00280CC8">
        <w:rPr>
          <w:szCs w:val="24"/>
        </w:rPr>
        <w:t xml:space="preserve">Doubling for company overhead beyond wages and benefits, and for convenience, rounding to the dollar, gives the following rates for this </w:t>
      </w:r>
      <w:r w:rsidR="008C1BFC">
        <w:rPr>
          <w:szCs w:val="24"/>
        </w:rPr>
        <w:t>final</w:t>
      </w:r>
      <w:r>
        <w:rPr>
          <w:szCs w:val="24"/>
        </w:rPr>
        <w:t xml:space="preserve"> </w:t>
      </w:r>
      <w:r w:rsidRPr="00280CC8">
        <w:rPr>
          <w:szCs w:val="24"/>
        </w:rPr>
        <w:t>ICR:</w:t>
      </w:r>
    </w:p>
    <w:p w14:paraId="00C697EA" w14:textId="77777777" w:rsidR="00EC0D90" w:rsidRPr="00280CC8" w:rsidRDefault="00EC0D90" w:rsidP="00EC0D90">
      <w:pPr>
        <w:rPr>
          <w:szCs w:val="24"/>
        </w:rPr>
      </w:pPr>
    </w:p>
    <w:p w14:paraId="7391D9E2" w14:textId="635F4D68" w:rsidR="00EC0D90" w:rsidRPr="004172CD" w:rsidRDefault="00EC0D90" w:rsidP="004172CD">
      <w:pPr>
        <w:spacing w:after="120"/>
        <w:ind w:left="1440"/>
        <w:rPr>
          <w:szCs w:val="24"/>
          <w:u w:val="single"/>
        </w:rPr>
      </w:pPr>
      <w:r w:rsidRPr="00280CC8">
        <w:rPr>
          <w:szCs w:val="24"/>
          <w:u w:val="single"/>
        </w:rPr>
        <w:t>Total Employer Cost</w:t>
      </w:r>
    </w:p>
    <w:p w14:paraId="3D60A85D" w14:textId="77777777" w:rsidR="00EC0D90" w:rsidRPr="00280CC8" w:rsidRDefault="00EC0D90" w:rsidP="00252C72">
      <w:pPr>
        <w:ind w:left="1440"/>
        <w:rPr>
          <w:szCs w:val="24"/>
        </w:rPr>
      </w:pPr>
      <w:r w:rsidRPr="00280CC8">
        <w:rPr>
          <w:szCs w:val="24"/>
        </w:rPr>
        <w:t>Managerial</w:t>
      </w:r>
      <w:r w:rsidRPr="00280CC8">
        <w:rPr>
          <w:szCs w:val="24"/>
        </w:rPr>
        <w:tab/>
      </w:r>
      <w:r>
        <w:rPr>
          <w:szCs w:val="24"/>
        </w:rPr>
        <w:tab/>
      </w:r>
      <w:r w:rsidRPr="00280CC8">
        <w:rPr>
          <w:szCs w:val="24"/>
        </w:rPr>
        <w:t>$</w:t>
      </w:r>
      <w:r>
        <w:rPr>
          <w:szCs w:val="24"/>
        </w:rPr>
        <w:t xml:space="preserve"> </w:t>
      </w:r>
      <w:r w:rsidR="00BE3F07">
        <w:rPr>
          <w:szCs w:val="24"/>
        </w:rPr>
        <w:t>131</w:t>
      </w:r>
      <w:r>
        <w:rPr>
          <w:szCs w:val="24"/>
        </w:rPr>
        <w:t xml:space="preserve">   per </w:t>
      </w:r>
      <w:r w:rsidRPr="00280CC8">
        <w:rPr>
          <w:szCs w:val="24"/>
        </w:rPr>
        <w:t>hour</w:t>
      </w:r>
    </w:p>
    <w:p w14:paraId="4027DBF7" w14:textId="77777777" w:rsidR="00EC0D90" w:rsidRPr="00280CC8" w:rsidRDefault="00EC0D90" w:rsidP="00252C72">
      <w:pPr>
        <w:ind w:left="1440"/>
        <w:rPr>
          <w:szCs w:val="24"/>
        </w:rPr>
      </w:pPr>
      <w:r w:rsidRPr="00280CC8">
        <w:rPr>
          <w:szCs w:val="24"/>
        </w:rPr>
        <w:t>Technical</w:t>
      </w:r>
      <w:r w:rsidRPr="00280CC8">
        <w:rPr>
          <w:szCs w:val="24"/>
        </w:rPr>
        <w:tab/>
      </w:r>
      <w:r w:rsidRPr="00280CC8">
        <w:rPr>
          <w:szCs w:val="24"/>
        </w:rPr>
        <w:tab/>
        <w:t>$</w:t>
      </w:r>
      <w:r>
        <w:rPr>
          <w:szCs w:val="24"/>
        </w:rPr>
        <w:t xml:space="preserve"> </w:t>
      </w:r>
      <w:r w:rsidR="00BE3F07">
        <w:rPr>
          <w:szCs w:val="24"/>
        </w:rPr>
        <w:t>101</w:t>
      </w:r>
      <w:r>
        <w:rPr>
          <w:szCs w:val="24"/>
        </w:rPr>
        <w:tab/>
      </w:r>
      <w:r w:rsidRPr="00280CC8">
        <w:rPr>
          <w:szCs w:val="24"/>
        </w:rPr>
        <w:t>per hour</w:t>
      </w:r>
    </w:p>
    <w:p w14:paraId="542E66F3" w14:textId="77777777" w:rsidR="00EC0D90" w:rsidRPr="00280CC8" w:rsidRDefault="00EC0D90" w:rsidP="00252C72">
      <w:pPr>
        <w:ind w:left="1440"/>
        <w:rPr>
          <w:szCs w:val="24"/>
        </w:rPr>
      </w:pPr>
      <w:r w:rsidRPr="00280CC8">
        <w:rPr>
          <w:szCs w:val="24"/>
        </w:rPr>
        <w:t>Clerical</w:t>
      </w:r>
      <w:r w:rsidRPr="00280CC8">
        <w:rPr>
          <w:szCs w:val="24"/>
        </w:rPr>
        <w:tab/>
      </w:r>
      <w:r w:rsidRPr="00280CC8">
        <w:rPr>
          <w:szCs w:val="24"/>
        </w:rPr>
        <w:tab/>
        <w:t>$</w:t>
      </w:r>
      <w:r>
        <w:rPr>
          <w:szCs w:val="24"/>
        </w:rPr>
        <w:t xml:space="preserve">  </w:t>
      </w:r>
      <w:r w:rsidR="00BE3F07">
        <w:rPr>
          <w:szCs w:val="24"/>
        </w:rPr>
        <w:t xml:space="preserve"> 41</w:t>
      </w:r>
      <w:r>
        <w:rPr>
          <w:szCs w:val="24"/>
        </w:rPr>
        <w:t xml:space="preserve">   </w:t>
      </w:r>
      <w:r w:rsidRPr="00280CC8">
        <w:rPr>
          <w:szCs w:val="24"/>
        </w:rPr>
        <w:t>per hour</w:t>
      </w:r>
    </w:p>
    <w:p w14:paraId="1330586A" w14:textId="77777777" w:rsidR="00661E93" w:rsidRPr="00280CC8" w:rsidRDefault="00661E93" w:rsidP="00661E93">
      <w:pPr>
        <w:rPr>
          <w:szCs w:val="24"/>
        </w:rPr>
      </w:pPr>
    </w:p>
    <w:p w14:paraId="40BC8FB5" w14:textId="4D5B4548" w:rsidR="00661E93" w:rsidRPr="00A5555A" w:rsidRDefault="00661E93" w:rsidP="0068151F">
      <w:pPr>
        <w:ind w:firstLine="720"/>
      </w:pPr>
      <w:r w:rsidRPr="00280CC8">
        <w:rPr>
          <w:szCs w:val="24"/>
        </w:rPr>
        <w:t>It is assumed that for each hour of activity the mix will be about 0.1 hour managerial, 0.7 hour technical, and 0.2</w:t>
      </w:r>
      <w:r w:rsidR="00BE3F07">
        <w:rPr>
          <w:szCs w:val="24"/>
        </w:rPr>
        <w:t xml:space="preserve"> </w:t>
      </w:r>
      <w:r w:rsidRPr="00280CC8">
        <w:rPr>
          <w:szCs w:val="24"/>
        </w:rPr>
        <w:t>hour clerical. This gives an average labor cost of $</w:t>
      </w:r>
      <w:r w:rsidR="00BE3F07">
        <w:rPr>
          <w:szCs w:val="24"/>
        </w:rPr>
        <w:t>92</w:t>
      </w:r>
      <w:r w:rsidR="00EC0D90" w:rsidRPr="00280CC8">
        <w:rPr>
          <w:szCs w:val="24"/>
        </w:rPr>
        <w:t xml:space="preserve"> </w:t>
      </w:r>
      <w:r w:rsidRPr="00280CC8">
        <w:rPr>
          <w:szCs w:val="24"/>
        </w:rPr>
        <w:t xml:space="preserve">per hour, which will be used in this ICR. </w:t>
      </w:r>
      <w:r w:rsidR="00EC0D90">
        <w:t>For purchased services related to laboratory testing</w:t>
      </w:r>
      <w:r w:rsidR="00021AC1">
        <w:t>,</w:t>
      </w:r>
      <w:r w:rsidR="00960D94">
        <w:t xml:space="preserve"> </w:t>
      </w:r>
      <w:r w:rsidR="00021AC1">
        <w:t>third party engineering review,</w:t>
      </w:r>
      <w:r w:rsidR="00EC0D90">
        <w:t xml:space="preserve"> we have doubled this hourly cost to $1</w:t>
      </w:r>
      <w:r w:rsidR="00BE3F07">
        <w:t>84</w:t>
      </w:r>
      <w:r w:rsidR="00EC0D90">
        <w:t xml:space="preserve"> in order to more accurately reflect the overhead cost associated with this service, but in this collection there</w:t>
      </w:r>
      <w:r w:rsidR="0006241F">
        <w:t xml:space="preserve"> </w:t>
      </w:r>
      <w:r w:rsidR="00EC0D90">
        <w:t>is no O&amp;M associated with the cost.</w:t>
      </w:r>
      <w:r w:rsidR="00A5555A">
        <w:t xml:space="preserve">  </w:t>
      </w:r>
      <w:r w:rsidRPr="00280CC8">
        <w:rPr>
          <w:szCs w:val="24"/>
        </w:rPr>
        <w:t xml:space="preserve">We estimate the following burden:  </w:t>
      </w:r>
    </w:p>
    <w:p w14:paraId="1CE1EB3F" w14:textId="6E3EC934" w:rsidR="009213FB" w:rsidRDefault="009213FB">
      <w:pPr>
        <w:rPr>
          <w:szCs w:val="24"/>
        </w:rPr>
      </w:pPr>
      <w:r>
        <w:rPr>
          <w:szCs w:val="24"/>
        </w:rPr>
        <w:br w:type="page"/>
      </w:r>
    </w:p>
    <w:p w14:paraId="79B9C00E" w14:textId="77777777" w:rsidR="00BE3F07" w:rsidRDefault="00BE3F07" w:rsidP="00661E93">
      <w:pPr>
        <w:rPr>
          <w:szCs w:val="24"/>
        </w:rPr>
      </w:pPr>
    </w:p>
    <w:p w14:paraId="006A0A8D" w14:textId="5E70D4DC" w:rsidR="006B05C2" w:rsidRDefault="00F952A1" w:rsidP="00ED6302">
      <w:pPr>
        <w:ind w:left="720"/>
        <w:rPr>
          <w:szCs w:val="24"/>
        </w:rPr>
      </w:pPr>
      <w:r w:rsidRPr="00F952A1">
        <w:rPr>
          <w:szCs w:val="24"/>
          <w:u w:val="single"/>
        </w:rPr>
        <w:t>Table 1</w:t>
      </w:r>
    </w:p>
    <w:p w14:paraId="29A2F3BC" w14:textId="77777777" w:rsidR="00BF28BF" w:rsidRPr="003B0B75" w:rsidRDefault="00BF28BF" w:rsidP="00ED6302">
      <w:pPr>
        <w:ind w:left="720"/>
        <w:rPr>
          <w:i/>
          <w:sz w:val="16"/>
          <w:szCs w:val="16"/>
        </w:rPr>
      </w:pPr>
    </w:p>
    <w:tbl>
      <w:tblPr>
        <w:tblStyle w:val="TableGrid"/>
        <w:tblW w:w="9975" w:type="dxa"/>
        <w:jc w:val="center"/>
        <w:tblLayout w:type="fixed"/>
        <w:tblLook w:val="04A0" w:firstRow="1" w:lastRow="0" w:firstColumn="1" w:lastColumn="0" w:noHBand="0" w:noVBand="1"/>
      </w:tblPr>
      <w:tblGrid>
        <w:gridCol w:w="1335"/>
        <w:gridCol w:w="1530"/>
        <w:gridCol w:w="1440"/>
        <w:gridCol w:w="990"/>
        <w:gridCol w:w="1122"/>
        <w:gridCol w:w="1038"/>
        <w:gridCol w:w="1170"/>
        <w:gridCol w:w="1350"/>
      </w:tblGrid>
      <w:tr w:rsidR="009213FB" w14:paraId="1E318F20" w14:textId="77777777" w:rsidTr="009122C2">
        <w:trPr>
          <w:trHeight w:val="594"/>
          <w:jc w:val="center"/>
        </w:trPr>
        <w:tc>
          <w:tcPr>
            <w:tcW w:w="1335" w:type="dxa"/>
            <w:tcBorders>
              <w:top w:val="single" w:sz="12" w:space="0" w:color="auto"/>
              <w:left w:val="single" w:sz="12" w:space="0" w:color="auto"/>
              <w:bottom w:val="single" w:sz="4" w:space="0" w:color="auto"/>
            </w:tcBorders>
            <w:shd w:val="clear" w:color="auto" w:fill="F2F2F2" w:themeFill="background1" w:themeFillShade="F2"/>
            <w:vAlign w:val="bottom"/>
          </w:tcPr>
          <w:p w14:paraId="48527D61" w14:textId="7FA6D1B6" w:rsidR="009213FB" w:rsidRDefault="009213FB" w:rsidP="009213FB">
            <w:pPr>
              <w:jc w:val="center"/>
              <w:rPr>
                <w:szCs w:val="24"/>
              </w:rPr>
            </w:pPr>
            <w:r>
              <w:rPr>
                <w:szCs w:val="24"/>
              </w:rPr>
              <w:t>Collection Activity</w:t>
            </w:r>
          </w:p>
        </w:tc>
        <w:tc>
          <w:tcPr>
            <w:tcW w:w="1530" w:type="dxa"/>
            <w:tcBorders>
              <w:top w:val="single" w:sz="12" w:space="0" w:color="auto"/>
              <w:bottom w:val="single" w:sz="12" w:space="0" w:color="auto"/>
            </w:tcBorders>
            <w:shd w:val="clear" w:color="auto" w:fill="F2F2F2" w:themeFill="background1" w:themeFillShade="F2"/>
            <w:vAlign w:val="bottom"/>
          </w:tcPr>
          <w:p w14:paraId="1FA0DF09" w14:textId="4E644AB1" w:rsidR="009213FB" w:rsidRDefault="009213FB" w:rsidP="009213FB">
            <w:pPr>
              <w:jc w:val="center"/>
              <w:rPr>
                <w:szCs w:val="24"/>
              </w:rPr>
            </w:pPr>
            <w:r>
              <w:rPr>
                <w:szCs w:val="24"/>
              </w:rPr>
              <w:t>No. of Respondents</w:t>
            </w:r>
          </w:p>
        </w:tc>
        <w:tc>
          <w:tcPr>
            <w:tcW w:w="1440" w:type="dxa"/>
            <w:tcBorders>
              <w:top w:val="single" w:sz="12" w:space="0" w:color="auto"/>
              <w:bottom w:val="single" w:sz="12" w:space="0" w:color="auto"/>
            </w:tcBorders>
            <w:shd w:val="clear" w:color="auto" w:fill="F2F2F2" w:themeFill="background1" w:themeFillShade="F2"/>
            <w:vAlign w:val="bottom"/>
          </w:tcPr>
          <w:p w14:paraId="79992C37" w14:textId="5F5E505D" w:rsidR="009213FB" w:rsidRDefault="009213FB" w:rsidP="009213FB">
            <w:pPr>
              <w:jc w:val="center"/>
              <w:rPr>
                <w:szCs w:val="24"/>
              </w:rPr>
            </w:pPr>
            <w:r>
              <w:rPr>
                <w:szCs w:val="24"/>
              </w:rPr>
              <w:t>Annual Reports per Respondent</w:t>
            </w:r>
          </w:p>
        </w:tc>
        <w:tc>
          <w:tcPr>
            <w:tcW w:w="990" w:type="dxa"/>
            <w:tcBorders>
              <w:top w:val="single" w:sz="12" w:space="0" w:color="auto"/>
              <w:bottom w:val="single" w:sz="12" w:space="0" w:color="auto"/>
            </w:tcBorders>
            <w:shd w:val="clear" w:color="auto" w:fill="F2F2F2" w:themeFill="background1" w:themeFillShade="F2"/>
            <w:vAlign w:val="bottom"/>
          </w:tcPr>
          <w:p w14:paraId="6DB7855B" w14:textId="08DCF407" w:rsidR="009213FB" w:rsidRDefault="009213FB" w:rsidP="009213FB">
            <w:pPr>
              <w:jc w:val="center"/>
              <w:rPr>
                <w:szCs w:val="24"/>
              </w:rPr>
            </w:pPr>
            <w:r>
              <w:rPr>
                <w:szCs w:val="24"/>
              </w:rPr>
              <w:t>Annual Reports Total</w:t>
            </w:r>
          </w:p>
        </w:tc>
        <w:tc>
          <w:tcPr>
            <w:tcW w:w="1122" w:type="dxa"/>
            <w:tcBorders>
              <w:top w:val="single" w:sz="12" w:space="0" w:color="auto"/>
              <w:bottom w:val="single" w:sz="12" w:space="0" w:color="auto"/>
            </w:tcBorders>
            <w:shd w:val="clear" w:color="auto" w:fill="F2F2F2" w:themeFill="background1" w:themeFillShade="F2"/>
            <w:vAlign w:val="bottom"/>
          </w:tcPr>
          <w:p w14:paraId="044232EB" w14:textId="403DE683" w:rsidR="009213FB" w:rsidRDefault="009213FB" w:rsidP="009213FB">
            <w:pPr>
              <w:jc w:val="center"/>
              <w:rPr>
                <w:szCs w:val="24"/>
              </w:rPr>
            </w:pPr>
            <w:r>
              <w:rPr>
                <w:szCs w:val="24"/>
              </w:rPr>
              <w:t>Hours per Report/</w:t>
            </w:r>
          </w:p>
        </w:tc>
        <w:tc>
          <w:tcPr>
            <w:tcW w:w="1038" w:type="dxa"/>
            <w:tcBorders>
              <w:top w:val="single" w:sz="12" w:space="0" w:color="auto"/>
              <w:bottom w:val="single" w:sz="12" w:space="0" w:color="auto"/>
            </w:tcBorders>
            <w:shd w:val="clear" w:color="auto" w:fill="F2F2F2" w:themeFill="background1" w:themeFillShade="F2"/>
            <w:vAlign w:val="bottom"/>
          </w:tcPr>
          <w:p w14:paraId="6F57D7FA" w14:textId="4C537447" w:rsidR="009213FB" w:rsidRDefault="009213FB" w:rsidP="009213FB">
            <w:pPr>
              <w:jc w:val="center"/>
              <w:rPr>
                <w:szCs w:val="24"/>
              </w:rPr>
            </w:pPr>
            <w:r>
              <w:rPr>
                <w:szCs w:val="24"/>
              </w:rPr>
              <w:t>Hours Total</w:t>
            </w:r>
          </w:p>
        </w:tc>
        <w:tc>
          <w:tcPr>
            <w:tcW w:w="1170" w:type="dxa"/>
            <w:tcBorders>
              <w:top w:val="single" w:sz="12" w:space="0" w:color="auto"/>
              <w:bottom w:val="single" w:sz="12" w:space="0" w:color="auto"/>
            </w:tcBorders>
            <w:shd w:val="clear" w:color="auto" w:fill="F2F2F2" w:themeFill="background1" w:themeFillShade="F2"/>
            <w:vAlign w:val="bottom"/>
          </w:tcPr>
          <w:p w14:paraId="56504C02" w14:textId="0093C42F" w:rsidR="009213FB" w:rsidRDefault="009213FB" w:rsidP="009213FB">
            <w:pPr>
              <w:jc w:val="center"/>
              <w:rPr>
                <w:szCs w:val="24"/>
              </w:rPr>
            </w:pPr>
            <w:r>
              <w:rPr>
                <w:szCs w:val="24"/>
              </w:rPr>
              <w:t>Total Hours Previous ICR</w:t>
            </w:r>
          </w:p>
        </w:tc>
        <w:tc>
          <w:tcPr>
            <w:tcW w:w="1350" w:type="dxa"/>
            <w:tcBorders>
              <w:top w:val="single" w:sz="12" w:space="0" w:color="auto"/>
              <w:bottom w:val="single" w:sz="12" w:space="0" w:color="auto"/>
              <w:right w:val="single" w:sz="12" w:space="0" w:color="auto"/>
            </w:tcBorders>
            <w:shd w:val="clear" w:color="auto" w:fill="F2F2F2" w:themeFill="background1" w:themeFillShade="F2"/>
            <w:vAlign w:val="bottom"/>
          </w:tcPr>
          <w:p w14:paraId="7AA81B70" w14:textId="3B2A06B6" w:rsidR="009213FB" w:rsidRDefault="009213FB" w:rsidP="009213FB">
            <w:pPr>
              <w:jc w:val="center"/>
              <w:rPr>
                <w:szCs w:val="24"/>
              </w:rPr>
            </w:pPr>
            <w:r>
              <w:rPr>
                <w:szCs w:val="24"/>
              </w:rPr>
              <w:t>Cost</w:t>
            </w:r>
          </w:p>
        </w:tc>
      </w:tr>
      <w:tr w:rsidR="009213FB" w14:paraId="6E89E3B3" w14:textId="77777777" w:rsidTr="009122C2">
        <w:trPr>
          <w:trHeight w:val="289"/>
          <w:jc w:val="center"/>
        </w:trPr>
        <w:tc>
          <w:tcPr>
            <w:tcW w:w="1335" w:type="dxa"/>
            <w:tcBorders>
              <w:top w:val="single" w:sz="4" w:space="0" w:color="auto"/>
              <w:left w:val="single" w:sz="12" w:space="0" w:color="auto"/>
              <w:right w:val="single" w:sz="12" w:space="0" w:color="auto"/>
            </w:tcBorders>
            <w:vAlign w:val="bottom"/>
          </w:tcPr>
          <w:p w14:paraId="4D222627" w14:textId="7990675E" w:rsidR="009213FB" w:rsidRDefault="009213FB" w:rsidP="009122C2">
            <w:pPr>
              <w:jc w:val="right"/>
              <w:rPr>
                <w:szCs w:val="24"/>
              </w:rPr>
            </w:pPr>
            <w:r>
              <w:rPr>
                <w:szCs w:val="24"/>
              </w:rPr>
              <w:t>ATMs</w:t>
            </w:r>
          </w:p>
        </w:tc>
        <w:tc>
          <w:tcPr>
            <w:tcW w:w="1530" w:type="dxa"/>
            <w:tcBorders>
              <w:top w:val="single" w:sz="12" w:space="0" w:color="auto"/>
              <w:left w:val="single" w:sz="12" w:space="0" w:color="auto"/>
            </w:tcBorders>
            <w:vAlign w:val="bottom"/>
          </w:tcPr>
          <w:p w14:paraId="321E8421" w14:textId="4B83E8BC" w:rsidR="009213FB" w:rsidRDefault="009213FB" w:rsidP="009122C2">
            <w:pPr>
              <w:jc w:val="center"/>
              <w:rPr>
                <w:szCs w:val="24"/>
              </w:rPr>
            </w:pPr>
            <w:r>
              <w:rPr>
                <w:szCs w:val="24"/>
              </w:rPr>
              <w:t>2</w:t>
            </w:r>
          </w:p>
        </w:tc>
        <w:tc>
          <w:tcPr>
            <w:tcW w:w="1440" w:type="dxa"/>
            <w:tcBorders>
              <w:top w:val="single" w:sz="12" w:space="0" w:color="auto"/>
            </w:tcBorders>
            <w:vAlign w:val="bottom"/>
          </w:tcPr>
          <w:p w14:paraId="57BFB749" w14:textId="21C10A8E" w:rsidR="009213FB" w:rsidRDefault="009213FB" w:rsidP="009122C2">
            <w:pPr>
              <w:jc w:val="center"/>
              <w:rPr>
                <w:szCs w:val="24"/>
              </w:rPr>
            </w:pPr>
            <w:r>
              <w:rPr>
                <w:szCs w:val="24"/>
              </w:rPr>
              <w:t>1</w:t>
            </w:r>
          </w:p>
        </w:tc>
        <w:tc>
          <w:tcPr>
            <w:tcW w:w="990" w:type="dxa"/>
            <w:tcBorders>
              <w:top w:val="single" w:sz="12" w:space="0" w:color="auto"/>
            </w:tcBorders>
            <w:vAlign w:val="bottom"/>
          </w:tcPr>
          <w:p w14:paraId="425321B6" w14:textId="3E6B8371" w:rsidR="009213FB" w:rsidRDefault="009213FB" w:rsidP="009122C2">
            <w:pPr>
              <w:jc w:val="center"/>
              <w:rPr>
                <w:szCs w:val="24"/>
              </w:rPr>
            </w:pPr>
            <w:r>
              <w:rPr>
                <w:szCs w:val="24"/>
              </w:rPr>
              <w:t>2</w:t>
            </w:r>
          </w:p>
        </w:tc>
        <w:tc>
          <w:tcPr>
            <w:tcW w:w="1122" w:type="dxa"/>
            <w:tcBorders>
              <w:top w:val="single" w:sz="12" w:space="0" w:color="auto"/>
            </w:tcBorders>
            <w:vAlign w:val="bottom"/>
          </w:tcPr>
          <w:p w14:paraId="70E7486E" w14:textId="05BEB0B2" w:rsidR="009213FB" w:rsidRDefault="009213FB" w:rsidP="009122C2">
            <w:pPr>
              <w:jc w:val="center"/>
              <w:rPr>
                <w:szCs w:val="24"/>
              </w:rPr>
            </w:pPr>
            <w:r>
              <w:rPr>
                <w:szCs w:val="24"/>
              </w:rPr>
              <w:t>180</w:t>
            </w:r>
          </w:p>
        </w:tc>
        <w:tc>
          <w:tcPr>
            <w:tcW w:w="1038" w:type="dxa"/>
            <w:tcBorders>
              <w:top w:val="single" w:sz="12" w:space="0" w:color="auto"/>
            </w:tcBorders>
            <w:vAlign w:val="bottom"/>
          </w:tcPr>
          <w:p w14:paraId="252ACB1C" w14:textId="16CE408E" w:rsidR="009213FB" w:rsidRDefault="009213FB" w:rsidP="009122C2">
            <w:pPr>
              <w:jc w:val="center"/>
              <w:rPr>
                <w:szCs w:val="24"/>
              </w:rPr>
            </w:pPr>
            <w:r>
              <w:rPr>
                <w:szCs w:val="24"/>
              </w:rPr>
              <w:t>360</w:t>
            </w:r>
          </w:p>
        </w:tc>
        <w:tc>
          <w:tcPr>
            <w:tcW w:w="1170" w:type="dxa"/>
            <w:tcBorders>
              <w:top w:val="single" w:sz="12" w:space="0" w:color="auto"/>
            </w:tcBorders>
            <w:vAlign w:val="bottom"/>
          </w:tcPr>
          <w:p w14:paraId="2413E215" w14:textId="67B029C9" w:rsidR="009213FB" w:rsidRDefault="009213FB" w:rsidP="009122C2">
            <w:pPr>
              <w:jc w:val="center"/>
              <w:rPr>
                <w:szCs w:val="24"/>
              </w:rPr>
            </w:pPr>
            <w:r>
              <w:rPr>
                <w:szCs w:val="24"/>
              </w:rPr>
              <w:t>346</w:t>
            </w:r>
          </w:p>
        </w:tc>
        <w:tc>
          <w:tcPr>
            <w:tcW w:w="1350" w:type="dxa"/>
            <w:tcBorders>
              <w:top w:val="single" w:sz="12" w:space="0" w:color="auto"/>
              <w:right w:val="single" w:sz="12" w:space="0" w:color="auto"/>
            </w:tcBorders>
            <w:vAlign w:val="bottom"/>
          </w:tcPr>
          <w:p w14:paraId="73D286CA" w14:textId="6180C509" w:rsidR="009213FB" w:rsidRDefault="009213FB" w:rsidP="009122C2">
            <w:pPr>
              <w:jc w:val="center"/>
              <w:rPr>
                <w:szCs w:val="24"/>
              </w:rPr>
            </w:pPr>
            <w:r>
              <w:rPr>
                <w:szCs w:val="24"/>
              </w:rPr>
              <w:t>$33,120</w:t>
            </w:r>
          </w:p>
        </w:tc>
      </w:tr>
      <w:tr w:rsidR="009213FB" w14:paraId="1FF1B322" w14:textId="77777777" w:rsidTr="009122C2">
        <w:trPr>
          <w:trHeight w:val="289"/>
          <w:jc w:val="center"/>
        </w:trPr>
        <w:tc>
          <w:tcPr>
            <w:tcW w:w="1335" w:type="dxa"/>
            <w:tcBorders>
              <w:left w:val="single" w:sz="12" w:space="0" w:color="auto"/>
              <w:right w:val="single" w:sz="12" w:space="0" w:color="auto"/>
            </w:tcBorders>
            <w:vAlign w:val="bottom"/>
          </w:tcPr>
          <w:p w14:paraId="68EC4212" w14:textId="3F2EA220" w:rsidR="009213FB" w:rsidRDefault="009213FB" w:rsidP="009122C2">
            <w:pPr>
              <w:jc w:val="right"/>
              <w:rPr>
                <w:szCs w:val="24"/>
              </w:rPr>
            </w:pPr>
            <w:r>
              <w:rPr>
                <w:szCs w:val="24"/>
              </w:rPr>
              <w:t>SQC</w:t>
            </w:r>
          </w:p>
        </w:tc>
        <w:tc>
          <w:tcPr>
            <w:tcW w:w="1530" w:type="dxa"/>
            <w:tcBorders>
              <w:left w:val="single" w:sz="12" w:space="0" w:color="auto"/>
            </w:tcBorders>
            <w:vAlign w:val="bottom"/>
          </w:tcPr>
          <w:p w14:paraId="4AAFA5B3" w14:textId="2088B713" w:rsidR="009213FB" w:rsidRDefault="009213FB" w:rsidP="009122C2">
            <w:pPr>
              <w:jc w:val="center"/>
              <w:rPr>
                <w:szCs w:val="24"/>
              </w:rPr>
            </w:pPr>
            <w:r>
              <w:rPr>
                <w:szCs w:val="24"/>
              </w:rPr>
              <w:t>1,000</w:t>
            </w:r>
          </w:p>
        </w:tc>
        <w:tc>
          <w:tcPr>
            <w:tcW w:w="1440" w:type="dxa"/>
            <w:vAlign w:val="bottom"/>
          </w:tcPr>
          <w:p w14:paraId="4F7492DA" w14:textId="7F8D5E99" w:rsidR="009213FB" w:rsidRDefault="009213FB" w:rsidP="009122C2">
            <w:pPr>
              <w:jc w:val="center"/>
              <w:rPr>
                <w:szCs w:val="24"/>
              </w:rPr>
            </w:pPr>
            <w:r>
              <w:rPr>
                <w:szCs w:val="24"/>
              </w:rPr>
              <w:t>26</w:t>
            </w:r>
          </w:p>
        </w:tc>
        <w:tc>
          <w:tcPr>
            <w:tcW w:w="990" w:type="dxa"/>
            <w:vAlign w:val="bottom"/>
          </w:tcPr>
          <w:p w14:paraId="7F934E14" w14:textId="0333137E" w:rsidR="009213FB" w:rsidRDefault="009213FB" w:rsidP="009122C2">
            <w:pPr>
              <w:jc w:val="center"/>
              <w:rPr>
                <w:szCs w:val="24"/>
              </w:rPr>
            </w:pPr>
            <w:r>
              <w:rPr>
                <w:szCs w:val="24"/>
              </w:rPr>
              <w:t>26,000</w:t>
            </w:r>
          </w:p>
        </w:tc>
        <w:tc>
          <w:tcPr>
            <w:tcW w:w="1122" w:type="dxa"/>
            <w:vAlign w:val="bottom"/>
          </w:tcPr>
          <w:p w14:paraId="46329255" w14:textId="6D730DCA" w:rsidR="009213FB" w:rsidRDefault="009213FB" w:rsidP="009122C2">
            <w:pPr>
              <w:jc w:val="center"/>
              <w:rPr>
                <w:szCs w:val="24"/>
              </w:rPr>
            </w:pPr>
            <w:r>
              <w:rPr>
                <w:szCs w:val="24"/>
              </w:rPr>
              <w:t>1</w:t>
            </w:r>
          </w:p>
        </w:tc>
        <w:tc>
          <w:tcPr>
            <w:tcW w:w="1038" w:type="dxa"/>
            <w:vAlign w:val="bottom"/>
          </w:tcPr>
          <w:p w14:paraId="2F37D509" w14:textId="40559EC9" w:rsidR="009213FB" w:rsidRDefault="009213FB" w:rsidP="009122C2">
            <w:pPr>
              <w:jc w:val="center"/>
              <w:rPr>
                <w:szCs w:val="24"/>
              </w:rPr>
            </w:pPr>
            <w:r>
              <w:rPr>
                <w:szCs w:val="24"/>
              </w:rPr>
              <w:t>26,000</w:t>
            </w:r>
          </w:p>
        </w:tc>
        <w:tc>
          <w:tcPr>
            <w:tcW w:w="1170" w:type="dxa"/>
            <w:vAlign w:val="bottom"/>
          </w:tcPr>
          <w:p w14:paraId="6C0BA71F" w14:textId="5DD379C7" w:rsidR="009213FB" w:rsidRDefault="009213FB" w:rsidP="009122C2">
            <w:pPr>
              <w:jc w:val="center"/>
              <w:rPr>
                <w:szCs w:val="24"/>
              </w:rPr>
            </w:pPr>
            <w:r>
              <w:rPr>
                <w:szCs w:val="24"/>
              </w:rPr>
              <w:t>5,408</w:t>
            </w:r>
          </w:p>
        </w:tc>
        <w:tc>
          <w:tcPr>
            <w:tcW w:w="1350" w:type="dxa"/>
            <w:tcBorders>
              <w:right w:val="single" w:sz="12" w:space="0" w:color="auto"/>
            </w:tcBorders>
            <w:vAlign w:val="bottom"/>
          </w:tcPr>
          <w:p w14:paraId="1D249841" w14:textId="29D5041D" w:rsidR="009213FB" w:rsidRDefault="009213FB" w:rsidP="009122C2">
            <w:pPr>
              <w:jc w:val="center"/>
              <w:rPr>
                <w:szCs w:val="24"/>
              </w:rPr>
            </w:pPr>
            <w:r>
              <w:rPr>
                <w:szCs w:val="24"/>
              </w:rPr>
              <w:t>$2,392,000</w:t>
            </w:r>
          </w:p>
        </w:tc>
      </w:tr>
      <w:tr w:rsidR="009213FB" w14:paraId="08B8FB05" w14:textId="77777777" w:rsidTr="009122C2">
        <w:trPr>
          <w:trHeight w:val="289"/>
          <w:jc w:val="center"/>
        </w:trPr>
        <w:tc>
          <w:tcPr>
            <w:tcW w:w="1335" w:type="dxa"/>
            <w:tcBorders>
              <w:left w:val="single" w:sz="12" w:space="0" w:color="auto"/>
              <w:right w:val="single" w:sz="12" w:space="0" w:color="auto"/>
            </w:tcBorders>
            <w:vAlign w:val="bottom"/>
          </w:tcPr>
          <w:p w14:paraId="7EEC12E0" w14:textId="0A4CD873" w:rsidR="009213FB" w:rsidRDefault="009213FB" w:rsidP="009122C2">
            <w:pPr>
              <w:jc w:val="right"/>
              <w:rPr>
                <w:szCs w:val="24"/>
              </w:rPr>
            </w:pPr>
            <w:r>
              <w:rPr>
                <w:szCs w:val="24"/>
              </w:rPr>
              <w:t>Ref. Instls.</w:t>
            </w:r>
          </w:p>
        </w:tc>
        <w:tc>
          <w:tcPr>
            <w:tcW w:w="1530" w:type="dxa"/>
            <w:tcBorders>
              <w:left w:val="single" w:sz="12" w:space="0" w:color="auto"/>
              <w:bottom w:val="single" w:sz="4" w:space="0" w:color="auto"/>
            </w:tcBorders>
            <w:vAlign w:val="bottom"/>
          </w:tcPr>
          <w:p w14:paraId="419D1D00" w14:textId="628B3FC6" w:rsidR="009213FB" w:rsidRDefault="009213FB" w:rsidP="009122C2">
            <w:pPr>
              <w:jc w:val="center"/>
              <w:rPr>
                <w:szCs w:val="24"/>
              </w:rPr>
            </w:pPr>
            <w:r>
              <w:rPr>
                <w:szCs w:val="24"/>
              </w:rPr>
              <w:t>12</w:t>
            </w:r>
          </w:p>
        </w:tc>
        <w:tc>
          <w:tcPr>
            <w:tcW w:w="1440" w:type="dxa"/>
            <w:tcBorders>
              <w:bottom w:val="single" w:sz="4" w:space="0" w:color="auto"/>
            </w:tcBorders>
            <w:vAlign w:val="bottom"/>
          </w:tcPr>
          <w:p w14:paraId="436E6C21" w14:textId="71E4E21C" w:rsidR="009213FB" w:rsidRDefault="009213FB" w:rsidP="009122C2">
            <w:pPr>
              <w:jc w:val="center"/>
              <w:rPr>
                <w:szCs w:val="24"/>
              </w:rPr>
            </w:pPr>
            <w:r>
              <w:rPr>
                <w:szCs w:val="24"/>
              </w:rPr>
              <w:t>1</w:t>
            </w:r>
          </w:p>
        </w:tc>
        <w:tc>
          <w:tcPr>
            <w:tcW w:w="990" w:type="dxa"/>
            <w:tcBorders>
              <w:bottom w:val="single" w:sz="4" w:space="0" w:color="auto"/>
            </w:tcBorders>
            <w:vAlign w:val="bottom"/>
          </w:tcPr>
          <w:p w14:paraId="6A352EB9" w14:textId="091F4854" w:rsidR="009213FB" w:rsidRDefault="009213FB" w:rsidP="009122C2">
            <w:pPr>
              <w:jc w:val="center"/>
              <w:rPr>
                <w:szCs w:val="24"/>
              </w:rPr>
            </w:pPr>
            <w:r>
              <w:rPr>
                <w:szCs w:val="24"/>
              </w:rPr>
              <w:t>12</w:t>
            </w:r>
          </w:p>
        </w:tc>
        <w:tc>
          <w:tcPr>
            <w:tcW w:w="1122" w:type="dxa"/>
            <w:tcBorders>
              <w:bottom w:val="single" w:sz="4" w:space="0" w:color="auto"/>
            </w:tcBorders>
            <w:vAlign w:val="bottom"/>
          </w:tcPr>
          <w:p w14:paraId="7E3713BD" w14:textId="74C34361" w:rsidR="009213FB" w:rsidRDefault="009213FB" w:rsidP="009122C2">
            <w:pPr>
              <w:jc w:val="center"/>
              <w:rPr>
                <w:szCs w:val="24"/>
              </w:rPr>
            </w:pPr>
            <w:r>
              <w:rPr>
                <w:szCs w:val="24"/>
              </w:rPr>
              <w:t>24</w:t>
            </w:r>
          </w:p>
        </w:tc>
        <w:tc>
          <w:tcPr>
            <w:tcW w:w="1038" w:type="dxa"/>
            <w:tcBorders>
              <w:bottom w:val="single" w:sz="4" w:space="0" w:color="auto"/>
            </w:tcBorders>
            <w:vAlign w:val="bottom"/>
          </w:tcPr>
          <w:p w14:paraId="406A0D47" w14:textId="595E82E6" w:rsidR="009213FB" w:rsidRDefault="009213FB" w:rsidP="009122C2">
            <w:pPr>
              <w:jc w:val="center"/>
              <w:rPr>
                <w:szCs w:val="24"/>
              </w:rPr>
            </w:pPr>
            <w:r>
              <w:rPr>
                <w:szCs w:val="24"/>
              </w:rPr>
              <w:t>288</w:t>
            </w:r>
          </w:p>
        </w:tc>
        <w:tc>
          <w:tcPr>
            <w:tcW w:w="1170" w:type="dxa"/>
            <w:tcBorders>
              <w:bottom w:val="single" w:sz="4" w:space="0" w:color="auto"/>
            </w:tcBorders>
            <w:vAlign w:val="bottom"/>
          </w:tcPr>
          <w:p w14:paraId="152F3129" w14:textId="1A5E2569" w:rsidR="009213FB" w:rsidRDefault="009213FB" w:rsidP="009122C2">
            <w:pPr>
              <w:jc w:val="center"/>
              <w:rPr>
                <w:szCs w:val="24"/>
              </w:rPr>
            </w:pPr>
            <w:r>
              <w:rPr>
                <w:szCs w:val="24"/>
              </w:rPr>
              <w:t>1,248</w:t>
            </w:r>
          </w:p>
        </w:tc>
        <w:tc>
          <w:tcPr>
            <w:tcW w:w="1350" w:type="dxa"/>
            <w:tcBorders>
              <w:bottom w:val="single" w:sz="4" w:space="0" w:color="auto"/>
              <w:right w:val="single" w:sz="12" w:space="0" w:color="auto"/>
            </w:tcBorders>
            <w:vAlign w:val="bottom"/>
          </w:tcPr>
          <w:p w14:paraId="21FD2D20" w14:textId="16174142" w:rsidR="009213FB" w:rsidRDefault="009213FB" w:rsidP="009122C2">
            <w:pPr>
              <w:jc w:val="center"/>
              <w:rPr>
                <w:szCs w:val="24"/>
              </w:rPr>
            </w:pPr>
            <w:r>
              <w:rPr>
                <w:szCs w:val="24"/>
              </w:rPr>
              <w:t>$26,496</w:t>
            </w:r>
          </w:p>
        </w:tc>
      </w:tr>
      <w:tr w:rsidR="009213FB" w14:paraId="72D84B5F" w14:textId="77777777" w:rsidTr="009122C2">
        <w:trPr>
          <w:trHeight w:val="289"/>
          <w:jc w:val="center"/>
        </w:trPr>
        <w:tc>
          <w:tcPr>
            <w:tcW w:w="1335" w:type="dxa"/>
            <w:tcBorders>
              <w:left w:val="single" w:sz="12" w:space="0" w:color="auto"/>
              <w:right w:val="single" w:sz="12" w:space="0" w:color="auto"/>
            </w:tcBorders>
            <w:vAlign w:val="bottom"/>
          </w:tcPr>
          <w:p w14:paraId="04A2CE4F" w14:textId="3369191A" w:rsidR="009213FB" w:rsidRDefault="009213FB" w:rsidP="009122C2">
            <w:pPr>
              <w:jc w:val="right"/>
              <w:rPr>
                <w:szCs w:val="24"/>
              </w:rPr>
            </w:pPr>
            <w:r>
              <w:rPr>
                <w:szCs w:val="24"/>
              </w:rPr>
              <w:t>Eng. Rev</w:t>
            </w:r>
          </w:p>
        </w:tc>
        <w:tc>
          <w:tcPr>
            <w:tcW w:w="1530" w:type="dxa"/>
            <w:tcBorders>
              <w:left w:val="single" w:sz="12" w:space="0" w:color="auto"/>
              <w:bottom w:val="double" w:sz="4" w:space="0" w:color="auto"/>
            </w:tcBorders>
            <w:vAlign w:val="bottom"/>
          </w:tcPr>
          <w:p w14:paraId="74D15190" w14:textId="61F4C60C" w:rsidR="009213FB" w:rsidRDefault="009213FB" w:rsidP="009122C2">
            <w:pPr>
              <w:jc w:val="center"/>
              <w:rPr>
                <w:szCs w:val="24"/>
              </w:rPr>
            </w:pPr>
            <w:r>
              <w:rPr>
                <w:szCs w:val="24"/>
              </w:rPr>
              <w:t>1</w:t>
            </w:r>
          </w:p>
        </w:tc>
        <w:tc>
          <w:tcPr>
            <w:tcW w:w="1440" w:type="dxa"/>
            <w:tcBorders>
              <w:bottom w:val="double" w:sz="4" w:space="0" w:color="auto"/>
            </w:tcBorders>
            <w:vAlign w:val="bottom"/>
          </w:tcPr>
          <w:p w14:paraId="1D32E93E" w14:textId="01FCE025" w:rsidR="009213FB" w:rsidRDefault="009213FB" w:rsidP="009122C2">
            <w:pPr>
              <w:jc w:val="center"/>
              <w:rPr>
                <w:szCs w:val="24"/>
              </w:rPr>
            </w:pPr>
            <w:r>
              <w:rPr>
                <w:szCs w:val="24"/>
              </w:rPr>
              <w:t>1</w:t>
            </w:r>
          </w:p>
        </w:tc>
        <w:tc>
          <w:tcPr>
            <w:tcW w:w="990" w:type="dxa"/>
            <w:tcBorders>
              <w:bottom w:val="double" w:sz="4" w:space="0" w:color="auto"/>
            </w:tcBorders>
            <w:vAlign w:val="bottom"/>
          </w:tcPr>
          <w:p w14:paraId="7CCD040C" w14:textId="10266688" w:rsidR="009213FB" w:rsidRDefault="009213FB" w:rsidP="009122C2">
            <w:pPr>
              <w:jc w:val="center"/>
              <w:rPr>
                <w:szCs w:val="24"/>
              </w:rPr>
            </w:pPr>
            <w:r>
              <w:rPr>
                <w:szCs w:val="24"/>
              </w:rPr>
              <w:t>1</w:t>
            </w:r>
          </w:p>
        </w:tc>
        <w:tc>
          <w:tcPr>
            <w:tcW w:w="1122" w:type="dxa"/>
            <w:tcBorders>
              <w:bottom w:val="double" w:sz="4" w:space="0" w:color="auto"/>
            </w:tcBorders>
            <w:vAlign w:val="bottom"/>
          </w:tcPr>
          <w:p w14:paraId="452AA09A" w14:textId="5D2FA150" w:rsidR="009213FB" w:rsidRDefault="009213FB" w:rsidP="009122C2">
            <w:pPr>
              <w:jc w:val="center"/>
              <w:rPr>
                <w:szCs w:val="24"/>
              </w:rPr>
            </w:pPr>
            <w:r>
              <w:rPr>
                <w:szCs w:val="24"/>
              </w:rPr>
              <w:t>48</w:t>
            </w:r>
          </w:p>
        </w:tc>
        <w:tc>
          <w:tcPr>
            <w:tcW w:w="1038" w:type="dxa"/>
            <w:tcBorders>
              <w:bottom w:val="double" w:sz="4" w:space="0" w:color="auto"/>
            </w:tcBorders>
            <w:vAlign w:val="bottom"/>
          </w:tcPr>
          <w:p w14:paraId="7E38D7A1" w14:textId="28B9BBC0" w:rsidR="009213FB" w:rsidRDefault="009213FB" w:rsidP="009122C2">
            <w:pPr>
              <w:tabs>
                <w:tab w:val="left" w:pos="345"/>
              </w:tabs>
              <w:jc w:val="center"/>
              <w:rPr>
                <w:szCs w:val="24"/>
              </w:rPr>
            </w:pPr>
            <w:r>
              <w:rPr>
                <w:szCs w:val="24"/>
              </w:rPr>
              <w:t>78</w:t>
            </w:r>
          </w:p>
        </w:tc>
        <w:tc>
          <w:tcPr>
            <w:tcW w:w="1170" w:type="dxa"/>
            <w:tcBorders>
              <w:bottom w:val="double" w:sz="4" w:space="0" w:color="auto"/>
            </w:tcBorders>
            <w:vAlign w:val="bottom"/>
          </w:tcPr>
          <w:p w14:paraId="44102CC3" w14:textId="2FD60D9F" w:rsidR="009213FB" w:rsidRDefault="009213FB" w:rsidP="009122C2">
            <w:pPr>
              <w:jc w:val="center"/>
              <w:rPr>
                <w:szCs w:val="24"/>
              </w:rPr>
            </w:pPr>
            <w:r>
              <w:rPr>
                <w:szCs w:val="24"/>
              </w:rPr>
              <w:t>2,496</w:t>
            </w:r>
          </w:p>
        </w:tc>
        <w:tc>
          <w:tcPr>
            <w:tcW w:w="1350" w:type="dxa"/>
            <w:tcBorders>
              <w:bottom w:val="double" w:sz="4" w:space="0" w:color="auto"/>
              <w:right w:val="single" w:sz="12" w:space="0" w:color="auto"/>
            </w:tcBorders>
            <w:vAlign w:val="bottom"/>
          </w:tcPr>
          <w:p w14:paraId="0F600CD0" w14:textId="4E7D9D81" w:rsidR="009213FB" w:rsidRDefault="009213FB" w:rsidP="009122C2">
            <w:pPr>
              <w:jc w:val="center"/>
              <w:rPr>
                <w:szCs w:val="24"/>
              </w:rPr>
            </w:pPr>
            <w:r>
              <w:rPr>
                <w:szCs w:val="24"/>
              </w:rPr>
              <w:t>$8,838</w:t>
            </w:r>
          </w:p>
        </w:tc>
      </w:tr>
      <w:tr w:rsidR="009213FB" w14:paraId="41A9A9B5" w14:textId="77777777" w:rsidTr="009122C2">
        <w:trPr>
          <w:trHeight w:val="273"/>
          <w:jc w:val="center"/>
        </w:trPr>
        <w:tc>
          <w:tcPr>
            <w:tcW w:w="1335" w:type="dxa"/>
            <w:tcBorders>
              <w:left w:val="single" w:sz="12" w:space="0" w:color="auto"/>
              <w:bottom w:val="single" w:sz="12" w:space="0" w:color="auto"/>
              <w:right w:val="single" w:sz="12" w:space="0" w:color="auto"/>
            </w:tcBorders>
            <w:vAlign w:val="bottom"/>
          </w:tcPr>
          <w:p w14:paraId="4DC0099F" w14:textId="0855EB75" w:rsidR="009213FB" w:rsidRDefault="009213FB" w:rsidP="009122C2">
            <w:pPr>
              <w:jc w:val="right"/>
              <w:rPr>
                <w:szCs w:val="24"/>
              </w:rPr>
            </w:pPr>
            <w:r>
              <w:rPr>
                <w:szCs w:val="24"/>
              </w:rPr>
              <w:t>Totals</w:t>
            </w:r>
          </w:p>
        </w:tc>
        <w:tc>
          <w:tcPr>
            <w:tcW w:w="1530" w:type="dxa"/>
            <w:tcBorders>
              <w:top w:val="double" w:sz="4" w:space="0" w:color="auto"/>
              <w:left w:val="single" w:sz="12" w:space="0" w:color="auto"/>
              <w:bottom w:val="single" w:sz="12" w:space="0" w:color="auto"/>
            </w:tcBorders>
            <w:vAlign w:val="bottom"/>
          </w:tcPr>
          <w:p w14:paraId="5B3DEA5B" w14:textId="1B7A61B1" w:rsidR="009213FB" w:rsidRDefault="009213FB" w:rsidP="009122C2">
            <w:pPr>
              <w:jc w:val="center"/>
              <w:rPr>
                <w:szCs w:val="24"/>
              </w:rPr>
            </w:pPr>
            <w:r>
              <w:rPr>
                <w:szCs w:val="24"/>
              </w:rPr>
              <w:t>1,015</w:t>
            </w:r>
          </w:p>
        </w:tc>
        <w:tc>
          <w:tcPr>
            <w:tcW w:w="1440" w:type="dxa"/>
            <w:tcBorders>
              <w:top w:val="double" w:sz="4" w:space="0" w:color="auto"/>
              <w:bottom w:val="single" w:sz="12" w:space="0" w:color="auto"/>
            </w:tcBorders>
            <w:vAlign w:val="bottom"/>
          </w:tcPr>
          <w:p w14:paraId="71549DD7" w14:textId="074C6AE9" w:rsidR="009213FB" w:rsidRDefault="009213FB" w:rsidP="009122C2">
            <w:pPr>
              <w:jc w:val="center"/>
              <w:rPr>
                <w:szCs w:val="24"/>
              </w:rPr>
            </w:pPr>
          </w:p>
        </w:tc>
        <w:tc>
          <w:tcPr>
            <w:tcW w:w="990" w:type="dxa"/>
            <w:tcBorders>
              <w:top w:val="double" w:sz="4" w:space="0" w:color="auto"/>
              <w:bottom w:val="single" w:sz="12" w:space="0" w:color="auto"/>
            </w:tcBorders>
            <w:vAlign w:val="bottom"/>
          </w:tcPr>
          <w:p w14:paraId="74D69B94" w14:textId="3FBABD7A" w:rsidR="009213FB" w:rsidRDefault="009213FB" w:rsidP="009122C2">
            <w:pPr>
              <w:jc w:val="center"/>
              <w:rPr>
                <w:szCs w:val="24"/>
              </w:rPr>
            </w:pPr>
            <w:r>
              <w:rPr>
                <w:szCs w:val="24"/>
              </w:rPr>
              <w:t xml:space="preserve">26,015 </w:t>
            </w:r>
            <w:r w:rsidR="009122C2">
              <w:rPr>
                <w:szCs w:val="24"/>
              </w:rPr>
              <w:t>R</w:t>
            </w:r>
            <w:r>
              <w:rPr>
                <w:szCs w:val="24"/>
              </w:rPr>
              <w:t>eports</w:t>
            </w:r>
          </w:p>
        </w:tc>
        <w:tc>
          <w:tcPr>
            <w:tcW w:w="1122" w:type="dxa"/>
            <w:tcBorders>
              <w:top w:val="double" w:sz="4" w:space="0" w:color="auto"/>
              <w:bottom w:val="single" w:sz="12" w:space="0" w:color="auto"/>
            </w:tcBorders>
            <w:vAlign w:val="bottom"/>
          </w:tcPr>
          <w:p w14:paraId="563839D0" w14:textId="48F06CFA" w:rsidR="009213FB" w:rsidRDefault="009213FB" w:rsidP="009122C2">
            <w:pPr>
              <w:jc w:val="center"/>
              <w:rPr>
                <w:szCs w:val="24"/>
              </w:rPr>
            </w:pPr>
            <w:r>
              <w:rPr>
                <w:szCs w:val="24"/>
              </w:rPr>
              <w:t xml:space="preserve"> </w:t>
            </w:r>
          </w:p>
        </w:tc>
        <w:tc>
          <w:tcPr>
            <w:tcW w:w="1038" w:type="dxa"/>
            <w:tcBorders>
              <w:top w:val="double" w:sz="4" w:space="0" w:color="auto"/>
              <w:bottom w:val="single" w:sz="12" w:space="0" w:color="auto"/>
            </w:tcBorders>
            <w:vAlign w:val="bottom"/>
          </w:tcPr>
          <w:p w14:paraId="71CEA8EE" w14:textId="6BC335A3" w:rsidR="009213FB" w:rsidRDefault="009213FB" w:rsidP="009122C2">
            <w:pPr>
              <w:jc w:val="center"/>
              <w:rPr>
                <w:szCs w:val="24"/>
              </w:rPr>
            </w:pPr>
            <w:r>
              <w:rPr>
                <w:szCs w:val="24"/>
              </w:rPr>
              <w:t>26,696 Hours</w:t>
            </w:r>
          </w:p>
        </w:tc>
        <w:tc>
          <w:tcPr>
            <w:tcW w:w="1170" w:type="dxa"/>
            <w:tcBorders>
              <w:top w:val="double" w:sz="4" w:space="0" w:color="auto"/>
              <w:bottom w:val="single" w:sz="12" w:space="0" w:color="auto"/>
            </w:tcBorders>
            <w:vAlign w:val="bottom"/>
          </w:tcPr>
          <w:p w14:paraId="6ED3C92A" w14:textId="6B1A1B99" w:rsidR="009213FB" w:rsidRDefault="009213FB" w:rsidP="009122C2">
            <w:pPr>
              <w:jc w:val="center"/>
              <w:rPr>
                <w:szCs w:val="24"/>
              </w:rPr>
            </w:pPr>
            <w:r>
              <w:rPr>
                <w:szCs w:val="24"/>
              </w:rPr>
              <w:t>9,498 Hours</w:t>
            </w:r>
          </w:p>
        </w:tc>
        <w:tc>
          <w:tcPr>
            <w:tcW w:w="1350" w:type="dxa"/>
            <w:tcBorders>
              <w:top w:val="double" w:sz="4" w:space="0" w:color="auto"/>
              <w:bottom w:val="single" w:sz="12" w:space="0" w:color="auto"/>
              <w:right w:val="single" w:sz="12" w:space="0" w:color="auto"/>
            </w:tcBorders>
            <w:vAlign w:val="bottom"/>
          </w:tcPr>
          <w:p w14:paraId="460ED261" w14:textId="3B9218F2" w:rsidR="009213FB" w:rsidRDefault="009213FB" w:rsidP="009122C2">
            <w:pPr>
              <w:jc w:val="center"/>
              <w:rPr>
                <w:szCs w:val="24"/>
              </w:rPr>
            </w:pPr>
            <w:r>
              <w:rPr>
                <w:szCs w:val="24"/>
              </w:rPr>
              <w:t>$2,460,454</w:t>
            </w:r>
          </w:p>
        </w:tc>
      </w:tr>
    </w:tbl>
    <w:p w14:paraId="59B69579" w14:textId="2029C86C" w:rsidR="00BD07FD" w:rsidRDefault="00067408" w:rsidP="001D29F2">
      <w:pPr>
        <w:spacing w:before="120"/>
      </w:pPr>
      <w:r>
        <w:rPr>
          <w:i/>
          <w:szCs w:val="24"/>
        </w:rPr>
        <w:t>[</w:t>
      </w:r>
      <w:r w:rsidR="00BF28BF" w:rsidRPr="009802C8">
        <w:rPr>
          <w:i/>
          <w:szCs w:val="24"/>
        </w:rPr>
        <w:t>All hours are recordkeeping except ATM is reporting</w:t>
      </w:r>
      <w:r w:rsidR="00BF28BF">
        <w:rPr>
          <w:i/>
          <w:szCs w:val="24"/>
        </w:rPr>
        <w:t>.</w:t>
      </w:r>
      <w:r>
        <w:rPr>
          <w:i/>
          <w:szCs w:val="24"/>
        </w:rPr>
        <w:t>]</w:t>
      </w:r>
    </w:p>
    <w:p w14:paraId="37A60571" w14:textId="77777777" w:rsidR="00BF28BF" w:rsidRDefault="00BF28BF" w:rsidP="005E3CCA">
      <w:pPr>
        <w:ind w:firstLine="720"/>
      </w:pPr>
    </w:p>
    <w:p w14:paraId="4C913BAB" w14:textId="402DC9DD" w:rsidR="00BA36F8" w:rsidRPr="00280CC8" w:rsidRDefault="005E3CCA" w:rsidP="005E3CCA">
      <w:pPr>
        <w:ind w:firstLine="720"/>
      </w:pPr>
      <w:r>
        <w:t>6(c)</w:t>
      </w:r>
      <w:r w:rsidR="00BE41EA">
        <w:tab/>
      </w:r>
      <w:r w:rsidR="00FE50C6" w:rsidRPr="00280CC8">
        <w:t>Estimating</w:t>
      </w:r>
      <w:r w:rsidR="00BA36F8" w:rsidRPr="00280CC8">
        <w:t xml:space="preserve"> </w:t>
      </w:r>
      <w:r w:rsidR="00FE50C6">
        <w:t xml:space="preserve">the </w:t>
      </w:r>
      <w:r w:rsidR="00BA36F8" w:rsidRPr="00280CC8">
        <w:t>Agency Burden and Cost</w:t>
      </w:r>
    </w:p>
    <w:p w14:paraId="7AAADA7F" w14:textId="77777777" w:rsidR="00BA36F8" w:rsidRPr="00280CC8" w:rsidRDefault="00BA36F8"/>
    <w:p w14:paraId="078D3001" w14:textId="68E5EC76" w:rsidR="009C46CD" w:rsidRDefault="00BA36F8" w:rsidP="009C46CD">
      <w:r w:rsidRPr="00280CC8">
        <w:tab/>
      </w:r>
      <w:r w:rsidR="0010479F">
        <w:t>Due to the significant reduction in anticipated activity, t</w:t>
      </w:r>
      <w:r w:rsidR="009C46CD" w:rsidRPr="00280CC8">
        <w:t xml:space="preserve">he </w:t>
      </w:r>
      <w:r w:rsidR="0010479F">
        <w:t>EPA</w:t>
      </w:r>
      <w:r w:rsidR="009C46CD" w:rsidRPr="00280CC8">
        <w:t xml:space="preserve"> burden </w:t>
      </w:r>
      <w:r w:rsidR="0010479F">
        <w:t xml:space="preserve">is estimated to </w:t>
      </w:r>
      <w:r w:rsidR="009C46CD" w:rsidRPr="00280CC8">
        <w:t xml:space="preserve">consist of </w:t>
      </w:r>
      <w:r w:rsidR="009C46CD">
        <w:t xml:space="preserve">one </w:t>
      </w:r>
      <w:r w:rsidR="009C46CD" w:rsidRPr="00280CC8">
        <w:t xml:space="preserve">GS-13 chemist </w:t>
      </w:r>
      <w:r w:rsidR="00276178">
        <w:t>and one GS-13 statistician</w:t>
      </w:r>
      <w:r w:rsidR="0010479F">
        <w:t xml:space="preserve"> for 40 hours per year</w:t>
      </w:r>
      <w:r w:rsidR="00276178">
        <w:t xml:space="preserve"> each</w:t>
      </w:r>
      <w:r w:rsidR="0010479F">
        <w:t>.</w:t>
      </w:r>
      <w:r w:rsidR="008E15D1">
        <w:t xml:space="preserve"> Based on the </w:t>
      </w:r>
      <w:r w:rsidR="00D82565">
        <w:t xml:space="preserve">federal </w:t>
      </w:r>
      <w:r w:rsidR="008E15D1">
        <w:t>pay rate of January 2019</w:t>
      </w:r>
      <w:r w:rsidR="00D82565">
        <w:t xml:space="preserve">, </w:t>
      </w:r>
      <w:r w:rsidR="00D82565" w:rsidRPr="00D82565">
        <w:t>an upper step GS-13 is around $120,000</w:t>
      </w:r>
      <w:r w:rsidR="00ED6F48">
        <w:t xml:space="preserve"> that </w:t>
      </w:r>
      <w:r w:rsidR="00FA4502">
        <w:t xml:space="preserve">gives </w:t>
      </w:r>
      <w:r w:rsidR="00D80C1C" w:rsidRPr="00D80C1C">
        <w:t xml:space="preserve">a typical federal salary </w:t>
      </w:r>
      <w:r w:rsidR="00FA4502">
        <w:t xml:space="preserve">of </w:t>
      </w:r>
      <w:r w:rsidR="00D80C1C" w:rsidRPr="00D80C1C">
        <w:t>$</w:t>
      </w:r>
      <w:r w:rsidR="00FA4502">
        <w:t>60</w:t>
      </w:r>
      <w:r w:rsidR="00D80C1C" w:rsidRPr="00D80C1C">
        <w:t xml:space="preserve"> per hour</w:t>
      </w:r>
      <w:r w:rsidR="00ED6F48">
        <w:t xml:space="preserve">, which </w:t>
      </w:r>
      <w:r w:rsidR="00E77D14">
        <w:t xml:space="preserve">when </w:t>
      </w:r>
      <w:r w:rsidR="00D80C1C" w:rsidRPr="00D80C1C">
        <w:t>doubled for overhead</w:t>
      </w:r>
      <w:r w:rsidR="00E77D14">
        <w:t xml:space="preserve"> results in </w:t>
      </w:r>
      <w:r w:rsidR="00FF2291">
        <w:t>the estimate of $120</w:t>
      </w:r>
      <w:r w:rsidR="00B95CFE">
        <w:t>/hour</w:t>
      </w:r>
      <w:r w:rsidR="00E77D14">
        <w:t>.</w:t>
      </w:r>
    </w:p>
    <w:p w14:paraId="4E773F33" w14:textId="77777777" w:rsidR="009C46CD" w:rsidRDefault="009C46CD" w:rsidP="009C46CD"/>
    <w:p w14:paraId="4FC06124" w14:textId="173B5796" w:rsidR="009C46CD" w:rsidRDefault="009C46CD" w:rsidP="008A05CD">
      <w:pPr>
        <w:ind w:left="1440"/>
      </w:pPr>
      <w:r w:rsidRPr="00280CC8">
        <w:t>GS-13 chemist</w:t>
      </w:r>
      <w:r>
        <w:tab/>
        <w:t xml:space="preserve"> (</w:t>
      </w:r>
      <w:r w:rsidR="00276178">
        <w:t>40 hours</w:t>
      </w:r>
      <w:r>
        <w:t>)</w:t>
      </w:r>
      <w:r>
        <w:tab/>
      </w:r>
      <w:r>
        <w:tab/>
      </w:r>
      <w:r>
        <w:tab/>
        <w:t>$</w:t>
      </w:r>
      <w:r w:rsidR="006F2318">
        <w:t xml:space="preserve"> </w:t>
      </w:r>
      <w:r w:rsidR="008E15D1">
        <w:t>4</w:t>
      </w:r>
      <w:r w:rsidR="00276178">
        <w:t>,</w:t>
      </w:r>
      <w:r w:rsidR="008E15D1">
        <w:t>8</w:t>
      </w:r>
      <w:r w:rsidR="00276178">
        <w:t>00</w:t>
      </w:r>
    </w:p>
    <w:p w14:paraId="2C122802" w14:textId="5E10A73F" w:rsidR="009C46CD" w:rsidRDefault="009C46CD" w:rsidP="006F2318">
      <w:pPr>
        <w:spacing w:after="120"/>
        <w:ind w:left="1440"/>
      </w:pPr>
      <w:r w:rsidRPr="0077634E">
        <w:rPr>
          <w:u w:val="single"/>
        </w:rPr>
        <w:t>GS-13 statistician (</w:t>
      </w:r>
      <w:r w:rsidR="00276178" w:rsidRPr="0077634E">
        <w:rPr>
          <w:u w:val="single"/>
        </w:rPr>
        <w:t>40 hours</w:t>
      </w:r>
      <w:r w:rsidRPr="0077634E">
        <w:rPr>
          <w:u w:val="single"/>
        </w:rPr>
        <w:t>)</w:t>
      </w:r>
      <w:r w:rsidRPr="0077634E">
        <w:rPr>
          <w:u w:val="single"/>
        </w:rPr>
        <w:tab/>
      </w:r>
      <w:r>
        <w:tab/>
      </w:r>
      <w:r>
        <w:tab/>
      </w:r>
      <w:r w:rsidRPr="0077634E">
        <w:rPr>
          <w:u w:val="single"/>
        </w:rPr>
        <w:t>$</w:t>
      </w:r>
      <w:r w:rsidR="006F2318">
        <w:rPr>
          <w:u w:val="single"/>
        </w:rPr>
        <w:t xml:space="preserve"> </w:t>
      </w:r>
      <w:r w:rsidR="008E15D1">
        <w:rPr>
          <w:u w:val="single"/>
        </w:rPr>
        <w:t>4</w:t>
      </w:r>
      <w:r w:rsidR="00276178" w:rsidRPr="0077634E">
        <w:rPr>
          <w:u w:val="single"/>
        </w:rPr>
        <w:t>,</w:t>
      </w:r>
      <w:r w:rsidR="008E15D1">
        <w:rPr>
          <w:u w:val="single"/>
        </w:rPr>
        <w:t>8</w:t>
      </w:r>
      <w:r w:rsidR="00276178" w:rsidRPr="0077634E">
        <w:rPr>
          <w:u w:val="single"/>
        </w:rPr>
        <w:t>00</w:t>
      </w:r>
      <w:r>
        <w:t xml:space="preserve"> </w:t>
      </w:r>
    </w:p>
    <w:p w14:paraId="4F95A1D4" w14:textId="58189C40" w:rsidR="009C46CD" w:rsidRDefault="00276178" w:rsidP="008A05CD">
      <w:pPr>
        <w:ind w:left="1440"/>
      </w:pPr>
      <w:r>
        <w:t>TOTAL</w:t>
      </w:r>
      <w:r>
        <w:tab/>
      </w:r>
      <w:r>
        <w:tab/>
      </w:r>
      <w:r>
        <w:tab/>
      </w:r>
      <w:r>
        <w:tab/>
      </w:r>
      <w:r>
        <w:tab/>
        <w:t>$</w:t>
      </w:r>
      <w:r w:rsidR="00E30F5D">
        <w:t xml:space="preserve"> </w:t>
      </w:r>
      <w:r w:rsidR="008E15D1">
        <w:t>9</w:t>
      </w:r>
      <w:r>
        <w:t>,</w:t>
      </w:r>
      <w:r w:rsidR="008E15D1">
        <w:t>6</w:t>
      </w:r>
      <w:r>
        <w:t>00</w:t>
      </w:r>
    </w:p>
    <w:p w14:paraId="3A6E1855" w14:textId="77777777" w:rsidR="009C46CD" w:rsidRDefault="009C46CD" w:rsidP="009C46CD"/>
    <w:p w14:paraId="5AC69F26" w14:textId="14AFCBD7" w:rsidR="00BA36F8" w:rsidRPr="00280CC8" w:rsidRDefault="00DA1EDD" w:rsidP="00BC531F">
      <w:r w:rsidRPr="00280CC8">
        <w:t xml:space="preserve"> </w:t>
      </w:r>
      <w:r w:rsidR="00BC531F">
        <w:tab/>
      </w:r>
      <w:r w:rsidR="006B18EA">
        <w:t>6(d)</w:t>
      </w:r>
      <w:r w:rsidR="00BA36F8" w:rsidRPr="00280CC8">
        <w:tab/>
        <w:t>Estimating the Respondent Universe</w:t>
      </w:r>
    </w:p>
    <w:p w14:paraId="10D44A27" w14:textId="77777777" w:rsidR="00BA36F8" w:rsidRPr="00280CC8" w:rsidRDefault="00BA36F8"/>
    <w:p w14:paraId="3B2D6960" w14:textId="68E4176C" w:rsidR="00BA36F8" w:rsidRPr="00280CC8" w:rsidRDefault="00BA36F8">
      <w:r w:rsidRPr="00280CC8">
        <w:tab/>
      </w:r>
      <w:r w:rsidR="0065694C">
        <w:t xml:space="preserve">We </w:t>
      </w:r>
      <w:r w:rsidRPr="00280CC8">
        <w:t>estimate</w:t>
      </w:r>
      <w:r w:rsidR="00E61117">
        <w:t>d</w:t>
      </w:r>
      <w:r w:rsidRPr="00280CC8">
        <w:t xml:space="preserve"> the</w:t>
      </w:r>
      <w:r w:rsidR="00E61117">
        <w:t xml:space="preserve"> </w:t>
      </w:r>
      <w:r w:rsidR="001349F3">
        <w:t>total</w:t>
      </w:r>
      <w:r w:rsidRPr="00280CC8">
        <w:t xml:space="preserve"> number of regulated entities </w:t>
      </w:r>
      <w:r w:rsidR="00437566">
        <w:t xml:space="preserve">by </w:t>
      </w:r>
      <w:r w:rsidRPr="00280CC8">
        <w:t xml:space="preserve">drawing upon experience regulating the same entities.  </w:t>
      </w:r>
    </w:p>
    <w:p w14:paraId="58304BFC" w14:textId="77777777" w:rsidR="00BA36F8" w:rsidRPr="00280CC8" w:rsidRDefault="00BA36F8"/>
    <w:p w14:paraId="4FDFE0A8" w14:textId="6D8DF33D" w:rsidR="00BA36F8" w:rsidRPr="00280CC8" w:rsidRDefault="000500E7">
      <w:r>
        <w:tab/>
      </w:r>
      <w:r w:rsidR="006B18EA">
        <w:t>6(e)</w:t>
      </w:r>
      <w:r w:rsidR="00BA36F8" w:rsidRPr="00280CC8">
        <w:tab/>
        <w:t xml:space="preserve">Bottom Line </w:t>
      </w:r>
      <w:r w:rsidR="007C4A1E" w:rsidRPr="00280CC8">
        <w:t xml:space="preserve">Annual </w:t>
      </w:r>
      <w:r w:rsidR="00BA36F8" w:rsidRPr="00280CC8">
        <w:t>Burden Hours and Costs</w:t>
      </w:r>
    </w:p>
    <w:p w14:paraId="5ABA6C44" w14:textId="77777777" w:rsidR="00BA36F8" w:rsidRPr="00280CC8" w:rsidRDefault="00BA36F8"/>
    <w:p w14:paraId="3CD8415F" w14:textId="77777777" w:rsidR="009C46CD" w:rsidRPr="0085018F" w:rsidRDefault="00BA36F8" w:rsidP="009C46CD">
      <w:pPr>
        <w:pStyle w:val="Standard"/>
      </w:pPr>
      <w:r w:rsidRPr="00280CC8">
        <w:tab/>
      </w:r>
      <w:r w:rsidR="009C46CD" w:rsidRPr="0085018F">
        <w:t>From the table, we estimate the following annual totals:</w:t>
      </w:r>
    </w:p>
    <w:p w14:paraId="4F50BD17" w14:textId="77777777" w:rsidR="009C46CD" w:rsidRPr="0085018F" w:rsidRDefault="009C46CD" w:rsidP="009C46CD">
      <w:pPr>
        <w:pStyle w:val="Standard"/>
      </w:pPr>
    </w:p>
    <w:p w14:paraId="6773048D" w14:textId="77777777" w:rsidR="009C46CD" w:rsidRPr="0085018F" w:rsidRDefault="009C46CD" w:rsidP="008A05CD">
      <w:pPr>
        <w:pStyle w:val="Standard"/>
        <w:ind w:left="1440"/>
        <w:rPr>
          <w:b/>
        </w:rPr>
      </w:pPr>
      <w:r>
        <w:rPr>
          <w:b/>
        </w:rPr>
        <w:t>TOTAL NO. OF RESPONDENTS:</w:t>
      </w:r>
      <w:r>
        <w:rPr>
          <w:b/>
        </w:rPr>
        <w:tab/>
      </w:r>
      <w:r>
        <w:rPr>
          <w:b/>
        </w:rPr>
        <w:tab/>
      </w:r>
      <w:r>
        <w:rPr>
          <w:b/>
        </w:rPr>
        <w:tab/>
      </w:r>
      <w:r w:rsidR="00276178">
        <w:rPr>
          <w:b/>
        </w:rPr>
        <w:t xml:space="preserve">  1,015</w:t>
      </w:r>
    </w:p>
    <w:p w14:paraId="42829653" w14:textId="77777777" w:rsidR="009C46CD" w:rsidRPr="0085018F" w:rsidRDefault="009C46CD" w:rsidP="008A05CD">
      <w:pPr>
        <w:pStyle w:val="Standard"/>
        <w:ind w:left="1440"/>
        <w:rPr>
          <w:b/>
        </w:rPr>
      </w:pPr>
      <w:r w:rsidRPr="0085018F">
        <w:rPr>
          <w:b/>
        </w:rPr>
        <w:t>TOTAL NO. OF RESPONSES:</w:t>
      </w:r>
      <w:r w:rsidRPr="0085018F">
        <w:rPr>
          <w:b/>
        </w:rPr>
        <w:tab/>
      </w:r>
      <w:r w:rsidRPr="0085018F">
        <w:rPr>
          <w:b/>
        </w:rPr>
        <w:tab/>
      </w:r>
      <w:r w:rsidRPr="0085018F">
        <w:rPr>
          <w:b/>
        </w:rPr>
        <w:tab/>
      </w:r>
      <w:r w:rsidR="00276178">
        <w:rPr>
          <w:b/>
        </w:rPr>
        <w:t>26,015</w:t>
      </w:r>
    </w:p>
    <w:p w14:paraId="26CDC6B8" w14:textId="77777777" w:rsidR="009C46CD" w:rsidRPr="0085018F" w:rsidRDefault="009C46CD" w:rsidP="008A05CD">
      <w:pPr>
        <w:pStyle w:val="Standard"/>
        <w:ind w:left="1440"/>
        <w:rPr>
          <w:b/>
        </w:rPr>
      </w:pPr>
      <w:r w:rsidRPr="0085018F">
        <w:rPr>
          <w:b/>
        </w:rPr>
        <w:t>TOTAL BURDEN HOURS:</w:t>
      </w:r>
      <w:r w:rsidRPr="0085018F">
        <w:rPr>
          <w:b/>
        </w:rPr>
        <w:tab/>
      </w:r>
      <w:r w:rsidRPr="0085018F">
        <w:rPr>
          <w:b/>
        </w:rPr>
        <w:tab/>
      </w:r>
      <w:r w:rsidRPr="0085018F">
        <w:rPr>
          <w:b/>
        </w:rPr>
        <w:tab/>
      </w:r>
      <w:r w:rsidRPr="0085018F">
        <w:rPr>
          <w:b/>
        </w:rPr>
        <w:tab/>
      </w:r>
      <w:r w:rsidR="00276178">
        <w:rPr>
          <w:b/>
        </w:rPr>
        <w:t>26,696</w:t>
      </w:r>
    </w:p>
    <w:p w14:paraId="3F4D4F25" w14:textId="0C9C592F" w:rsidR="009C46CD" w:rsidRDefault="009C46CD" w:rsidP="008A05CD">
      <w:pPr>
        <w:pStyle w:val="Standard"/>
        <w:ind w:left="1440"/>
        <w:rPr>
          <w:b/>
        </w:rPr>
      </w:pPr>
      <w:r w:rsidRPr="0085018F">
        <w:rPr>
          <w:b/>
        </w:rPr>
        <w:t>TO</w:t>
      </w:r>
      <w:r>
        <w:rPr>
          <w:b/>
        </w:rPr>
        <w:t>TAL COST TO RESPONDENTS:</w:t>
      </w:r>
      <w:r>
        <w:rPr>
          <w:b/>
        </w:rPr>
        <w:tab/>
        <w:t xml:space="preserve">   </w:t>
      </w:r>
      <w:r w:rsidR="00CC4185">
        <w:rPr>
          <w:b/>
        </w:rPr>
        <w:t xml:space="preserve">  </w:t>
      </w:r>
      <w:r w:rsidRPr="0085018F">
        <w:rPr>
          <w:b/>
        </w:rPr>
        <w:t>$</w:t>
      </w:r>
      <w:r w:rsidR="00276178">
        <w:rPr>
          <w:b/>
        </w:rPr>
        <w:t>2,460</w:t>
      </w:r>
      <w:r w:rsidR="00F75E4F">
        <w:rPr>
          <w:b/>
        </w:rPr>
        <w:t>,</w:t>
      </w:r>
      <w:r w:rsidR="00276178">
        <w:rPr>
          <w:b/>
        </w:rPr>
        <w:t>454</w:t>
      </w:r>
    </w:p>
    <w:p w14:paraId="13E2112A" w14:textId="77777777" w:rsidR="009C46CD" w:rsidRDefault="009C46CD" w:rsidP="009C46CD">
      <w:pPr>
        <w:pStyle w:val="Standard"/>
        <w:rPr>
          <w:b/>
        </w:rPr>
      </w:pPr>
    </w:p>
    <w:p w14:paraId="62B9401D" w14:textId="2EBACACA" w:rsidR="009C46CD" w:rsidRDefault="009C46CD" w:rsidP="009C46CD">
      <w:pPr>
        <w:ind w:firstLine="720"/>
      </w:pPr>
      <w:r>
        <w:t xml:space="preserve">Importers and refiners with fuel testing laboratories and independent fuel testing laboratories have the burden to qualify by testing </w:t>
      </w:r>
      <w:r w:rsidR="00276178">
        <w:t xml:space="preserve">the identified </w:t>
      </w:r>
      <w:r>
        <w:t xml:space="preserve">fuel parameters describing the precision of a </w:t>
      </w:r>
      <w:r w:rsidR="008C0116">
        <w:t xml:space="preserve">VCSB </w:t>
      </w:r>
      <w:r>
        <w:t>method or non-</w:t>
      </w:r>
      <w:r w:rsidR="008C0116">
        <w:t xml:space="preserve">VCSB </w:t>
      </w:r>
      <w:r>
        <w:t xml:space="preserve">method to comply with the Performance-Based Measurement System for Fuels Rule. EPA has identified a laboratory party size of 2 respondents preparing </w:t>
      </w:r>
      <w:r w:rsidR="00276178">
        <w:t>2</w:t>
      </w:r>
      <w:r>
        <w:t xml:space="preserve"> laboratory qualification submissions</w:t>
      </w:r>
      <w:r w:rsidR="00276178">
        <w:t>.</w:t>
      </w:r>
      <w:r>
        <w:t xml:space="preserve"> The respondents will produce</w:t>
      </w:r>
      <w:r w:rsidR="00AB69CA">
        <w:t xml:space="preserve"> </w:t>
      </w:r>
      <w:r w:rsidR="00FB76C2">
        <w:t>2</w:t>
      </w:r>
      <w:r w:rsidR="00E97E9E">
        <w:t xml:space="preserve"> </w:t>
      </w:r>
      <w:r>
        <w:t>reports describing VCSB methods precision and documentation on method evaluation as it relates to the comparability to ASTM D6708. The cost to industry to report in this collection is estimated to be $</w:t>
      </w:r>
      <w:r w:rsidR="00FB76C2">
        <w:t>33,120</w:t>
      </w:r>
      <w:r w:rsidR="00446FF3">
        <w:t xml:space="preserve"> </w:t>
      </w:r>
      <w:r>
        <w:t xml:space="preserve">and </w:t>
      </w:r>
      <w:r w:rsidR="00D87CFA">
        <w:t>3</w:t>
      </w:r>
      <w:r w:rsidR="00FB76C2">
        <w:t>60</w:t>
      </w:r>
      <w:r w:rsidR="00E97E9E">
        <w:t xml:space="preserve"> </w:t>
      </w:r>
      <w:r>
        <w:t>total burden hours per year.</w:t>
      </w:r>
    </w:p>
    <w:p w14:paraId="77DD79CA" w14:textId="77777777" w:rsidR="009C46CD" w:rsidRDefault="009C46CD" w:rsidP="009C46CD">
      <w:r w:rsidRPr="00280CC8">
        <w:tab/>
      </w:r>
    </w:p>
    <w:p w14:paraId="069631BF" w14:textId="4F027010" w:rsidR="0000701D" w:rsidRDefault="009C46CD" w:rsidP="007A5EDA">
      <w:pPr>
        <w:ind w:firstLine="720"/>
      </w:pPr>
      <w:r>
        <w:t xml:space="preserve">We estimate an annual recordkeeping associated with statistical quality control with one record generated every two weeks and taking one hour for each report to produce a burden of </w:t>
      </w:r>
      <w:r w:rsidR="00FB76C2">
        <w:t>26,000</w:t>
      </w:r>
      <w:r w:rsidR="00FA3160">
        <w:t xml:space="preserve"> </w:t>
      </w:r>
      <w:r>
        <w:t>hours and a cost to industry of</w:t>
      </w:r>
      <w:r w:rsidR="0000701D">
        <w:t xml:space="preserve"> </w:t>
      </w:r>
      <w:r>
        <w:t>$</w:t>
      </w:r>
      <w:r w:rsidR="00FB76C2">
        <w:t>2,392,000.</w:t>
      </w:r>
      <w:r>
        <w:t xml:space="preserve"> For those laboratories that wish to be reference installations</w:t>
      </w:r>
      <w:r w:rsidR="00FB76C2">
        <w:t>, w</w:t>
      </w:r>
      <w:r w:rsidR="00FA3160">
        <w:t xml:space="preserve">ith one response per respondent, we estimate </w:t>
      </w:r>
      <w:r w:rsidR="00FB76C2">
        <w:t>288</w:t>
      </w:r>
      <w:r w:rsidR="00FA3160">
        <w:t xml:space="preserve"> hours costing $</w:t>
      </w:r>
      <w:r w:rsidR="00FB76C2">
        <w:t>26,496</w:t>
      </w:r>
      <w:r w:rsidR="00751BB7">
        <w:t xml:space="preserve">. </w:t>
      </w:r>
      <w:r w:rsidR="00FA3160">
        <w:t xml:space="preserve">For </w:t>
      </w:r>
      <w:r w:rsidR="00FA3160" w:rsidRPr="00960D94">
        <w:rPr>
          <w:szCs w:val="24"/>
        </w:rPr>
        <w:t xml:space="preserve">third party engineering reviews </w:t>
      </w:r>
      <w:r w:rsidR="00FA3160">
        <w:rPr>
          <w:szCs w:val="24"/>
        </w:rPr>
        <w:t xml:space="preserve">EPA estimates one per respondent a year requiring </w:t>
      </w:r>
      <w:r w:rsidR="00FB76C2">
        <w:rPr>
          <w:szCs w:val="24"/>
        </w:rPr>
        <w:t>48</w:t>
      </w:r>
      <w:r w:rsidR="00FA3160">
        <w:rPr>
          <w:szCs w:val="24"/>
        </w:rPr>
        <w:t xml:space="preserve"> hours costing industry </w:t>
      </w:r>
      <w:r w:rsidR="00FB76C2">
        <w:rPr>
          <w:szCs w:val="24"/>
        </w:rPr>
        <w:t>$8,838</w:t>
      </w:r>
      <w:r w:rsidR="00FA3160">
        <w:rPr>
          <w:szCs w:val="24"/>
        </w:rPr>
        <w:t xml:space="preserve">. </w:t>
      </w:r>
    </w:p>
    <w:p w14:paraId="16E114F6" w14:textId="77777777" w:rsidR="000D4AED" w:rsidRDefault="000D4AED" w:rsidP="008A05CD">
      <w:pPr>
        <w:ind w:firstLine="720"/>
      </w:pPr>
    </w:p>
    <w:p w14:paraId="64DC5193" w14:textId="1DEFE2EB" w:rsidR="00BA36F8" w:rsidRPr="00280CC8" w:rsidRDefault="007A5EDA" w:rsidP="008A05CD">
      <w:pPr>
        <w:ind w:firstLine="720"/>
      </w:pPr>
      <w:r>
        <w:t>6(f)</w:t>
      </w:r>
      <w:r w:rsidR="00BA36F8" w:rsidRPr="00280CC8">
        <w:tab/>
        <w:t>Reason for Change in Burden</w:t>
      </w:r>
    </w:p>
    <w:p w14:paraId="733250F0" w14:textId="77777777" w:rsidR="00BA36F8" w:rsidRPr="00280CC8" w:rsidRDefault="00BA36F8"/>
    <w:p w14:paraId="6C57ED8A" w14:textId="43C65BB7" w:rsidR="00BA36F8" w:rsidRDefault="00BA36F8">
      <w:r w:rsidRPr="00280CC8">
        <w:tab/>
      </w:r>
      <w:r w:rsidR="004C0CD0">
        <w:t xml:space="preserve">The burden increased </w:t>
      </w:r>
      <w:r w:rsidR="00B3147C">
        <w:t xml:space="preserve">17,198 hours </w:t>
      </w:r>
      <w:r w:rsidR="004C0CD0">
        <w:t xml:space="preserve">due to a significant increase in the </w:t>
      </w:r>
      <w:r w:rsidR="00F710FE">
        <w:t xml:space="preserve">estimated </w:t>
      </w:r>
      <w:r w:rsidR="004C0CD0">
        <w:t>number of labs generating and retaining SQC data</w:t>
      </w:r>
      <w:r w:rsidR="003B4E81">
        <w:t>, which was underestimated</w:t>
      </w:r>
      <w:r w:rsidR="009C6316">
        <w:t xml:space="preserve"> </w:t>
      </w:r>
      <w:r w:rsidR="00F1348C" w:rsidRPr="00F1348C">
        <w:t>in the previous ICR</w:t>
      </w:r>
      <w:r w:rsidR="00A85B09">
        <w:t>.</w:t>
      </w:r>
    </w:p>
    <w:p w14:paraId="0440A5C5" w14:textId="77777777" w:rsidR="00C5627A" w:rsidRPr="00280CC8" w:rsidRDefault="00C5627A"/>
    <w:p w14:paraId="3F2439ED" w14:textId="148A56F3" w:rsidR="00BA36F8" w:rsidRPr="00280CC8" w:rsidRDefault="007A5EDA" w:rsidP="007A5EDA">
      <w:pPr>
        <w:ind w:firstLine="720"/>
      </w:pPr>
      <w:r>
        <w:t>6(g)</w:t>
      </w:r>
      <w:r w:rsidR="00BA36F8" w:rsidRPr="00280CC8">
        <w:tab/>
        <w:t>Burden Statement</w:t>
      </w:r>
    </w:p>
    <w:p w14:paraId="6BCF1E40" w14:textId="77777777" w:rsidR="00BA36F8" w:rsidRPr="00280CC8" w:rsidRDefault="00BA36F8"/>
    <w:p w14:paraId="03C85F56" w14:textId="19BD5EAB" w:rsidR="000A5371" w:rsidRDefault="00BA36F8">
      <w:r w:rsidRPr="00280CC8">
        <w:tab/>
      </w:r>
      <w:r w:rsidR="00A9786D">
        <w:t xml:space="preserve">We estimate an </w:t>
      </w:r>
      <w:r w:rsidR="004C0CD0">
        <w:t xml:space="preserve">average </w:t>
      </w:r>
      <w:r w:rsidR="00A9786D">
        <w:t xml:space="preserve">annual reporting burden of </w:t>
      </w:r>
      <w:r w:rsidR="00471E33">
        <w:t>one</w:t>
      </w:r>
      <w:r w:rsidR="00A9786D">
        <w:t xml:space="preserve"> hour per respon</w:t>
      </w:r>
      <w:r w:rsidR="00471E33">
        <w:t>se</w:t>
      </w:r>
      <w:r w:rsidR="00A9786D">
        <w:t>. For those laboratories that elect to be reference installations, the annual reporting burden would</w:t>
      </w:r>
      <w:r w:rsidR="00471E33">
        <w:t xml:space="preserve"> </w:t>
      </w:r>
      <w:r w:rsidR="00F31E96">
        <w:t xml:space="preserve">be </w:t>
      </w:r>
      <w:r w:rsidR="004C0CD0">
        <w:t>48</w:t>
      </w:r>
      <w:r w:rsidR="0006241F">
        <w:t xml:space="preserve"> </w:t>
      </w:r>
      <w:r w:rsidR="00471E33">
        <w:t>hours per response</w:t>
      </w:r>
      <w:r w:rsidR="00A9786D">
        <w:t xml:space="preserve">. </w:t>
      </w:r>
      <w:r w:rsidR="004C0CD0">
        <w:t>For an ATM the estimate is 180 hours.</w:t>
      </w:r>
    </w:p>
    <w:p w14:paraId="38FE10E1" w14:textId="77777777" w:rsidR="000A5371" w:rsidRDefault="000A5371"/>
    <w:p w14:paraId="0F6A0D64" w14:textId="49280E19" w:rsidR="008F19CD" w:rsidRDefault="000A5371" w:rsidP="008F19CD">
      <w:pPr>
        <w:rPr>
          <w:szCs w:val="24"/>
        </w:rPr>
      </w:pPr>
      <w:r>
        <w:tab/>
      </w:r>
      <w:r w:rsidR="00BA36F8" w:rsidRPr="00280CC8">
        <w:t xml:space="preserve">Burden means the total time, effort, or financial resources expended by persons to generate, maintain, retain, or disclose or provide information to or for a Federal agency. This includes the time needed to review the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transit or otherwise disclose the information. </w:t>
      </w:r>
      <w:r w:rsidR="00283E3C">
        <w:t>A</w:t>
      </w:r>
      <w:r w:rsidR="00BA36F8" w:rsidRPr="00280CC8">
        <w:t>n Agency may not conduct or sponsor, and a person is not required to respond to a collection of information unless it displays a currently valid OMB control number. The OMB control numbers for EPA's regulations are listed in 40 CFR Part 9 and 48 CFR Chapter 15.</w:t>
      </w:r>
      <w:r w:rsidR="00BF28BF">
        <w:t xml:space="preserve"> </w:t>
      </w:r>
      <w:r w:rsidR="00FB4B4B" w:rsidRPr="00280CC8">
        <w:rPr>
          <w:szCs w:val="24"/>
          <w:lang w:val="en-CA"/>
        </w:rPr>
        <w:fldChar w:fldCharType="begin"/>
      </w:r>
      <w:r w:rsidR="00325EFF" w:rsidRPr="00280CC8">
        <w:rPr>
          <w:szCs w:val="24"/>
          <w:lang w:val="en-CA"/>
        </w:rPr>
        <w:instrText xml:space="preserve"> SEQ CHAPTER \h \r 1</w:instrText>
      </w:r>
      <w:r w:rsidR="00FB4B4B" w:rsidRPr="00280CC8">
        <w:rPr>
          <w:szCs w:val="24"/>
          <w:lang w:val="en-CA"/>
        </w:rPr>
        <w:fldChar w:fldCharType="end"/>
      </w:r>
      <w:r w:rsidR="00FB4B4B" w:rsidRPr="00280CC8">
        <w:rPr>
          <w:szCs w:val="24"/>
          <w:lang w:val="en-CA"/>
        </w:rPr>
        <w:fldChar w:fldCharType="begin"/>
      </w:r>
      <w:r w:rsidR="008F19CD" w:rsidRPr="00280CC8">
        <w:rPr>
          <w:szCs w:val="24"/>
          <w:lang w:val="en-CA"/>
        </w:rPr>
        <w:instrText xml:space="preserve"> SEQ CHAPTER \h \r 1</w:instrText>
      </w:r>
      <w:r w:rsidR="00FB4B4B" w:rsidRPr="00280CC8">
        <w:rPr>
          <w:szCs w:val="24"/>
          <w:lang w:val="en-CA"/>
        </w:rPr>
        <w:fldChar w:fldCharType="end"/>
      </w:r>
      <w:r w:rsidR="00D205E9">
        <w:rPr>
          <w:szCs w:val="24"/>
        </w:rPr>
        <w:t>Interested parties are urged to</w:t>
      </w:r>
      <w:r w:rsidR="008F19CD" w:rsidRPr="00280CC8">
        <w:rPr>
          <w:szCs w:val="24"/>
        </w:rPr>
        <w:t xml:space="preserve"> comment on the Agency's need for this information</w:t>
      </w:r>
      <w:r w:rsidR="00D205E9">
        <w:rPr>
          <w:szCs w:val="24"/>
        </w:rPr>
        <w:t xml:space="preserve"> collection</w:t>
      </w:r>
      <w:r w:rsidR="008F19CD" w:rsidRPr="00280CC8">
        <w:rPr>
          <w:szCs w:val="24"/>
        </w:rPr>
        <w:t>, the accuracy of the provided burden estimates, and any suggested methods for minimizing respondent burden, including the use of automated collection technique</w:t>
      </w:r>
      <w:r w:rsidR="00D205E9">
        <w:rPr>
          <w:szCs w:val="24"/>
        </w:rPr>
        <w:t xml:space="preserve">.  </w:t>
      </w:r>
    </w:p>
    <w:p w14:paraId="729078FC" w14:textId="77777777" w:rsidR="00FE50C6" w:rsidRDefault="00FE50C6" w:rsidP="008F19CD">
      <w:pPr>
        <w:rPr>
          <w:szCs w:val="24"/>
        </w:rPr>
      </w:pPr>
    </w:p>
    <w:p w14:paraId="2B7E5C93" w14:textId="63D79933" w:rsidR="00FE50C6" w:rsidRPr="00FE50C6" w:rsidRDefault="00FE50C6" w:rsidP="00FE50C6">
      <w:r>
        <w:rPr>
          <w:rFonts w:ascii="Arial" w:hAnsi="Arial" w:cs="Arial"/>
        </w:rPr>
        <w:tab/>
      </w:r>
      <w:r w:rsidR="00471E33">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A7D4C">
        <w:t>EPA-HQ-OAR-201</w:t>
      </w:r>
      <w:r w:rsidR="0097562D">
        <w:t>8</w:t>
      </w:r>
      <w:r w:rsidR="001A7D4C">
        <w:t>-0</w:t>
      </w:r>
      <w:r w:rsidR="0097562D">
        <w:t>663</w:t>
      </w:r>
      <w:r w:rsidR="00471E33">
        <w:rPr>
          <w:color w:val="0F0F0F"/>
          <w:szCs w:val="24"/>
        </w:rPr>
        <w:t xml:space="preserve">, which is available for online viewing at </w:t>
      </w:r>
      <w:hyperlink r:id="rId10" w:history="1">
        <w:r w:rsidR="00471E33" w:rsidRPr="00C968CF">
          <w:rPr>
            <w:rStyle w:val="Hyperlink"/>
            <w:szCs w:val="24"/>
          </w:rPr>
          <w:t>www.regulations.gov</w:t>
        </w:r>
      </w:hyperlink>
      <w:r w:rsidR="00471E33">
        <w:rPr>
          <w:color w:val="0F0F0F"/>
          <w:szCs w:val="24"/>
        </w:rPr>
        <w:t xml:space="preserve">, or in person viewing at the Air and Radiation Docket in the EPA Docket Center (EPA/DC), EPA West, Room </w:t>
      </w:r>
      <w:r w:rsidR="004E4A0A">
        <w:rPr>
          <w:color w:val="0F0F0F"/>
          <w:szCs w:val="24"/>
        </w:rPr>
        <w:t>3334</w:t>
      </w:r>
      <w:r w:rsidR="00471E33">
        <w:rPr>
          <w:color w:val="0F0F0F"/>
          <w:szCs w:val="24"/>
        </w:rPr>
        <w:t>,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w:t>
      </w:r>
      <w:r w:rsidR="006C452F">
        <w:rPr>
          <w:color w:val="0F0F0F"/>
          <w:szCs w:val="24"/>
        </w:rPr>
        <w:t xml:space="preserve"> W</w:t>
      </w:r>
      <w:r w:rsidR="00471E33">
        <w:rPr>
          <w:color w:val="0F0F0F"/>
          <w:szCs w:val="24"/>
        </w:rPr>
        <w:t xml:space="preserve">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471E33">
            <w:rPr>
              <w:color w:val="0F0F0F"/>
              <w:szCs w:val="24"/>
            </w:rPr>
            <w:t>725 17th Street, NW</w:t>
          </w:r>
        </w:smartTag>
        <w:r w:rsidR="00471E33">
          <w:rPr>
            <w:color w:val="0F0F0F"/>
            <w:szCs w:val="24"/>
          </w:rPr>
          <w:t xml:space="preserve">, </w:t>
        </w:r>
        <w:smartTag w:uri="urn:schemas-microsoft-com:office:smarttags" w:element="City">
          <w:r w:rsidR="00471E33">
            <w:rPr>
              <w:color w:val="0F0F0F"/>
              <w:szCs w:val="24"/>
            </w:rPr>
            <w:t>Washington</w:t>
          </w:r>
        </w:smartTag>
        <w:r w:rsidR="00471E33">
          <w:rPr>
            <w:color w:val="0F0F0F"/>
            <w:szCs w:val="24"/>
          </w:rPr>
          <w:t xml:space="preserve">, </w:t>
        </w:r>
        <w:smartTag w:uri="urn:schemas-microsoft-com:office:smarttags" w:element="State">
          <w:r w:rsidR="00471E33">
            <w:rPr>
              <w:color w:val="0F0F0F"/>
              <w:szCs w:val="24"/>
            </w:rPr>
            <w:t>D.C.</w:t>
          </w:r>
        </w:smartTag>
        <w:r w:rsidR="00471E33">
          <w:rPr>
            <w:color w:val="0F0F0F"/>
            <w:szCs w:val="24"/>
          </w:rPr>
          <w:t xml:space="preserve"> </w:t>
        </w:r>
        <w:smartTag w:uri="urn:schemas-microsoft-com:office:smarttags" w:element="PostalCode">
          <w:r w:rsidR="00471E33">
            <w:rPr>
              <w:color w:val="0F0F0F"/>
              <w:szCs w:val="24"/>
            </w:rPr>
            <w:t>20503</w:t>
          </w:r>
        </w:smartTag>
      </w:smartTag>
      <w:r w:rsidR="00471E33">
        <w:rPr>
          <w:color w:val="0F0F0F"/>
          <w:szCs w:val="24"/>
        </w:rPr>
        <w:t>, Attention: Desk Officer for EPA.  Please include the EPA Docket ID</w:t>
      </w:r>
      <w:r w:rsidR="00471E33">
        <w:rPr>
          <w:rFonts w:ascii="Courier New" w:hAnsi="Courier New" w:cs="Courier New"/>
          <w:color w:val="0F0F0F"/>
          <w:szCs w:val="24"/>
        </w:rPr>
        <w:t xml:space="preserve"> </w:t>
      </w:r>
      <w:r w:rsidR="00471E33">
        <w:rPr>
          <w:color w:val="0F0F0F"/>
          <w:szCs w:val="24"/>
        </w:rPr>
        <w:t xml:space="preserve">Number </w:t>
      </w:r>
      <w:r w:rsidR="00471E33">
        <w:t>EPA-HQ-OAR-201</w:t>
      </w:r>
      <w:r w:rsidR="0097562D">
        <w:t>8</w:t>
      </w:r>
      <w:r w:rsidR="00471E33">
        <w:t>-0</w:t>
      </w:r>
      <w:r w:rsidR="0097562D">
        <w:t>663</w:t>
      </w:r>
      <w:r w:rsidR="00471E33">
        <w:rPr>
          <w:color w:val="0F0F0F"/>
          <w:szCs w:val="24"/>
        </w:rPr>
        <w:t xml:space="preserve"> and OMB Control Number 2060-</w:t>
      </w:r>
      <w:r w:rsidR="00100034" w:rsidRPr="00100034">
        <w:rPr>
          <w:color w:val="0F0F0F"/>
          <w:szCs w:val="24"/>
        </w:rPr>
        <w:t>0692</w:t>
      </w:r>
      <w:r w:rsidR="00471E33">
        <w:rPr>
          <w:color w:val="0F0F0F"/>
          <w:szCs w:val="24"/>
        </w:rPr>
        <w:t xml:space="preserve"> in any correspondence.</w:t>
      </w:r>
    </w:p>
    <w:p w14:paraId="29B24527" w14:textId="2AC430C6" w:rsidR="00FE50C6" w:rsidRDefault="00FE50C6" w:rsidP="00FE50C6"/>
    <w:p w14:paraId="438FE788" w14:textId="77777777" w:rsidR="00527AFD" w:rsidRDefault="00527AFD" w:rsidP="00FE50C6"/>
    <w:p w14:paraId="20E957EA" w14:textId="7222592E" w:rsidR="00ED45B8" w:rsidRPr="000A5946" w:rsidRDefault="008F19CD" w:rsidP="00DA7714">
      <w:pPr>
        <w:outlineLvl w:val="0"/>
        <w:rPr>
          <w:szCs w:val="24"/>
        </w:rPr>
      </w:pPr>
      <w:r w:rsidRPr="00280CC8">
        <w:rPr>
          <w:b/>
          <w:bCs/>
          <w:szCs w:val="24"/>
          <w:u w:val="single"/>
        </w:rPr>
        <w:t>Part B of the Supporting Statement</w:t>
      </w:r>
      <w:r w:rsidR="00527AFD" w:rsidRPr="00527AFD">
        <w:rPr>
          <w:b/>
          <w:bCs/>
          <w:szCs w:val="24"/>
        </w:rPr>
        <w:t xml:space="preserve"> –</w:t>
      </w:r>
      <w:r w:rsidR="00527AFD">
        <w:rPr>
          <w:b/>
          <w:bCs/>
          <w:szCs w:val="24"/>
        </w:rPr>
        <w:t xml:space="preserve"> </w:t>
      </w:r>
      <w:r w:rsidR="00ED45B8" w:rsidRPr="000A5946">
        <w:rPr>
          <w:bCs/>
          <w:szCs w:val="24"/>
        </w:rPr>
        <w:t>This part of the supporting statement is not applicable.</w:t>
      </w:r>
    </w:p>
    <w:sectPr w:rsidR="00ED45B8" w:rsidRPr="000A5946" w:rsidSect="00C7259A">
      <w:footerReference w:type="even" r:id="rId11"/>
      <w:footerReference w:type="default" r:id="rId12"/>
      <w:type w:val="nextColumn"/>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A1E5" w14:textId="77777777" w:rsidR="007439FD" w:rsidRDefault="007439FD">
      <w:r>
        <w:separator/>
      </w:r>
    </w:p>
  </w:endnote>
  <w:endnote w:type="continuationSeparator" w:id="0">
    <w:p w14:paraId="6CB49041" w14:textId="77777777" w:rsidR="007439FD" w:rsidRDefault="0074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6C583" w14:textId="77777777" w:rsidR="0033666C" w:rsidRDefault="0033666C" w:rsidP="00325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73E29F" w14:textId="77777777" w:rsidR="0033666C" w:rsidRDefault="00336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6B641" w14:textId="77777777" w:rsidR="0033666C" w:rsidRDefault="0033666C" w:rsidP="00325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3A52">
      <w:rPr>
        <w:rStyle w:val="PageNumber"/>
        <w:noProof/>
      </w:rPr>
      <w:t>1</w:t>
    </w:r>
    <w:r>
      <w:rPr>
        <w:rStyle w:val="PageNumber"/>
      </w:rPr>
      <w:fldChar w:fldCharType="end"/>
    </w:r>
  </w:p>
  <w:p w14:paraId="557A989B" w14:textId="77777777" w:rsidR="0033666C" w:rsidRDefault="00336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A38FF" w14:textId="77777777" w:rsidR="007439FD" w:rsidRDefault="007439FD">
      <w:r>
        <w:separator/>
      </w:r>
    </w:p>
  </w:footnote>
  <w:footnote w:type="continuationSeparator" w:id="0">
    <w:p w14:paraId="7B56543A" w14:textId="77777777" w:rsidR="007439FD" w:rsidRDefault="007439FD">
      <w:r>
        <w:continuationSeparator/>
      </w:r>
    </w:p>
  </w:footnote>
  <w:footnote w:id="1">
    <w:p w14:paraId="4DB7285C" w14:textId="3B8B75B2" w:rsidR="009B4B24" w:rsidRDefault="009B4B24">
      <w:pPr>
        <w:pStyle w:val="FootnoteText"/>
      </w:pPr>
      <w:r>
        <w:rPr>
          <w:rStyle w:val="FootnoteReference"/>
        </w:rPr>
        <w:footnoteRef/>
      </w:r>
      <w:r>
        <w:t xml:space="preserve"> Reporting the test results is covered by another information collection</w:t>
      </w:r>
      <w:r w:rsidR="008D61DD">
        <w:t>.</w:t>
      </w:r>
    </w:p>
  </w:footnote>
  <w:footnote w:id="2">
    <w:p w14:paraId="40542D37" w14:textId="1A7A8E48" w:rsidR="002F6369" w:rsidRDefault="002F6369">
      <w:pPr>
        <w:pStyle w:val="FootnoteText"/>
      </w:pPr>
      <w:r>
        <w:rPr>
          <w:rStyle w:val="FootnoteReference"/>
        </w:rPr>
        <w:footnoteRef/>
      </w:r>
      <w:r>
        <w:t xml:space="preserve"> </w:t>
      </w:r>
      <w:r w:rsidRPr="002F6369">
        <w:t>Certain test methods specified in the regulations and in use prior to October 28, 2013 are recognized as meeting the criteria and are exempt from the precision and accuracy demonstrations. These are known as “designated primary” test methods.</w:t>
      </w:r>
    </w:p>
  </w:footnote>
  <w:footnote w:id="3">
    <w:p w14:paraId="2A37B2F8" w14:textId="0D6EC175" w:rsidR="00180E4E" w:rsidRDefault="00180E4E">
      <w:pPr>
        <w:pStyle w:val="FootnoteText"/>
      </w:pPr>
      <w:r>
        <w:rPr>
          <w:rStyle w:val="FootnoteReference"/>
        </w:rPr>
        <w:footnoteRef/>
      </w:r>
      <w:r>
        <w:t xml:space="preserve"> </w:t>
      </w:r>
      <w:r w:rsidRPr="00180E4E">
        <w:t>These requirements are covered by a separate information collection</w:t>
      </w:r>
      <w:r w:rsidR="00970E8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B7C"/>
    <w:multiLevelType w:val="hybridMultilevel"/>
    <w:tmpl w:val="25E05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A5506"/>
    <w:multiLevelType w:val="hybridMultilevel"/>
    <w:tmpl w:val="4146A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F11422"/>
    <w:multiLevelType w:val="hybridMultilevel"/>
    <w:tmpl w:val="953A4F24"/>
    <w:lvl w:ilvl="0" w:tplc="75188CE2">
      <w:start w:val="5"/>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792041D"/>
    <w:multiLevelType w:val="hybridMultilevel"/>
    <w:tmpl w:val="C6DA42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724806"/>
    <w:multiLevelType w:val="hybridMultilevel"/>
    <w:tmpl w:val="94D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3C7622"/>
    <w:multiLevelType w:val="hybridMultilevel"/>
    <w:tmpl w:val="97308B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885DC1"/>
    <w:multiLevelType w:val="hybridMultilevel"/>
    <w:tmpl w:val="8F7E3D2A"/>
    <w:lvl w:ilvl="0" w:tplc="7234C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B2D70B4"/>
    <w:multiLevelType w:val="hybridMultilevel"/>
    <w:tmpl w:val="E24E4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C1D7604"/>
    <w:multiLevelType w:val="hybridMultilevel"/>
    <w:tmpl w:val="00F87A62"/>
    <w:lvl w:ilvl="0" w:tplc="88C683C8">
      <w:start w:val="5"/>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1FB69B3"/>
    <w:multiLevelType w:val="hybridMultilevel"/>
    <w:tmpl w:val="473C1566"/>
    <w:lvl w:ilvl="0" w:tplc="6CD00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7F4034"/>
    <w:multiLevelType w:val="hybridMultilevel"/>
    <w:tmpl w:val="AA32D9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CE692F"/>
    <w:multiLevelType w:val="hybridMultilevel"/>
    <w:tmpl w:val="2192632C"/>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49AD321B"/>
    <w:multiLevelType w:val="hybridMultilevel"/>
    <w:tmpl w:val="CB6C6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D93549"/>
    <w:multiLevelType w:val="hybridMultilevel"/>
    <w:tmpl w:val="DDB0325A"/>
    <w:lvl w:ilvl="0" w:tplc="6390F73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696C157C"/>
    <w:multiLevelType w:val="hybridMultilevel"/>
    <w:tmpl w:val="60E2387A"/>
    <w:lvl w:ilvl="0" w:tplc="ED100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C445EF"/>
    <w:multiLevelType w:val="hybridMultilevel"/>
    <w:tmpl w:val="4BBAA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A0356E"/>
    <w:multiLevelType w:val="hybridMultilevel"/>
    <w:tmpl w:val="5C1CFA7E"/>
    <w:lvl w:ilvl="0" w:tplc="3580D596">
      <w:start w:val="1"/>
      <w:numFmt w:val="low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13"/>
  </w:num>
  <w:num w:numId="4">
    <w:abstractNumId w:val="8"/>
  </w:num>
  <w:num w:numId="5">
    <w:abstractNumId w:val="4"/>
  </w:num>
  <w:num w:numId="6">
    <w:abstractNumId w:val="6"/>
  </w:num>
  <w:num w:numId="7">
    <w:abstractNumId w:val="10"/>
  </w:num>
  <w:num w:numId="8">
    <w:abstractNumId w:val="15"/>
  </w:num>
  <w:num w:numId="9">
    <w:abstractNumId w:val="1"/>
  </w:num>
  <w:num w:numId="10">
    <w:abstractNumId w:val="9"/>
  </w:num>
  <w:num w:numId="11">
    <w:abstractNumId w:val="11"/>
  </w:num>
  <w:num w:numId="12">
    <w:abstractNumId w:val="16"/>
  </w:num>
  <w:num w:numId="13">
    <w:abstractNumId w:val="14"/>
  </w:num>
  <w:num w:numId="14">
    <w:abstractNumId w:val="3"/>
  </w:num>
  <w:num w:numId="15">
    <w:abstractNumId w:val="12"/>
  </w:num>
  <w:num w:numId="16">
    <w:abstractNumId w:val="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79"/>
    <w:rsid w:val="00006CB3"/>
    <w:rsid w:val="0000701D"/>
    <w:rsid w:val="00021AC1"/>
    <w:rsid w:val="00021B5A"/>
    <w:rsid w:val="00027582"/>
    <w:rsid w:val="000275EC"/>
    <w:rsid w:val="00041C96"/>
    <w:rsid w:val="000500E7"/>
    <w:rsid w:val="000515F6"/>
    <w:rsid w:val="00052148"/>
    <w:rsid w:val="0005410A"/>
    <w:rsid w:val="00054AEF"/>
    <w:rsid w:val="00060B95"/>
    <w:rsid w:val="00061F6D"/>
    <w:rsid w:val="0006241F"/>
    <w:rsid w:val="000631FA"/>
    <w:rsid w:val="000638AD"/>
    <w:rsid w:val="000642BE"/>
    <w:rsid w:val="00067408"/>
    <w:rsid w:val="00084553"/>
    <w:rsid w:val="00090A1E"/>
    <w:rsid w:val="0009199F"/>
    <w:rsid w:val="00092CFC"/>
    <w:rsid w:val="000A14B3"/>
    <w:rsid w:val="000A2AFE"/>
    <w:rsid w:val="000A5371"/>
    <w:rsid w:val="000A5946"/>
    <w:rsid w:val="000B0C26"/>
    <w:rsid w:val="000C363E"/>
    <w:rsid w:val="000C7E23"/>
    <w:rsid w:val="000D4AED"/>
    <w:rsid w:val="000D559B"/>
    <w:rsid w:val="000E0912"/>
    <w:rsid w:val="000E73EE"/>
    <w:rsid w:val="000F0C8F"/>
    <w:rsid w:val="000F1CC1"/>
    <w:rsid w:val="000F52C0"/>
    <w:rsid w:val="000F7BA4"/>
    <w:rsid w:val="00100034"/>
    <w:rsid w:val="0010479F"/>
    <w:rsid w:val="00104A9E"/>
    <w:rsid w:val="001050AD"/>
    <w:rsid w:val="00106F4B"/>
    <w:rsid w:val="00112E20"/>
    <w:rsid w:val="0012512F"/>
    <w:rsid w:val="00126179"/>
    <w:rsid w:val="001349F3"/>
    <w:rsid w:val="001456A0"/>
    <w:rsid w:val="001469F2"/>
    <w:rsid w:val="0016312D"/>
    <w:rsid w:val="00166C7A"/>
    <w:rsid w:val="00177EB1"/>
    <w:rsid w:val="00180E4E"/>
    <w:rsid w:val="0018464C"/>
    <w:rsid w:val="001878B6"/>
    <w:rsid w:val="0019334E"/>
    <w:rsid w:val="001942CB"/>
    <w:rsid w:val="001974FC"/>
    <w:rsid w:val="001A7D4C"/>
    <w:rsid w:val="001B01B2"/>
    <w:rsid w:val="001B73EB"/>
    <w:rsid w:val="001C21CC"/>
    <w:rsid w:val="001C375B"/>
    <w:rsid w:val="001C3A43"/>
    <w:rsid w:val="001C5DFB"/>
    <w:rsid w:val="001C689E"/>
    <w:rsid w:val="001D29F2"/>
    <w:rsid w:val="001D3892"/>
    <w:rsid w:val="001D69A7"/>
    <w:rsid w:val="001E0575"/>
    <w:rsid w:val="001E093D"/>
    <w:rsid w:val="001E7A2B"/>
    <w:rsid w:val="001F1CE9"/>
    <w:rsid w:val="001F20F0"/>
    <w:rsid w:val="00204E7A"/>
    <w:rsid w:val="002143F8"/>
    <w:rsid w:val="00215B8C"/>
    <w:rsid w:val="00227505"/>
    <w:rsid w:val="0023175E"/>
    <w:rsid w:val="0025054B"/>
    <w:rsid w:val="00252C72"/>
    <w:rsid w:val="00261C02"/>
    <w:rsid w:val="002622B2"/>
    <w:rsid w:val="002632C4"/>
    <w:rsid w:val="002637C3"/>
    <w:rsid w:val="00265283"/>
    <w:rsid w:val="00271ACE"/>
    <w:rsid w:val="0027346B"/>
    <w:rsid w:val="00276178"/>
    <w:rsid w:val="00280CC8"/>
    <w:rsid w:val="0028203C"/>
    <w:rsid w:val="00283E3C"/>
    <w:rsid w:val="00285E24"/>
    <w:rsid w:val="00295B13"/>
    <w:rsid w:val="0029626F"/>
    <w:rsid w:val="002A4FEA"/>
    <w:rsid w:val="002B28CC"/>
    <w:rsid w:val="002B6C2E"/>
    <w:rsid w:val="002B6CB9"/>
    <w:rsid w:val="002B7DEE"/>
    <w:rsid w:val="002C0B01"/>
    <w:rsid w:val="002C245B"/>
    <w:rsid w:val="002C2E29"/>
    <w:rsid w:val="002C4CC9"/>
    <w:rsid w:val="002D0D05"/>
    <w:rsid w:val="002D1B9C"/>
    <w:rsid w:val="002D7FEA"/>
    <w:rsid w:val="002E0961"/>
    <w:rsid w:val="002E140F"/>
    <w:rsid w:val="002E14AB"/>
    <w:rsid w:val="002F1CB2"/>
    <w:rsid w:val="002F6369"/>
    <w:rsid w:val="002F641F"/>
    <w:rsid w:val="003003D0"/>
    <w:rsid w:val="00301723"/>
    <w:rsid w:val="00304126"/>
    <w:rsid w:val="00313883"/>
    <w:rsid w:val="00314EA9"/>
    <w:rsid w:val="00320300"/>
    <w:rsid w:val="00322C7A"/>
    <w:rsid w:val="00325EFF"/>
    <w:rsid w:val="00327196"/>
    <w:rsid w:val="00327A50"/>
    <w:rsid w:val="0033666C"/>
    <w:rsid w:val="00336E79"/>
    <w:rsid w:val="003512BD"/>
    <w:rsid w:val="003539CE"/>
    <w:rsid w:val="003602C0"/>
    <w:rsid w:val="00366AAC"/>
    <w:rsid w:val="00392C79"/>
    <w:rsid w:val="00394A9A"/>
    <w:rsid w:val="00394BB0"/>
    <w:rsid w:val="003965E9"/>
    <w:rsid w:val="00396CDA"/>
    <w:rsid w:val="003A0A46"/>
    <w:rsid w:val="003A49DD"/>
    <w:rsid w:val="003B0B75"/>
    <w:rsid w:val="003B2219"/>
    <w:rsid w:val="003B4E81"/>
    <w:rsid w:val="003B5978"/>
    <w:rsid w:val="003C067A"/>
    <w:rsid w:val="003C1209"/>
    <w:rsid w:val="003C152B"/>
    <w:rsid w:val="003C785B"/>
    <w:rsid w:val="003D2687"/>
    <w:rsid w:val="003D3A52"/>
    <w:rsid w:val="003D47E8"/>
    <w:rsid w:val="003D7D6A"/>
    <w:rsid w:val="003E3AD2"/>
    <w:rsid w:val="003E5187"/>
    <w:rsid w:val="003E7E1A"/>
    <w:rsid w:val="00400D1A"/>
    <w:rsid w:val="0040340D"/>
    <w:rsid w:val="00405652"/>
    <w:rsid w:val="00407CFC"/>
    <w:rsid w:val="004123D0"/>
    <w:rsid w:val="00412939"/>
    <w:rsid w:val="004172CD"/>
    <w:rsid w:val="0042016F"/>
    <w:rsid w:val="004242F4"/>
    <w:rsid w:val="00424BC7"/>
    <w:rsid w:val="00434672"/>
    <w:rsid w:val="00437566"/>
    <w:rsid w:val="00437FA4"/>
    <w:rsid w:val="0044005B"/>
    <w:rsid w:val="00441763"/>
    <w:rsid w:val="00441F8C"/>
    <w:rsid w:val="0044534B"/>
    <w:rsid w:val="00446E65"/>
    <w:rsid w:val="00446FF3"/>
    <w:rsid w:val="00450377"/>
    <w:rsid w:val="00451674"/>
    <w:rsid w:val="00455CED"/>
    <w:rsid w:val="00463ADC"/>
    <w:rsid w:val="004700A3"/>
    <w:rsid w:val="00471E33"/>
    <w:rsid w:val="00474087"/>
    <w:rsid w:val="00475D9B"/>
    <w:rsid w:val="004916A2"/>
    <w:rsid w:val="0049234A"/>
    <w:rsid w:val="004A6366"/>
    <w:rsid w:val="004A7DF5"/>
    <w:rsid w:val="004B529E"/>
    <w:rsid w:val="004B5452"/>
    <w:rsid w:val="004C0CD0"/>
    <w:rsid w:val="004C5922"/>
    <w:rsid w:val="004C767F"/>
    <w:rsid w:val="004D2465"/>
    <w:rsid w:val="004D584B"/>
    <w:rsid w:val="004D691F"/>
    <w:rsid w:val="004D762A"/>
    <w:rsid w:val="004E4A0A"/>
    <w:rsid w:val="0050176A"/>
    <w:rsid w:val="00504732"/>
    <w:rsid w:val="00504A6F"/>
    <w:rsid w:val="00506CD2"/>
    <w:rsid w:val="005207D5"/>
    <w:rsid w:val="00522F94"/>
    <w:rsid w:val="0052725D"/>
    <w:rsid w:val="00527AFD"/>
    <w:rsid w:val="005315DE"/>
    <w:rsid w:val="005326C6"/>
    <w:rsid w:val="005403C4"/>
    <w:rsid w:val="00560E95"/>
    <w:rsid w:val="005637AF"/>
    <w:rsid w:val="00564534"/>
    <w:rsid w:val="00566822"/>
    <w:rsid w:val="00571A11"/>
    <w:rsid w:val="005838CA"/>
    <w:rsid w:val="00587DC0"/>
    <w:rsid w:val="00596BEC"/>
    <w:rsid w:val="005A2FB0"/>
    <w:rsid w:val="005B019C"/>
    <w:rsid w:val="005B6CA1"/>
    <w:rsid w:val="005C0521"/>
    <w:rsid w:val="005C16BB"/>
    <w:rsid w:val="005C4346"/>
    <w:rsid w:val="005C5B2B"/>
    <w:rsid w:val="005C7680"/>
    <w:rsid w:val="005C7A5E"/>
    <w:rsid w:val="005D2FD6"/>
    <w:rsid w:val="005D4C10"/>
    <w:rsid w:val="005D7711"/>
    <w:rsid w:val="005E3CCA"/>
    <w:rsid w:val="005F3C4F"/>
    <w:rsid w:val="005F518E"/>
    <w:rsid w:val="005F52C8"/>
    <w:rsid w:val="005F60F2"/>
    <w:rsid w:val="005F678B"/>
    <w:rsid w:val="00611B88"/>
    <w:rsid w:val="00613552"/>
    <w:rsid w:val="006142B6"/>
    <w:rsid w:val="00615660"/>
    <w:rsid w:val="00620ACA"/>
    <w:rsid w:val="00620FC3"/>
    <w:rsid w:val="00626711"/>
    <w:rsid w:val="00645DD9"/>
    <w:rsid w:val="00650B9C"/>
    <w:rsid w:val="00653CB5"/>
    <w:rsid w:val="0065694C"/>
    <w:rsid w:val="00660A9E"/>
    <w:rsid w:val="00661E93"/>
    <w:rsid w:val="0066668D"/>
    <w:rsid w:val="00675298"/>
    <w:rsid w:val="0068151F"/>
    <w:rsid w:val="00682F58"/>
    <w:rsid w:val="006910FD"/>
    <w:rsid w:val="006965F7"/>
    <w:rsid w:val="006A3F1A"/>
    <w:rsid w:val="006A499D"/>
    <w:rsid w:val="006B05C2"/>
    <w:rsid w:val="006B18EA"/>
    <w:rsid w:val="006B7955"/>
    <w:rsid w:val="006C3DE2"/>
    <w:rsid w:val="006C452F"/>
    <w:rsid w:val="006E0CCF"/>
    <w:rsid w:val="006E3607"/>
    <w:rsid w:val="006E7DE1"/>
    <w:rsid w:val="006F2318"/>
    <w:rsid w:val="006F2E33"/>
    <w:rsid w:val="006F42DC"/>
    <w:rsid w:val="00725A37"/>
    <w:rsid w:val="00730365"/>
    <w:rsid w:val="0073094E"/>
    <w:rsid w:val="00732DAD"/>
    <w:rsid w:val="00734779"/>
    <w:rsid w:val="00735B37"/>
    <w:rsid w:val="007411B1"/>
    <w:rsid w:val="007439FD"/>
    <w:rsid w:val="00746DBA"/>
    <w:rsid w:val="007514A7"/>
    <w:rsid w:val="00751BB7"/>
    <w:rsid w:val="00751D93"/>
    <w:rsid w:val="00752B3C"/>
    <w:rsid w:val="00756866"/>
    <w:rsid w:val="007631DC"/>
    <w:rsid w:val="00764A4F"/>
    <w:rsid w:val="007714E1"/>
    <w:rsid w:val="0077480B"/>
    <w:rsid w:val="0077634E"/>
    <w:rsid w:val="00777633"/>
    <w:rsid w:val="00783261"/>
    <w:rsid w:val="007863C3"/>
    <w:rsid w:val="007947AC"/>
    <w:rsid w:val="007A5EDA"/>
    <w:rsid w:val="007B78D4"/>
    <w:rsid w:val="007C24A4"/>
    <w:rsid w:val="007C3C31"/>
    <w:rsid w:val="007C4A1E"/>
    <w:rsid w:val="007D007E"/>
    <w:rsid w:val="007D2EC8"/>
    <w:rsid w:val="007D5D21"/>
    <w:rsid w:val="007D6EA4"/>
    <w:rsid w:val="007E0D8D"/>
    <w:rsid w:val="007E126E"/>
    <w:rsid w:val="008001E3"/>
    <w:rsid w:val="00820F5A"/>
    <w:rsid w:val="00836DE2"/>
    <w:rsid w:val="008469E1"/>
    <w:rsid w:val="008473B0"/>
    <w:rsid w:val="00853057"/>
    <w:rsid w:val="00856DDF"/>
    <w:rsid w:val="00886625"/>
    <w:rsid w:val="00887D4F"/>
    <w:rsid w:val="008A05CD"/>
    <w:rsid w:val="008A50F6"/>
    <w:rsid w:val="008B75C2"/>
    <w:rsid w:val="008C0116"/>
    <w:rsid w:val="008C101E"/>
    <w:rsid w:val="008C12E8"/>
    <w:rsid w:val="008C1BFC"/>
    <w:rsid w:val="008C6956"/>
    <w:rsid w:val="008D3CEB"/>
    <w:rsid w:val="008D4ED7"/>
    <w:rsid w:val="008D61DD"/>
    <w:rsid w:val="008E15D1"/>
    <w:rsid w:val="008E2173"/>
    <w:rsid w:val="008E2B4B"/>
    <w:rsid w:val="008E6E62"/>
    <w:rsid w:val="008F15DE"/>
    <w:rsid w:val="008F19CD"/>
    <w:rsid w:val="008F2A2F"/>
    <w:rsid w:val="00900EEC"/>
    <w:rsid w:val="0090147C"/>
    <w:rsid w:val="009027E1"/>
    <w:rsid w:val="0090446D"/>
    <w:rsid w:val="009122C2"/>
    <w:rsid w:val="0091311E"/>
    <w:rsid w:val="009213FB"/>
    <w:rsid w:val="00935C76"/>
    <w:rsid w:val="00940F82"/>
    <w:rsid w:val="00950A08"/>
    <w:rsid w:val="00951521"/>
    <w:rsid w:val="009540D2"/>
    <w:rsid w:val="00960D94"/>
    <w:rsid w:val="00970E84"/>
    <w:rsid w:val="0097562D"/>
    <w:rsid w:val="009802C8"/>
    <w:rsid w:val="009851A1"/>
    <w:rsid w:val="00985C3C"/>
    <w:rsid w:val="00986E3E"/>
    <w:rsid w:val="00987816"/>
    <w:rsid w:val="009910F9"/>
    <w:rsid w:val="0099490A"/>
    <w:rsid w:val="009A063F"/>
    <w:rsid w:val="009A2F1A"/>
    <w:rsid w:val="009B4B24"/>
    <w:rsid w:val="009B593E"/>
    <w:rsid w:val="009C136A"/>
    <w:rsid w:val="009C24B0"/>
    <w:rsid w:val="009C46CD"/>
    <w:rsid w:val="009C6316"/>
    <w:rsid w:val="009C6C2C"/>
    <w:rsid w:val="009D17D1"/>
    <w:rsid w:val="009D1E27"/>
    <w:rsid w:val="009D29DC"/>
    <w:rsid w:val="009D40E5"/>
    <w:rsid w:val="009D47B9"/>
    <w:rsid w:val="009D47E0"/>
    <w:rsid w:val="009D4D21"/>
    <w:rsid w:val="009D5E8B"/>
    <w:rsid w:val="009E2539"/>
    <w:rsid w:val="009E39BD"/>
    <w:rsid w:val="009E6AC9"/>
    <w:rsid w:val="009F0271"/>
    <w:rsid w:val="009F29AE"/>
    <w:rsid w:val="00A21D99"/>
    <w:rsid w:val="00A23939"/>
    <w:rsid w:val="00A23B3E"/>
    <w:rsid w:val="00A247DE"/>
    <w:rsid w:val="00A40A32"/>
    <w:rsid w:val="00A47761"/>
    <w:rsid w:val="00A524BC"/>
    <w:rsid w:val="00A5555A"/>
    <w:rsid w:val="00A618A1"/>
    <w:rsid w:val="00A62EA0"/>
    <w:rsid w:val="00A63EE4"/>
    <w:rsid w:val="00A65D8D"/>
    <w:rsid w:val="00A7214E"/>
    <w:rsid w:val="00A77181"/>
    <w:rsid w:val="00A81B44"/>
    <w:rsid w:val="00A85B09"/>
    <w:rsid w:val="00A95603"/>
    <w:rsid w:val="00A9786D"/>
    <w:rsid w:val="00AA0BDA"/>
    <w:rsid w:val="00AA0E13"/>
    <w:rsid w:val="00AA7DDA"/>
    <w:rsid w:val="00AB19A3"/>
    <w:rsid w:val="00AB266F"/>
    <w:rsid w:val="00AB31E6"/>
    <w:rsid w:val="00AB3F02"/>
    <w:rsid w:val="00AB5060"/>
    <w:rsid w:val="00AB69CA"/>
    <w:rsid w:val="00AC35FF"/>
    <w:rsid w:val="00AC5ECF"/>
    <w:rsid w:val="00AD0F0F"/>
    <w:rsid w:val="00AE1744"/>
    <w:rsid w:val="00AE724D"/>
    <w:rsid w:val="00AE7A8D"/>
    <w:rsid w:val="00AF63FE"/>
    <w:rsid w:val="00AF6F1E"/>
    <w:rsid w:val="00B13849"/>
    <w:rsid w:val="00B2222C"/>
    <w:rsid w:val="00B237DE"/>
    <w:rsid w:val="00B23A5C"/>
    <w:rsid w:val="00B263C9"/>
    <w:rsid w:val="00B3147C"/>
    <w:rsid w:val="00B3419B"/>
    <w:rsid w:val="00B503DD"/>
    <w:rsid w:val="00B53F7E"/>
    <w:rsid w:val="00B70343"/>
    <w:rsid w:val="00B760D4"/>
    <w:rsid w:val="00B76AC6"/>
    <w:rsid w:val="00B819E1"/>
    <w:rsid w:val="00B827D6"/>
    <w:rsid w:val="00B82CC9"/>
    <w:rsid w:val="00B93668"/>
    <w:rsid w:val="00B9517A"/>
    <w:rsid w:val="00B95CFE"/>
    <w:rsid w:val="00BA31F4"/>
    <w:rsid w:val="00BA36F8"/>
    <w:rsid w:val="00BA6264"/>
    <w:rsid w:val="00BB4F87"/>
    <w:rsid w:val="00BB501C"/>
    <w:rsid w:val="00BB5BCB"/>
    <w:rsid w:val="00BB5E79"/>
    <w:rsid w:val="00BC1FA4"/>
    <w:rsid w:val="00BC531F"/>
    <w:rsid w:val="00BC68A2"/>
    <w:rsid w:val="00BD07FD"/>
    <w:rsid w:val="00BD27EC"/>
    <w:rsid w:val="00BD4632"/>
    <w:rsid w:val="00BE19B0"/>
    <w:rsid w:val="00BE3F07"/>
    <w:rsid w:val="00BE41EA"/>
    <w:rsid w:val="00BE5EEA"/>
    <w:rsid w:val="00BE7539"/>
    <w:rsid w:val="00BF28BF"/>
    <w:rsid w:val="00C05F84"/>
    <w:rsid w:val="00C06D5B"/>
    <w:rsid w:val="00C07A64"/>
    <w:rsid w:val="00C148CA"/>
    <w:rsid w:val="00C23956"/>
    <w:rsid w:val="00C31EC9"/>
    <w:rsid w:val="00C3394F"/>
    <w:rsid w:val="00C3785B"/>
    <w:rsid w:val="00C43611"/>
    <w:rsid w:val="00C43661"/>
    <w:rsid w:val="00C52BDF"/>
    <w:rsid w:val="00C557A4"/>
    <w:rsid w:val="00C5627A"/>
    <w:rsid w:val="00C562DE"/>
    <w:rsid w:val="00C5688F"/>
    <w:rsid w:val="00C649A6"/>
    <w:rsid w:val="00C7259A"/>
    <w:rsid w:val="00C731C9"/>
    <w:rsid w:val="00C778D2"/>
    <w:rsid w:val="00C82350"/>
    <w:rsid w:val="00C845B4"/>
    <w:rsid w:val="00C8772B"/>
    <w:rsid w:val="00C87BFB"/>
    <w:rsid w:val="00C93AEA"/>
    <w:rsid w:val="00C97BA2"/>
    <w:rsid w:val="00CA15AE"/>
    <w:rsid w:val="00CB6E89"/>
    <w:rsid w:val="00CC216C"/>
    <w:rsid w:val="00CC2772"/>
    <w:rsid w:val="00CC4185"/>
    <w:rsid w:val="00CC6E4F"/>
    <w:rsid w:val="00CD3295"/>
    <w:rsid w:val="00CD66AC"/>
    <w:rsid w:val="00CE13B0"/>
    <w:rsid w:val="00CE2616"/>
    <w:rsid w:val="00CF0951"/>
    <w:rsid w:val="00CF0D6C"/>
    <w:rsid w:val="00CF17B5"/>
    <w:rsid w:val="00CF1990"/>
    <w:rsid w:val="00CF72BF"/>
    <w:rsid w:val="00CF7501"/>
    <w:rsid w:val="00D0054E"/>
    <w:rsid w:val="00D04112"/>
    <w:rsid w:val="00D12D84"/>
    <w:rsid w:val="00D12EB4"/>
    <w:rsid w:val="00D12EC4"/>
    <w:rsid w:val="00D205E9"/>
    <w:rsid w:val="00D20C65"/>
    <w:rsid w:val="00D36CC0"/>
    <w:rsid w:val="00D5139D"/>
    <w:rsid w:val="00D51731"/>
    <w:rsid w:val="00D553A3"/>
    <w:rsid w:val="00D56F8D"/>
    <w:rsid w:val="00D63E0E"/>
    <w:rsid w:val="00D65BA5"/>
    <w:rsid w:val="00D73D2A"/>
    <w:rsid w:val="00D80C1C"/>
    <w:rsid w:val="00D82565"/>
    <w:rsid w:val="00D82972"/>
    <w:rsid w:val="00D82DB7"/>
    <w:rsid w:val="00D85409"/>
    <w:rsid w:val="00D87C7E"/>
    <w:rsid w:val="00D87CFA"/>
    <w:rsid w:val="00DA1EDD"/>
    <w:rsid w:val="00DA561F"/>
    <w:rsid w:val="00DA7714"/>
    <w:rsid w:val="00DB05DC"/>
    <w:rsid w:val="00DB0636"/>
    <w:rsid w:val="00DB2E56"/>
    <w:rsid w:val="00DB30F4"/>
    <w:rsid w:val="00DB3D0B"/>
    <w:rsid w:val="00DC4A05"/>
    <w:rsid w:val="00DC54A3"/>
    <w:rsid w:val="00DC6D28"/>
    <w:rsid w:val="00DE58F0"/>
    <w:rsid w:val="00DF7382"/>
    <w:rsid w:val="00E002C4"/>
    <w:rsid w:val="00E016B0"/>
    <w:rsid w:val="00E06404"/>
    <w:rsid w:val="00E12605"/>
    <w:rsid w:val="00E15752"/>
    <w:rsid w:val="00E20946"/>
    <w:rsid w:val="00E20DB1"/>
    <w:rsid w:val="00E240D9"/>
    <w:rsid w:val="00E26205"/>
    <w:rsid w:val="00E30F5D"/>
    <w:rsid w:val="00E31230"/>
    <w:rsid w:val="00E32A5E"/>
    <w:rsid w:val="00E34597"/>
    <w:rsid w:val="00E36FDE"/>
    <w:rsid w:val="00E4117A"/>
    <w:rsid w:val="00E41C0C"/>
    <w:rsid w:val="00E538C3"/>
    <w:rsid w:val="00E54889"/>
    <w:rsid w:val="00E5787F"/>
    <w:rsid w:val="00E61117"/>
    <w:rsid w:val="00E70D24"/>
    <w:rsid w:val="00E7147D"/>
    <w:rsid w:val="00E73B78"/>
    <w:rsid w:val="00E74D93"/>
    <w:rsid w:val="00E77D14"/>
    <w:rsid w:val="00E80F63"/>
    <w:rsid w:val="00E81343"/>
    <w:rsid w:val="00E8142A"/>
    <w:rsid w:val="00E900D3"/>
    <w:rsid w:val="00E92FEC"/>
    <w:rsid w:val="00E93F7B"/>
    <w:rsid w:val="00E95A0F"/>
    <w:rsid w:val="00E97E9E"/>
    <w:rsid w:val="00EA097B"/>
    <w:rsid w:val="00EA55B0"/>
    <w:rsid w:val="00EA67CA"/>
    <w:rsid w:val="00EB1C5B"/>
    <w:rsid w:val="00EB2436"/>
    <w:rsid w:val="00EB7DD5"/>
    <w:rsid w:val="00EC0D90"/>
    <w:rsid w:val="00EC444A"/>
    <w:rsid w:val="00EC556C"/>
    <w:rsid w:val="00ED45B8"/>
    <w:rsid w:val="00ED6302"/>
    <w:rsid w:val="00ED6F48"/>
    <w:rsid w:val="00EE1546"/>
    <w:rsid w:val="00EE2254"/>
    <w:rsid w:val="00EE35D8"/>
    <w:rsid w:val="00EE44DF"/>
    <w:rsid w:val="00EF33C6"/>
    <w:rsid w:val="00EF71FB"/>
    <w:rsid w:val="00EF79D9"/>
    <w:rsid w:val="00F02A51"/>
    <w:rsid w:val="00F104DD"/>
    <w:rsid w:val="00F12537"/>
    <w:rsid w:val="00F1348C"/>
    <w:rsid w:val="00F166ED"/>
    <w:rsid w:val="00F247FB"/>
    <w:rsid w:val="00F24A3B"/>
    <w:rsid w:val="00F253B4"/>
    <w:rsid w:val="00F26656"/>
    <w:rsid w:val="00F2789F"/>
    <w:rsid w:val="00F27AE2"/>
    <w:rsid w:val="00F31E96"/>
    <w:rsid w:val="00F32FCD"/>
    <w:rsid w:val="00F36419"/>
    <w:rsid w:val="00F371C3"/>
    <w:rsid w:val="00F525B7"/>
    <w:rsid w:val="00F55416"/>
    <w:rsid w:val="00F60F5A"/>
    <w:rsid w:val="00F710FE"/>
    <w:rsid w:val="00F72F27"/>
    <w:rsid w:val="00F742EC"/>
    <w:rsid w:val="00F7505D"/>
    <w:rsid w:val="00F75CD5"/>
    <w:rsid w:val="00F75E4F"/>
    <w:rsid w:val="00F8223A"/>
    <w:rsid w:val="00F8565B"/>
    <w:rsid w:val="00F9345B"/>
    <w:rsid w:val="00F952A1"/>
    <w:rsid w:val="00F978DD"/>
    <w:rsid w:val="00FA3160"/>
    <w:rsid w:val="00FA3ADC"/>
    <w:rsid w:val="00FA4502"/>
    <w:rsid w:val="00FB4838"/>
    <w:rsid w:val="00FB4B4B"/>
    <w:rsid w:val="00FB6B0F"/>
    <w:rsid w:val="00FB76C2"/>
    <w:rsid w:val="00FC7886"/>
    <w:rsid w:val="00FD74E2"/>
    <w:rsid w:val="00FE1B36"/>
    <w:rsid w:val="00FE1DA5"/>
    <w:rsid w:val="00FE50C6"/>
    <w:rsid w:val="00FF180D"/>
    <w:rsid w:val="00FF2291"/>
    <w:rsid w:val="00FF3FBD"/>
    <w:rsid w:val="00FF5201"/>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DC7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link w:val="CommentTextChar"/>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731C9"/>
    <w:rPr>
      <w:sz w:val="20"/>
    </w:rPr>
  </w:style>
  <w:style w:type="character" w:styleId="FootnoteReference">
    <w:name w:val="footnote reference"/>
    <w:basedOn w:val="DefaultParagraphFont"/>
    <w:semiHidden/>
    <w:rsid w:val="00C731C9"/>
    <w:rPr>
      <w:vertAlign w:val="superscript"/>
    </w:rPr>
  </w:style>
  <w:style w:type="character" w:styleId="FollowedHyperlink">
    <w:name w:val="FollowedHyperlink"/>
    <w:basedOn w:val="DefaultParagraphFont"/>
    <w:rsid w:val="00C06D5B"/>
    <w:rPr>
      <w:color w:val="800080" w:themeColor="followedHyperlink"/>
      <w:u w:val="single"/>
    </w:rPr>
  </w:style>
  <w:style w:type="paragraph" w:customStyle="1" w:styleId="Standard">
    <w:name w:val="Standard"/>
    <w:rsid w:val="008C101E"/>
    <w:pPr>
      <w:suppressAutoHyphens/>
      <w:autoSpaceDN w:val="0"/>
      <w:textAlignment w:val="baseline"/>
    </w:pPr>
    <w:rPr>
      <w:rFonts w:eastAsia="SimSun" w:cs="Mangal"/>
      <w:kern w:val="3"/>
      <w:sz w:val="24"/>
      <w:szCs w:val="24"/>
      <w:lang w:eastAsia="zh-CN" w:bidi="hi-IN"/>
    </w:rPr>
  </w:style>
  <w:style w:type="character" w:customStyle="1" w:styleId="FootnoteTextChar">
    <w:name w:val="Footnote Text Char"/>
    <w:basedOn w:val="DefaultParagraphFont"/>
    <w:link w:val="FootnoteText"/>
    <w:semiHidden/>
    <w:rsid w:val="009C46CD"/>
  </w:style>
  <w:style w:type="character" w:customStyle="1" w:styleId="CommentTextChar">
    <w:name w:val="Comment Text Char"/>
    <w:basedOn w:val="DefaultParagraphFont"/>
    <w:link w:val="CommentText"/>
    <w:semiHidden/>
    <w:rsid w:val="00BD07FD"/>
  </w:style>
  <w:style w:type="paragraph" w:styleId="Revision">
    <w:name w:val="Revision"/>
    <w:hidden/>
    <w:uiPriority w:val="99"/>
    <w:semiHidden/>
    <w:rsid w:val="00960D94"/>
    <w:rPr>
      <w:sz w:val="24"/>
    </w:rPr>
  </w:style>
  <w:style w:type="paragraph" w:styleId="NormalWeb">
    <w:name w:val="Normal (Web)"/>
    <w:basedOn w:val="Normal"/>
    <w:uiPriority w:val="99"/>
    <w:semiHidden/>
    <w:unhideWhenUsed/>
    <w:rsid w:val="00C93AEA"/>
    <w:pPr>
      <w:spacing w:before="100" w:beforeAutospacing="1" w:after="100" w:afterAutospacing="1"/>
    </w:pPr>
    <w:rPr>
      <w:szCs w:val="24"/>
    </w:rPr>
  </w:style>
  <w:style w:type="paragraph" w:styleId="NoSpacing">
    <w:name w:val="No Spacing"/>
    <w:uiPriority w:val="1"/>
    <w:qFormat/>
    <w:rsid w:val="00041C96"/>
    <w:rPr>
      <w:rFonts w:asciiTheme="minorHAnsi" w:eastAsiaTheme="minorHAnsi" w:hAnsiTheme="minorHAnsi" w:cstheme="minorBidi"/>
      <w:sz w:val="22"/>
      <w:szCs w:val="22"/>
    </w:rPr>
  </w:style>
  <w:style w:type="paragraph" w:styleId="ListParagraph">
    <w:name w:val="List Paragraph"/>
    <w:basedOn w:val="Normal"/>
    <w:uiPriority w:val="34"/>
    <w:qFormat/>
    <w:rsid w:val="00DC54A3"/>
    <w:pPr>
      <w:ind w:left="720"/>
      <w:contextualSpacing/>
    </w:pPr>
  </w:style>
  <w:style w:type="character" w:customStyle="1" w:styleId="UnresolvedMention">
    <w:name w:val="Unresolved Mention"/>
    <w:basedOn w:val="DefaultParagraphFont"/>
    <w:uiPriority w:val="99"/>
    <w:semiHidden/>
    <w:unhideWhenUsed/>
    <w:rsid w:val="001C5D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A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6179"/>
    <w:rPr>
      <w:color w:val="0000FF"/>
      <w:u w:val="single"/>
    </w:rPr>
  </w:style>
  <w:style w:type="paragraph" w:styleId="Footer">
    <w:name w:val="footer"/>
    <w:basedOn w:val="Normal"/>
    <w:rsid w:val="00325EFF"/>
    <w:pPr>
      <w:tabs>
        <w:tab w:val="center" w:pos="4320"/>
        <w:tab w:val="right" w:pos="8640"/>
      </w:tabs>
    </w:pPr>
  </w:style>
  <w:style w:type="character" w:styleId="PageNumber">
    <w:name w:val="page number"/>
    <w:basedOn w:val="DefaultParagraphFont"/>
    <w:rsid w:val="00325EFF"/>
  </w:style>
  <w:style w:type="paragraph" w:styleId="BalloonText">
    <w:name w:val="Balloon Text"/>
    <w:basedOn w:val="Normal"/>
    <w:semiHidden/>
    <w:rsid w:val="009F29AE"/>
    <w:rPr>
      <w:rFonts w:ascii="Tahoma" w:hAnsi="Tahoma" w:cs="Tahoma"/>
      <w:sz w:val="16"/>
      <w:szCs w:val="16"/>
    </w:rPr>
  </w:style>
  <w:style w:type="paragraph" w:styleId="Header">
    <w:name w:val="header"/>
    <w:basedOn w:val="Normal"/>
    <w:rsid w:val="00C97BA2"/>
    <w:pPr>
      <w:tabs>
        <w:tab w:val="center" w:pos="4320"/>
        <w:tab w:val="right" w:pos="8640"/>
      </w:tabs>
    </w:pPr>
  </w:style>
  <w:style w:type="paragraph" w:styleId="DocumentMap">
    <w:name w:val="Document Map"/>
    <w:basedOn w:val="Normal"/>
    <w:semiHidden/>
    <w:rsid w:val="00900EEC"/>
    <w:pPr>
      <w:shd w:val="clear" w:color="auto" w:fill="000080"/>
    </w:pPr>
    <w:rPr>
      <w:rFonts w:ascii="Tahoma" w:hAnsi="Tahoma" w:cs="Tahoma"/>
      <w:sz w:val="20"/>
    </w:rPr>
  </w:style>
  <w:style w:type="character" w:styleId="CommentReference">
    <w:name w:val="annotation reference"/>
    <w:basedOn w:val="DefaultParagraphFont"/>
    <w:semiHidden/>
    <w:rsid w:val="00092CFC"/>
    <w:rPr>
      <w:sz w:val="16"/>
      <w:szCs w:val="16"/>
    </w:rPr>
  </w:style>
  <w:style w:type="paragraph" w:styleId="CommentText">
    <w:name w:val="annotation text"/>
    <w:basedOn w:val="Normal"/>
    <w:link w:val="CommentTextChar"/>
    <w:semiHidden/>
    <w:rsid w:val="00092CFC"/>
    <w:rPr>
      <w:sz w:val="20"/>
    </w:rPr>
  </w:style>
  <w:style w:type="paragraph" w:styleId="CommentSubject">
    <w:name w:val="annotation subject"/>
    <w:basedOn w:val="CommentText"/>
    <w:next w:val="CommentText"/>
    <w:semiHidden/>
    <w:rsid w:val="00092CFC"/>
    <w:rPr>
      <w:b/>
      <w:bCs/>
    </w:rPr>
  </w:style>
  <w:style w:type="table" w:styleId="TableGrid">
    <w:name w:val="Table Grid"/>
    <w:basedOn w:val="TableNormal"/>
    <w:rsid w:val="00B50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731C9"/>
    <w:rPr>
      <w:sz w:val="20"/>
    </w:rPr>
  </w:style>
  <w:style w:type="character" w:styleId="FootnoteReference">
    <w:name w:val="footnote reference"/>
    <w:basedOn w:val="DefaultParagraphFont"/>
    <w:semiHidden/>
    <w:rsid w:val="00C731C9"/>
    <w:rPr>
      <w:vertAlign w:val="superscript"/>
    </w:rPr>
  </w:style>
  <w:style w:type="character" w:styleId="FollowedHyperlink">
    <w:name w:val="FollowedHyperlink"/>
    <w:basedOn w:val="DefaultParagraphFont"/>
    <w:rsid w:val="00C06D5B"/>
    <w:rPr>
      <w:color w:val="800080" w:themeColor="followedHyperlink"/>
      <w:u w:val="single"/>
    </w:rPr>
  </w:style>
  <w:style w:type="paragraph" w:customStyle="1" w:styleId="Standard">
    <w:name w:val="Standard"/>
    <w:rsid w:val="008C101E"/>
    <w:pPr>
      <w:suppressAutoHyphens/>
      <w:autoSpaceDN w:val="0"/>
      <w:textAlignment w:val="baseline"/>
    </w:pPr>
    <w:rPr>
      <w:rFonts w:eastAsia="SimSun" w:cs="Mangal"/>
      <w:kern w:val="3"/>
      <w:sz w:val="24"/>
      <w:szCs w:val="24"/>
      <w:lang w:eastAsia="zh-CN" w:bidi="hi-IN"/>
    </w:rPr>
  </w:style>
  <w:style w:type="character" w:customStyle="1" w:styleId="FootnoteTextChar">
    <w:name w:val="Footnote Text Char"/>
    <w:basedOn w:val="DefaultParagraphFont"/>
    <w:link w:val="FootnoteText"/>
    <w:semiHidden/>
    <w:rsid w:val="009C46CD"/>
  </w:style>
  <w:style w:type="character" w:customStyle="1" w:styleId="CommentTextChar">
    <w:name w:val="Comment Text Char"/>
    <w:basedOn w:val="DefaultParagraphFont"/>
    <w:link w:val="CommentText"/>
    <w:semiHidden/>
    <w:rsid w:val="00BD07FD"/>
  </w:style>
  <w:style w:type="paragraph" w:styleId="Revision">
    <w:name w:val="Revision"/>
    <w:hidden/>
    <w:uiPriority w:val="99"/>
    <w:semiHidden/>
    <w:rsid w:val="00960D94"/>
    <w:rPr>
      <w:sz w:val="24"/>
    </w:rPr>
  </w:style>
  <w:style w:type="paragraph" w:styleId="NormalWeb">
    <w:name w:val="Normal (Web)"/>
    <w:basedOn w:val="Normal"/>
    <w:uiPriority w:val="99"/>
    <w:semiHidden/>
    <w:unhideWhenUsed/>
    <w:rsid w:val="00C93AEA"/>
    <w:pPr>
      <w:spacing w:before="100" w:beforeAutospacing="1" w:after="100" w:afterAutospacing="1"/>
    </w:pPr>
    <w:rPr>
      <w:szCs w:val="24"/>
    </w:rPr>
  </w:style>
  <w:style w:type="paragraph" w:styleId="NoSpacing">
    <w:name w:val="No Spacing"/>
    <w:uiPriority w:val="1"/>
    <w:qFormat/>
    <w:rsid w:val="00041C96"/>
    <w:rPr>
      <w:rFonts w:asciiTheme="minorHAnsi" w:eastAsiaTheme="minorHAnsi" w:hAnsiTheme="minorHAnsi" w:cstheme="minorBidi"/>
      <w:sz w:val="22"/>
      <w:szCs w:val="22"/>
    </w:rPr>
  </w:style>
  <w:style w:type="paragraph" w:styleId="ListParagraph">
    <w:name w:val="List Paragraph"/>
    <w:basedOn w:val="Normal"/>
    <w:uiPriority w:val="34"/>
    <w:qFormat/>
    <w:rsid w:val="00DC54A3"/>
    <w:pPr>
      <w:ind w:left="720"/>
      <w:contextualSpacing/>
    </w:pPr>
  </w:style>
  <w:style w:type="character" w:customStyle="1" w:styleId="UnresolvedMention">
    <w:name w:val="Unresolved Mention"/>
    <w:basedOn w:val="DefaultParagraphFont"/>
    <w:uiPriority w:val="99"/>
    <w:semiHidden/>
    <w:unhideWhenUsed/>
    <w:rsid w:val="001C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0204">
      <w:bodyDiv w:val="1"/>
      <w:marLeft w:val="0"/>
      <w:marRight w:val="0"/>
      <w:marTop w:val="0"/>
      <w:marBottom w:val="0"/>
      <w:divBdr>
        <w:top w:val="none" w:sz="0" w:space="0" w:color="auto"/>
        <w:left w:val="none" w:sz="0" w:space="0" w:color="auto"/>
        <w:bottom w:val="none" w:sz="0" w:space="0" w:color="auto"/>
        <w:right w:val="none" w:sz="0" w:space="0" w:color="auto"/>
      </w:divBdr>
    </w:div>
    <w:div w:id="892276833">
      <w:bodyDiv w:val="1"/>
      <w:marLeft w:val="0"/>
      <w:marRight w:val="0"/>
      <w:marTop w:val="0"/>
      <w:marBottom w:val="0"/>
      <w:divBdr>
        <w:top w:val="none" w:sz="0" w:space="0" w:color="auto"/>
        <w:left w:val="none" w:sz="0" w:space="0" w:color="auto"/>
        <w:bottom w:val="none" w:sz="0" w:space="0" w:color="auto"/>
        <w:right w:val="none" w:sz="0" w:space="0" w:color="auto"/>
      </w:divBdr>
    </w:div>
    <w:div w:id="921065258">
      <w:bodyDiv w:val="1"/>
      <w:marLeft w:val="0"/>
      <w:marRight w:val="0"/>
      <w:marTop w:val="0"/>
      <w:marBottom w:val="0"/>
      <w:divBdr>
        <w:top w:val="none" w:sz="0" w:space="0" w:color="auto"/>
        <w:left w:val="none" w:sz="0" w:space="0" w:color="auto"/>
        <w:bottom w:val="none" w:sz="0" w:space="0" w:color="auto"/>
        <w:right w:val="none" w:sz="0" w:space="0" w:color="auto"/>
      </w:divBdr>
    </w:div>
    <w:div w:id="9913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s://www.bls.gov/oes/current/naics5_54138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5D0CA-ED84-45E5-850E-85BFD734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26400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FIRST DRAFT - items in yellow are for me to fill in</vt:lpstr>
    </vt:vector>
  </TitlesOfParts>
  <Company>EOP</Company>
  <LinksUpToDate>false</LinksUpToDate>
  <CharactersWithSpaces>30970</CharactersWithSpaces>
  <SharedDoc>false</SharedDoc>
  <HLinks>
    <vt:vector size="12" baseType="variant">
      <vt:variant>
        <vt:i4>6619259</vt:i4>
      </vt:variant>
      <vt:variant>
        <vt:i4>9</vt:i4>
      </vt:variant>
      <vt:variant>
        <vt:i4>0</vt:i4>
      </vt:variant>
      <vt:variant>
        <vt:i4>5</vt:i4>
      </vt:variant>
      <vt:variant>
        <vt:lpwstr>http://www.epa.gov/otaq/fuels/reporting/diesel.htm</vt:lpwstr>
      </vt:variant>
      <vt:variant>
        <vt:lpwstr/>
      </vt:variant>
      <vt:variant>
        <vt:i4>6619259</vt:i4>
      </vt:variant>
      <vt:variant>
        <vt:i4>4</vt:i4>
      </vt:variant>
      <vt:variant>
        <vt:i4>0</vt:i4>
      </vt:variant>
      <vt:variant>
        <vt:i4>5</vt:i4>
      </vt:variant>
      <vt:variant>
        <vt:lpwstr>http://www.epa.gov/otaq/fuels/reporting/diesel.htm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items in yellow are for me to fill in</dc:title>
  <dc:creator>S. Past</dc:creator>
  <cp:lastModifiedBy>SYSTEM</cp:lastModifiedBy>
  <cp:revision>2</cp:revision>
  <cp:lastPrinted>2019-03-05T20:45:00Z</cp:lastPrinted>
  <dcterms:created xsi:type="dcterms:W3CDTF">2019-05-16T21:22:00Z</dcterms:created>
  <dcterms:modified xsi:type="dcterms:W3CDTF">2019-05-16T21:22:00Z</dcterms:modified>
</cp:coreProperties>
</file>