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238E0B83" w14:textId="77777777" w:rsidR="00D001E4" w:rsidRDefault="00711414" w:rsidP="35AA412C">
          <w:pPr>
            <w:rPr>
              <w:noProof/>
            </w:rPr>
          </w:pPr>
          <w:r>
            <w:rPr>
              <w:noProof/>
            </w:rPr>
            <mc:AlternateContent>
              <mc:Choice Requires="wps">
                <w:drawing>
                  <wp:anchor distT="0" distB="0" distL="114300" distR="114300" simplePos="0" relativeHeight="251658242" behindDoc="1" locked="0" layoutInCell="1" allowOverlap="1" wp14:anchorId="4EF83DFA" wp14:editId="246E71C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089485E9" id="Rectangle 27" o:spid="_x0000_s1026"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anchorId="3C1047A5" wp14:editId="5799690B">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anchorId="335FBE9D" wp14:editId="7B204AEC">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2EBE356B"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1B5C574A" w14:textId="77777777" w:rsidR="00041909" w:rsidRDefault="001F3A8F" w:rsidP="00D928FD">
          <w:pPr>
            <w:ind w:left="1080"/>
          </w:pPr>
          <w:r>
            <w:rPr>
              <w:noProof/>
            </w:rPr>
            <w:softHyphen/>
          </w:r>
          <w:r>
            <w:rPr>
              <w:noProof/>
            </w:rPr>
            <w:softHyphen/>
          </w:r>
          <w:r>
            <w:rPr>
              <w:noProof/>
            </w:rPr>
            <w:softHyphen/>
          </w:r>
        </w:p>
      </w:sdtContent>
    </w:sdt>
    <w:p w14:paraId="408D7C49"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0EE5E486" w14:textId="77777777" w:rsidR="00711414" w:rsidRDefault="009D2134"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Petroleum Marketing Program</w:t>
          </w:r>
        </w:p>
      </w:sdtContent>
    </w:sdt>
    <w:p w14:paraId="247CA0A7" w14:textId="77777777" w:rsidR="0059212D" w:rsidRPr="007E53C4" w:rsidRDefault="007E53C4" w:rsidP="007E53C4">
      <w:pPr>
        <w:pStyle w:val="Heading1"/>
      </w:pPr>
      <w:bookmarkStart w:id="1" w:name="_Toc466046933"/>
      <w:r w:rsidRPr="007E53C4">
        <w:t>Part B</w:t>
      </w:r>
      <w:r w:rsidR="00EE2CAF" w:rsidRPr="007E53C4">
        <w:t xml:space="preserve">: </w:t>
      </w:r>
      <w:r w:rsidRPr="007E53C4">
        <w:t>Collections of Information Employing Statistical Methods</w:t>
      </w:r>
      <w:bookmarkEnd w:id="1"/>
    </w:p>
    <w:p w14:paraId="5C2BF471" w14:textId="77777777" w:rsidR="00711414" w:rsidRPr="00711414" w:rsidRDefault="007E53C4" w:rsidP="00D928FD">
      <w:pPr>
        <w:rPr>
          <w:b/>
          <w:sz w:val="36"/>
          <w:szCs w:val="36"/>
        </w:rPr>
      </w:pPr>
      <w:r>
        <w:rPr>
          <w:noProof/>
        </w:rPr>
        <mc:AlternateContent>
          <mc:Choice Requires="wps">
            <w:drawing>
              <wp:anchor distT="0" distB="0" distL="114300" distR="114300" simplePos="0" relativeHeight="251658249" behindDoc="0" locked="0" layoutInCell="1" allowOverlap="1" wp14:anchorId="20E7414A" wp14:editId="62C0699B">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2C568" w14:textId="77777777" w:rsidR="00844344" w:rsidRDefault="00844344" w:rsidP="00E0419A">
                            <w:pPr>
                              <w:spacing w:after="0"/>
                              <w:rPr>
                                <w:i/>
                                <w:sz w:val="28"/>
                                <w:szCs w:val="28"/>
                              </w:rPr>
                            </w:pPr>
                            <w:r w:rsidRPr="00811836">
                              <w:rPr>
                                <w:i/>
                                <w:sz w:val="28"/>
                                <w:szCs w:val="28"/>
                              </w:rPr>
                              <w:t>Form EIA-14</w:t>
                            </w:r>
                            <w:r>
                              <w:rPr>
                                <w:i/>
                                <w:sz w:val="28"/>
                                <w:szCs w:val="28"/>
                              </w:rPr>
                              <w:t xml:space="preserve">, </w:t>
                            </w:r>
                            <w:r w:rsidRPr="00811836">
                              <w:rPr>
                                <w:i/>
                                <w:sz w:val="28"/>
                                <w:szCs w:val="28"/>
                              </w:rPr>
                              <w:t>Refiners’ Monthly Cost Report</w:t>
                            </w:r>
                          </w:p>
                          <w:p w14:paraId="244BF71B" w14:textId="77777777" w:rsidR="00844344" w:rsidRPr="00811836" w:rsidRDefault="00844344" w:rsidP="00E0419A">
                            <w:pPr>
                              <w:spacing w:after="0"/>
                              <w:rPr>
                                <w:i/>
                                <w:sz w:val="28"/>
                                <w:szCs w:val="28"/>
                              </w:rPr>
                            </w:pPr>
                            <w:r w:rsidRPr="00811836">
                              <w:rPr>
                                <w:i/>
                                <w:sz w:val="28"/>
                                <w:szCs w:val="28"/>
                              </w:rPr>
                              <w:t>Form EIA-182</w:t>
                            </w:r>
                            <w:r>
                              <w:rPr>
                                <w:i/>
                                <w:sz w:val="28"/>
                                <w:szCs w:val="28"/>
                              </w:rPr>
                              <w:t xml:space="preserve">, </w:t>
                            </w:r>
                            <w:r w:rsidRPr="00811836">
                              <w:rPr>
                                <w:i/>
                                <w:sz w:val="28"/>
                                <w:szCs w:val="28"/>
                              </w:rPr>
                              <w:t xml:space="preserve">Domestic Crude Oil First Purchase Report </w:t>
                            </w:r>
                          </w:p>
                          <w:p w14:paraId="115395DC" w14:textId="77777777" w:rsidR="00844344" w:rsidRPr="00811836" w:rsidRDefault="00844344" w:rsidP="00E0419A">
                            <w:pPr>
                              <w:spacing w:after="0"/>
                              <w:rPr>
                                <w:i/>
                                <w:sz w:val="28"/>
                                <w:szCs w:val="28"/>
                              </w:rPr>
                            </w:pPr>
                            <w:r w:rsidRPr="00811836">
                              <w:rPr>
                                <w:i/>
                                <w:sz w:val="28"/>
                                <w:szCs w:val="28"/>
                              </w:rPr>
                              <w:t>Form EIA-782A</w:t>
                            </w:r>
                            <w:r>
                              <w:rPr>
                                <w:i/>
                                <w:sz w:val="28"/>
                                <w:szCs w:val="28"/>
                              </w:rPr>
                              <w:t xml:space="preserve">, </w:t>
                            </w:r>
                            <w:r w:rsidRPr="00811836">
                              <w:rPr>
                                <w:i/>
                                <w:sz w:val="28"/>
                                <w:szCs w:val="28"/>
                              </w:rPr>
                              <w:t xml:space="preserve">Refiners’/Gas Plant Operators’ Monthly Petroleum Product Sales Report </w:t>
                            </w:r>
                          </w:p>
                          <w:p w14:paraId="4EA8E499" w14:textId="77777777" w:rsidR="00844344" w:rsidRPr="00811836" w:rsidRDefault="00844344" w:rsidP="00E0419A">
                            <w:pPr>
                              <w:spacing w:after="0"/>
                              <w:rPr>
                                <w:i/>
                                <w:sz w:val="28"/>
                                <w:szCs w:val="28"/>
                              </w:rPr>
                            </w:pPr>
                            <w:r w:rsidRPr="00811836">
                              <w:rPr>
                                <w:i/>
                                <w:sz w:val="28"/>
                                <w:szCs w:val="28"/>
                              </w:rPr>
                              <w:t>Form EIA</w:t>
                            </w:r>
                            <w:r>
                              <w:rPr>
                                <w:i/>
                                <w:sz w:val="28"/>
                                <w:szCs w:val="28"/>
                              </w:rPr>
                              <w:t>-</w:t>
                            </w:r>
                            <w:r w:rsidRPr="00811836">
                              <w:rPr>
                                <w:i/>
                                <w:sz w:val="28"/>
                                <w:szCs w:val="28"/>
                              </w:rPr>
                              <w:t>782C</w:t>
                            </w:r>
                            <w:r>
                              <w:rPr>
                                <w:i/>
                                <w:sz w:val="28"/>
                                <w:szCs w:val="28"/>
                              </w:rPr>
                              <w:t xml:space="preserve">, </w:t>
                            </w:r>
                            <w:r w:rsidRPr="00811836">
                              <w:rPr>
                                <w:i/>
                                <w:sz w:val="28"/>
                                <w:szCs w:val="28"/>
                              </w:rPr>
                              <w:t xml:space="preserve">Monthly Report of Prime Supplier Sales of Petroleum Products Sold for Local Consumption </w:t>
                            </w:r>
                          </w:p>
                          <w:p w14:paraId="4056ACF4" w14:textId="77777777" w:rsidR="00844344" w:rsidRPr="00811836" w:rsidRDefault="00844344" w:rsidP="00E0419A">
                            <w:pPr>
                              <w:spacing w:after="0"/>
                              <w:rPr>
                                <w:i/>
                                <w:sz w:val="28"/>
                                <w:szCs w:val="28"/>
                              </w:rPr>
                            </w:pPr>
                            <w:r w:rsidRPr="00811836">
                              <w:rPr>
                                <w:i/>
                                <w:sz w:val="28"/>
                                <w:szCs w:val="28"/>
                              </w:rPr>
                              <w:t>Form EIA</w:t>
                            </w:r>
                            <w:r>
                              <w:rPr>
                                <w:i/>
                                <w:sz w:val="28"/>
                                <w:szCs w:val="28"/>
                              </w:rPr>
                              <w:t>-</w:t>
                            </w:r>
                            <w:r w:rsidRPr="00811836">
                              <w:rPr>
                                <w:i/>
                                <w:sz w:val="28"/>
                                <w:szCs w:val="28"/>
                              </w:rPr>
                              <w:t>821</w:t>
                            </w:r>
                            <w:r>
                              <w:rPr>
                                <w:i/>
                                <w:sz w:val="28"/>
                                <w:szCs w:val="28"/>
                              </w:rPr>
                              <w:t xml:space="preserve">, </w:t>
                            </w:r>
                            <w:r w:rsidRPr="00811836">
                              <w:rPr>
                                <w:i/>
                                <w:sz w:val="28"/>
                                <w:szCs w:val="28"/>
                              </w:rPr>
                              <w:t xml:space="preserve">Annual Fuel Oil and Kerosene Sales Report </w:t>
                            </w:r>
                          </w:p>
                          <w:p w14:paraId="5835F1A5" w14:textId="77777777" w:rsidR="00844344" w:rsidRPr="00811836" w:rsidRDefault="00844344" w:rsidP="00E0419A">
                            <w:pPr>
                              <w:spacing w:after="0"/>
                              <w:rPr>
                                <w:i/>
                                <w:sz w:val="28"/>
                                <w:szCs w:val="28"/>
                              </w:rPr>
                            </w:pPr>
                            <w:r>
                              <w:rPr>
                                <w:i/>
                                <w:sz w:val="28"/>
                                <w:szCs w:val="28"/>
                              </w:rPr>
                              <w:t>Form EIA-</w:t>
                            </w:r>
                            <w:r w:rsidRPr="00811836">
                              <w:rPr>
                                <w:i/>
                                <w:sz w:val="28"/>
                                <w:szCs w:val="28"/>
                              </w:rPr>
                              <w:t>856</w:t>
                            </w:r>
                            <w:r>
                              <w:rPr>
                                <w:i/>
                                <w:sz w:val="28"/>
                                <w:szCs w:val="28"/>
                              </w:rPr>
                              <w:t xml:space="preserve">, </w:t>
                            </w:r>
                            <w:r w:rsidRPr="00811836">
                              <w:rPr>
                                <w:i/>
                                <w:sz w:val="28"/>
                                <w:szCs w:val="28"/>
                              </w:rPr>
                              <w:t xml:space="preserve">Monthly Foreign Crude Oil Acquisition Report </w:t>
                            </w:r>
                          </w:p>
                          <w:p w14:paraId="28841B16" w14:textId="77777777" w:rsidR="00844344" w:rsidRPr="00811836" w:rsidRDefault="00844344" w:rsidP="00E0419A">
                            <w:pPr>
                              <w:spacing w:after="0"/>
                              <w:rPr>
                                <w:i/>
                                <w:sz w:val="28"/>
                                <w:szCs w:val="28"/>
                              </w:rPr>
                            </w:pPr>
                            <w:r>
                              <w:rPr>
                                <w:i/>
                                <w:sz w:val="28"/>
                                <w:szCs w:val="28"/>
                              </w:rPr>
                              <w:t>Form EIA-</w:t>
                            </w:r>
                            <w:r w:rsidRPr="00811836">
                              <w:rPr>
                                <w:i/>
                                <w:sz w:val="28"/>
                                <w:szCs w:val="28"/>
                              </w:rPr>
                              <w:t>863</w:t>
                            </w:r>
                            <w:r>
                              <w:rPr>
                                <w:i/>
                                <w:sz w:val="28"/>
                                <w:szCs w:val="28"/>
                              </w:rPr>
                              <w:t xml:space="preserve">, </w:t>
                            </w:r>
                            <w:r w:rsidRPr="00811836">
                              <w:rPr>
                                <w:i/>
                                <w:sz w:val="28"/>
                                <w:szCs w:val="28"/>
                              </w:rPr>
                              <w:t xml:space="preserve">Petroleum Product Sales Identification Survey </w:t>
                            </w:r>
                          </w:p>
                          <w:p w14:paraId="6F0FF428" w14:textId="77777777" w:rsidR="00844344" w:rsidRPr="00811836" w:rsidRDefault="00844344" w:rsidP="00E0419A">
                            <w:pPr>
                              <w:spacing w:after="0"/>
                              <w:rPr>
                                <w:i/>
                                <w:sz w:val="28"/>
                                <w:szCs w:val="28"/>
                              </w:rPr>
                            </w:pPr>
                            <w:r w:rsidRPr="00811836">
                              <w:rPr>
                                <w:i/>
                                <w:sz w:val="28"/>
                                <w:szCs w:val="28"/>
                              </w:rPr>
                              <w:t>Form EIA-877</w:t>
                            </w:r>
                            <w:r>
                              <w:rPr>
                                <w:i/>
                                <w:sz w:val="28"/>
                                <w:szCs w:val="28"/>
                              </w:rPr>
                              <w:t xml:space="preserve">, </w:t>
                            </w:r>
                            <w:r w:rsidRPr="00811836">
                              <w:rPr>
                                <w:i/>
                                <w:sz w:val="28"/>
                                <w:szCs w:val="28"/>
                              </w:rPr>
                              <w:t xml:space="preserve">Winter Heating Fuels Telephone Survey </w:t>
                            </w:r>
                          </w:p>
                          <w:p w14:paraId="52168237" w14:textId="77777777" w:rsidR="00844344" w:rsidRPr="00811836" w:rsidRDefault="00844344" w:rsidP="00E0419A">
                            <w:pPr>
                              <w:spacing w:after="0"/>
                              <w:rPr>
                                <w:i/>
                                <w:sz w:val="28"/>
                                <w:szCs w:val="28"/>
                              </w:rPr>
                            </w:pPr>
                            <w:r w:rsidRPr="00811836">
                              <w:rPr>
                                <w:i/>
                                <w:sz w:val="28"/>
                                <w:szCs w:val="28"/>
                              </w:rPr>
                              <w:t>Form EIA-878</w:t>
                            </w:r>
                            <w:r>
                              <w:rPr>
                                <w:i/>
                                <w:sz w:val="28"/>
                                <w:szCs w:val="28"/>
                              </w:rPr>
                              <w:t xml:space="preserve">, </w:t>
                            </w:r>
                            <w:r w:rsidRPr="00811836">
                              <w:rPr>
                                <w:i/>
                                <w:sz w:val="28"/>
                                <w:szCs w:val="28"/>
                              </w:rPr>
                              <w:t xml:space="preserve">Motor Gasoline Price Survey </w:t>
                            </w:r>
                          </w:p>
                          <w:p w14:paraId="448E502C" w14:textId="77777777" w:rsidR="00844344" w:rsidRPr="0059212D" w:rsidRDefault="00844344" w:rsidP="00E0419A">
                            <w:pPr>
                              <w:rPr>
                                <w:i/>
                                <w:sz w:val="28"/>
                                <w:szCs w:val="28"/>
                              </w:rPr>
                            </w:pPr>
                            <w:r w:rsidRPr="00811836">
                              <w:rPr>
                                <w:i/>
                                <w:sz w:val="28"/>
                                <w:szCs w:val="28"/>
                              </w:rPr>
                              <w:t>Form EIA-888</w:t>
                            </w:r>
                            <w:r>
                              <w:rPr>
                                <w:i/>
                                <w:sz w:val="28"/>
                                <w:szCs w:val="28"/>
                              </w:rPr>
                              <w:t xml:space="preserve">, </w:t>
                            </w:r>
                            <w:r w:rsidRPr="00811836">
                              <w:rPr>
                                <w:i/>
                                <w:sz w:val="28"/>
                                <w:szCs w:val="28"/>
                              </w:rPr>
                              <w:t>On-Highway Diesel Fuel Price Survey</w:t>
                            </w:r>
                          </w:p>
                          <w:p w14:paraId="22A679CF" w14:textId="77777777" w:rsidR="00844344" w:rsidRPr="0059212D" w:rsidRDefault="00844344" w:rsidP="00FB6BF3">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55.75pt;width:474pt;height:243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filled="f" stroked="f">
                <v:textbox inset="0">
                  <w:txbxContent>
                    <w:p w14:paraId="4BB2C568" w14:textId="77777777" w:rsidR="00844344" w:rsidRDefault="00844344" w:rsidP="00E0419A">
                      <w:pPr>
                        <w:spacing w:after="0"/>
                        <w:rPr>
                          <w:i/>
                          <w:sz w:val="28"/>
                          <w:szCs w:val="28"/>
                        </w:rPr>
                      </w:pPr>
                      <w:r w:rsidRPr="00811836">
                        <w:rPr>
                          <w:i/>
                          <w:sz w:val="28"/>
                          <w:szCs w:val="28"/>
                        </w:rPr>
                        <w:t>Form EIA-14</w:t>
                      </w:r>
                      <w:r>
                        <w:rPr>
                          <w:i/>
                          <w:sz w:val="28"/>
                          <w:szCs w:val="28"/>
                        </w:rPr>
                        <w:t xml:space="preserve">, </w:t>
                      </w:r>
                      <w:r w:rsidRPr="00811836">
                        <w:rPr>
                          <w:i/>
                          <w:sz w:val="28"/>
                          <w:szCs w:val="28"/>
                        </w:rPr>
                        <w:t>Refiners’ Monthly Cost Report</w:t>
                      </w:r>
                    </w:p>
                    <w:p w14:paraId="244BF71B" w14:textId="77777777" w:rsidR="00844344" w:rsidRPr="00811836" w:rsidRDefault="00844344" w:rsidP="00E0419A">
                      <w:pPr>
                        <w:spacing w:after="0"/>
                        <w:rPr>
                          <w:i/>
                          <w:sz w:val="28"/>
                          <w:szCs w:val="28"/>
                        </w:rPr>
                      </w:pPr>
                      <w:r w:rsidRPr="00811836">
                        <w:rPr>
                          <w:i/>
                          <w:sz w:val="28"/>
                          <w:szCs w:val="28"/>
                        </w:rPr>
                        <w:t>Form EIA-182</w:t>
                      </w:r>
                      <w:r>
                        <w:rPr>
                          <w:i/>
                          <w:sz w:val="28"/>
                          <w:szCs w:val="28"/>
                        </w:rPr>
                        <w:t xml:space="preserve">, </w:t>
                      </w:r>
                      <w:r w:rsidRPr="00811836">
                        <w:rPr>
                          <w:i/>
                          <w:sz w:val="28"/>
                          <w:szCs w:val="28"/>
                        </w:rPr>
                        <w:t xml:space="preserve">Domestic Crude Oil First Purchase Report </w:t>
                      </w:r>
                    </w:p>
                    <w:p w14:paraId="115395DC" w14:textId="77777777" w:rsidR="00844344" w:rsidRPr="00811836" w:rsidRDefault="00844344" w:rsidP="00E0419A">
                      <w:pPr>
                        <w:spacing w:after="0"/>
                        <w:rPr>
                          <w:i/>
                          <w:sz w:val="28"/>
                          <w:szCs w:val="28"/>
                        </w:rPr>
                      </w:pPr>
                      <w:r w:rsidRPr="00811836">
                        <w:rPr>
                          <w:i/>
                          <w:sz w:val="28"/>
                          <w:szCs w:val="28"/>
                        </w:rPr>
                        <w:t>Form EIA-782A</w:t>
                      </w:r>
                      <w:r>
                        <w:rPr>
                          <w:i/>
                          <w:sz w:val="28"/>
                          <w:szCs w:val="28"/>
                        </w:rPr>
                        <w:t xml:space="preserve">, </w:t>
                      </w:r>
                      <w:r w:rsidRPr="00811836">
                        <w:rPr>
                          <w:i/>
                          <w:sz w:val="28"/>
                          <w:szCs w:val="28"/>
                        </w:rPr>
                        <w:t xml:space="preserve">Refiners’/Gas Plant Operators’ Monthly Petroleum Product Sales Report </w:t>
                      </w:r>
                    </w:p>
                    <w:p w14:paraId="4EA8E499" w14:textId="77777777" w:rsidR="00844344" w:rsidRPr="00811836" w:rsidRDefault="00844344" w:rsidP="00E0419A">
                      <w:pPr>
                        <w:spacing w:after="0"/>
                        <w:rPr>
                          <w:i/>
                          <w:sz w:val="28"/>
                          <w:szCs w:val="28"/>
                        </w:rPr>
                      </w:pPr>
                      <w:r w:rsidRPr="00811836">
                        <w:rPr>
                          <w:i/>
                          <w:sz w:val="28"/>
                          <w:szCs w:val="28"/>
                        </w:rPr>
                        <w:t>Form EIA</w:t>
                      </w:r>
                      <w:r>
                        <w:rPr>
                          <w:i/>
                          <w:sz w:val="28"/>
                          <w:szCs w:val="28"/>
                        </w:rPr>
                        <w:t>-</w:t>
                      </w:r>
                      <w:r w:rsidRPr="00811836">
                        <w:rPr>
                          <w:i/>
                          <w:sz w:val="28"/>
                          <w:szCs w:val="28"/>
                        </w:rPr>
                        <w:t>782C</w:t>
                      </w:r>
                      <w:r>
                        <w:rPr>
                          <w:i/>
                          <w:sz w:val="28"/>
                          <w:szCs w:val="28"/>
                        </w:rPr>
                        <w:t xml:space="preserve">, </w:t>
                      </w:r>
                      <w:r w:rsidRPr="00811836">
                        <w:rPr>
                          <w:i/>
                          <w:sz w:val="28"/>
                          <w:szCs w:val="28"/>
                        </w:rPr>
                        <w:t xml:space="preserve">Monthly Report of Prime Supplier Sales of Petroleum Products Sold for Local Consumption </w:t>
                      </w:r>
                    </w:p>
                    <w:p w14:paraId="4056ACF4" w14:textId="77777777" w:rsidR="00844344" w:rsidRPr="00811836" w:rsidRDefault="00844344" w:rsidP="00E0419A">
                      <w:pPr>
                        <w:spacing w:after="0"/>
                        <w:rPr>
                          <w:i/>
                          <w:sz w:val="28"/>
                          <w:szCs w:val="28"/>
                        </w:rPr>
                      </w:pPr>
                      <w:r w:rsidRPr="00811836">
                        <w:rPr>
                          <w:i/>
                          <w:sz w:val="28"/>
                          <w:szCs w:val="28"/>
                        </w:rPr>
                        <w:t>Form EIA</w:t>
                      </w:r>
                      <w:r>
                        <w:rPr>
                          <w:i/>
                          <w:sz w:val="28"/>
                          <w:szCs w:val="28"/>
                        </w:rPr>
                        <w:t>-</w:t>
                      </w:r>
                      <w:r w:rsidRPr="00811836">
                        <w:rPr>
                          <w:i/>
                          <w:sz w:val="28"/>
                          <w:szCs w:val="28"/>
                        </w:rPr>
                        <w:t>821</w:t>
                      </w:r>
                      <w:r>
                        <w:rPr>
                          <w:i/>
                          <w:sz w:val="28"/>
                          <w:szCs w:val="28"/>
                        </w:rPr>
                        <w:t xml:space="preserve">, </w:t>
                      </w:r>
                      <w:r w:rsidRPr="00811836">
                        <w:rPr>
                          <w:i/>
                          <w:sz w:val="28"/>
                          <w:szCs w:val="28"/>
                        </w:rPr>
                        <w:t xml:space="preserve">Annual Fuel Oil and Kerosene Sales Report </w:t>
                      </w:r>
                    </w:p>
                    <w:p w14:paraId="5835F1A5" w14:textId="77777777" w:rsidR="00844344" w:rsidRPr="00811836" w:rsidRDefault="00844344" w:rsidP="00E0419A">
                      <w:pPr>
                        <w:spacing w:after="0"/>
                        <w:rPr>
                          <w:i/>
                          <w:sz w:val="28"/>
                          <w:szCs w:val="28"/>
                        </w:rPr>
                      </w:pPr>
                      <w:r>
                        <w:rPr>
                          <w:i/>
                          <w:sz w:val="28"/>
                          <w:szCs w:val="28"/>
                        </w:rPr>
                        <w:t>Form EIA-</w:t>
                      </w:r>
                      <w:r w:rsidRPr="00811836">
                        <w:rPr>
                          <w:i/>
                          <w:sz w:val="28"/>
                          <w:szCs w:val="28"/>
                        </w:rPr>
                        <w:t>856</w:t>
                      </w:r>
                      <w:r>
                        <w:rPr>
                          <w:i/>
                          <w:sz w:val="28"/>
                          <w:szCs w:val="28"/>
                        </w:rPr>
                        <w:t xml:space="preserve">, </w:t>
                      </w:r>
                      <w:r w:rsidRPr="00811836">
                        <w:rPr>
                          <w:i/>
                          <w:sz w:val="28"/>
                          <w:szCs w:val="28"/>
                        </w:rPr>
                        <w:t xml:space="preserve">Monthly Foreign Crude Oil Acquisition Report </w:t>
                      </w:r>
                    </w:p>
                    <w:p w14:paraId="28841B16" w14:textId="77777777" w:rsidR="00844344" w:rsidRPr="00811836" w:rsidRDefault="00844344" w:rsidP="00E0419A">
                      <w:pPr>
                        <w:spacing w:after="0"/>
                        <w:rPr>
                          <w:i/>
                          <w:sz w:val="28"/>
                          <w:szCs w:val="28"/>
                        </w:rPr>
                      </w:pPr>
                      <w:r>
                        <w:rPr>
                          <w:i/>
                          <w:sz w:val="28"/>
                          <w:szCs w:val="28"/>
                        </w:rPr>
                        <w:t>Form EIA-</w:t>
                      </w:r>
                      <w:r w:rsidRPr="00811836">
                        <w:rPr>
                          <w:i/>
                          <w:sz w:val="28"/>
                          <w:szCs w:val="28"/>
                        </w:rPr>
                        <w:t>863</w:t>
                      </w:r>
                      <w:r>
                        <w:rPr>
                          <w:i/>
                          <w:sz w:val="28"/>
                          <w:szCs w:val="28"/>
                        </w:rPr>
                        <w:t xml:space="preserve">, </w:t>
                      </w:r>
                      <w:r w:rsidRPr="00811836">
                        <w:rPr>
                          <w:i/>
                          <w:sz w:val="28"/>
                          <w:szCs w:val="28"/>
                        </w:rPr>
                        <w:t xml:space="preserve">Petroleum Product Sales Identification Survey </w:t>
                      </w:r>
                    </w:p>
                    <w:p w14:paraId="6F0FF428" w14:textId="77777777" w:rsidR="00844344" w:rsidRPr="00811836" w:rsidRDefault="00844344" w:rsidP="00E0419A">
                      <w:pPr>
                        <w:spacing w:after="0"/>
                        <w:rPr>
                          <w:i/>
                          <w:sz w:val="28"/>
                          <w:szCs w:val="28"/>
                        </w:rPr>
                      </w:pPr>
                      <w:r w:rsidRPr="00811836">
                        <w:rPr>
                          <w:i/>
                          <w:sz w:val="28"/>
                          <w:szCs w:val="28"/>
                        </w:rPr>
                        <w:t>Form EIA-877</w:t>
                      </w:r>
                      <w:r>
                        <w:rPr>
                          <w:i/>
                          <w:sz w:val="28"/>
                          <w:szCs w:val="28"/>
                        </w:rPr>
                        <w:t xml:space="preserve">, </w:t>
                      </w:r>
                      <w:r w:rsidRPr="00811836">
                        <w:rPr>
                          <w:i/>
                          <w:sz w:val="28"/>
                          <w:szCs w:val="28"/>
                        </w:rPr>
                        <w:t xml:space="preserve">Winter Heating Fuels Telephone Survey </w:t>
                      </w:r>
                    </w:p>
                    <w:p w14:paraId="52168237" w14:textId="77777777" w:rsidR="00844344" w:rsidRPr="00811836" w:rsidRDefault="00844344" w:rsidP="00E0419A">
                      <w:pPr>
                        <w:spacing w:after="0"/>
                        <w:rPr>
                          <w:i/>
                          <w:sz w:val="28"/>
                          <w:szCs w:val="28"/>
                        </w:rPr>
                      </w:pPr>
                      <w:r w:rsidRPr="00811836">
                        <w:rPr>
                          <w:i/>
                          <w:sz w:val="28"/>
                          <w:szCs w:val="28"/>
                        </w:rPr>
                        <w:t>Form EIA-878</w:t>
                      </w:r>
                      <w:r>
                        <w:rPr>
                          <w:i/>
                          <w:sz w:val="28"/>
                          <w:szCs w:val="28"/>
                        </w:rPr>
                        <w:t xml:space="preserve">, </w:t>
                      </w:r>
                      <w:r w:rsidRPr="00811836">
                        <w:rPr>
                          <w:i/>
                          <w:sz w:val="28"/>
                          <w:szCs w:val="28"/>
                        </w:rPr>
                        <w:t xml:space="preserve">Motor Gasoline Price Survey </w:t>
                      </w:r>
                    </w:p>
                    <w:p w14:paraId="448E502C" w14:textId="77777777" w:rsidR="00844344" w:rsidRPr="0059212D" w:rsidRDefault="00844344" w:rsidP="00E0419A">
                      <w:pPr>
                        <w:rPr>
                          <w:i/>
                          <w:sz w:val="28"/>
                          <w:szCs w:val="28"/>
                        </w:rPr>
                      </w:pPr>
                      <w:r w:rsidRPr="00811836">
                        <w:rPr>
                          <w:i/>
                          <w:sz w:val="28"/>
                          <w:szCs w:val="28"/>
                        </w:rPr>
                        <w:t>Form EIA-888</w:t>
                      </w:r>
                      <w:r>
                        <w:rPr>
                          <w:i/>
                          <w:sz w:val="28"/>
                          <w:szCs w:val="28"/>
                        </w:rPr>
                        <w:t xml:space="preserve">, </w:t>
                      </w:r>
                      <w:r w:rsidRPr="00811836">
                        <w:rPr>
                          <w:i/>
                          <w:sz w:val="28"/>
                          <w:szCs w:val="28"/>
                        </w:rPr>
                        <w:t>On-Highway Diesel Fuel Price Survey</w:t>
                      </w:r>
                    </w:p>
                    <w:p w14:paraId="22A679CF" w14:textId="77777777" w:rsidR="00844344" w:rsidRPr="0059212D" w:rsidRDefault="00844344" w:rsidP="00FB6BF3">
                      <w:pPr>
                        <w:rPr>
                          <w:i/>
                          <w:sz w:val="28"/>
                          <w:szCs w:val="28"/>
                        </w:rPr>
                      </w:pP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0466C0">
        <w:rPr>
          <w:rFonts w:ascii="Times New Roman" w:hAnsi="Times New Roman" w:cs="Times New Roman"/>
          <w:b/>
          <w:sz w:val="36"/>
          <w:szCs w:val="36"/>
        </w:rPr>
        <w:t>174</w:t>
      </w:r>
    </w:p>
    <w:p w14:paraId="1D4D81B9" w14:textId="77777777" w:rsidR="001F3A8F" w:rsidRPr="00711414" w:rsidRDefault="00D32B94" w:rsidP="00711414">
      <w:pPr>
        <w:rPr>
          <w:i/>
          <w:sz w:val="28"/>
          <w:szCs w:val="28"/>
        </w:rPr>
      </w:pPr>
      <w:r>
        <w:rPr>
          <w:noProof/>
        </w:rPr>
        <w:lastRenderedPageBreak/>
        <w:drawing>
          <wp:anchor distT="0" distB="0" distL="114300" distR="114300" simplePos="0" relativeHeight="251658240" behindDoc="0" locked="0" layoutInCell="1" allowOverlap="1" wp14:anchorId="0AA04238" wp14:editId="411908D4">
            <wp:simplePos x="0" y="0"/>
            <wp:positionH relativeFrom="page">
              <wp:posOffset>717550</wp:posOffset>
            </wp:positionH>
            <wp:positionV relativeFrom="page">
              <wp:posOffset>7959725</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7E53C4">
        <w:rPr>
          <w:noProof/>
        </w:rPr>
        <mc:AlternateContent>
          <mc:Choice Requires="wps">
            <w:drawing>
              <wp:anchor distT="0" distB="0" distL="114300" distR="114300" simplePos="0" relativeHeight="251658246" behindDoc="1" locked="0" layoutInCell="1" allowOverlap="1" wp14:anchorId="7874867A" wp14:editId="2957F1E1">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EBBF76F" id="Rectangle 34" o:spid="_x0000_s1026" style="position:absolute;margin-left:-35.5pt;margin-top:358.9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fillcolor="#0c95d3" stroked="f" strokecolor="#f2f2f2 [3041]" strokeweight="3pt">
                <v:shadow color="#50191f [1608]" opacity=".5" offset="1pt"/>
                <w10:wrap type="through"/>
              </v:rect>
            </w:pict>
          </mc:Fallback>
        </mc:AlternateContent>
      </w:r>
      <w:r w:rsidR="00EE2CAF">
        <w:rPr>
          <w:noProof/>
        </w:rPr>
        <mc:AlternateContent>
          <mc:Choice Requires="wps">
            <w:drawing>
              <wp:anchor distT="0" distB="0" distL="114300" distR="114300" simplePos="0" relativeHeight="251658245" behindDoc="0" locked="0" layoutInCell="1" allowOverlap="1" wp14:anchorId="2DE70C72" wp14:editId="13D544BD">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8003D" w14:textId="23C97264" w:rsidR="00844344" w:rsidRDefault="0042629E">
                            <w:pPr>
                              <w:rPr>
                                <w:color w:val="A6A6A6" w:themeColor="background1" w:themeShade="A6"/>
                                <w:sz w:val="36"/>
                              </w:rPr>
                            </w:pPr>
                            <w:r>
                              <w:rPr>
                                <w:color w:val="A6A6A6" w:themeColor="background1" w:themeShade="A6"/>
                                <w:sz w:val="36"/>
                              </w:rPr>
                              <w:t xml:space="preserve">July </w:t>
                            </w:r>
                            <w:r w:rsidR="00844344">
                              <w:rPr>
                                <w:color w:val="A6A6A6" w:themeColor="background1" w:themeShade="A6"/>
                                <w:sz w:val="36"/>
                              </w:rPr>
                              <w:t>2019</w:t>
                            </w:r>
                          </w:p>
                          <w:p w14:paraId="1CDE1707" w14:textId="77777777" w:rsidR="00844344" w:rsidRPr="009818F9" w:rsidRDefault="00844344">
                            <w:pPr>
                              <w:rPr>
                                <w:color w:val="A6A6A6" w:themeColor="background1" w:themeShade="A6"/>
                                <w:sz w:val="36"/>
                              </w:rPr>
                            </w:pP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5C68003D" w14:textId="23C97264" w:rsidR="00844344" w:rsidRDefault="0042629E">
                      <w:pPr>
                        <w:rPr>
                          <w:color w:val="A6A6A6" w:themeColor="background1" w:themeShade="A6"/>
                          <w:sz w:val="36"/>
                        </w:rPr>
                      </w:pPr>
                      <w:r>
                        <w:rPr>
                          <w:color w:val="A6A6A6" w:themeColor="background1" w:themeShade="A6"/>
                          <w:sz w:val="36"/>
                        </w:rPr>
                        <w:t xml:space="preserve">July </w:t>
                      </w:r>
                      <w:r w:rsidR="00844344">
                        <w:rPr>
                          <w:color w:val="A6A6A6" w:themeColor="background1" w:themeShade="A6"/>
                          <w:sz w:val="36"/>
                        </w:rPr>
                        <w:t>2019</w:t>
                      </w:r>
                    </w:p>
                    <w:p w14:paraId="1CDE1707" w14:textId="77777777" w:rsidR="00844344" w:rsidRPr="009818F9" w:rsidRDefault="00844344">
                      <w:pPr>
                        <w:rPr>
                          <w:color w:val="A6A6A6" w:themeColor="background1" w:themeShade="A6"/>
                          <w:sz w:val="36"/>
                        </w:rPr>
                      </w:pPr>
                    </w:p>
                  </w:txbxContent>
                </v:textbox>
                <w10:wrap type="square" anchorx="margin" anchory="margin"/>
              </v:shape>
            </w:pict>
          </mc:Fallback>
        </mc:AlternateContent>
      </w:r>
      <w:r w:rsidR="00711414">
        <w:rPr>
          <w:noProof/>
        </w:rPr>
        <mc:AlternateContent>
          <mc:Choice Requires="wps">
            <w:drawing>
              <wp:anchor distT="0" distB="0" distL="114300" distR="114300" simplePos="0" relativeHeight="251658244" behindDoc="0" locked="0" layoutInCell="1" allowOverlap="1" wp14:anchorId="77BAB989" wp14:editId="516CA36C">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5225B" w14:textId="77777777" w:rsidR="00844344" w:rsidRPr="00AA3D91" w:rsidRDefault="00844344"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4685225B" w14:textId="77777777" w:rsidR="00844344" w:rsidRPr="00AA3D91" w:rsidRDefault="00844344" w:rsidP="00D001E4">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58247" behindDoc="0" locked="0" layoutInCell="1" allowOverlap="1" wp14:anchorId="4FC63A61" wp14:editId="02BA74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BA9F1" w14:textId="77777777" w:rsidR="00844344" w:rsidRPr="008F4CBD" w:rsidRDefault="00844344"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36D365D5" w14:textId="77777777" w:rsidR="00844344" w:rsidRPr="008F4CBD" w:rsidRDefault="00844344"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689BA9F1" w14:textId="77777777" w:rsidR="00844344" w:rsidRPr="008F4CBD" w:rsidRDefault="00844344"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36D365D5" w14:textId="77777777" w:rsidR="00844344" w:rsidRPr="008F4CBD" w:rsidRDefault="00844344"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58248" behindDoc="0" locked="0" layoutInCell="1" allowOverlap="1" wp14:anchorId="4610731A" wp14:editId="001C849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099E" w14:textId="77777777" w:rsidR="00844344" w:rsidRPr="008F4CBD" w:rsidRDefault="00844344"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7E77A319" w14:textId="77777777" w:rsidR="00844344" w:rsidRPr="008F4CBD" w:rsidRDefault="00844344"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1642099E" w14:textId="77777777" w:rsidR="00844344" w:rsidRPr="008F4CBD" w:rsidRDefault="00844344"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7E77A319" w14:textId="77777777" w:rsidR="00844344" w:rsidRPr="008F4CBD" w:rsidRDefault="00844344"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E0419A">
        <w:rPr>
          <w:noProof/>
        </w:rPr>
        <w:t xml:space="preserve"> </w:t>
      </w:r>
      <w:r w:rsidR="001F3A8F">
        <w:br w:type="page"/>
      </w:r>
    </w:p>
    <w:p w14:paraId="4176548C" w14:textId="77777777" w:rsidR="00755C3D" w:rsidRDefault="00755C3D" w:rsidP="00D928FD">
      <w:pPr>
        <w:sectPr w:rsidR="00755C3D" w:rsidSect="001F3A8F">
          <w:headerReference w:type="even" r:id="rId15"/>
          <w:headerReference w:type="default" r:id="rId16"/>
          <w:footerReference w:type="even" r:id="rId17"/>
          <w:footerReference w:type="default" r:id="rId18"/>
          <w:headerReference w:type="first" r:id="rId19"/>
          <w:footerReference w:type="first" r:id="rId2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73965D7E" w14:textId="77777777" w:rsidR="0059212D" w:rsidRDefault="0059212D" w:rsidP="007E53C4">
          <w:pPr>
            <w:pStyle w:val="TOCHeading"/>
          </w:pPr>
          <w:r>
            <w:t>Table of Contents</w:t>
          </w:r>
        </w:p>
        <w:p w14:paraId="6A8D946C" w14:textId="77777777" w:rsidR="007E53C4" w:rsidRPr="00204CE6" w:rsidRDefault="0059212D">
          <w:pPr>
            <w:pStyle w:val="TOC1"/>
            <w:rPr>
              <w:rFonts w:ascii="Calibri" w:eastAsiaTheme="minorEastAsia" w:hAnsi="Calibri"/>
              <w:noProof/>
              <w:color w:val="auto"/>
            </w:rPr>
          </w:pPr>
          <w:r>
            <w:fldChar w:fldCharType="begin"/>
          </w:r>
          <w:r>
            <w:instrText xml:space="preserve"> TOC \o "1-3" \h \z \u </w:instrText>
          </w:r>
          <w:r>
            <w:fldChar w:fldCharType="separate"/>
          </w:r>
          <w:hyperlink w:anchor="_Toc466046933" w:history="1">
            <w:r w:rsidR="007E53C4" w:rsidRPr="00204CE6">
              <w:rPr>
                <w:rStyle w:val="Hyperlink"/>
                <w:rFonts w:ascii="Calibri" w:hAnsi="Calibri"/>
                <w:noProof/>
              </w:rPr>
              <w:t>Part B: Collections of Information Employing Statistical Methods</w:t>
            </w:r>
            <w:r w:rsidR="007E53C4" w:rsidRPr="00204CE6">
              <w:rPr>
                <w:rFonts w:ascii="Calibri" w:hAnsi="Calibri"/>
                <w:noProof/>
                <w:webHidden/>
              </w:rPr>
              <w:tab/>
            </w:r>
            <w:r w:rsidR="007E53C4" w:rsidRPr="00204CE6">
              <w:rPr>
                <w:rFonts w:ascii="Calibri" w:hAnsi="Calibri"/>
                <w:noProof/>
                <w:webHidden/>
              </w:rPr>
              <w:fldChar w:fldCharType="begin"/>
            </w:r>
            <w:r w:rsidR="007E53C4" w:rsidRPr="00204CE6">
              <w:rPr>
                <w:rFonts w:ascii="Calibri" w:hAnsi="Calibri"/>
                <w:noProof/>
                <w:webHidden/>
              </w:rPr>
              <w:instrText xml:space="preserve"> PAGEREF _Toc466046933 \h </w:instrText>
            </w:r>
            <w:r w:rsidR="007E53C4" w:rsidRPr="00204CE6">
              <w:rPr>
                <w:rFonts w:ascii="Calibri" w:hAnsi="Calibri"/>
                <w:noProof/>
                <w:webHidden/>
              </w:rPr>
            </w:r>
            <w:r w:rsidR="007E53C4" w:rsidRPr="00204CE6">
              <w:rPr>
                <w:rFonts w:ascii="Calibri" w:hAnsi="Calibri"/>
                <w:noProof/>
                <w:webHidden/>
              </w:rPr>
              <w:fldChar w:fldCharType="separate"/>
            </w:r>
            <w:r w:rsidR="002757E8" w:rsidRPr="00204CE6">
              <w:rPr>
                <w:rFonts w:ascii="Calibri" w:hAnsi="Calibri"/>
                <w:noProof/>
                <w:webHidden/>
              </w:rPr>
              <w:t>i</w:t>
            </w:r>
            <w:r w:rsidR="007E53C4" w:rsidRPr="00204CE6">
              <w:rPr>
                <w:rFonts w:ascii="Calibri" w:hAnsi="Calibri"/>
                <w:noProof/>
                <w:webHidden/>
              </w:rPr>
              <w:fldChar w:fldCharType="end"/>
            </w:r>
          </w:hyperlink>
        </w:p>
        <w:p w14:paraId="5483D191" w14:textId="77777777" w:rsidR="007E53C4" w:rsidRPr="00204CE6" w:rsidRDefault="004B4066">
          <w:pPr>
            <w:pStyle w:val="TOC2"/>
            <w:rPr>
              <w:rFonts w:ascii="Calibri" w:eastAsiaTheme="minorEastAsia" w:hAnsi="Calibri"/>
              <w:noProof/>
              <w:color w:val="auto"/>
            </w:rPr>
          </w:pPr>
          <w:hyperlink w:anchor="_Toc466046934" w:history="1">
            <w:r w:rsidR="007E53C4" w:rsidRPr="00204CE6">
              <w:rPr>
                <w:rStyle w:val="Hyperlink"/>
                <w:rFonts w:ascii="Calibri" w:hAnsi="Calibri"/>
                <w:noProof/>
              </w:rPr>
              <w:t>B.1. Respondent Universe</w:t>
            </w:r>
            <w:r w:rsidR="007E53C4" w:rsidRPr="00204CE6">
              <w:rPr>
                <w:rFonts w:ascii="Calibri" w:hAnsi="Calibri"/>
                <w:noProof/>
                <w:webHidden/>
              </w:rPr>
              <w:tab/>
            </w:r>
            <w:r w:rsidR="007E53C4" w:rsidRPr="00204CE6">
              <w:rPr>
                <w:rFonts w:ascii="Calibri" w:hAnsi="Calibri"/>
                <w:noProof/>
                <w:webHidden/>
              </w:rPr>
              <w:fldChar w:fldCharType="begin"/>
            </w:r>
            <w:r w:rsidR="007E53C4" w:rsidRPr="00204CE6">
              <w:rPr>
                <w:rFonts w:ascii="Calibri" w:hAnsi="Calibri"/>
                <w:noProof/>
                <w:webHidden/>
              </w:rPr>
              <w:instrText xml:space="preserve"> PAGEREF _Toc466046934 \h </w:instrText>
            </w:r>
            <w:r w:rsidR="007E53C4" w:rsidRPr="00204CE6">
              <w:rPr>
                <w:rFonts w:ascii="Calibri" w:hAnsi="Calibri"/>
                <w:noProof/>
                <w:webHidden/>
              </w:rPr>
            </w:r>
            <w:r w:rsidR="007E53C4" w:rsidRPr="00204CE6">
              <w:rPr>
                <w:rFonts w:ascii="Calibri" w:hAnsi="Calibri"/>
                <w:noProof/>
                <w:webHidden/>
              </w:rPr>
              <w:fldChar w:fldCharType="separate"/>
            </w:r>
            <w:r w:rsidR="002757E8" w:rsidRPr="00204CE6">
              <w:rPr>
                <w:rFonts w:ascii="Calibri" w:hAnsi="Calibri"/>
                <w:noProof/>
                <w:webHidden/>
              </w:rPr>
              <w:t>1</w:t>
            </w:r>
            <w:r w:rsidR="007E53C4" w:rsidRPr="00204CE6">
              <w:rPr>
                <w:rFonts w:ascii="Calibri" w:hAnsi="Calibri"/>
                <w:noProof/>
                <w:webHidden/>
              </w:rPr>
              <w:fldChar w:fldCharType="end"/>
            </w:r>
          </w:hyperlink>
        </w:p>
        <w:p w14:paraId="600B9BD0" w14:textId="0587A4BF" w:rsidR="007E53C4" w:rsidRPr="00204CE6" w:rsidRDefault="004B4066">
          <w:pPr>
            <w:pStyle w:val="TOC2"/>
            <w:rPr>
              <w:rFonts w:ascii="Calibri" w:eastAsiaTheme="minorEastAsia" w:hAnsi="Calibri"/>
              <w:noProof/>
              <w:color w:val="auto"/>
            </w:rPr>
          </w:pPr>
          <w:hyperlink w:anchor="_Toc466046935" w:history="1">
            <w:r w:rsidR="007E53C4" w:rsidRPr="00204CE6">
              <w:rPr>
                <w:rStyle w:val="Hyperlink"/>
                <w:rFonts w:ascii="Calibri" w:hAnsi="Calibri"/>
                <w:noProof/>
              </w:rPr>
              <w:t>B.2. Statistical Methods</w:t>
            </w:r>
            <w:r w:rsidR="007E53C4" w:rsidRPr="00204CE6">
              <w:rPr>
                <w:rFonts w:ascii="Calibri" w:hAnsi="Calibri"/>
                <w:noProof/>
                <w:webHidden/>
              </w:rPr>
              <w:tab/>
            </w:r>
            <w:r w:rsidR="007E53C4" w:rsidRPr="00204CE6">
              <w:rPr>
                <w:rFonts w:ascii="Calibri" w:hAnsi="Calibri"/>
                <w:noProof/>
                <w:webHidden/>
              </w:rPr>
              <w:fldChar w:fldCharType="begin"/>
            </w:r>
            <w:r w:rsidR="007E53C4" w:rsidRPr="00204CE6">
              <w:rPr>
                <w:rFonts w:ascii="Calibri" w:hAnsi="Calibri"/>
                <w:noProof/>
                <w:webHidden/>
              </w:rPr>
              <w:instrText xml:space="preserve"> PAGEREF _Toc466046935 \h </w:instrText>
            </w:r>
            <w:r w:rsidR="007E53C4" w:rsidRPr="00204CE6">
              <w:rPr>
                <w:rFonts w:ascii="Calibri" w:hAnsi="Calibri"/>
                <w:noProof/>
                <w:webHidden/>
              </w:rPr>
            </w:r>
            <w:r w:rsidR="007E53C4" w:rsidRPr="00204CE6">
              <w:rPr>
                <w:rFonts w:ascii="Calibri" w:hAnsi="Calibri"/>
                <w:noProof/>
                <w:webHidden/>
              </w:rPr>
              <w:fldChar w:fldCharType="separate"/>
            </w:r>
            <w:r w:rsidR="002757E8" w:rsidRPr="00204CE6">
              <w:rPr>
                <w:rFonts w:ascii="Calibri" w:hAnsi="Calibri"/>
                <w:noProof/>
                <w:webHidden/>
              </w:rPr>
              <w:t>4</w:t>
            </w:r>
            <w:r w:rsidR="007E53C4" w:rsidRPr="00204CE6">
              <w:rPr>
                <w:rFonts w:ascii="Calibri" w:hAnsi="Calibri"/>
                <w:noProof/>
                <w:webHidden/>
              </w:rPr>
              <w:fldChar w:fldCharType="end"/>
            </w:r>
          </w:hyperlink>
        </w:p>
        <w:p w14:paraId="3865693B" w14:textId="3FC7F925" w:rsidR="007E53C4" w:rsidRPr="00204CE6" w:rsidRDefault="004B4066">
          <w:pPr>
            <w:pStyle w:val="TOC2"/>
            <w:rPr>
              <w:rFonts w:ascii="Calibri" w:eastAsiaTheme="minorEastAsia" w:hAnsi="Calibri"/>
              <w:noProof/>
              <w:color w:val="auto"/>
            </w:rPr>
          </w:pPr>
          <w:hyperlink w:anchor="_Toc466046936" w:history="1">
            <w:r w:rsidR="007E53C4" w:rsidRPr="00204CE6">
              <w:rPr>
                <w:rStyle w:val="Hyperlink"/>
                <w:rFonts w:ascii="Calibri" w:hAnsi="Calibri"/>
                <w:noProof/>
              </w:rPr>
              <w:t>B.3. Maximizing Response Rates</w:t>
            </w:r>
            <w:r w:rsidR="007E53C4" w:rsidRPr="00204CE6">
              <w:rPr>
                <w:rFonts w:ascii="Calibri" w:hAnsi="Calibri"/>
                <w:noProof/>
                <w:webHidden/>
              </w:rPr>
              <w:tab/>
            </w:r>
            <w:r w:rsidR="007E53C4" w:rsidRPr="00204CE6">
              <w:rPr>
                <w:rFonts w:ascii="Calibri" w:hAnsi="Calibri"/>
                <w:noProof/>
                <w:webHidden/>
              </w:rPr>
              <w:fldChar w:fldCharType="begin"/>
            </w:r>
            <w:r w:rsidR="007E53C4" w:rsidRPr="00204CE6">
              <w:rPr>
                <w:rFonts w:ascii="Calibri" w:hAnsi="Calibri"/>
                <w:noProof/>
                <w:webHidden/>
              </w:rPr>
              <w:instrText xml:space="preserve"> PAGEREF _Toc466046936 \h </w:instrText>
            </w:r>
            <w:r w:rsidR="007E53C4" w:rsidRPr="00204CE6">
              <w:rPr>
                <w:rFonts w:ascii="Calibri" w:hAnsi="Calibri"/>
                <w:noProof/>
                <w:webHidden/>
              </w:rPr>
            </w:r>
            <w:r w:rsidR="007E53C4" w:rsidRPr="00204CE6">
              <w:rPr>
                <w:rFonts w:ascii="Calibri" w:hAnsi="Calibri"/>
                <w:noProof/>
                <w:webHidden/>
              </w:rPr>
              <w:fldChar w:fldCharType="separate"/>
            </w:r>
            <w:r w:rsidR="002757E8" w:rsidRPr="00204CE6">
              <w:rPr>
                <w:rFonts w:ascii="Calibri" w:hAnsi="Calibri"/>
                <w:noProof/>
                <w:webHidden/>
              </w:rPr>
              <w:t>16</w:t>
            </w:r>
            <w:r w:rsidR="007E53C4" w:rsidRPr="00204CE6">
              <w:rPr>
                <w:rFonts w:ascii="Calibri" w:hAnsi="Calibri"/>
                <w:noProof/>
                <w:webHidden/>
              </w:rPr>
              <w:fldChar w:fldCharType="end"/>
            </w:r>
          </w:hyperlink>
        </w:p>
        <w:p w14:paraId="2582E124" w14:textId="10227A01" w:rsidR="007E53C4" w:rsidRPr="00204CE6" w:rsidRDefault="004B4066">
          <w:pPr>
            <w:pStyle w:val="TOC2"/>
            <w:rPr>
              <w:rFonts w:ascii="Calibri" w:eastAsiaTheme="minorEastAsia" w:hAnsi="Calibri"/>
              <w:noProof/>
              <w:color w:val="auto"/>
            </w:rPr>
          </w:pPr>
          <w:hyperlink w:anchor="_Toc466046937" w:history="1">
            <w:r w:rsidR="007E53C4" w:rsidRPr="00204CE6">
              <w:rPr>
                <w:rStyle w:val="Hyperlink"/>
                <w:rFonts w:ascii="Calibri" w:hAnsi="Calibri"/>
                <w:noProof/>
              </w:rPr>
              <w:t>B.4. Test Procedures and Form Consultations</w:t>
            </w:r>
            <w:r w:rsidR="007E53C4" w:rsidRPr="00204CE6">
              <w:rPr>
                <w:rFonts w:ascii="Calibri" w:hAnsi="Calibri"/>
                <w:noProof/>
                <w:webHidden/>
              </w:rPr>
              <w:tab/>
            </w:r>
            <w:r w:rsidR="007E53C4" w:rsidRPr="00204CE6">
              <w:rPr>
                <w:rFonts w:ascii="Calibri" w:hAnsi="Calibri"/>
                <w:noProof/>
                <w:webHidden/>
              </w:rPr>
              <w:fldChar w:fldCharType="begin"/>
            </w:r>
            <w:r w:rsidR="007E53C4" w:rsidRPr="00204CE6">
              <w:rPr>
                <w:rFonts w:ascii="Calibri" w:hAnsi="Calibri"/>
                <w:noProof/>
                <w:webHidden/>
              </w:rPr>
              <w:instrText xml:space="preserve"> PAGEREF _Toc466046937 \h </w:instrText>
            </w:r>
            <w:r w:rsidR="007E53C4" w:rsidRPr="00204CE6">
              <w:rPr>
                <w:rFonts w:ascii="Calibri" w:hAnsi="Calibri"/>
                <w:noProof/>
                <w:webHidden/>
              </w:rPr>
            </w:r>
            <w:r w:rsidR="007E53C4" w:rsidRPr="00204CE6">
              <w:rPr>
                <w:rFonts w:ascii="Calibri" w:hAnsi="Calibri"/>
                <w:noProof/>
                <w:webHidden/>
              </w:rPr>
              <w:fldChar w:fldCharType="separate"/>
            </w:r>
            <w:r w:rsidR="002757E8" w:rsidRPr="00204CE6">
              <w:rPr>
                <w:rFonts w:ascii="Calibri" w:hAnsi="Calibri"/>
                <w:noProof/>
                <w:webHidden/>
              </w:rPr>
              <w:t>16</w:t>
            </w:r>
            <w:r w:rsidR="007E53C4" w:rsidRPr="00204CE6">
              <w:rPr>
                <w:rFonts w:ascii="Calibri" w:hAnsi="Calibri"/>
                <w:noProof/>
                <w:webHidden/>
              </w:rPr>
              <w:fldChar w:fldCharType="end"/>
            </w:r>
          </w:hyperlink>
        </w:p>
        <w:p w14:paraId="2903DA5A" w14:textId="77777777" w:rsidR="007E53C4" w:rsidRPr="00204CE6" w:rsidRDefault="004B4066">
          <w:pPr>
            <w:pStyle w:val="TOC2"/>
            <w:rPr>
              <w:rFonts w:eastAsiaTheme="minorEastAsia"/>
              <w:noProof/>
              <w:color w:val="auto"/>
            </w:rPr>
          </w:pPr>
          <w:hyperlink w:anchor="_Toc466046938" w:history="1">
            <w:r w:rsidR="007E53C4" w:rsidRPr="00204CE6">
              <w:rPr>
                <w:rStyle w:val="Hyperlink"/>
                <w:rFonts w:ascii="Calibri" w:hAnsi="Calibri"/>
                <w:noProof/>
              </w:rPr>
              <w:t>B.5. Statistical Consultations</w:t>
            </w:r>
            <w:r w:rsidR="007E53C4" w:rsidRPr="00204CE6">
              <w:rPr>
                <w:rFonts w:ascii="Calibri" w:hAnsi="Calibri"/>
                <w:noProof/>
                <w:webHidden/>
              </w:rPr>
              <w:tab/>
            </w:r>
            <w:r w:rsidR="007E53C4" w:rsidRPr="00204CE6">
              <w:rPr>
                <w:rFonts w:ascii="Calibri" w:hAnsi="Calibri"/>
                <w:noProof/>
                <w:webHidden/>
              </w:rPr>
              <w:fldChar w:fldCharType="begin"/>
            </w:r>
            <w:r w:rsidR="007E53C4" w:rsidRPr="00204CE6">
              <w:rPr>
                <w:rFonts w:ascii="Calibri" w:hAnsi="Calibri"/>
                <w:noProof/>
                <w:webHidden/>
              </w:rPr>
              <w:instrText xml:space="preserve"> PAGEREF _Toc466046938 \h </w:instrText>
            </w:r>
            <w:r w:rsidR="007E53C4" w:rsidRPr="00204CE6">
              <w:rPr>
                <w:rFonts w:ascii="Calibri" w:hAnsi="Calibri"/>
                <w:noProof/>
                <w:webHidden/>
              </w:rPr>
            </w:r>
            <w:r w:rsidR="007E53C4" w:rsidRPr="00204CE6">
              <w:rPr>
                <w:rFonts w:ascii="Calibri" w:hAnsi="Calibri"/>
                <w:noProof/>
                <w:webHidden/>
              </w:rPr>
              <w:fldChar w:fldCharType="separate"/>
            </w:r>
            <w:r w:rsidR="002757E8" w:rsidRPr="00204CE6">
              <w:rPr>
                <w:rFonts w:ascii="Calibri" w:hAnsi="Calibri"/>
                <w:noProof/>
                <w:webHidden/>
              </w:rPr>
              <w:t>17</w:t>
            </w:r>
            <w:r w:rsidR="007E53C4" w:rsidRPr="00204CE6">
              <w:rPr>
                <w:rFonts w:ascii="Calibri" w:hAnsi="Calibri"/>
                <w:noProof/>
                <w:webHidden/>
              </w:rPr>
              <w:fldChar w:fldCharType="end"/>
            </w:r>
          </w:hyperlink>
        </w:p>
        <w:p w14:paraId="13DC71FC" w14:textId="77777777" w:rsidR="0059212D" w:rsidRDefault="0059212D">
          <w:r>
            <w:rPr>
              <w:b/>
              <w:bCs/>
              <w:noProof/>
            </w:rPr>
            <w:fldChar w:fldCharType="end"/>
          </w:r>
        </w:p>
      </w:sdtContent>
    </w:sdt>
    <w:p w14:paraId="0B0D885F" w14:textId="77777777" w:rsidR="001F3A8F" w:rsidRDefault="001F3A8F" w:rsidP="00D928FD"/>
    <w:p w14:paraId="2135645A" w14:textId="77777777" w:rsidR="00D928FD" w:rsidRDefault="00D928FD" w:rsidP="00D928FD">
      <w:pPr>
        <w:sectPr w:rsidR="00D928FD" w:rsidSect="00725453">
          <w:footerReference w:type="first" r:id="rId21"/>
          <w:footnotePr>
            <w:pos w:val="beneathText"/>
          </w:footnotePr>
          <w:type w:val="continuous"/>
          <w:pgSz w:w="12240" w:h="15840"/>
          <w:pgMar w:top="1440" w:right="1440" w:bottom="1440" w:left="1440" w:header="720" w:footer="720" w:gutter="0"/>
          <w:pgNumType w:fmt="lowerRoman" w:start="1"/>
          <w:cols w:space="720"/>
          <w:docGrid w:linePitch="360"/>
        </w:sectPr>
      </w:pPr>
    </w:p>
    <w:p w14:paraId="1857A13F" w14:textId="77777777" w:rsidR="00041909" w:rsidRDefault="00041909" w:rsidP="00836D62">
      <w:pPr>
        <w:spacing w:line="240" w:lineRule="auto"/>
        <w:sectPr w:rsidR="00041909" w:rsidSect="00725453">
          <w:footerReference w:type="first" r:id="rId22"/>
          <w:footnotePr>
            <w:pos w:val="beneathText"/>
          </w:footnotePr>
          <w:type w:val="continuous"/>
          <w:pgSz w:w="12240" w:h="15840"/>
          <w:pgMar w:top="1440" w:right="1440" w:bottom="1440" w:left="1440" w:header="720" w:footer="720" w:gutter="0"/>
          <w:pgNumType w:fmt="lowerRoman"/>
          <w:cols w:space="720"/>
          <w:docGrid w:linePitch="360"/>
        </w:sectPr>
      </w:pPr>
    </w:p>
    <w:p w14:paraId="74D1AB7A" w14:textId="77777777" w:rsidR="007E53C4" w:rsidRPr="00204CE6" w:rsidRDefault="00844524" w:rsidP="00985552">
      <w:pPr>
        <w:pStyle w:val="Heading2"/>
        <w:rPr>
          <w:sz w:val="22"/>
          <w:szCs w:val="22"/>
        </w:rPr>
      </w:pPr>
      <w:bookmarkStart w:id="2" w:name="_Toc466046934"/>
      <w:r w:rsidRPr="00204CE6">
        <w:rPr>
          <w:sz w:val="22"/>
          <w:szCs w:val="22"/>
        </w:rPr>
        <w:t>B.</w:t>
      </w:r>
      <w:r w:rsidR="00A41763" w:rsidRPr="00204CE6">
        <w:rPr>
          <w:sz w:val="22"/>
          <w:szCs w:val="22"/>
        </w:rPr>
        <w:t xml:space="preserve">1. </w:t>
      </w:r>
      <w:r w:rsidR="007E53C4" w:rsidRPr="00204CE6">
        <w:rPr>
          <w:sz w:val="22"/>
          <w:szCs w:val="22"/>
        </w:rPr>
        <w:t>Respondent Universe</w:t>
      </w:r>
      <w:bookmarkEnd w:id="2"/>
    </w:p>
    <w:p w14:paraId="2AAC4D00" w14:textId="3E1BCA37" w:rsidR="00C74606" w:rsidRPr="00204CE6" w:rsidRDefault="00C74606" w:rsidP="00AF2B5F">
      <w:pPr>
        <w:spacing w:after="0" w:line="360" w:lineRule="auto"/>
        <w:rPr>
          <w:rFonts w:ascii="Calibri" w:eastAsia="Times New Roman" w:hAnsi="Calibri" w:cs="Times New Roman"/>
          <w:color w:val="000000"/>
        </w:rPr>
      </w:pPr>
      <w:r w:rsidRPr="00204CE6">
        <w:rPr>
          <w:rFonts w:ascii="Calibri" w:eastAsia="Times New Roman" w:hAnsi="Calibri" w:cs="Times New Roman"/>
        </w:rPr>
        <w:t>The Petroleum Marketing Program collects data from two types of entities</w:t>
      </w:r>
      <w:r w:rsidR="00123FC2" w:rsidRPr="00204CE6">
        <w:rPr>
          <w:rFonts w:ascii="Calibri" w:eastAsia="Times New Roman" w:hAnsi="Calibri" w:cs="Times New Roman"/>
        </w:rPr>
        <w:t>, firms and outlets</w:t>
      </w:r>
      <w:r w:rsidRPr="00204CE6">
        <w:rPr>
          <w:rFonts w:ascii="Calibri" w:eastAsia="Times New Roman" w:hAnsi="Calibri" w:cs="Times New Roman"/>
        </w:rPr>
        <w:t>. In terms of the</w:t>
      </w:r>
      <w:r w:rsidR="00123FC2" w:rsidRPr="00204CE6">
        <w:rPr>
          <w:rFonts w:ascii="Calibri" w:eastAsia="Times New Roman" w:hAnsi="Calibri" w:cs="Times New Roman"/>
        </w:rPr>
        <w:t xml:space="preserve"> flow of petroleum products from the upstream to downstream markets,</w:t>
      </w:r>
      <w:r w:rsidRPr="00204CE6">
        <w:rPr>
          <w:rFonts w:ascii="Calibri" w:eastAsia="Times New Roman" w:hAnsi="Calibri" w:cs="Times New Roman"/>
        </w:rPr>
        <w:t xml:space="preserve"> the data system begins by collecting data from firms, generally parent companies that have complex structures with multiple offices, locations, subsidiaries, etc. The target population for the surveys is the firms, which are defined in terms of their oil market activities. This includes firms which purchase domestic or foreign crude oil (</w:t>
      </w:r>
      <w:r w:rsidR="000F2383" w:rsidRPr="00204CE6">
        <w:rPr>
          <w:rFonts w:ascii="Calibri" w:eastAsia="Times New Roman" w:hAnsi="Calibri" w:cs="Times New Roman"/>
        </w:rPr>
        <w:t xml:space="preserve">Forms </w:t>
      </w:r>
      <w:r w:rsidRPr="00204CE6">
        <w:rPr>
          <w:rFonts w:ascii="Calibri" w:eastAsia="Times New Roman" w:hAnsi="Calibri" w:cs="Times New Roman"/>
        </w:rPr>
        <w:t>EIA-182</w:t>
      </w:r>
      <w:r w:rsidR="000F2383" w:rsidRPr="00204CE6">
        <w:rPr>
          <w:rFonts w:ascii="Calibri" w:eastAsia="Times New Roman" w:hAnsi="Calibri" w:cs="Times New Roman"/>
        </w:rPr>
        <w:t xml:space="preserve"> and</w:t>
      </w:r>
      <w:r w:rsidRPr="00204CE6">
        <w:rPr>
          <w:rFonts w:ascii="Calibri" w:eastAsia="Times New Roman" w:hAnsi="Calibri" w:cs="Times New Roman"/>
        </w:rPr>
        <w:t xml:space="preserve"> EIA-856); firms which refine crude oil into finished petroleum products (</w:t>
      </w:r>
      <w:r w:rsidR="000F2383" w:rsidRPr="00204CE6">
        <w:rPr>
          <w:rFonts w:ascii="Calibri" w:eastAsia="Times New Roman" w:hAnsi="Calibri" w:cs="Times New Roman"/>
        </w:rPr>
        <w:t xml:space="preserve">Form </w:t>
      </w:r>
      <w:r w:rsidRPr="00204CE6">
        <w:rPr>
          <w:rFonts w:ascii="Calibri" w:eastAsia="Times New Roman" w:hAnsi="Calibri" w:cs="Times New Roman"/>
        </w:rPr>
        <w:t>EIA-14); and firms which supply and/or sell finished petroleum products to customers (</w:t>
      </w:r>
      <w:r w:rsidR="000F2383" w:rsidRPr="00204CE6">
        <w:rPr>
          <w:rFonts w:ascii="Calibri" w:eastAsia="Times New Roman" w:hAnsi="Calibri" w:cs="Times New Roman"/>
        </w:rPr>
        <w:t xml:space="preserve">Forms </w:t>
      </w:r>
      <w:r w:rsidRPr="00204CE6">
        <w:rPr>
          <w:rFonts w:ascii="Calibri" w:eastAsia="Times New Roman" w:hAnsi="Calibri" w:cs="Times New Roman"/>
        </w:rPr>
        <w:t xml:space="preserve">EIA-782A, EIA-782C, </w:t>
      </w:r>
      <w:r w:rsidR="000F2383" w:rsidRPr="00204CE6">
        <w:rPr>
          <w:rFonts w:ascii="Calibri" w:eastAsia="Times New Roman" w:hAnsi="Calibri" w:cs="Times New Roman"/>
        </w:rPr>
        <w:t xml:space="preserve">and </w:t>
      </w:r>
      <w:r w:rsidRPr="00204CE6">
        <w:rPr>
          <w:rFonts w:ascii="Calibri" w:eastAsia="Times New Roman" w:hAnsi="Calibri" w:cs="Times New Roman"/>
        </w:rPr>
        <w:t xml:space="preserve">EIA-821). The remaining surveys focus on individual </w:t>
      </w:r>
      <w:r w:rsidR="00123FC2" w:rsidRPr="00204CE6">
        <w:rPr>
          <w:rFonts w:ascii="Calibri" w:eastAsia="Times New Roman" w:hAnsi="Calibri" w:cs="Times New Roman"/>
        </w:rPr>
        <w:t xml:space="preserve">retail </w:t>
      </w:r>
      <w:r w:rsidRPr="00204CE6">
        <w:rPr>
          <w:rFonts w:ascii="Calibri" w:eastAsia="Times New Roman" w:hAnsi="Calibri" w:cs="Times New Roman"/>
        </w:rPr>
        <w:t>outlets selling the products to consumers (</w:t>
      </w:r>
      <w:r w:rsidR="000F2383" w:rsidRPr="00204CE6">
        <w:rPr>
          <w:rFonts w:ascii="Calibri" w:eastAsia="Times New Roman" w:hAnsi="Calibri" w:cs="Times New Roman"/>
        </w:rPr>
        <w:t xml:space="preserve">Forms </w:t>
      </w:r>
      <w:r w:rsidRPr="00204CE6">
        <w:rPr>
          <w:rFonts w:ascii="Calibri" w:eastAsia="Times New Roman" w:hAnsi="Calibri" w:cs="Times New Roman"/>
        </w:rPr>
        <w:t>EIA-877,</w:t>
      </w:r>
      <w:r w:rsidRPr="00204CE6">
        <w:rPr>
          <w:rFonts w:ascii="Calibri" w:eastAsia="Times New Roman" w:hAnsi="Calibri" w:cs="Times New Roman"/>
          <w:color w:val="FF0000"/>
        </w:rPr>
        <w:t xml:space="preserve"> </w:t>
      </w:r>
      <w:r w:rsidRPr="00204CE6">
        <w:rPr>
          <w:rFonts w:ascii="Calibri" w:eastAsia="Times New Roman" w:hAnsi="Calibri" w:cs="Times New Roman"/>
        </w:rPr>
        <w:t xml:space="preserve">EIA-878, </w:t>
      </w:r>
      <w:r w:rsidR="000F2383" w:rsidRPr="00204CE6">
        <w:rPr>
          <w:rFonts w:ascii="Calibri" w:eastAsia="Times New Roman" w:hAnsi="Calibri" w:cs="Times New Roman"/>
        </w:rPr>
        <w:t xml:space="preserve">and </w:t>
      </w:r>
      <w:r w:rsidRPr="00204CE6">
        <w:rPr>
          <w:rFonts w:ascii="Calibri" w:eastAsia="Times New Roman" w:hAnsi="Calibri" w:cs="Times New Roman"/>
        </w:rPr>
        <w:t>EIA-888) and collect price data on a weekly basis. The Petroleum Product Sales Identification Survey (</w:t>
      </w:r>
      <w:r w:rsidR="000F2383" w:rsidRPr="00204CE6">
        <w:rPr>
          <w:rFonts w:ascii="Calibri" w:eastAsia="Times New Roman" w:hAnsi="Calibri" w:cs="Times New Roman"/>
        </w:rPr>
        <w:t xml:space="preserve">Form </w:t>
      </w:r>
      <w:r w:rsidRPr="00204CE6">
        <w:rPr>
          <w:rFonts w:ascii="Calibri" w:eastAsia="Times New Roman" w:hAnsi="Calibri" w:cs="Times New Roman"/>
        </w:rPr>
        <w:t xml:space="preserve">EIA-863) is used to build and maintain the frame for </w:t>
      </w:r>
      <w:r w:rsidR="00B35035" w:rsidRPr="00204CE6">
        <w:rPr>
          <w:rFonts w:ascii="Calibri" w:eastAsia="Times New Roman" w:hAnsi="Calibri" w:cs="Times New Roman"/>
        </w:rPr>
        <w:t>Forms EIA-821, EIA-877, and EIA-888</w:t>
      </w:r>
      <w:r w:rsidR="001741B0" w:rsidRPr="00204CE6">
        <w:rPr>
          <w:rFonts w:ascii="Calibri" w:eastAsia="Times New Roman" w:hAnsi="Calibri" w:cs="Times New Roman"/>
        </w:rPr>
        <w:t xml:space="preserve"> and has a target population of </w:t>
      </w:r>
      <w:r w:rsidR="00535B32" w:rsidRPr="00204CE6">
        <w:rPr>
          <w:rFonts w:ascii="Calibri" w:eastAsia="Times New Roman" w:hAnsi="Calibri" w:cs="Times New Roman"/>
        </w:rPr>
        <w:t xml:space="preserve">all </w:t>
      </w:r>
      <w:r w:rsidR="00B35035" w:rsidRPr="00204CE6">
        <w:rPr>
          <w:rFonts w:ascii="Calibri" w:eastAsia="Times New Roman" w:hAnsi="Calibri" w:cs="Times New Roman"/>
        </w:rPr>
        <w:t>firms who sell</w:t>
      </w:r>
      <w:r w:rsidR="001741B0" w:rsidRPr="00204CE6">
        <w:rPr>
          <w:rFonts w:ascii="Calibri" w:eastAsia="Times New Roman" w:hAnsi="Calibri" w:cs="Times New Roman"/>
        </w:rPr>
        <w:t xml:space="preserve"> finished petroleum products</w:t>
      </w:r>
      <w:r w:rsidRPr="00204CE6">
        <w:rPr>
          <w:rFonts w:ascii="Calibri" w:eastAsia="Times New Roman" w:hAnsi="Calibri" w:cs="Times New Roman"/>
        </w:rPr>
        <w:t xml:space="preserve">. </w:t>
      </w:r>
      <w:r w:rsidRPr="00204CE6">
        <w:rPr>
          <w:rFonts w:ascii="Calibri" w:eastAsia="Times New Roman" w:hAnsi="Calibri" w:cs="Times New Roman"/>
          <w:color w:val="000000"/>
        </w:rPr>
        <w:t>The frames for the monthly surveys are kept current using information from other surveys as well as information from industry journals</w:t>
      </w:r>
      <w:r w:rsidR="001741B0" w:rsidRPr="00204CE6">
        <w:rPr>
          <w:rFonts w:ascii="Calibri" w:eastAsia="Times New Roman" w:hAnsi="Calibri" w:cs="Times New Roman"/>
          <w:color w:val="000000"/>
        </w:rPr>
        <w:t>, administrative records,</w:t>
      </w:r>
      <w:r w:rsidRPr="00204CE6">
        <w:rPr>
          <w:rFonts w:ascii="Calibri" w:eastAsia="Times New Roman" w:hAnsi="Calibri" w:cs="Times New Roman"/>
          <w:color w:val="000000"/>
        </w:rPr>
        <w:t xml:space="preserve"> and other sources.  </w:t>
      </w:r>
    </w:p>
    <w:p w14:paraId="7D3E35A8" w14:textId="4E0635B0" w:rsidR="00C74606" w:rsidRPr="00204CE6" w:rsidRDefault="007860AC" w:rsidP="00985552">
      <w:pPr>
        <w:pStyle w:val="Heading2"/>
        <w:rPr>
          <w:sz w:val="22"/>
          <w:szCs w:val="22"/>
        </w:rPr>
      </w:pPr>
      <w:r w:rsidRPr="00204CE6">
        <w:rPr>
          <w:sz w:val="22"/>
          <w:szCs w:val="22"/>
        </w:rPr>
        <w:t xml:space="preserve">B.1.1 </w:t>
      </w:r>
      <w:r w:rsidR="00C74606" w:rsidRPr="00204CE6">
        <w:rPr>
          <w:sz w:val="22"/>
          <w:szCs w:val="22"/>
        </w:rPr>
        <w:t>Petroleum Marketing Frame</w:t>
      </w:r>
    </w:p>
    <w:p w14:paraId="676BC9C5" w14:textId="1007501E" w:rsidR="008443B3" w:rsidRPr="00204CE6" w:rsidRDefault="008443B3" w:rsidP="008443B3">
      <w:pPr>
        <w:spacing w:before="200" w:after="0" w:line="360" w:lineRule="auto"/>
        <w:rPr>
          <w:rFonts w:ascii="Calibri" w:eastAsia="Times New Roman" w:hAnsi="Calibri" w:cs="Times New Roman"/>
          <w:lang w:bidi="en-US"/>
        </w:rPr>
      </w:pPr>
      <w:r w:rsidRPr="00204CE6">
        <w:rPr>
          <w:rFonts w:ascii="Calibri" w:eastAsia="Times New Roman" w:hAnsi="Calibri" w:cs="Times New Roman"/>
          <w:lang w:bidi="en-US"/>
        </w:rPr>
        <w:t>The frame for Form EIA-863, “Petroleum Product Sales Identification Survey,” is constructed from the 2006 and 2010 data reported in the EIA-863 collection cycles conducted in 2007 and 2011, respectively, and from external source lists of petroleum marketers.  The frame is maintained by the Office of Petroleum and Biofuels Statistics (PBS). Starting in 2019, PBS will supplement this information with outside source lists of petroleum marketers from State Energy and Tax Offices, Petroleum Marketing Associations, administrative records from governmental sources (e.g., U.S. Bureau of Labor Statistics’ (BLS) Quarterly Census of Employment and Wages (QCEW), Secretary of States’ business registries), and third-party private data sources (e.g., Oil Price Information Service and the Equifax database)</w:t>
      </w:r>
      <w:r w:rsidR="00F8617F" w:rsidRPr="00204CE6">
        <w:rPr>
          <w:rFonts w:ascii="Calibri" w:eastAsia="Times New Roman" w:hAnsi="Calibri" w:cs="Times New Roman"/>
          <w:lang w:bidi="en-US"/>
        </w:rPr>
        <w:t>.</w:t>
      </w:r>
      <w:r w:rsidRPr="00204CE6">
        <w:rPr>
          <w:rFonts w:ascii="Calibri" w:eastAsia="Times New Roman" w:hAnsi="Calibri" w:cs="Times New Roman"/>
          <w:lang w:bidi="en-US"/>
        </w:rPr>
        <w:t xml:space="preserve"> The target population for Form EIA-863 is estimated to be approximately 60,000 companies. </w:t>
      </w:r>
      <w:r w:rsidRPr="00204CE6">
        <w:t>This is an increase from the 22,000 companies from 2010 due to possible undercoverage of individually</w:t>
      </w:r>
      <w:r w:rsidR="00601A3F" w:rsidRPr="00204CE6">
        <w:t xml:space="preserve">- </w:t>
      </w:r>
      <w:r w:rsidRPr="00204CE6">
        <w:t xml:space="preserve">owned motor gasoline stations from the main source list used in previous cycles of the EIA-863 and the methodology used to compile this information. </w:t>
      </w:r>
      <w:r w:rsidR="00844344">
        <w:t xml:space="preserve">  In the event that the selection of a new sample from the EIA-863 frame results in a disconnect in the data series, EIA includes explanatory text referencing changes in the sample design in the survey methodology description that accompanies the data series.</w:t>
      </w:r>
    </w:p>
    <w:p w14:paraId="715E3CBF" w14:textId="77777777" w:rsidR="00C74606" w:rsidRPr="00204CE6" w:rsidRDefault="007860AC" w:rsidP="00985552">
      <w:pPr>
        <w:pStyle w:val="Heading2"/>
        <w:rPr>
          <w:sz w:val="22"/>
          <w:szCs w:val="22"/>
        </w:rPr>
      </w:pPr>
      <w:r w:rsidRPr="00204CE6">
        <w:rPr>
          <w:sz w:val="22"/>
          <w:szCs w:val="22"/>
        </w:rPr>
        <w:t xml:space="preserve">B.1.2 </w:t>
      </w:r>
      <w:r w:rsidR="00C74606" w:rsidRPr="00204CE6">
        <w:rPr>
          <w:sz w:val="22"/>
          <w:szCs w:val="22"/>
        </w:rPr>
        <w:t>Monthly Crude Oil Surveys Frames and Target Population</w:t>
      </w:r>
    </w:p>
    <w:p w14:paraId="474D666B" w14:textId="5657D72C" w:rsidR="000F2383" w:rsidRPr="00204CE6" w:rsidRDefault="000F2383" w:rsidP="00C74606">
      <w:pPr>
        <w:spacing w:before="200" w:after="0" w:line="360" w:lineRule="auto"/>
        <w:rPr>
          <w:rFonts w:ascii="Calibri" w:eastAsia="Times New Roman" w:hAnsi="Calibri" w:cs="Times New Roman"/>
          <w:b/>
          <w:color w:val="000000"/>
          <w:u w:val="single"/>
          <w:lang w:bidi="en-US"/>
        </w:rPr>
      </w:pPr>
      <w:r w:rsidRPr="00204CE6">
        <w:rPr>
          <w:rFonts w:ascii="Calibri" w:eastAsia="Times New Roman" w:hAnsi="Calibri" w:cs="Times New Roman"/>
          <w:b/>
          <w:color w:val="000000"/>
          <w:u w:val="single"/>
          <w:lang w:bidi="en-US"/>
        </w:rPr>
        <w:t xml:space="preserve">Form </w:t>
      </w:r>
      <w:r w:rsidR="00C74606" w:rsidRPr="00204CE6">
        <w:rPr>
          <w:rFonts w:ascii="Calibri" w:eastAsia="Times New Roman" w:hAnsi="Calibri" w:cs="Times New Roman"/>
          <w:b/>
          <w:color w:val="000000"/>
          <w:u w:val="single"/>
          <w:lang w:bidi="en-US"/>
        </w:rPr>
        <w:t>EIA-14,</w:t>
      </w:r>
      <w:bookmarkStart w:id="3" w:name="eia-14"/>
      <w:bookmarkEnd w:id="3"/>
      <w:r w:rsidR="00C74606" w:rsidRPr="00204CE6">
        <w:rPr>
          <w:rFonts w:ascii="Calibri" w:eastAsia="Times New Roman" w:hAnsi="Calibri" w:cs="Times New Roman"/>
          <w:b/>
          <w:color w:val="000000"/>
          <w:u w:val="single"/>
          <w:lang w:bidi="en-US"/>
        </w:rPr>
        <w:t xml:space="preserve"> “</w:t>
      </w:r>
      <w:r w:rsidR="00C74606" w:rsidRPr="00204CE6">
        <w:rPr>
          <w:rFonts w:ascii="Calibri" w:eastAsia="Times New Roman" w:hAnsi="Calibri" w:cs="Times New Roman"/>
          <w:b/>
          <w:u w:val="single"/>
          <w:lang w:bidi="en-US"/>
        </w:rPr>
        <w:t>Refiners' Monthly Cost Report</w:t>
      </w:r>
      <w:r w:rsidR="00C74606" w:rsidRPr="00204CE6">
        <w:rPr>
          <w:rFonts w:ascii="Calibri" w:eastAsia="Times New Roman" w:hAnsi="Calibri" w:cs="Times New Roman"/>
          <w:b/>
          <w:color w:val="000000"/>
          <w:u w:val="single"/>
          <w:lang w:bidi="en-US"/>
        </w:rPr>
        <w:t xml:space="preserve">” </w:t>
      </w:r>
    </w:p>
    <w:p w14:paraId="7F5EFA99" w14:textId="56BA3539" w:rsidR="00C74606" w:rsidRPr="00204CE6" w:rsidRDefault="00C74606" w:rsidP="008F60C8">
      <w:pPr>
        <w:spacing w:after="0" w:line="360" w:lineRule="auto"/>
        <w:rPr>
          <w:rFonts w:ascii="Calibri" w:eastAsia="Times New Roman" w:hAnsi="Calibri" w:cs="Times New Roman"/>
          <w:lang w:bidi="en-US"/>
        </w:rPr>
      </w:pPr>
      <w:r w:rsidRPr="00204CE6">
        <w:rPr>
          <w:rFonts w:ascii="Calibri" w:eastAsia="Times New Roman" w:hAnsi="Calibri" w:cs="Times New Roman"/>
          <w:color w:val="000000"/>
          <w:lang w:bidi="en-US"/>
        </w:rPr>
        <w:t xml:space="preserve">The target population for this survey is all refiners of crude oil. </w:t>
      </w:r>
      <w:r w:rsidRPr="00204CE6">
        <w:rPr>
          <w:rFonts w:ascii="Calibri" w:eastAsia="Times New Roman" w:hAnsi="Calibri" w:cs="Times New Roman"/>
          <w:lang w:bidi="en-US"/>
        </w:rPr>
        <w:t xml:space="preserve">The frame for </w:t>
      </w:r>
      <w:r w:rsidR="000F2383" w:rsidRPr="00204CE6">
        <w:rPr>
          <w:rFonts w:ascii="Calibri" w:eastAsia="Times New Roman" w:hAnsi="Calibri" w:cs="Times New Roman"/>
          <w:lang w:bidi="en-US"/>
        </w:rPr>
        <w:t xml:space="preserve">Form </w:t>
      </w:r>
      <w:r w:rsidRPr="00204CE6">
        <w:rPr>
          <w:rFonts w:ascii="Calibri" w:eastAsia="Times New Roman" w:hAnsi="Calibri" w:cs="Times New Roman"/>
          <w:lang w:bidi="en-US"/>
        </w:rPr>
        <w:t xml:space="preserve">EIA-14 was constructed from a list of 206 refiners obtained from the Oil and Gas Journal in 1983. The frame is updated periodically via information derived from </w:t>
      </w:r>
      <w:r w:rsidR="000F2383" w:rsidRPr="00204CE6">
        <w:rPr>
          <w:rFonts w:ascii="Calibri" w:eastAsia="Times New Roman" w:hAnsi="Calibri" w:cs="Times New Roman"/>
          <w:lang w:bidi="en-US"/>
        </w:rPr>
        <w:t xml:space="preserve">Form </w:t>
      </w:r>
      <w:r w:rsidRPr="00204CE6">
        <w:rPr>
          <w:rFonts w:ascii="Calibri" w:eastAsia="Times New Roman" w:hAnsi="Calibri" w:cs="Times New Roman"/>
          <w:lang w:bidi="en-US"/>
        </w:rPr>
        <w:t>EIA-782A</w:t>
      </w:r>
      <w:r w:rsidR="000F2383" w:rsidRPr="00204CE6">
        <w:rPr>
          <w:rFonts w:ascii="Calibri" w:eastAsia="Times New Roman" w:hAnsi="Calibri" w:cs="Times New Roman"/>
          <w:lang w:bidi="en-US"/>
        </w:rPr>
        <w:t>,</w:t>
      </w:r>
      <w:r w:rsidRPr="00204CE6">
        <w:rPr>
          <w:rFonts w:ascii="Calibri" w:eastAsia="Times New Roman" w:hAnsi="Calibri" w:cs="Times New Roman"/>
          <w:lang w:bidi="en-US"/>
        </w:rPr>
        <w:t xml:space="preserve"> </w:t>
      </w:r>
      <w:r w:rsidR="000F2383" w:rsidRPr="00204CE6">
        <w:rPr>
          <w:rFonts w:ascii="Calibri" w:eastAsia="Times New Roman" w:hAnsi="Calibri" w:cs="Times New Roman"/>
          <w:lang w:bidi="en-US"/>
        </w:rPr>
        <w:t>“</w:t>
      </w:r>
      <w:r w:rsidRPr="00204CE6">
        <w:rPr>
          <w:rFonts w:ascii="Calibri" w:eastAsia="Times New Roman" w:hAnsi="Calibri" w:cs="Times New Roman"/>
          <w:lang w:bidi="en-US"/>
        </w:rPr>
        <w:t>Refiners’/Gas Plant Operators’ Monthly Petroleum Product Sales Report</w:t>
      </w:r>
      <w:r w:rsidR="000F2383" w:rsidRPr="00204CE6">
        <w:rPr>
          <w:rFonts w:ascii="Calibri" w:eastAsia="Times New Roman" w:hAnsi="Calibri" w:cs="Times New Roman"/>
          <w:lang w:bidi="en-US"/>
        </w:rPr>
        <w:t>,”</w:t>
      </w:r>
      <w:r w:rsidRPr="00204CE6">
        <w:rPr>
          <w:rFonts w:ascii="Calibri" w:eastAsia="Times New Roman" w:hAnsi="Calibri" w:cs="Times New Roman"/>
          <w:lang w:bidi="en-US"/>
        </w:rPr>
        <w:t xml:space="preserve"> and </w:t>
      </w:r>
      <w:r w:rsidR="000F2383" w:rsidRPr="00204CE6">
        <w:rPr>
          <w:rFonts w:ascii="Calibri" w:eastAsia="Times New Roman" w:hAnsi="Calibri" w:cs="Times New Roman"/>
          <w:lang w:bidi="en-US"/>
        </w:rPr>
        <w:t xml:space="preserve">Form </w:t>
      </w:r>
      <w:r w:rsidRPr="00204CE6">
        <w:rPr>
          <w:rFonts w:ascii="Calibri" w:eastAsia="Times New Roman" w:hAnsi="Calibri" w:cs="Times New Roman"/>
          <w:lang w:bidi="en-US"/>
        </w:rPr>
        <w:t>EIA-810</w:t>
      </w:r>
      <w:r w:rsidR="000F2383" w:rsidRPr="00204CE6">
        <w:rPr>
          <w:rFonts w:ascii="Calibri" w:eastAsia="Times New Roman" w:hAnsi="Calibri" w:cs="Times New Roman"/>
          <w:lang w:bidi="en-US"/>
        </w:rPr>
        <w:t>,</w:t>
      </w:r>
      <w:r w:rsidRPr="00204CE6">
        <w:rPr>
          <w:rFonts w:ascii="Calibri" w:eastAsia="Times New Roman" w:hAnsi="Calibri" w:cs="Times New Roman"/>
          <w:lang w:bidi="en-US"/>
        </w:rPr>
        <w:t xml:space="preserve"> </w:t>
      </w:r>
      <w:r w:rsidR="000F2383" w:rsidRPr="00204CE6">
        <w:rPr>
          <w:rFonts w:ascii="Calibri" w:eastAsia="Times New Roman" w:hAnsi="Calibri" w:cs="Times New Roman"/>
          <w:lang w:bidi="en-US"/>
        </w:rPr>
        <w:t>“</w:t>
      </w:r>
      <w:r w:rsidRPr="00204CE6">
        <w:rPr>
          <w:rFonts w:ascii="Calibri" w:eastAsia="Times New Roman" w:hAnsi="Calibri" w:cs="Times New Roman"/>
          <w:lang w:bidi="en-US"/>
        </w:rPr>
        <w:t>Monthly Refinery Report.</w:t>
      </w:r>
      <w:r w:rsidR="000F2383" w:rsidRPr="00204CE6">
        <w:rPr>
          <w:rFonts w:ascii="Calibri" w:eastAsia="Times New Roman" w:hAnsi="Calibri" w:cs="Times New Roman"/>
          <w:lang w:bidi="en-US"/>
        </w:rPr>
        <w:t>”</w:t>
      </w:r>
      <w:r w:rsidRPr="00204CE6">
        <w:rPr>
          <w:rFonts w:ascii="Calibri" w:eastAsia="Times New Roman" w:hAnsi="Calibri" w:cs="Times New Roman"/>
          <w:lang w:bidi="en-US"/>
        </w:rPr>
        <w:t xml:space="preserve"> </w:t>
      </w:r>
      <w:r w:rsidRPr="00204CE6">
        <w:rPr>
          <w:rFonts w:ascii="Calibri" w:eastAsia="Times New Roman" w:hAnsi="Calibri" w:cs="Times New Roman"/>
          <w:color w:val="000000"/>
          <w:lang w:bidi="en-US"/>
        </w:rPr>
        <w:t xml:space="preserve">There are currently </w:t>
      </w:r>
      <w:r w:rsidRPr="00204CE6">
        <w:rPr>
          <w:rFonts w:ascii="Calibri" w:eastAsia="Times New Roman" w:hAnsi="Calibri" w:cs="Times New Roman"/>
          <w:lang w:bidi="en-US"/>
        </w:rPr>
        <w:t>69</w:t>
      </w:r>
      <w:r w:rsidRPr="00204CE6">
        <w:rPr>
          <w:rFonts w:ascii="Calibri" w:eastAsia="Times New Roman" w:hAnsi="Calibri" w:cs="Times New Roman"/>
          <w:color w:val="000000"/>
          <w:lang w:bidi="en-US"/>
        </w:rPr>
        <w:t xml:space="preserve"> active respondents filing Form EIA-14. </w:t>
      </w:r>
    </w:p>
    <w:p w14:paraId="79C0B6B7" w14:textId="4098A2ED" w:rsidR="000F2383" w:rsidRPr="00204CE6" w:rsidRDefault="000F2383" w:rsidP="00874032">
      <w:pPr>
        <w:spacing w:before="200" w:after="0" w:line="360" w:lineRule="auto"/>
        <w:rPr>
          <w:rFonts w:ascii="Calibri" w:eastAsia="Times New Roman" w:hAnsi="Calibri" w:cs="Times New Roman"/>
          <w:b/>
          <w:u w:val="single"/>
          <w:lang w:bidi="en-US"/>
        </w:rPr>
      </w:pPr>
      <w:r w:rsidRPr="00204CE6">
        <w:rPr>
          <w:rFonts w:ascii="Calibri" w:eastAsia="Times New Roman" w:hAnsi="Calibri" w:cs="Times New Roman"/>
          <w:b/>
          <w:u w:val="single"/>
          <w:lang w:bidi="en-US"/>
        </w:rPr>
        <w:t xml:space="preserve">Form </w:t>
      </w:r>
      <w:r w:rsidR="0079037F" w:rsidRPr="00204CE6">
        <w:rPr>
          <w:rFonts w:ascii="Calibri" w:eastAsia="Times New Roman" w:hAnsi="Calibri" w:cs="Times New Roman"/>
          <w:b/>
          <w:u w:val="single"/>
          <w:lang w:bidi="en-US"/>
        </w:rPr>
        <w:t>E</w:t>
      </w:r>
      <w:r w:rsidR="00C74606" w:rsidRPr="00204CE6">
        <w:rPr>
          <w:rFonts w:ascii="Calibri" w:eastAsia="Times New Roman" w:hAnsi="Calibri" w:cs="Times New Roman"/>
          <w:b/>
          <w:u w:val="single"/>
          <w:lang w:bidi="en-US"/>
        </w:rPr>
        <w:t xml:space="preserve">IA-182, “Domestic Crude Oil First Purchase Report” </w:t>
      </w:r>
    </w:p>
    <w:p w14:paraId="712E837D" w14:textId="353E982C" w:rsidR="00874032" w:rsidRPr="00204CE6" w:rsidRDefault="00C74606" w:rsidP="008F60C8">
      <w:pPr>
        <w:spacing w:after="0" w:line="360" w:lineRule="auto"/>
        <w:rPr>
          <w:rFonts w:ascii="Calibri" w:eastAsia="Times New Roman" w:hAnsi="Calibri" w:cs="Times New Roman"/>
          <w:color w:val="000000"/>
          <w:lang w:bidi="en-US"/>
        </w:rPr>
      </w:pPr>
      <w:r w:rsidRPr="00204CE6">
        <w:rPr>
          <w:rFonts w:ascii="Calibri" w:eastAsia="Times New Roman" w:hAnsi="Calibri" w:cs="Times New Roman"/>
          <w:lang w:bidi="en-US"/>
        </w:rPr>
        <w:t xml:space="preserve">The target population for this survey is all firms that buy domestic crude oil at the lease boundary, acquiring ownership of the crude in a first purchase transaction. The frame for </w:t>
      </w:r>
      <w:r w:rsidR="000F2383" w:rsidRPr="00204CE6">
        <w:rPr>
          <w:rFonts w:ascii="Calibri" w:eastAsia="Times New Roman" w:hAnsi="Calibri" w:cs="Times New Roman"/>
          <w:lang w:bidi="en-US"/>
        </w:rPr>
        <w:t xml:space="preserve">Form </w:t>
      </w:r>
      <w:r w:rsidRPr="00204CE6">
        <w:rPr>
          <w:rFonts w:ascii="Calibri" w:eastAsia="Times New Roman" w:hAnsi="Calibri" w:cs="Times New Roman"/>
          <w:lang w:bidi="en-US"/>
        </w:rPr>
        <w:t xml:space="preserve">EIA-182 was </w:t>
      </w:r>
      <w:r w:rsidR="00874032" w:rsidRPr="00204CE6">
        <w:rPr>
          <w:rFonts w:ascii="Calibri" w:eastAsia="Times New Roman" w:hAnsi="Calibri" w:cs="Times New Roman"/>
          <w:lang w:bidi="en-US"/>
        </w:rPr>
        <w:t xml:space="preserve">initially </w:t>
      </w:r>
      <w:r w:rsidRPr="00204CE6">
        <w:rPr>
          <w:rFonts w:ascii="Calibri" w:eastAsia="Times New Roman" w:hAnsi="Calibri" w:cs="Times New Roman"/>
          <w:lang w:bidi="en-US"/>
        </w:rPr>
        <w:t xml:space="preserve">compiled from the 1974 Federal Energy Administration (FEA) Oil and Gas Survey of Producers and Operators. </w:t>
      </w:r>
      <w:r w:rsidRPr="00204CE6">
        <w:rPr>
          <w:rFonts w:ascii="Calibri" w:eastAsia="Times New Roman" w:hAnsi="Calibri" w:cs="Times New Roman"/>
          <w:color w:val="000000"/>
          <w:lang w:bidi="en-US"/>
        </w:rPr>
        <w:t>Collection of data from first purchasers began in February 1976. By 1978, the frame consisted of 340 respondents. Of these</w:t>
      </w:r>
      <w:r w:rsidR="00DF2DCE" w:rsidRPr="00204CE6">
        <w:rPr>
          <w:rFonts w:ascii="Calibri" w:eastAsia="Times New Roman" w:hAnsi="Calibri" w:cs="Times New Roman"/>
          <w:color w:val="000000"/>
          <w:lang w:bidi="en-US"/>
        </w:rPr>
        <w:t xml:space="preserve"> respondents</w:t>
      </w:r>
      <w:r w:rsidRPr="00204CE6">
        <w:rPr>
          <w:rFonts w:ascii="Calibri" w:eastAsia="Times New Roman" w:hAnsi="Calibri" w:cs="Times New Roman"/>
          <w:color w:val="000000"/>
          <w:lang w:bidi="en-US"/>
        </w:rPr>
        <w:t>, 198 purchased more than 150,000 barrels per year</w:t>
      </w:r>
      <w:r w:rsidR="00DF2DCE" w:rsidRPr="00204CE6">
        <w:rPr>
          <w:rFonts w:ascii="Calibri" w:eastAsia="Times New Roman" w:hAnsi="Calibri" w:cs="Times New Roman"/>
          <w:color w:val="000000"/>
          <w:lang w:bidi="en-US"/>
        </w:rPr>
        <w:t xml:space="preserve">, which </w:t>
      </w:r>
      <w:r w:rsidRPr="00204CE6">
        <w:rPr>
          <w:rFonts w:ascii="Calibri" w:eastAsia="Times New Roman" w:hAnsi="Calibri" w:cs="Times New Roman"/>
          <w:color w:val="000000"/>
          <w:lang w:bidi="en-US"/>
        </w:rPr>
        <w:t xml:space="preserve">represented 99.9 percent of the total reported volume. Following </w:t>
      </w:r>
      <w:r w:rsidR="00406C10" w:rsidRPr="00204CE6">
        <w:rPr>
          <w:rFonts w:ascii="Calibri" w:eastAsia="Times New Roman" w:hAnsi="Calibri" w:cs="Times New Roman"/>
          <w:color w:val="000000"/>
          <w:lang w:bidi="en-US"/>
        </w:rPr>
        <w:t>Executive Order 12287 – Decontrol of Crude Oil and Re</w:t>
      </w:r>
      <w:r w:rsidR="00E73284" w:rsidRPr="00204CE6">
        <w:rPr>
          <w:rFonts w:ascii="Calibri" w:eastAsia="Times New Roman" w:hAnsi="Calibri" w:cs="Times New Roman"/>
          <w:color w:val="000000"/>
          <w:lang w:bidi="en-US"/>
        </w:rPr>
        <w:t>f</w:t>
      </w:r>
      <w:r w:rsidR="00406C10" w:rsidRPr="00204CE6">
        <w:rPr>
          <w:rFonts w:ascii="Calibri" w:eastAsia="Times New Roman" w:hAnsi="Calibri" w:cs="Times New Roman"/>
          <w:color w:val="000000"/>
          <w:lang w:bidi="en-US"/>
        </w:rPr>
        <w:t>ined Petroleum Products</w:t>
      </w:r>
      <w:r w:rsidRPr="00204CE6">
        <w:rPr>
          <w:rFonts w:ascii="Calibri" w:eastAsia="Times New Roman" w:hAnsi="Calibri" w:cs="Times New Roman"/>
          <w:color w:val="000000"/>
          <w:lang w:bidi="en-US"/>
        </w:rPr>
        <w:t xml:space="preserve"> in January 1981, many small firms went out of business or were absorbed by larger companies. By January 1986 the frame had been reduced to 170 respondents.  Over the years, adjustments to the frame have mostly been deaths, with relatively few births. </w:t>
      </w:r>
      <w:r w:rsidR="00874032" w:rsidRPr="00204CE6">
        <w:rPr>
          <w:rFonts w:ascii="Calibri" w:eastAsia="Times New Roman" w:hAnsi="Calibri" w:cs="Times New Roman"/>
          <w:lang w:bidi="en-US"/>
        </w:rPr>
        <w:t>The size of the frame has declined from 340 firms in 1978 to 10</w:t>
      </w:r>
      <w:r w:rsidR="00B60318" w:rsidRPr="00204CE6">
        <w:rPr>
          <w:rFonts w:ascii="Calibri" w:eastAsia="Times New Roman" w:hAnsi="Calibri" w:cs="Times New Roman"/>
          <w:lang w:bidi="en-US"/>
        </w:rPr>
        <w:t>0</w:t>
      </w:r>
      <w:r w:rsidR="00874032" w:rsidRPr="00204CE6">
        <w:rPr>
          <w:rFonts w:ascii="Calibri" w:eastAsia="Times New Roman" w:hAnsi="Calibri" w:cs="Times New Roman"/>
          <w:lang w:bidi="en-US"/>
        </w:rPr>
        <w:t xml:space="preserve"> firms in 201</w:t>
      </w:r>
      <w:r w:rsidR="00B60318" w:rsidRPr="00204CE6">
        <w:rPr>
          <w:rFonts w:ascii="Calibri" w:eastAsia="Times New Roman" w:hAnsi="Calibri" w:cs="Times New Roman"/>
          <w:lang w:bidi="en-US"/>
        </w:rPr>
        <w:t>8</w:t>
      </w:r>
      <w:r w:rsidR="00874032" w:rsidRPr="00204CE6">
        <w:rPr>
          <w:rFonts w:ascii="Calibri" w:eastAsia="Times New Roman" w:hAnsi="Calibri" w:cs="Times New Roman"/>
          <w:lang w:bidi="en-US"/>
        </w:rPr>
        <w:t>.</w:t>
      </w:r>
      <w:r w:rsidR="00874032" w:rsidRPr="00204CE6">
        <w:rPr>
          <w:rFonts w:ascii="Calibri" w:eastAsia="Times New Roman" w:hAnsi="Calibri" w:cs="Times New Roman"/>
          <w:color w:val="000000"/>
          <w:lang w:bidi="en-US"/>
        </w:rPr>
        <w:t xml:space="preserve">  </w:t>
      </w:r>
    </w:p>
    <w:p w14:paraId="207739BD" w14:textId="77115827" w:rsidR="007860AC" w:rsidRPr="00204CE6" w:rsidRDefault="008B667E" w:rsidP="00C74606">
      <w:pPr>
        <w:spacing w:before="200" w:after="0" w:line="360" w:lineRule="auto"/>
        <w:rPr>
          <w:rFonts w:ascii="Calibri" w:eastAsia="Times New Roman" w:hAnsi="Calibri" w:cs="Times New Roman"/>
          <w:b/>
          <w:u w:val="single"/>
          <w:lang w:bidi="en-US"/>
        </w:rPr>
      </w:pPr>
      <w:r w:rsidRPr="00204CE6">
        <w:rPr>
          <w:rFonts w:ascii="Calibri" w:eastAsia="Times New Roman" w:hAnsi="Calibri" w:cs="Times New Roman"/>
          <w:b/>
          <w:u w:val="single"/>
          <w:lang w:bidi="en-US"/>
        </w:rPr>
        <w:t xml:space="preserve">Form </w:t>
      </w:r>
      <w:r w:rsidR="00C74606" w:rsidRPr="00204CE6">
        <w:rPr>
          <w:rFonts w:ascii="Calibri" w:eastAsia="Times New Roman" w:hAnsi="Calibri" w:cs="Times New Roman"/>
          <w:b/>
          <w:u w:val="single"/>
          <w:lang w:bidi="en-US"/>
        </w:rPr>
        <w:t>EIA-856, “</w:t>
      </w:r>
      <w:r w:rsidR="00C74606" w:rsidRPr="00204CE6">
        <w:rPr>
          <w:rFonts w:ascii="Calibri" w:eastAsia="Times New Roman" w:hAnsi="Calibri" w:cs="Times New Roman"/>
          <w:b/>
          <w:bCs/>
          <w:u w:val="single"/>
          <w:lang w:bidi="en-US"/>
        </w:rPr>
        <w:t>Monthly Foreign Crude Oil Acquisition Report”</w:t>
      </w:r>
      <w:r w:rsidR="00C74606" w:rsidRPr="00204CE6">
        <w:rPr>
          <w:rFonts w:ascii="Calibri" w:eastAsia="Times New Roman" w:hAnsi="Calibri" w:cs="Times New Roman"/>
          <w:b/>
          <w:u w:val="single"/>
          <w:lang w:bidi="en-US"/>
        </w:rPr>
        <w:t xml:space="preserve"> </w:t>
      </w:r>
    </w:p>
    <w:p w14:paraId="18EECDB9" w14:textId="6991AE89" w:rsidR="00C74606" w:rsidRPr="00204CE6" w:rsidRDefault="00C74606" w:rsidP="008F60C8">
      <w:pPr>
        <w:spacing w:after="0" w:line="360" w:lineRule="auto"/>
        <w:rPr>
          <w:rFonts w:ascii="Calibri" w:eastAsia="Times New Roman" w:hAnsi="Calibri" w:cs="Times New Roman"/>
          <w:lang w:bidi="en-US"/>
        </w:rPr>
      </w:pPr>
      <w:r w:rsidRPr="00204CE6">
        <w:rPr>
          <w:rFonts w:ascii="Calibri" w:eastAsia="Times New Roman" w:hAnsi="Calibri" w:cs="Times New Roman"/>
          <w:lang w:bidi="en-US"/>
        </w:rPr>
        <w:t xml:space="preserve">All companies acquiring more than 500,000 barrels of foreign crude oil in the report month for importation into the United States are required to submit this form monthly. </w:t>
      </w:r>
      <w:r w:rsidR="00B60318" w:rsidRPr="00204CE6">
        <w:rPr>
          <w:rFonts w:ascii="Calibri" w:eastAsia="Times New Roman" w:hAnsi="Calibri" w:cs="Times New Roman"/>
          <w:lang w:bidi="en-US"/>
        </w:rPr>
        <w:t xml:space="preserve">The frame is updated periodically from information </w:t>
      </w:r>
      <w:r w:rsidR="000A1712" w:rsidRPr="00204CE6">
        <w:rPr>
          <w:rFonts w:ascii="Calibri" w:eastAsia="Times New Roman" w:hAnsi="Calibri" w:cs="Times New Roman"/>
          <w:lang w:bidi="en-US"/>
        </w:rPr>
        <w:t xml:space="preserve">reported </w:t>
      </w:r>
      <w:r w:rsidR="000E47F8" w:rsidRPr="00204CE6">
        <w:rPr>
          <w:rFonts w:ascii="Calibri" w:eastAsia="Times New Roman" w:hAnsi="Calibri" w:cs="Times New Roman"/>
          <w:lang w:bidi="en-US"/>
        </w:rPr>
        <w:t>on</w:t>
      </w:r>
      <w:r w:rsidR="00B60318" w:rsidRPr="00204CE6">
        <w:rPr>
          <w:rFonts w:ascii="Calibri" w:eastAsia="Times New Roman" w:hAnsi="Calibri" w:cs="Times New Roman"/>
          <w:lang w:bidi="en-US"/>
        </w:rPr>
        <w:t xml:space="preserve"> Form EIA-814, </w:t>
      </w:r>
      <w:r w:rsidR="000A1712" w:rsidRPr="00204CE6">
        <w:rPr>
          <w:rFonts w:ascii="Calibri" w:eastAsia="Times New Roman" w:hAnsi="Calibri" w:cs="Times New Roman"/>
          <w:lang w:bidi="en-US"/>
        </w:rPr>
        <w:t>“</w:t>
      </w:r>
      <w:r w:rsidR="00B60318" w:rsidRPr="00204CE6">
        <w:rPr>
          <w:rFonts w:ascii="Calibri" w:eastAsia="Times New Roman" w:hAnsi="Calibri" w:cs="Times New Roman"/>
          <w:lang w:bidi="en-US"/>
        </w:rPr>
        <w:t xml:space="preserve">Monthly Imports Report.” </w:t>
      </w:r>
      <w:r w:rsidRPr="00204CE6">
        <w:rPr>
          <w:rFonts w:ascii="Calibri" w:eastAsia="Times New Roman" w:hAnsi="Calibri" w:cs="Times New Roman"/>
          <w:lang w:bidi="en-US"/>
        </w:rPr>
        <w:t>Currently the frame consists of 4</w:t>
      </w:r>
      <w:r w:rsidR="000A1712" w:rsidRPr="00204CE6">
        <w:rPr>
          <w:rFonts w:ascii="Calibri" w:eastAsia="Times New Roman" w:hAnsi="Calibri" w:cs="Times New Roman"/>
          <w:lang w:bidi="en-US"/>
        </w:rPr>
        <w:t>0</w:t>
      </w:r>
      <w:r w:rsidRPr="00204CE6">
        <w:rPr>
          <w:rFonts w:ascii="Calibri" w:eastAsia="Times New Roman" w:hAnsi="Calibri" w:cs="Times New Roman"/>
          <w:lang w:bidi="en-US"/>
        </w:rPr>
        <w:t xml:space="preserve"> respondents.</w:t>
      </w:r>
    </w:p>
    <w:p w14:paraId="1C56DF51" w14:textId="77777777" w:rsidR="00C74606" w:rsidRPr="00204CE6" w:rsidRDefault="007860AC" w:rsidP="00985552">
      <w:pPr>
        <w:pStyle w:val="Heading2"/>
        <w:rPr>
          <w:sz w:val="22"/>
          <w:szCs w:val="22"/>
        </w:rPr>
      </w:pPr>
      <w:r w:rsidRPr="00204CE6">
        <w:rPr>
          <w:sz w:val="22"/>
          <w:szCs w:val="22"/>
        </w:rPr>
        <w:t xml:space="preserve">B.1.3 </w:t>
      </w:r>
      <w:r w:rsidR="00C74606" w:rsidRPr="00204CE6">
        <w:rPr>
          <w:sz w:val="22"/>
          <w:szCs w:val="22"/>
        </w:rPr>
        <w:t xml:space="preserve">Monthly and Annual Petroleum Product Frames and Target Populations </w:t>
      </w:r>
    </w:p>
    <w:p w14:paraId="4BC1E73D" w14:textId="6E417B66" w:rsidR="00C74606" w:rsidRPr="00204CE6" w:rsidRDefault="00C74606" w:rsidP="00C74606">
      <w:pPr>
        <w:spacing w:before="100" w:beforeAutospacing="1" w:after="0" w:line="360" w:lineRule="auto"/>
        <w:rPr>
          <w:rFonts w:ascii="Calibri" w:eastAsia="Times New Roman" w:hAnsi="Calibri" w:cs="Times New Roman"/>
          <w:strike/>
        </w:rPr>
      </w:pPr>
      <w:r w:rsidRPr="00204CE6">
        <w:rPr>
          <w:rFonts w:ascii="Calibri" w:eastAsia="Times New Roman" w:hAnsi="Calibri" w:cs="Times New Roman"/>
        </w:rPr>
        <w:t xml:space="preserve">The target population for </w:t>
      </w:r>
      <w:r w:rsidR="008B667E" w:rsidRPr="00204CE6">
        <w:rPr>
          <w:rFonts w:ascii="Calibri" w:eastAsia="Times New Roman" w:hAnsi="Calibri" w:cs="Times New Roman"/>
        </w:rPr>
        <w:t xml:space="preserve">Form </w:t>
      </w:r>
      <w:r w:rsidRPr="00204CE6">
        <w:rPr>
          <w:rFonts w:ascii="Calibri" w:eastAsia="Times New Roman" w:hAnsi="Calibri" w:cs="Times New Roman"/>
        </w:rPr>
        <w:t xml:space="preserve">EIA-863 is all firms </w:t>
      </w:r>
      <w:r w:rsidR="000D5E17" w:rsidRPr="00204CE6">
        <w:rPr>
          <w:rFonts w:ascii="Calibri" w:eastAsia="Times New Roman" w:hAnsi="Calibri" w:cs="Times New Roman"/>
        </w:rPr>
        <w:t xml:space="preserve">that </w:t>
      </w:r>
      <w:r w:rsidRPr="00204CE6">
        <w:rPr>
          <w:rFonts w:ascii="Calibri" w:eastAsia="Times New Roman" w:hAnsi="Calibri" w:cs="Times New Roman"/>
        </w:rPr>
        <w:t xml:space="preserve">sell petroleum products. The firms surveyed on </w:t>
      </w:r>
      <w:r w:rsidR="008B667E" w:rsidRPr="00204CE6">
        <w:rPr>
          <w:rFonts w:ascii="Calibri" w:eastAsia="Times New Roman" w:hAnsi="Calibri" w:cs="Times New Roman"/>
        </w:rPr>
        <w:t xml:space="preserve">Form </w:t>
      </w:r>
      <w:r w:rsidRPr="00204CE6">
        <w:rPr>
          <w:rFonts w:ascii="Calibri" w:eastAsia="Times New Roman" w:hAnsi="Calibri" w:cs="Times New Roman"/>
        </w:rPr>
        <w:t xml:space="preserve">EIA-863, along with their associated volumetric data and </w:t>
      </w:r>
      <w:r w:rsidR="00687CC3" w:rsidRPr="00204CE6">
        <w:rPr>
          <w:rFonts w:ascii="Calibri" w:eastAsia="Times New Roman" w:hAnsi="Calibri" w:cs="Times New Roman"/>
        </w:rPr>
        <w:t>contact</w:t>
      </w:r>
      <w:r w:rsidRPr="00204CE6">
        <w:rPr>
          <w:rFonts w:ascii="Calibri" w:eastAsia="Times New Roman" w:hAnsi="Calibri" w:cs="Times New Roman"/>
        </w:rPr>
        <w:t xml:space="preserve"> information, serve solely or partially as the sampling frame for Forms EIA-821, “Annual Fuel Oil and Kerosene Sales Report,” EIA-877, “Winter Heating Fuels Telephone Survey,” EIA-878, “Weekly Motor Gasoline Price Survey,” EIA-888, “Weekly On-Highway Diesel Price Survey</w:t>
      </w:r>
      <w:r w:rsidR="003666DA" w:rsidRPr="00204CE6">
        <w:rPr>
          <w:rFonts w:ascii="Calibri" w:eastAsia="Times New Roman" w:hAnsi="Calibri" w:cs="Times New Roman"/>
        </w:rPr>
        <w:t>.</w:t>
      </w:r>
      <w:r w:rsidRPr="00204CE6">
        <w:rPr>
          <w:rFonts w:ascii="Calibri" w:eastAsia="Times New Roman" w:hAnsi="Calibri" w:cs="Times New Roman"/>
        </w:rPr>
        <w:t xml:space="preserve">” </w:t>
      </w:r>
      <w:r w:rsidR="00844344">
        <w:rPr>
          <w:rFonts w:ascii="Calibri" w:eastAsia="Times New Roman" w:hAnsi="Calibri" w:cs="Times New Roman"/>
        </w:rPr>
        <w:t xml:space="preserve">  The samples for three weekly surveys, EIA-877, EIA-878, and EIA-888 are selected from an outlet based frame.  The sample for the EIA-821 will continue to be selected from the EIA-863 and will benefit from updating the EIA-863 frame file.</w:t>
      </w:r>
    </w:p>
    <w:p w14:paraId="68D0ED91" w14:textId="41DEFA67" w:rsidR="008B667E" w:rsidRPr="00204CE6" w:rsidRDefault="008B667E" w:rsidP="00C74606">
      <w:pPr>
        <w:spacing w:before="200" w:after="0" w:line="360" w:lineRule="auto"/>
        <w:rPr>
          <w:rFonts w:ascii="Calibri" w:eastAsia="Times New Roman" w:hAnsi="Calibri" w:cs="Times New Roman"/>
          <w:b/>
          <w:u w:val="single"/>
          <w:lang w:bidi="en-US"/>
        </w:rPr>
      </w:pPr>
      <w:r w:rsidRPr="00204CE6">
        <w:rPr>
          <w:rFonts w:ascii="Calibri" w:eastAsia="Times New Roman" w:hAnsi="Calibri" w:cs="Times New Roman"/>
          <w:b/>
          <w:u w:val="single"/>
          <w:lang w:bidi="en-US"/>
        </w:rPr>
        <w:t xml:space="preserve">Form </w:t>
      </w:r>
      <w:r w:rsidR="00C74606" w:rsidRPr="00204CE6">
        <w:rPr>
          <w:rFonts w:ascii="Calibri" w:eastAsia="Times New Roman" w:hAnsi="Calibri" w:cs="Times New Roman"/>
          <w:b/>
          <w:u w:val="single"/>
          <w:lang w:bidi="en-US"/>
        </w:rPr>
        <w:t xml:space="preserve">EIA-821, “Annual Fuel Oil and Kerosene Sales Report” </w:t>
      </w:r>
    </w:p>
    <w:p w14:paraId="3236CEC9" w14:textId="3985ADC0" w:rsidR="00C74606" w:rsidRPr="00204CE6" w:rsidRDefault="00C74606" w:rsidP="008F60C8">
      <w:pPr>
        <w:spacing w:after="0" w:line="360" w:lineRule="auto"/>
        <w:rPr>
          <w:rFonts w:ascii="Calibri" w:eastAsia="Times New Roman" w:hAnsi="Calibri" w:cs="Times New Roman"/>
          <w:lang w:bidi="en-US"/>
        </w:rPr>
      </w:pPr>
      <w:r w:rsidRPr="00204CE6">
        <w:rPr>
          <w:rFonts w:ascii="Calibri" w:eastAsia="Times New Roman" w:hAnsi="Calibri" w:cs="Times New Roman"/>
          <w:lang w:bidi="en-US"/>
        </w:rPr>
        <w:t xml:space="preserve">The frame for this survey is constructed from </w:t>
      </w:r>
      <w:r w:rsidR="008B667E" w:rsidRPr="00204CE6">
        <w:rPr>
          <w:rFonts w:ascii="Calibri" w:eastAsia="Times New Roman" w:hAnsi="Calibri" w:cs="Times New Roman"/>
          <w:lang w:bidi="en-US"/>
        </w:rPr>
        <w:t>Form</w:t>
      </w:r>
      <w:r w:rsidRPr="00204CE6">
        <w:rPr>
          <w:rFonts w:ascii="Calibri" w:eastAsia="Times New Roman" w:hAnsi="Calibri" w:cs="Times New Roman"/>
          <w:lang w:bidi="en-US"/>
        </w:rPr>
        <w:t xml:space="preserve"> EIA-863 survey results, supplemented by retailers/resellers and importers of residual fuel oil who were not identified by </w:t>
      </w:r>
      <w:r w:rsidR="008B667E" w:rsidRPr="00204CE6">
        <w:rPr>
          <w:rFonts w:ascii="Calibri" w:eastAsia="Times New Roman" w:hAnsi="Calibri" w:cs="Times New Roman"/>
          <w:lang w:bidi="en-US"/>
        </w:rPr>
        <w:t>Form</w:t>
      </w:r>
      <w:r w:rsidRPr="00204CE6">
        <w:rPr>
          <w:rFonts w:ascii="Calibri" w:eastAsia="Times New Roman" w:hAnsi="Calibri" w:cs="Times New Roman"/>
          <w:lang w:bidi="en-US"/>
        </w:rPr>
        <w:t xml:space="preserve"> EIA-863. Currently, the sampling frame consists of over 20,000 companies. </w:t>
      </w:r>
    </w:p>
    <w:p w14:paraId="7BA7B933" w14:textId="58676748" w:rsidR="008B667E" w:rsidRPr="00204CE6" w:rsidRDefault="002B5DA7" w:rsidP="00C74606">
      <w:pPr>
        <w:spacing w:before="200" w:after="0" w:line="360" w:lineRule="auto"/>
        <w:rPr>
          <w:rFonts w:ascii="Calibri" w:eastAsia="Times New Roman" w:hAnsi="Calibri" w:cs="Times New Roman"/>
          <w:b/>
          <w:u w:val="single"/>
          <w:lang w:bidi="en-US"/>
        </w:rPr>
      </w:pPr>
      <w:r w:rsidRPr="00204CE6">
        <w:rPr>
          <w:rFonts w:ascii="Calibri" w:eastAsia="Times New Roman" w:hAnsi="Calibri" w:cs="Times New Roman"/>
          <w:b/>
          <w:u w:val="single"/>
          <w:lang w:bidi="en-US"/>
        </w:rPr>
        <w:t xml:space="preserve">Form </w:t>
      </w:r>
      <w:r w:rsidR="00C74606" w:rsidRPr="00204CE6">
        <w:rPr>
          <w:rFonts w:ascii="Calibri" w:eastAsia="Times New Roman" w:hAnsi="Calibri" w:cs="Times New Roman"/>
          <w:b/>
          <w:u w:val="single"/>
          <w:lang w:bidi="en-US"/>
        </w:rPr>
        <w:t>EIA-782A, “Refiners’ Gas Plant Operators’ Monthly Petroleum Product Sales Report”</w:t>
      </w:r>
    </w:p>
    <w:p w14:paraId="276C23B0" w14:textId="0FD65097" w:rsidR="00985552" w:rsidRPr="00204CE6" w:rsidRDefault="00985552" w:rsidP="00985552">
      <w:pPr>
        <w:spacing w:after="0" w:line="360" w:lineRule="auto"/>
        <w:rPr>
          <w:rFonts w:ascii="Calibri" w:eastAsia="Times New Roman" w:hAnsi="Calibri" w:cs="Times New Roman"/>
          <w:lang w:bidi="en-US"/>
        </w:rPr>
      </w:pPr>
      <w:r w:rsidRPr="00204CE6">
        <w:rPr>
          <w:rFonts w:ascii="Calibri" w:eastAsia="Times New Roman" w:hAnsi="Calibri" w:cs="Times New Roman"/>
          <w:lang w:bidi="en-US"/>
        </w:rPr>
        <w:t>The target population for this survey includes the universe of refiners and gas plant operators. Firms that own and operate a refinery or gas plant and sell any of the 14 products listed on the form are required to file Form EIA-782A. The original frame was derived from a consolidated list of refiners known to have reported on several EIA surveys, the frame of gas plant operators from Form EIA-64, “Natural Gas Liquids Operations Report</w:t>
      </w:r>
      <w:r w:rsidR="00A2541B" w:rsidRPr="00204CE6">
        <w:rPr>
          <w:rFonts w:ascii="Calibri" w:eastAsia="Times New Roman" w:hAnsi="Calibri" w:cs="Times New Roman"/>
          <w:lang w:bidi="en-US"/>
        </w:rPr>
        <w:t>,</w:t>
      </w:r>
      <w:r w:rsidRPr="00204CE6">
        <w:rPr>
          <w:rFonts w:ascii="Calibri" w:eastAsia="Times New Roman" w:hAnsi="Calibri" w:cs="Times New Roman"/>
          <w:lang w:bidi="en-US"/>
        </w:rPr>
        <w:t xml:space="preserve">” and </w:t>
      </w:r>
      <w:r w:rsidRPr="00204CE6">
        <w:t>companies identified as refiners or gas plant operators on Form EIA-460, "Petroleum Industry Monthly</w:t>
      </w:r>
      <w:r w:rsidRPr="00204CE6">
        <w:rPr>
          <w:spacing w:val="-4"/>
        </w:rPr>
        <w:t xml:space="preserve"> </w:t>
      </w:r>
      <w:r w:rsidRPr="00204CE6">
        <w:t>Report</w:t>
      </w:r>
      <w:r w:rsidRPr="00204CE6">
        <w:rPr>
          <w:spacing w:val="-11"/>
        </w:rPr>
        <w:t xml:space="preserve"> </w:t>
      </w:r>
      <w:r w:rsidRPr="00204CE6">
        <w:t>for</w:t>
      </w:r>
      <w:r w:rsidRPr="00204CE6">
        <w:rPr>
          <w:spacing w:val="-11"/>
        </w:rPr>
        <w:t xml:space="preserve"> </w:t>
      </w:r>
      <w:r w:rsidRPr="00204CE6">
        <w:t>Product</w:t>
      </w:r>
      <w:r w:rsidRPr="00204CE6">
        <w:rPr>
          <w:spacing w:val="-2"/>
        </w:rPr>
        <w:t xml:space="preserve"> </w:t>
      </w:r>
      <w:r w:rsidRPr="00204CE6">
        <w:t>Prices</w:t>
      </w:r>
      <w:r w:rsidR="00A2541B" w:rsidRPr="00204CE6">
        <w:t>.</w:t>
      </w:r>
      <w:r w:rsidRPr="00204CE6">
        <w:t>"</w:t>
      </w:r>
      <w:r w:rsidRPr="00204CE6">
        <w:rPr>
          <w:rFonts w:ascii="Calibri" w:eastAsia="Times New Roman" w:hAnsi="Calibri" w:cs="Times New Roman"/>
          <w:color w:val="FF0000"/>
          <w:lang w:bidi="en-US"/>
        </w:rPr>
        <w:t xml:space="preserve"> </w:t>
      </w:r>
      <w:r w:rsidRPr="00204CE6">
        <w:rPr>
          <w:rFonts w:ascii="Calibri" w:eastAsia="Times New Roman" w:hAnsi="Calibri" w:cs="Times New Roman"/>
          <w:lang w:bidi="en-US"/>
        </w:rPr>
        <w:t>In 2018 the frame consists of 100 companies.</w:t>
      </w:r>
    </w:p>
    <w:p w14:paraId="74F4D947" w14:textId="0F099699" w:rsidR="007860AC" w:rsidRPr="00204CE6" w:rsidRDefault="002B5DA7" w:rsidP="00C74606">
      <w:pPr>
        <w:spacing w:before="100" w:beforeAutospacing="1" w:after="0" w:line="360" w:lineRule="auto"/>
        <w:rPr>
          <w:rFonts w:ascii="Calibri" w:eastAsia="Times New Roman" w:hAnsi="Calibri" w:cs="Times New Roman"/>
          <w:b/>
          <w:color w:val="000000"/>
          <w:u w:val="single"/>
        </w:rPr>
      </w:pPr>
      <w:r w:rsidRPr="00204CE6">
        <w:rPr>
          <w:rFonts w:ascii="Calibri" w:eastAsia="Times New Roman" w:hAnsi="Calibri" w:cs="Times New Roman"/>
          <w:b/>
          <w:color w:val="000000"/>
          <w:u w:val="single"/>
        </w:rPr>
        <w:t xml:space="preserve">Form </w:t>
      </w:r>
      <w:r w:rsidR="00C74606" w:rsidRPr="00204CE6">
        <w:rPr>
          <w:rFonts w:ascii="Calibri" w:eastAsia="Times New Roman" w:hAnsi="Calibri" w:cs="Times New Roman"/>
          <w:b/>
          <w:color w:val="000000"/>
          <w:u w:val="single"/>
        </w:rPr>
        <w:t>EIA-782C,</w:t>
      </w:r>
      <w:r w:rsidR="00C74606" w:rsidRPr="00204CE6">
        <w:rPr>
          <w:rFonts w:ascii="Calibri" w:eastAsia="Times New Roman" w:hAnsi="Calibri" w:cs="Times New Roman"/>
          <w:b/>
          <w:u w:val="single"/>
        </w:rPr>
        <w:t xml:space="preserve"> “Monthly Report of Prime Supplier Sales of Pe</w:t>
      </w:r>
      <w:r w:rsidR="00F4147A" w:rsidRPr="00204CE6">
        <w:rPr>
          <w:rFonts w:ascii="Calibri" w:eastAsia="Times New Roman" w:hAnsi="Calibri" w:cs="Times New Roman"/>
          <w:b/>
          <w:u w:val="single"/>
        </w:rPr>
        <w:t xml:space="preserve">troleum Products Sold for Local </w:t>
      </w:r>
      <w:r w:rsidR="00C74606" w:rsidRPr="00204CE6">
        <w:rPr>
          <w:rFonts w:ascii="Calibri" w:eastAsia="Times New Roman" w:hAnsi="Calibri" w:cs="Times New Roman"/>
          <w:b/>
          <w:u w:val="single"/>
        </w:rPr>
        <w:t>Consumption”</w:t>
      </w:r>
      <w:r w:rsidR="00C74606" w:rsidRPr="00204CE6">
        <w:rPr>
          <w:rFonts w:ascii="Calibri" w:eastAsia="Times New Roman" w:hAnsi="Calibri" w:cs="Times New Roman"/>
          <w:b/>
          <w:color w:val="000000"/>
          <w:u w:val="single"/>
        </w:rPr>
        <w:t xml:space="preserve"> </w:t>
      </w:r>
    </w:p>
    <w:p w14:paraId="70407B3E" w14:textId="0F60E526" w:rsidR="00C74606" w:rsidRPr="00204CE6" w:rsidRDefault="00C74606" w:rsidP="008F60C8">
      <w:pPr>
        <w:spacing w:after="0" w:line="360" w:lineRule="auto"/>
        <w:rPr>
          <w:rFonts w:ascii="Calibri" w:eastAsia="Times New Roman" w:hAnsi="Calibri" w:cs="Times New Roman"/>
          <w:color w:val="000000"/>
        </w:rPr>
      </w:pPr>
      <w:r w:rsidRPr="00204CE6">
        <w:rPr>
          <w:rFonts w:ascii="Calibri" w:eastAsia="Times New Roman" w:hAnsi="Calibri" w:cs="Times New Roman"/>
          <w:color w:val="000000"/>
        </w:rPr>
        <w:t>The target population for this survey includes all suppliers who make the first sale of any of the products listed on Form EIA-782C, and deliver that product into a state for consumption in that state. The product slate includes: motor gasoline, No. 1 distillate, kerosene, fuel oil, diesel fuel, aviation gasoline, jet fuel, No. 4 fuel</w:t>
      </w:r>
      <w:r w:rsidR="000A1712" w:rsidRPr="00204CE6">
        <w:rPr>
          <w:rFonts w:ascii="Calibri" w:eastAsia="Times New Roman" w:hAnsi="Calibri" w:cs="Times New Roman"/>
          <w:color w:val="000000"/>
        </w:rPr>
        <w:t xml:space="preserve"> oil</w:t>
      </w:r>
      <w:r w:rsidRPr="00204CE6">
        <w:rPr>
          <w:rFonts w:ascii="Calibri" w:eastAsia="Times New Roman" w:hAnsi="Calibri" w:cs="Times New Roman"/>
          <w:color w:val="000000"/>
        </w:rPr>
        <w:t xml:space="preserve">, residual fuel oil, and propane. The original frame was constructed from the </w:t>
      </w:r>
      <w:r w:rsidR="00687CC3" w:rsidRPr="00204CE6">
        <w:rPr>
          <w:rFonts w:ascii="Calibri" w:eastAsia="Times New Roman" w:hAnsi="Calibri" w:cs="Times New Roman"/>
          <w:color w:val="000000"/>
        </w:rPr>
        <w:t xml:space="preserve">1981 </w:t>
      </w:r>
      <w:r w:rsidRPr="00204CE6">
        <w:rPr>
          <w:rFonts w:ascii="Calibri" w:eastAsia="Times New Roman" w:hAnsi="Calibri" w:cs="Times New Roman"/>
          <w:color w:val="000000"/>
        </w:rPr>
        <w:t xml:space="preserve">respondent frame of the former </w:t>
      </w:r>
      <w:r w:rsidR="007860AC" w:rsidRPr="00204CE6">
        <w:rPr>
          <w:rFonts w:ascii="Calibri" w:eastAsia="Times New Roman" w:hAnsi="Calibri" w:cs="Times New Roman"/>
          <w:color w:val="000000"/>
        </w:rPr>
        <w:t xml:space="preserve">Form </w:t>
      </w:r>
      <w:r w:rsidRPr="00204CE6">
        <w:rPr>
          <w:rFonts w:ascii="Calibri" w:eastAsia="Times New Roman" w:hAnsi="Calibri" w:cs="Times New Roman"/>
          <w:color w:val="000000"/>
        </w:rPr>
        <w:t xml:space="preserve">EIA-25, “Prime Supplier’s Monthly Report.” Currently the frame consists of </w:t>
      </w:r>
      <w:r w:rsidRPr="00204CE6">
        <w:rPr>
          <w:rFonts w:ascii="Calibri" w:eastAsia="Times New Roman" w:hAnsi="Calibri" w:cs="Times New Roman"/>
        </w:rPr>
        <w:t>20</w:t>
      </w:r>
      <w:r w:rsidR="00B00154" w:rsidRPr="00204CE6">
        <w:rPr>
          <w:rFonts w:ascii="Calibri" w:eastAsia="Times New Roman" w:hAnsi="Calibri" w:cs="Times New Roman"/>
        </w:rPr>
        <w:t>0</w:t>
      </w:r>
      <w:r w:rsidRPr="00204CE6">
        <w:rPr>
          <w:rFonts w:ascii="Calibri" w:eastAsia="Times New Roman" w:hAnsi="Calibri" w:cs="Times New Roman"/>
          <w:color w:val="000000"/>
        </w:rPr>
        <w:t xml:space="preserve"> prime suppliers and is updated as needed due to births, deaths</w:t>
      </w:r>
      <w:r w:rsidR="000A1712" w:rsidRPr="00204CE6">
        <w:rPr>
          <w:rFonts w:ascii="Calibri" w:eastAsia="Times New Roman" w:hAnsi="Calibri" w:cs="Times New Roman"/>
          <w:color w:val="000000"/>
        </w:rPr>
        <w:t>,</w:t>
      </w:r>
      <w:r w:rsidRPr="00204CE6">
        <w:rPr>
          <w:rFonts w:ascii="Calibri" w:eastAsia="Times New Roman" w:hAnsi="Calibri" w:cs="Times New Roman"/>
          <w:color w:val="000000"/>
        </w:rPr>
        <w:t xml:space="preserve"> and mergers.</w:t>
      </w:r>
    </w:p>
    <w:p w14:paraId="74C4DC80" w14:textId="77777777" w:rsidR="00C74606" w:rsidRPr="00204CE6" w:rsidRDefault="007860AC" w:rsidP="00985552">
      <w:pPr>
        <w:pStyle w:val="Heading2"/>
        <w:rPr>
          <w:sz w:val="22"/>
          <w:szCs w:val="22"/>
        </w:rPr>
      </w:pPr>
      <w:r w:rsidRPr="00204CE6">
        <w:rPr>
          <w:sz w:val="22"/>
          <w:szCs w:val="22"/>
        </w:rPr>
        <w:t xml:space="preserve">B.1.4. </w:t>
      </w:r>
      <w:r w:rsidR="00C74606" w:rsidRPr="00204CE6">
        <w:rPr>
          <w:sz w:val="22"/>
          <w:szCs w:val="22"/>
        </w:rPr>
        <w:t>Weekly Petroleum Product Frames and Target Population</w:t>
      </w:r>
      <w:r w:rsidR="00B00154" w:rsidRPr="00204CE6">
        <w:rPr>
          <w:sz w:val="22"/>
          <w:szCs w:val="22"/>
        </w:rPr>
        <w:t>s</w:t>
      </w:r>
    </w:p>
    <w:p w14:paraId="3F4C18C1" w14:textId="03573857" w:rsidR="007860AC" w:rsidRPr="00204CE6" w:rsidRDefault="002B5DA7" w:rsidP="00C74606">
      <w:pPr>
        <w:spacing w:before="200" w:after="0" w:line="360" w:lineRule="auto"/>
        <w:rPr>
          <w:rFonts w:ascii="Calibri" w:hAnsi="Calibri"/>
          <w:b/>
          <w:color w:val="FF0000"/>
        </w:rPr>
      </w:pPr>
      <w:r w:rsidRPr="00204CE6">
        <w:rPr>
          <w:rFonts w:ascii="Calibri" w:eastAsia="Times New Roman" w:hAnsi="Calibri" w:cs="Times New Roman"/>
          <w:b/>
          <w:color w:val="000000"/>
          <w:u w:val="single"/>
          <w:lang w:bidi="en-US"/>
        </w:rPr>
        <w:t xml:space="preserve">Form </w:t>
      </w:r>
      <w:r w:rsidR="00C74606" w:rsidRPr="00204CE6">
        <w:rPr>
          <w:rFonts w:ascii="Calibri" w:eastAsia="Times New Roman" w:hAnsi="Calibri" w:cs="Times New Roman"/>
          <w:b/>
          <w:color w:val="000000"/>
          <w:u w:val="single"/>
          <w:lang w:bidi="en-US"/>
        </w:rPr>
        <w:t>EIA-877, “</w:t>
      </w:r>
      <w:r w:rsidR="00C74606" w:rsidRPr="00204CE6">
        <w:rPr>
          <w:rFonts w:ascii="Calibri" w:eastAsia="Times New Roman" w:hAnsi="Calibri" w:cs="Times New Roman"/>
          <w:b/>
          <w:bCs/>
          <w:u w:val="single"/>
          <w:lang w:bidi="en-US"/>
        </w:rPr>
        <w:t>Winter Heating Fuels Telephone Survey</w:t>
      </w:r>
      <w:r w:rsidR="00C74606" w:rsidRPr="00204CE6">
        <w:rPr>
          <w:rFonts w:ascii="Calibri" w:eastAsia="Times New Roman" w:hAnsi="Calibri" w:cs="Times New Roman"/>
          <w:b/>
          <w:bCs/>
          <w:color w:val="000000"/>
          <w:u w:val="single"/>
          <w:lang w:bidi="en-US"/>
        </w:rPr>
        <w:t xml:space="preserve">” </w:t>
      </w:r>
      <w:r w:rsidR="00732C1F" w:rsidRPr="00204CE6">
        <w:rPr>
          <w:rFonts w:ascii="Calibri" w:eastAsia="Times New Roman" w:hAnsi="Calibri" w:cs="Times New Roman"/>
          <w:b/>
          <w:bCs/>
          <w:color w:val="FF0000"/>
          <w:u w:val="single"/>
          <w:lang w:bidi="en-US"/>
        </w:rPr>
        <w:t xml:space="preserve"> </w:t>
      </w:r>
    </w:p>
    <w:p w14:paraId="655E807F" w14:textId="3E7FFB7D" w:rsidR="00C74606" w:rsidRPr="00204CE6" w:rsidRDefault="00D551E6" w:rsidP="00BF5764">
      <w:pPr>
        <w:spacing w:after="0" w:line="360" w:lineRule="auto"/>
        <w:rPr>
          <w:rFonts w:ascii="Calibri" w:eastAsia="Times New Roman" w:hAnsi="Calibri" w:cs="Times New Roman"/>
          <w:color w:val="FF0000"/>
          <w:lang w:bidi="en-US"/>
        </w:rPr>
      </w:pPr>
      <w:r w:rsidRPr="00204CE6">
        <w:rPr>
          <w:rFonts w:ascii="Calibri" w:eastAsia="Times New Roman" w:hAnsi="Calibri" w:cs="Times New Roman"/>
          <w:lang w:bidi="en-US"/>
        </w:rPr>
        <w:t>Constructed s</w:t>
      </w:r>
      <w:r w:rsidR="006A6D8C" w:rsidRPr="00204CE6">
        <w:rPr>
          <w:rFonts w:ascii="Calibri" w:eastAsia="Times New Roman" w:hAnsi="Calibri" w:cs="Times New Roman"/>
          <w:lang w:bidi="en-US"/>
        </w:rPr>
        <w:t>eparately for residential propane sellers and residential heating oil sellers</w:t>
      </w:r>
      <w:r w:rsidR="00A93828" w:rsidRPr="00204CE6">
        <w:rPr>
          <w:rFonts w:ascii="Calibri" w:eastAsia="Times New Roman" w:hAnsi="Calibri" w:cs="Times New Roman"/>
          <w:lang w:bidi="en-US"/>
        </w:rPr>
        <w:t xml:space="preserve"> in selected states</w:t>
      </w:r>
      <w:r w:rsidR="006A6D8C" w:rsidRPr="00204CE6">
        <w:rPr>
          <w:rFonts w:ascii="Calibri" w:eastAsia="Times New Roman" w:hAnsi="Calibri" w:cs="Times New Roman"/>
          <w:lang w:bidi="en-US"/>
        </w:rPr>
        <w:t>, t</w:t>
      </w:r>
      <w:r w:rsidR="00C74606" w:rsidRPr="00204CE6">
        <w:rPr>
          <w:rFonts w:ascii="Calibri" w:eastAsia="Times New Roman" w:hAnsi="Calibri" w:cs="Times New Roman"/>
          <w:lang w:bidi="en-US"/>
        </w:rPr>
        <w:t xml:space="preserve">he </w:t>
      </w:r>
      <w:r w:rsidR="00EF4713" w:rsidRPr="00204CE6">
        <w:rPr>
          <w:rFonts w:ascii="Calibri" w:eastAsia="Times New Roman" w:hAnsi="Calibri" w:cs="Times New Roman"/>
          <w:lang w:bidi="en-US"/>
        </w:rPr>
        <w:t xml:space="preserve">two </w:t>
      </w:r>
      <w:r w:rsidR="006A6D8C" w:rsidRPr="00204CE6">
        <w:rPr>
          <w:rFonts w:ascii="Calibri" w:eastAsia="Times New Roman" w:hAnsi="Calibri" w:cs="Times New Roman"/>
          <w:lang w:bidi="en-US"/>
        </w:rPr>
        <w:t>outlet</w:t>
      </w:r>
      <w:r w:rsidR="003C76AF" w:rsidRPr="00204CE6">
        <w:rPr>
          <w:rFonts w:ascii="Calibri" w:eastAsia="Times New Roman" w:hAnsi="Calibri" w:cs="Times New Roman"/>
          <w:lang w:bidi="en-US"/>
        </w:rPr>
        <w:t>-</w:t>
      </w:r>
      <w:r w:rsidR="00C74606" w:rsidRPr="00204CE6">
        <w:rPr>
          <w:rFonts w:ascii="Calibri" w:eastAsia="Times New Roman" w:hAnsi="Calibri" w:cs="Times New Roman"/>
          <w:lang w:bidi="en-US"/>
        </w:rPr>
        <w:t xml:space="preserve">level </w:t>
      </w:r>
      <w:r w:rsidR="003C76AF" w:rsidRPr="00204CE6">
        <w:rPr>
          <w:rFonts w:ascii="Calibri" w:eastAsia="Times New Roman" w:hAnsi="Calibri" w:cs="Times New Roman"/>
          <w:lang w:bidi="en-US"/>
        </w:rPr>
        <w:t xml:space="preserve">sampling </w:t>
      </w:r>
      <w:r w:rsidR="00C74606" w:rsidRPr="00204CE6">
        <w:rPr>
          <w:rFonts w:ascii="Calibri" w:eastAsia="Times New Roman" w:hAnsi="Calibri" w:cs="Times New Roman"/>
          <w:lang w:bidi="en-US"/>
        </w:rPr>
        <w:t>frame</w:t>
      </w:r>
      <w:r w:rsidR="00EF4713" w:rsidRPr="00204CE6">
        <w:rPr>
          <w:rFonts w:ascii="Calibri" w:eastAsia="Times New Roman" w:hAnsi="Calibri" w:cs="Times New Roman"/>
          <w:lang w:bidi="en-US"/>
        </w:rPr>
        <w:t>s</w:t>
      </w:r>
      <w:r w:rsidR="00C74606" w:rsidRPr="00204CE6">
        <w:rPr>
          <w:rFonts w:ascii="Calibri" w:eastAsia="Times New Roman" w:hAnsi="Calibri" w:cs="Times New Roman"/>
          <w:lang w:bidi="en-US"/>
        </w:rPr>
        <w:t xml:space="preserve"> for this survey </w:t>
      </w:r>
      <w:r w:rsidR="003C76AF" w:rsidRPr="00204CE6">
        <w:rPr>
          <w:rFonts w:ascii="Calibri" w:eastAsia="Times New Roman" w:hAnsi="Calibri" w:cs="Times New Roman"/>
          <w:lang w:bidi="en-US"/>
        </w:rPr>
        <w:t>consist of</w:t>
      </w:r>
      <w:r w:rsidR="00C74606" w:rsidRPr="00204CE6">
        <w:rPr>
          <w:rFonts w:ascii="Calibri" w:eastAsia="Times New Roman" w:hAnsi="Calibri" w:cs="Times New Roman"/>
          <w:lang w:bidi="en-US"/>
        </w:rPr>
        <w:t xml:space="preserve"> </w:t>
      </w:r>
      <w:r w:rsidR="006A6D8C" w:rsidRPr="00204CE6">
        <w:rPr>
          <w:rFonts w:ascii="Calibri" w:eastAsia="Times New Roman" w:hAnsi="Calibri" w:cs="Times New Roman"/>
          <w:lang w:bidi="en-US"/>
        </w:rPr>
        <w:t>outlets</w:t>
      </w:r>
      <w:r w:rsidR="00970836" w:rsidRPr="00204CE6">
        <w:rPr>
          <w:rFonts w:ascii="Calibri" w:eastAsia="Times New Roman" w:hAnsi="Calibri" w:cs="Times New Roman"/>
          <w:lang w:bidi="en-US"/>
        </w:rPr>
        <w:t xml:space="preserve"> </w:t>
      </w:r>
      <w:r w:rsidR="002F4C71" w:rsidRPr="00204CE6">
        <w:rPr>
          <w:rFonts w:ascii="Calibri" w:eastAsia="Times New Roman" w:hAnsi="Calibri" w:cs="Times New Roman"/>
          <w:lang w:bidi="en-US"/>
        </w:rPr>
        <w:t>originally</w:t>
      </w:r>
      <w:r w:rsidR="00C74606" w:rsidRPr="00204CE6">
        <w:rPr>
          <w:rFonts w:ascii="Calibri" w:eastAsia="Times New Roman" w:hAnsi="Calibri" w:cs="Times New Roman"/>
          <w:lang w:bidi="en-US"/>
        </w:rPr>
        <w:t xml:space="preserve"> identified </w:t>
      </w:r>
      <w:r w:rsidR="00240629" w:rsidRPr="00204CE6">
        <w:rPr>
          <w:rFonts w:ascii="Calibri" w:eastAsia="Times New Roman" w:hAnsi="Calibri" w:cs="Times New Roman"/>
          <w:lang w:bidi="en-US"/>
        </w:rPr>
        <w:t>from</w:t>
      </w:r>
      <w:r w:rsidR="00C74606" w:rsidRPr="00204CE6">
        <w:rPr>
          <w:rFonts w:ascii="Calibri" w:eastAsia="Times New Roman" w:hAnsi="Calibri" w:cs="Times New Roman"/>
          <w:lang w:bidi="en-US"/>
        </w:rPr>
        <w:t xml:space="preserve"> </w:t>
      </w:r>
      <w:r w:rsidR="00687CC3" w:rsidRPr="00204CE6">
        <w:rPr>
          <w:rFonts w:ascii="Calibri" w:eastAsia="Times New Roman" w:hAnsi="Calibri" w:cs="Times New Roman"/>
          <w:lang w:bidi="en-US"/>
        </w:rPr>
        <w:t xml:space="preserve">the </w:t>
      </w:r>
      <w:r w:rsidR="00A01C47" w:rsidRPr="00204CE6">
        <w:rPr>
          <w:rFonts w:ascii="Calibri" w:eastAsia="Times New Roman" w:hAnsi="Calibri" w:cs="Times New Roman"/>
          <w:lang w:bidi="en-US"/>
        </w:rPr>
        <w:t xml:space="preserve">Form </w:t>
      </w:r>
      <w:r w:rsidR="00C74606" w:rsidRPr="00204CE6">
        <w:rPr>
          <w:rFonts w:ascii="Calibri" w:eastAsia="Times New Roman" w:hAnsi="Calibri" w:cs="Times New Roman"/>
          <w:lang w:bidi="en-US"/>
        </w:rPr>
        <w:t>EIA-863</w:t>
      </w:r>
      <w:r w:rsidR="00970836" w:rsidRPr="00204CE6">
        <w:rPr>
          <w:rFonts w:ascii="Calibri" w:eastAsia="Times New Roman" w:hAnsi="Calibri" w:cs="Times New Roman"/>
          <w:lang w:bidi="en-US"/>
        </w:rPr>
        <w:t xml:space="preserve"> </w:t>
      </w:r>
      <w:r w:rsidR="00651A8A" w:rsidRPr="00204CE6">
        <w:rPr>
          <w:rFonts w:ascii="Calibri" w:eastAsia="Times New Roman" w:hAnsi="Calibri" w:cs="Times New Roman"/>
          <w:lang w:bidi="en-US"/>
        </w:rPr>
        <w:t>in2006</w:t>
      </w:r>
      <w:r w:rsidR="00240629" w:rsidRPr="00204CE6">
        <w:rPr>
          <w:rFonts w:ascii="Calibri" w:eastAsia="Times New Roman" w:hAnsi="Calibri" w:cs="Times New Roman"/>
          <w:lang w:bidi="en-US"/>
        </w:rPr>
        <w:t xml:space="preserve"> and 2010</w:t>
      </w:r>
      <w:r w:rsidR="00687CC3" w:rsidRPr="00204CE6">
        <w:rPr>
          <w:rFonts w:ascii="Calibri" w:eastAsia="Times New Roman" w:hAnsi="Calibri" w:cs="Times New Roman"/>
          <w:lang w:bidi="en-US"/>
        </w:rPr>
        <w:t xml:space="preserve"> data collection cycles</w:t>
      </w:r>
      <w:r w:rsidR="00C74606" w:rsidRPr="00204CE6">
        <w:rPr>
          <w:rFonts w:ascii="Calibri" w:eastAsia="Times New Roman" w:hAnsi="Calibri" w:cs="Times New Roman"/>
          <w:lang w:bidi="en-US"/>
        </w:rPr>
        <w:t>.</w:t>
      </w:r>
      <w:r w:rsidR="004F4B66" w:rsidRPr="00204CE6">
        <w:rPr>
          <w:rFonts w:ascii="Calibri" w:eastAsia="Times New Roman" w:hAnsi="Calibri" w:cs="Times New Roman"/>
          <w:lang w:bidi="en-US"/>
        </w:rPr>
        <w:t xml:space="preserve"> The</w:t>
      </w:r>
      <w:r w:rsidR="00240629" w:rsidRPr="00204CE6">
        <w:rPr>
          <w:rFonts w:ascii="Calibri" w:eastAsia="Times New Roman" w:hAnsi="Calibri" w:cs="Times New Roman"/>
          <w:lang w:bidi="en-US"/>
        </w:rPr>
        <w:t xml:space="preserve">se </w:t>
      </w:r>
      <w:r w:rsidR="004F4B66" w:rsidRPr="00204CE6">
        <w:rPr>
          <w:rFonts w:ascii="Calibri" w:eastAsia="Times New Roman" w:hAnsi="Calibri" w:cs="Times New Roman"/>
          <w:lang w:bidi="en-US"/>
        </w:rPr>
        <w:t>frame</w:t>
      </w:r>
      <w:r w:rsidR="00240629" w:rsidRPr="00204CE6">
        <w:rPr>
          <w:rFonts w:ascii="Calibri" w:eastAsia="Times New Roman" w:hAnsi="Calibri" w:cs="Times New Roman"/>
          <w:lang w:bidi="en-US"/>
        </w:rPr>
        <w:t>s</w:t>
      </w:r>
      <w:r w:rsidR="00970836" w:rsidRPr="00204CE6">
        <w:rPr>
          <w:rFonts w:ascii="Calibri" w:eastAsia="Times New Roman" w:hAnsi="Calibri" w:cs="Times New Roman"/>
          <w:lang w:bidi="en-US"/>
        </w:rPr>
        <w:t xml:space="preserve"> </w:t>
      </w:r>
      <w:r w:rsidR="00240629" w:rsidRPr="00204CE6">
        <w:rPr>
          <w:rFonts w:ascii="Calibri" w:eastAsia="Times New Roman" w:hAnsi="Calibri" w:cs="Times New Roman"/>
          <w:lang w:bidi="en-US"/>
        </w:rPr>
        <w:t>were then</w:t>
      </w:r>
      <w:r w:rsidR="00970836" w:rsidRPr="00204CE6">
        <w:rPr>
          <w:rFonts w:ascii="Calibri" w:eastAsia="Times New Roman" w:hAnsi="Calibri" w:cs="Times New Roman"/>
          <w:lang w:bidi="en-US"/>
        </w:rPr>
        <w:t xml:space="preserve"> adjusted</w:t>
      </w:r>
      <w:r w:rsidR="004F4B66" w:rsidRPr="00204CE6">
        <w:rPr>
          <w:rFonts w:ascii="Calibri" w:eastAsia="Times New Roman" w:hAnsi="Calibri" w:cs="Times New Roman"/>
          <w:lang w:bidi="en-US"/>
        </w:rPr>
        <w:t xml:space="preserve"> for births and deaths</w:t>
      </w:r>
      <w:r w:rsidR="00970836" w:rsidRPr="00204CE6">
        <w:rPr>
          <w:rFonts w:ascii="Calibri" w:eastAsia="Times New Roman" w:hAnsi="Calibri" w:cs="Times New Roman"/>
          <w:lang w:bidi="en-US"/>
        </w:rPr>
        <w:t xml:space="preserve"> </w:t>
      </w:r>
      <w:r w:rsidR="00240629" w:rsidRPr="00204CE6">
        <w:rPr>
          <w:rFonts w:ascii="Calibri" w:eastAsia="Times New Roman" w:hAnsi="Calibri" w:cs="Times New Roman"/>
          <w:lang w:bidi="en-US"/>
        </w:rPr>
        <w:t>that were identified by EIA using</w:t>
      </w:r>
      <w:r w:rsidR="00970836" w:rsidRPr="00204CE6">
        <w:rPr>
          <w:rFonts w:ascii="Calibri" w:eastAsia="Times New Roman" w:hAnsi="Calibri" w:cs="Times New Roman"/>
          <w:lang w:bidi="en-US"/>
        </w:rPr>
        <w:t xml:space="preserve"> </w:t>
      </w:r>
      <w:r w:rsidR="006A6D8C" w:rsidRPr="00204CE6">
        <w:rPr>
          <w:rFonts w:ascii="Calibri" w:eastAsia="Times New Roman" w:hAnsi="Calibri" w:cs="Times New Roman"/>
          <w:lang w:bidi="en-US"/>
        </w:rPr>
        <w:t>multiple</w:t>
      </w:r>
      <w:r w:rsidR="00E43E45" w:rsidRPr="00204CE6">
        <w:rPr>
          <w:rFonts w:ascii="Calibri" w:eastAsia="Times New Roman" w:hAnsi="Calibri" w:cs="Times New Roman"/>
          <w:lang w:bidi="en-US"/>
        </w:rPr>
        <w:t xml:space="preserve"> </w:t>
      </w:r>
      <w:r w:rsidR="00970836" w:rsidRPr="00204CE6">
        <w:rPr>
          <w:rFonts w:ascii="Calibri" w:eastAsia="Times New Roman" w:hAnsi="Calibri" w:cs="Times New Roman"/>
          <w:lang w:bidi="en-US"/>
        </w:rPr>
        <w:t>administrative records and third-party data sources</w:t>
      </w:r>
      <w:r w:rsidR="004B592E" w:rsidRPr="00204CE6">
        <w:rPr>
          <w:rFonts w:ascii="Calibri" w:eastAsia="Times New Roman" w:hAnsi="Calibri" w:cs="Times New Roman"/>
          <w:lang w:bidi="en-US"/>
        </w:rPr>
        <w:t xml:space="preserve"> including</w:t>
      </w:r>
      <w:r w:rsidR="00970836" w:rsidRPr="00204CE6">
        <w:rPr>
          <w:rFonts w:ascii="Calibri" w:eastAsia="Times New Roman" w:hAnsi="Calibri" w:cs="Times New Roman"/>
          <w:lang w:bidi="en-US"/>
        </w:rPr>
        <w:t xml:space="preserve"> State Energy Office lists, </w:t>
      </w:r>
      <w:r w:rsidR="006A6D8C" w:rsidRPr="00204CE6">
        <w:rPr>
          <w:rFonts w:ascii="Calibri" w:eastAsia="Times New Roman" w:hAnsi="Calibri" w:cs="Times New Roman"/>
          <w:lang w:bidi="en-US"/>
        </w:rPr>
        <w:t>Bureau of Labor Statistics’ Quarterly Censu</w:t>
      </w:r>
      <w:r w:rsidR="00A121CB" w:rsidRPr="00204CE6">
        <w:rPr>
          <w:rFonts w:ascii="Calibri" w:eastAsia="Times New Roman" w:hAnsi="Calibri" w:cs="Times New Roman"/>
          <w:lang w:bidi="en-US"/>
        </w:rPr>
        <w:t>s of Employment and Wages</w:t>
      </w:r>
      <w:r w:rsidR="004B592E" w:rsidRPr="00204CE6">
        <w:rPr>
          <w:rFonts w:ascii="Calibri" w:eastAsia="Times New Roman" w:hAnsi="Calibri" w:cs="Times New Roman"/>
          <w:lang w:bidi="en-US"/>
        </w:rPr>
        <w:t xml:space="preserve"> (QCEW)</w:t>
      </w:r>
      <w:r w:rsidR="006A6D8C" w:rsidRPr="00204CE6">
        <w:rPr>
          <w:rFonts w:ascii="Calibri" w:eastAsia="Times New Roman" w:hAnsi="Calibri" w:cs="Times New Roman"/>
          <w:lang w:bidi="en-US"/>
        </w:rPr>
        <w:t xml:space="preserve">, </w:t>
      </w:r>
      <w:r w:rsidR="00406C10" w:rsidRPr="00204CE6">
        <w:rPr>
          <w:rFonts w:ascii="Calibri" w:eastAsia="Times New Roman" w:hAnsi="Calibri" w:cs="Times New Roman"/>
          <w:lang w:bidi="en-US"/>
        </w:rPr>
        <w:t xml:space="preserve">the </w:t>
      </w:r>
      <w:r w:rsidR="004B592E" w:rsidRPr="00204CE6">
        <w:rPr>
          <w:rFonts w:ascii="Calibri" w:eastAsia="Times New Roman" w:hAnsi="Calibri" w:cs="Times New Roman"/>
          <w:lang w:bidi="en-US"/>
        </w:rPr>
        <w:t xml:space="preserve">Equifax database, </w:t>
      </w:r>
      <w:r w:rsidR="006A6D8C" w:rsidRPr="00204CE6">
        <w:rPr>
          <w:rFonts w:ascii="Calibri" w:eastAsia="Times New Roman" w:hAnsi="Calibri" w:cs="Times New Roman"/>
          <w:lang w:bidi="en-US"/>
        </w:rPr>
        <w:t>Dun and Bradstreet, and the National Propane Gas Association</w:t>
      </w:r>
      <w:r w:rsidR="00E43E45" w:rsidRPr="00204CE6">
        <w:rPr>
          <w:rFonts w:ascii="Calibri" w:eastAsia="Times New Roman" w:hAnsi="Calibri" w:cs="Times New Roman"/>
          <w:lang w:bidi="en-US"/>
        </w:rPr>
        <w:t xml:space="preserve"> </w:t>
      </w:r>
      <w:r w:rsidR="004F4B66" w:rsidRPr="00204CE6">
        <w:rPr>
          <w:rFonts w:ascii="Calibri" w:eastAsia="Times New Roman" w:hAnsi="Calibri" w:cs="Times New Roman"/>
          <w:lang w:bidi="en-US"/>
        </w:rPr>
        <w:t>business list.</w:t>
      </w:r>
      <w:r w:rsidR="00C74606" w:rsidRPr="00204CE6">
        <w:rPr>
          <w:rFonts w:ascii="Calibri" w:eastAsia="Times New Roman" w:hAnsi="Calibri" w:cs="Times New Roman"/>
          <w:lang w:bidi="en-US"/>
        </w:rPr>
        <w:t xml:space="preserve"> The sampling frame for </w:t>
      </w:r>
      <w:r w:rsidRPr="00204CE6">
        <w:rPr>
          <w:rFonts w:ascii="Calibri" w:eastAsia="Times New Roman" w:hAnsi="Calibri" w:cs="Times New Roman"/>
          <w:lang w:bidi="en-US"/>
        </w:rPr>
        <w:t>outlets</w:t>
      </w:r>
      <w:r w:rsidR="00C74606" w:rsidRPr="00204CE6">
        <w:rPr>
          <w:rFonts w:ascii="Calibri" w:eastAsia="Times New Roman" w:hAnsi="Calibri" w:cs="Times New Roman"/>
          <w:lang w:bidi="en-US"/>
        </w:rPr>
        <w:t xml:space="preserve"> </w:t>
      </w:r>
      <w:r w:rsidRPr="00204CE6">
        <w:rPr>
          <w:rFonts w:ascii="Calibri" w:eastAsia="Times New Roman" w:hAnsi="Calibri" w:cs="Times New Roman"/>
          <w:lang w:bidi="en-US"/>
        </w:rPr>
        <w:t>that</w:t>
      </w:r>
      <w:r w:rsidR="00C74606" w:rsidRPr="00204CE6">
        <w:rPr>
          <w:rFonts w:ascii="Calibri" w:eastAsia="Times New Roman" w:hAnsi="Calibri" w:cs="Times New Roman"/>
          <w:lang w:bidi="en-US"/>
        </w:rPr>
        <w:t xml:space="preserve"> sell residential heating oil consists of </w:t>
      </w:r>
      <w:r w:rsidRPr="00204CE6">
        <w:rPr>
          <w:rFonts w:ascii="Calibri" w:eastAsia="Times New Roman" w:hAnsi="Calibri" w:cs="Times New Roman"/>
          <w:lang w:bidi="en-US"/>
        </w:rPr>
        <w:t xml:space="preserve">about </w:t>
      </w:r>
      <w:r w:rsidR="00C74606" w:rsidRPr="00204CE6">
        <w:rPr>
          <w:rFonts w:ascii="Calibri" w:eastAsia="Times New Roman" w:hAnsi="Calibri" w:cs="Times New Roman"/>
          <w:lang w:bidi="en-US"/>
        </w:rPr>
        <w:t xml:space="preserve">6,000 </w:t>
      </w:r>
      <w:r w:rsidR="001B68D7" w:rsidRPr="00204CE6">
        <w:rPr>
          <w:rFonts w:ascii="Calibri" w:eastAsia="Times New Roman" w:hAnsi="Calibri" w:cs="Times New Roman"/>
          <w:lang w:bidi="en-US"/>
        </w:rPr>
        <w:t>outlets in 21</w:t>
      </w:r>
      <w:r w:rsidR="00C74606" w:rsidRPr="00204CE6">
        <w:rPr>
          <w:rFonts w:ascii="Calibri" w:eastAsia="Times New Roman" w:hAnsi="Calibri" w:cs="Times New Roman"/>
          <w:lang w:bidi="en-US"/>
        </w:rPr>
        <w:t xml:space="preserve"> states</w:t>
      </w:r>
      <w:r w:rsidR="001B68D7" w:rsidRPr="00204CE6">
        <w:rPr>
          <w:rFonts w:ascii="Calibri" w:eastAsia="Times New Roman" w:hAnsi="Calibri" w:cs="Times New Roman"/>
          <w:lang w:bidi="en-US"/>
        </w:rPr>
        <w:t xml:space="preserve"> and the District of Columbia</w:t>
      </w:r>
      <w:r w:rsidR="0078234F" w:rsidRPr="00204CE6">
        <w:t xml:space="preserve"> </w:t>
      </w:r>
      <w:r w:rsidR="0078234F" w:rsidRPr="00204CE6">
        <w:rPr>
          <w:rFonts w:ascii="Calibri" w:eastAsia="Times New Roman" w:hAnsi="Calibri" w:cs="Times New Roman"/>
          <w:lang w:bidi="en-US"/>
        </w:rPr>
        <w:t>in the East Coast and Midwest Regions</w:t>
      </w:r>
      <w:r w:rsidRPr="00204CE6">
        <w:rPr>
          <w:rFonts w:ascii="Calibri" w:eastAsia="Times New Roman" w:hAnsi="Calibri" w:cs="Times New Roman"/>
          <w:lang w:bidi="en-US"/>
        </w:rPr>
        <w:t>, while the sampling frame for outlets t</w:t>
      </w:r>
      <w:r w:rsidR="00F41E7A" w:rsidRPr="00204CE6">
        <w:rPr>
          <w:rFonts w:ascii="Calibri" w:eastAsia="Times New Roman" w:hAnsi="Calibri" w:cs="Times New Roman"/>
          <w:lang w:bidi="en-US"/>
        </w:rPr>
        <w:t>hat sell residential propane</w:t>
      </w:r>
      <w:r w:rsidRPr="00204CE6">
        <w:rPr>
          <w:rFonts w:ascii="Calibri" w:eastAsia="Times New Roman" w:hAnsi="Calibri" w:cs="Times New Roman"/>
          <w:lang w:bidi="en-US"/>
        </w:rPr>
        <w:t xml:space="preserve"> consists of about 9,000 outlets in 38 states</w:t>
      </w:r>
      <w:r w:rsidR="0078234F" w:rsidRPr="00204CE6">
        <w:t xml:space="preserve"> </w:t>
      </w:r>
      <w:r w:rsidR="0078234F" w:rsidRPr="00204CE6">
        <w:rPr>
          <w:rFonts w:ascii="Calibri" w:eastAsia="Times New Roman" w:hAnsi="Calibri" w:cs="Times New Roman"/>
          <w:lang w:bidi="en-US"/>
        </w:rPr>
        <w:t>in the East Coast, Midwest, Gulf Coast, and Rocky Mountain Regions</w:t>
      </w:r>
      <w:r w:rsidR="00C74606" w:rsidRPr="00204CE6">
        <w:rPr>
          <w:rFonts w:ascii="Calibri" w:eastAsia="Times New Roman" w:hAnsi="Calibri" w:cs="Times New Roman"/>
          <w:lang w:bidi="en-US"/>
        </w:rPr>
        <w:t>.</w:t>
      </w:r>
      <w:r w:rsidR="00881195" w:rsidRPr="00204CE6">
        <w:rPr>
          <w:rFonts w:ascii="Calibri" w:eastAsia="Times New Roman" w:hAnsi="Calibri" w:cs="Times New Roman"/>
          <w:lang w:bidi="en-US"/>
        </w:rPr>
        <w:t xml:space="preserve"> To ensure accurate coverage, the two frames are updated annually prior to selection </w:t>
      </w:r>
      <w:r w:rsidR="005207F7" w:rsidRPr="00204CE6">
        <w:rPr>
          <w:rFonts w:ascii="Calibri" w:eastAsia="Times New Roman" w:hAnsi="Calibri" w:cs="Times New Roman"/>
          <w:lang w:bidi="en-US"/>
        </w:rPr>
        <w:t>of the samples</w:t>
      </w:r>
      <w:r w:rsidR="00881195" w:rsidRPr="00204CE6">
        <w:rPr>
          <w:rFonts w:ascii="Calibri" w:eastAsia="Times New Roman" w:hAnsi="Calibri" w:cs="Times New Roman"/>
          <w:lang w:bidi="en-US"/>
        </w:rPr>
        <w:t>.</w:t>
      </w:r>
    </w:p>
    <w:p w14:paraId="757486EA" w14:textId="219917D4" w:rsidR="00A01C47" w:rsidRPr="00204CE6" w:rsidRDefault="002B5DA7" w:rsidP="00C74606">
      <w:pPr>
        <w:spacing w:before="200" w:after="0" w:line="360" w:lineRule="auto"/>
        <w:rPr>
          <w:rFonts w:ascii="Calibri" w:eastAsia="Times New Roman" w:hAnsi="Calibri" w:cs="Times New Roman"/>
          <w:b/>
          <w:u w:val="single"/>
          <w:lang w:bidi="en-US"/>
        </w:rPr>
      </w:pPr>
      <w:r w:rsidRPr="00204CE6">
        <w:rPr>
          <w:rFonts w:ascii="Calibri" w:eastAsia="Times New Roman" w:hAnsi="Calibri" w:cs="Times New Roman"/>
          <w:b/>
          <w:color w:val="000000"/>
          <w:u w:val="single"/>
          <w:lang w:bidi="en-US"/>
        </w:rPr>
        <w:t xml:space="preserve">Form </w:t>
      </w:r>
      <w:r w:rsidR="00C74606" w:rsidRPr="00204CE6">
        <w:rPr>
          <w:rFonts w:ascii="Calibri" w:eastAsia="Times New Roman" w:hAnsi="Calibri" w:cs="Times New Roman"/>
          <w:b/>
          <w:color w:val="000000"/>
          <w:u w:val="single"/>
          <w:lang w:bidi="en-US"/>
        </w:rPr>
        <w:t>EIA-878, “</w:t>
      </w:r>
      <w:r w:rsidR="00C74606" w:rsidRPr="00204CE6">
        <w:rPr>
          <w:rFonts w:ascii="Calibri" w:eastAsia="Times New Roman" w:hAnsi="Calibri" w:cs="Times New Roman"/>
          <w:b/>
          <w:bCs/>
          <w:u w:val="single"/>
          <w:lang w:bidi="en-US"/>
        </w:rPr>
        <w:t>Motor Gasoline Price Survey”</w:t>
      </w:r>
      <w:r w:rsidR="00C74606" w:rsidRPr="00204CE6">
        <w:rPr>
          <w:rFonts w:ascii="Calibri" w:eastAsia="Times New Roman" w:hAnsi="Calibri" w:cs="Times New Roman"/>
          <w:b/>
          <w:u w:val="single"/>
          <w:lang w:bidi="en-US"/>
        </w:rPr>
        <w:t xml:space="preserve"> </w:t>
      </w:r>
    </w:p>
    <w:p w14:paraId="1C71A4CF" w14:textId="79DB970A" w:rsidR="006223B8" w:rsidRPr="00204CE6" w:rsidRDefault="006223B8" w:rsidP="004B5A41">
      <w:pPr>
        <w:pStyle w:val="BodyText"/>
        <w:kinsoku w:val="0"/>
        <w:overflowPunct w:val="0"/>
        <w:spacing w:line="360" w:lineRule="auto"/>
        <w:ind w:right="117"/>
        <w:jc w:val="both"/>
      </w:pPr>
      <w:r w:rsidRPr="00204CE6">
        <w:t>The target population is all active retail gasoline outlets in the United States for a given week. The population includes two types of outlets—big-box and non-big-box outlets. Big-box outlets typically sell large volumes of gasoline at discounted prices.</w:t>
      </w:r>
    </w:p>
    <w:p w14:paraId="1268A5BD" w14:textId="5E16A4D6" w:rsidR="00C74606" w:rsidRPr="00204CE6" w:rsidRDefault="00C74606" w:rsidP="00BF5764">
      <w:pPr>
        <w:spacing w:after="0" w:line="360" w:lineRule="auto"/>
        <w:rPr>
          <w:rFonts w:ascii="Calibri" w:eastAsia="Times New Roman" w:hAnsi="Calibri" w:cs="Times New Roman"/>
          <w:lang w:bidi="en-US"/>
        </w:rPr>
      </w:pPr>
      <w:r w:rsidRPr="00204CE6">
        <w:rPr>
          <w:rFonts w:ascii="Calibri" w:eastAsia="Times New Roman" w:hAnsi="Calibri" w:cs="Times New Roman"/>
          <w:lang w:bidi="en-US"/>
        </w:rPr>
        <w:t xml:space="preserve">The sample </w:t>
      </w:r>
      <w:r w:rsidR="00BF5764" w:rsidRPr="00204CE6">
        <w:rPr>
          <w:rFonts w:ascii="Calibri" w:eastAsia="Times New Roman" w:hAnsi="Calibri" w:cs="Times New Roman"/>
          <w:lang w:bidi="en-US"/>
        </w:rPr>
        <w:t xml:space="preserve">for </w:t>
      </w:r>
      <w:r w:rsidR="00A01C47" w:rsidRPr="00204CE6">
        <w:rPr>
          <w:rFonts w:ascii="Calibri" w:eastAsia="Times New Roman" w:hAnsi="Calibri" w:cs="Times New Roman"/>
          <w:lang w:bidi="en-US"/>
        </w:rPr>
        <w:t>Form EIA-878</w:t>
      </w:r>
      <w:r w:rsidRPr="00204CE6">
        <w:rPr>
          <w:rFonts w:ascii="Calibri" w:eastAsia="Times New Roman" w:hAnsi="Calibri" w:cs="Times New Roman"/>
          <w:lang w:bidi="en-US"/>
        </w:rPr>
        <w:t xml:space="preserve"> was drawn from a frame of approximately 130,000 retail gasoline outlets</w:t>
      </w:r>
      <w:r w:rsidR="006223B8" w:rsidRPr="00204CE6">
        <w:rPr>
          <w:rFonts w:ascii="Calibri" w:eastAsia="Times New Roman" w:hAnsi="Calibri" w:cs="Times New Roman"/>
          <w:lang w:bidi="en-US"/>
        </w:rPr>
        <w:t xml:space="preserve"> in </w:t>
      </w:r>
      <w:r w:rsidR="004941F0" w:rsidRPr="00204CE6">
        <w:rPr>
          <w:rFonts w:ascii="Calibri" w:eastAsia="Times New Roman" w:hAnsi="Calibri" w:cs="Times New Roman"/>
          <w:lang w:bidi="en-US"/>
        </w:rPr>
        <w:t xml:space="preserve">the </w:t>
      </w:r>
      <w:r w:rsidR="006223B8" w:rsidRPr="00204CE6">
        <w:rPr>
          <w:rFonts w:ascii="Calibri" w:eastAsia="Times New Roman" w:hAnsi="Calibri" w:cs="Times New Roman"/>
          <w:lang w:bidi="en-US"/>
        </w:rPr>
        <w:t>U</w:t>
      </w:r>
      <w:r w:rsidR="004941F0" w:rsidRPr="00204CE6">
        <w:rPr>
          <w:rFonts w:ascii="Calibri" w:eastAsia="Times New Roman" w:hAnsi="Calibri" w:cs="Times New Roman"/>
          <w:lang w:bidi="en-US"/>
        </w:rPr>
        <w:t xml:space="preserve">nited </w:t>
      </w:r>
      <w:r w:rsidR="006223B8" w:rsidRPr="00204CE6">
        <w:rPr>
          <w:rFonts w:ascii="Calibri" w:eastAsia="Times New Roman" w:hAnsi="Calibri" w:cs="Times New Roman"/>
          <w:lang w:bidi="en-US"/>
        </w:rPr>
        <w:t>S</w:t>
      </w:r>
      <w:r w:rsidR="004941F0" w:rsidRPr="00204CE6">
        <w:rPr>
          <w:rFonts w:ascii="Calibri" w:eastAsia="Times New Roman" w:hAnsi="Calibri" w:cs="Times New Roman"/>
          <w:lang w:bidi="en-US"/>
        </w:rPr>
        <w:t>tates</w:t>
      </w:r>
      <w:r w:rsidR="006223B8" w:rsidRPr="00204CE6">
        <w:rPr>
          <w:rFonts w:ascii="Calibri" w:eastAsia="Times New Roman" w:hAnsi="Calibri" w:cs="Times New Roman"/>
          <w:lang w:bidi="en-US"/>
        </w:rPr>
        <w:t xml:space="preserve"> that were active in 2016</w:t>
      </w:r>
      <w:r w:rsidRPr="00204CE6">
        <w:rPr>
          <w:rFonts w:ascii="Calibri" w:eastAsia="Times New Roman" w:hAnsi="Calibri" w:cs="Times New Roman"/>
          <w:lang w:bidi="en-US"/>
        </w:rPr>
        <w:t xml:space="preserve">. The gasoline outlet frame was constructed by combining outlet level name and address information purchased from the Oil Price Information Service (OPIS) with information from </w:t>
      </w:r>
      <w:r w:rsidR="00970836" w:rsidRPr="00204CE6">
        <w:rPr>
          <w:rFonts w:ascii="Calibri" w:eastAsia="Times New Roman" w:hAnsi="Calibri" w:cs="Times New Roman"/>
          <w:lang w:bidi="en-US"/>
        </w:rPr>
        <w:t>other</w:t>
      </w:r>
      <w:r w:rsidRPr="00204CE6">
        <w:rPr>
          <w:rFonts w:ascii="Calibri" w:eastAsia="Times New Roman" w:hAnsi="Calibri" w:cs="Times New Roman"/>
          <w:lang w:bidi="en-US"/>
        </w:rPr>
        <w:t xml:space="preserve"> sources including the Yellow Pages</w:t>
      </w:r>
      <w:r w:rsidR="00970836" w:rsidRPr="00204CE6">
        <w:rPr>
          <w:rFonts w:ascii="Calibri" w:eastAsia="Times New Roman" w:hAnsi="Calibri" w:cs="Times New Roman"/>
          <w:lang w:bidi="en-US"/>
        </w:rPr>
        <w:t xml:space="preserve"> and Secretary of States’ business registries</w:t>
      </w:r>
      <w:r w:rsidRPr="00204CE6">
        <w:rPr>
          <w:rFonts w:ascii="Calibri" w:eastAsia="Times New Roman" w:hAnsi="Calibri" w:cs="Times New Roman"/>
          <w:lang w:bidi="en-US"/>
        </w:rPr>
        <w:t xml:space="preserve">. </w:t>
      </w:r>
      <w:r w:rsidR="00970836" w:rsidRPr="00204CE6">
        <w:rPr>
          <w:rFonts w:ascii="Calibri" w:eastAsia="Times New Roman" w:hAnsi="Calibri" w:cs="Times New Roman"/>
          <w:lang w:bidi="en-US"/>
        </w:rPr>
        <w:t>The individual outlets in the frame were assigned to counties after converting the physical addresses to geographic coordinates. The outlets were then assigned either as reformulated or conventional gasoline areas based on the published geographic areas as defined by the U.S. Environmental Protection Agency program and some state-defined reformulated gasoline program areas. The outlets were then further assigned to city areas based on the geographic areas as defined by EIA.</w:t>
      </w:r>
      <w:r w:rsidRPr="00204CE6">
        <w:rPr>
          <w:rFonts w:ascii="Calibri" w:eastAsia="Times New Roman" w:hAnsi="Calibri" w:cs="Times New Roman"/>
          <w:lang w:bidi="en-US"/>
        </w:rPr>
        <w:t xml:space="preserve"> These regions are non-overlapping and one or more sampling regions will comprise a publication </w:t>
      </w:r>
      <w:r w:rsidR="004941F0" w:rsidRPr="00204CE6">
        <w:rPr>
          <w:rFonts w:ascii="Calibri" w:eastAsia="Times New Roman" w:hAnsi="Calibri" w:cs="Times New Roman"/>
          <w:lang w:bidi="en-US"/>
        </w:rPr>
        <w:t>cell</w:t>
      </w:r>
      <w:r w:rsidRPr="00204CE6">
        <w:rPr>
          <w:rFonts w:ascii="Calibri" w:eastAsia="Times New Roman" w:hAnsi="Calibri" w:cs="Times New Roman"/>
          <w:lang w:bidi="en-US"/>
        </w:rPr>
        <w:t>.</w:t>
      </w:r>
    </w:p>
    <w:p w14:paraId="53AAF855" w14:textId="1D2E1520" w:rsidR="00A01C47" w:rsidRPr="00204CE6" w:rsidRDefault="002B5DA7" w:rsidP="00C74606">
      <w:pPr>
        <w:spacing w:before="200" w:after="0" w:line="360" w:lineRule="auto"/>
        <w:rPr>
          <w:rFonts w:ascii="Calibri" w:eastAsia="Times New Roman" w:hAnsi="Calibri" w:cs="Times New Roman"/>
          <w:b/>
          <w:u w:val="single"/>
          <w:lang w:bidi="en-US"/>
        </w:rPr>
      </w:pPr>
      <w:r w:rsidRPr="00204CE6">
        <w:rPr>
          <w:rFonts w:ascii="Calibri" w:eastAsia="Times New Roman" w:hAnsi="Calibri" w:cs="Times New Roman"/>
          <w:b/>
          <w:u w:val="single"/>
          <w:lang w:bidi="en-US"/>
        </w:rPr>
        <w:t xml:space="preserve">Form </w:t>
      </w:r>
      <w:r w:rsidR="00C74606" w:rsidRPr="00204CE6">
        <w:rPr>
          <w:rFonts w:ascii="Calibri" w:eastAsia="Times New Roman" w:hAnsi="Calibri" w:cs="Times New Roman"/>
          <w:b/>
          <w:u w:val="single"/>
          <w:lang w:bidi="en-US"/>
        </w:rPr>
        <w:t>EIA-888, “</w:t>
      </w:r>
      <w:r w:rsidR="00C74606" w:rsidRPr="00204CE6">
        <w:rPr>
          <w:rFonts w:ascii="Calibri" w:eastAsia="Times New Roman" w:hAnsi="Calibri" w:cs="Times New Roman"/>
          <w:b/>
          <w:bCs/>
          <w:u w:val="single"/>
          <w:lang w:bidi="en-US"/>
        </w:rPr>
        <w:t>On-Highway Diesel Fuel Price Survey”</w:t>
      </w:r>
      <w:r w:rsidR="00C74606" w:rsidRPr="00204CE6">
        <w:rPr>
          <w:rFonts w:ascii="Calibri" w:eastAsia="Times New Roman" w:hAnsi="Calibri" w:cs="Times New Roman"/>
          <w:b/>
          <w:u w:val="single"/>
          <w:lang w:bidi="en-US"/>
        </w:rPr>
        <w:t xml:space="preserve"> </w:t>
      </w:r>
    </w:p>
    <w:p w14:paraId="79D964E3" w14:textId="4F78A1CB" w:rsidR="006223B8" w:rsidRPr="00204CE6" w:rsidRDefault="006223B8" w:rsidP="00BF5764">
      <w:pPr>
        <w:spacing w:after="0" w:line="360" w:lineRule="auto"/>
        <w:rPr>
          <w:rFonts w:ascii="Calibri" w:eastAsia="Times New Roman" w:hAnsi="Calibri" w:cs="Times New Roman"/>
          <w:lang w:bidi="en-US"/>
        </w:rPr>
      </w:pPr>
      <w:r w:rsidRPr="00204CE6">
        <w:t>The target population is all active retail diesel outlets in the contiguous United States for a given week. The population includes two types of outlets—truck stops and service stations that sell on-highway diesel fuel. Due to statistical and operational considerations, outlets in the States of Alaska and Hawaii were excluded from the target population.</w:t>
      </w:r>
      <w:r w:rsidR="00E43E45" w:rsidRPr="00204CE6">
        <w:t xml:space="preserve"> </w:t>
      </w:r>
      <w:r w:rsidRPr="00204CE6">
        <w:t>The EIA-888 frame was constructed using commercially available lists from several sources. These sources were used to provide a comprehensive coverage of truck stops and service stations that sell on-highway diesel fuel in the contiguous United States. The frame includes around 62,000 service stations and 4,000 truck stops. Based on information from other EIA survey data, the four largest</w:t>
      </w:r>
      <w:r w:rsidR="005207F7" w:rsidRPr="00204CE6">
        <w:t xml:space="preserve"> sellers of</w:t>
      </w:r>
      <w:r w:rsidRPr="00204CE6">
        <w:t xml:space="preserve"> on-highway diesel in the nation were identified. This allowed for classifying the outlets into three categories: service stations, midsized truck stops, and the top four</w:t>
      </w:r>
      <w:r w:rsidR="00406C10" w:rsidRPr="00204CE6">
        <w:t xml:space="preserve"> largest sellers</w:t>
      </w:r>
      <w:r w:rsidR="005207F7" w:rsidRPr="00204CE6">
        <w:t xml:space="preserve"> of on-highway diesel fuel</w:t>
      </w:r>
      <w:r w:rsidRPr="00204CE6">
        <w:t>.</w:t>
      </w:r>
    </w:p>
    <w:p w14:paraId="36090C9B" w14:textId="77777777" w:rsidR="007E53C4" w:rsidRPr="00204CE6" w:rsidRDefault="00844524" w:rsidP="00985552">
      <w:pPr>
        <w:pStyle w:val="Heading2"/>
        <w:rPr>
          <w:sz w:val="22"/>
          <w:szCs w:val="22"/>
        </w:rPr>
      </w:pPr>
      <w:bookmarkStart w:id="4" w:name="_Toc466046935"/>
      <w:r w:rsidRPr="00204CE6">
        <w:rPr>
          <w:sz w:val="22"/>
          <w:szCs w:val="22"/>
        </w:rPr>
        <w:t>B.</w:t>
      </w:r>
      <w:r w:rsidR="00A41763" w:rsidRPr="00204CE6">
        <w:rPr>
          <w:sz w:val="22"/>
          <w:szCs w:val="22"/>
        </w:rPr>
        <w:t xml:space="preserve">2. </w:t>
      </w:r>
      <w:r w:rsidR="007E53C4" w:rsidRPr="00204CE6">
        <w:rPr>
          <w:sz w:val="22"/>
          <w:szCs w:val="22"/>
        </w:rPr>
        <w:t>Statistical Methods</w:t>
      </w:r>
      <w:bookmarkEnd w:id="4"/>
    </w:p>
    <w:p w14:paraId="14356A88" w14:textId="02C693BD" w:rsidR="0079037F" w:rsidRPr="00204CE6" w:rsidRDefault="0079037F" w:rsidP="00AB5B59">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cs="Times New Roman"/>
          <w:color w:val="000000"/>
        </w:rPr>
      </w:pPr>
      <w:r w:rsidRPr="00204CE6">
        <w:rPr>
          <w:rFonts w:cs="Times New Roman"/>
        </w:rPr>
        <w:t>Six of the ten petroleum marketing surveys—</w:t>
      </w:r>
      <w:r w:rsidR="00A01C47" w:rsidRPr="00204CE6">
        <w:rPr>
          <w:rFonts w:cs="Times New Roman"/>
        </w:rPr>
        <w:t xml:space="preserve"> Forms</w:t>
      </w:r>
      <w:r w:rsidR="00BF5764" w:rsidRPr="00204CE6">
        <w:rPr>
          <w:rFonts w:cs="Times New Roman"/>
        </w:rPr>
        <w:t xml:space="preserve"> </w:t>
      </w:r>
      <w:r w:rsidRPr="00204CE6">
        <w:rPr>
          <w:rFonts w:cs="Times New Roman"/>
        </w:rPr>
        <w:t>EIA-14, EIA-182, EIA-782A, EIA-782C, EIA-856, and EIA-863—are census</w:t>
      </w:r>
      <w:r w:rsidR="00176646" w:rsidRPr="00204CE6">
        <w:rPr>
          <w:rFonts w:cs="Times New Roman"/>
        </w:rPr>
        <w:t xml:space="preserve"> surveys </w:t>
      </w:r>
      <w:r w:rsidRPr="00204CE6">
        <w:rPr>
          <w:rFonts w:cs="Times New Roman"/>
        </w:rPr>
        <w:t>so no weighting is required</w:t>
      </w:r>
      <w:r w:rsidR="00705743" w:rsidRPr="00204CE6">
        <w:rPr>
          <w:rFonts w:cs="Times New Roman"/>
        </w:rPr>
        <w:t>. I</w:t>
      </w:r>
      <w:r w:rsidR="00D73B87" w:rsidRPr="00204CE6">
        <w:rPr>
          <w:rFonts w:cs="Times New Roman"/>
        </w:rPr>
        <w:t>mputation is used to account for nonresponse</w:t>
      </w:r>
      <w:r w:rsidR="00E64694" w:rsidRPr="00204CE6">
        <w:rPr>
          <w:rFonts w:cs="Times New Roman"/>
        </w:rPr>
        <w:t xml:space="preserve"> </w:t>
      </w:r>
      <w:r w:rsidR="00C31FE1" w:rsidRPr="00204CE6">
        <w:rPr>
          <w:rFonts w:cs="Times New Roman"/>
        </w:rPr>
        <w:t>on</w:t>
      </w:r>
      <w:r w:rsidR="00844344">
        <w:rPr>
          <w:rFonts w:cs="Times New Roman"/>
        </w:rPr>
        <w:t xml:space="preserve"> all surveys in the Petroleum Marketing Program except the EIA-863 which is a survey used for maintaining a petroleum frame file</w:t>
      </w:r>
      <w:r w:rsidR="00C31FE1" w:rsidRPr="00204CE6">
        <w:rPr>
          <w:rFonts w:cs="Times New Roman"/>
        </w:rPr>
        <w:t xml:space="preserve">. </w:t>
      </w:r>
      <w:r w:rsidRPr="00204CE6">
        <w:rPr>
          <w:rFonts w:cs="Times New Roman"/>
        </w:rPr>
        <w:t xml:space="preserve"> The target population for </w:t>
      </w:r>
      <w:r w:rsidR="00A01C47" w:rsidRPr="00204CE6">
        <w:rPr>
          <w:rFonts w:cs="Times New Roman"/>
        </w:rPr>
        <w:t>Form</w:t>
      </w:r>
      <w:r w:rsidR="00BF5764" w:rsidRPr="00204CE6">
        <w:rPr>
          <w:rFonts w:cs="Times New Roman"/>
        </w:rPr>
        <w:t xml:space="preserve"> </w:t>
      </w:r>
      <w:r w:rsidRPr="00204CE6">
        <w:rPr>
          <w:rFonts w:cs="Times New Roman"/>
        </w:rPr>
        <w:t xml:space="preserve">EIA-856 is all companies with over 500,000 </w:t>
      </w:r>
      <w:r w:rsidRPr="00204CE6">
        <w:t>barrels of foreign crude oil in the report month for importation into the United States</w:t>
      </w:r>
      <w:r w:rsidRPr="00204CE6">
        <w:rPr>
          <w:rFonts w:cs="Times New Roman"/>
        </w:rPr>
        <w:t xml:space="preserve">. </w:t>
      </w:r>
      <w:r w:rsidR="00705743" w:rsidRPr="00204CE6">
        <w:rPr>
          <w:rFonts w:cs="Times New Roman"/>
        </w:rPr>
        <w:t xml:space="preserve">Monthly estimates of </w:t>
      </w:r>
      <w:r w:rsidRPr="00204CE6">
        <w:rPr>
          <w:rFonts w:cs="Times New Roman"/>
        </w:rPr>
        <w:t>volume weighted price</w:t>
      </w:r>
      <w:r w:rsidR="00705743" w:rsidRPr="00204CE6">
        <w:rPr>
          <w:rFonts w:cs="Times New Roman"/>
        </w:rPr>
        <w:t>s</w:t>
      </w:r>
      <w:r w:rsidRPr="00204CE6">
        <w:rPr>
          <w:rFonts w:cs="Times New Roman"/>
        </w:rPr>
        <w:t xml:space="preserve"> </w:t>
      </w:r>
      <w:r w:rsidR="00705743" w:rsidRPr="00204CE6">
        <w:rPr>
          <w:rFonts w:cs="Times New Roman"/>
        </w:rPr>
        <w:t>are generated from the data reported on Forms</w:t>
      </w:r>
      <w:r w:rsidR="008069C3" w:rsidRPr="00204CE6">
        <w:rPr>
          <w:rFonts w:cs="Times New Roman"/>
        </w:rPr>
        <w:t xml:space="preserve"> EIA-14, EIA-182, EIA-782A</w:t>
      </w:r>
      <w:r w:rsidR="004B5A41" w:rsidRPr="00204CE6">
        <w:rPr>
          <w:rFonts w:cs="Times New Roman"/>
        </w:rPr>
        <w:t xml:space="preserve">, </w:t>
      </w:r>
      <w:r w:rsidR="008069C3" w:rsidRPr="00204CE6">
        <w:rPr>
          <w:rFonts w:cs="Times New Roman"/>
        </w:rPr>
        <w:t>and EIA-856</w:t>
      </w:r>
      <w:r w:rsidR="00E43E45" w:rsidRPr="00204CE6">
        <w:rPr>
          <w:rFonts w:cs="Times New Roman"/>
        </w:rPr>
        <w:t xml:space="preserve">. </w:t>
      </w:r>
      <w:r w:rsidRPr="00204CE6">
        <w:rPr>
          <w:rFonts w:cs="Times New Roman"/>
        </w:rPr>
        <w:t xml:space="preserve">The total cost or revenue (price </w:t>
      </w:r>
      <w:r w:rsidR="0042011E" w:rsidRPr="00204CE6">
        <w:rPr>
          <w:rFonts w:cs="Times New Roman"/>
        </w:rPr>
        <w:t xml:space="preserve">* </w:t>
      </w:r>
      <w:r w:rsidRPr="00204CE6">
        <w:rPr>
          <w:rFonts w:cs="Times New Roman"/>
        </w:rPr>
        <w:t xml:space="preserve">volume) is divided by </w:t>
      </w:r>
      <w:r w:rsidRPr="00204CE6">
        <w:rPr>
          <w:rFonts w:cs="Times New Roman"/>
          <w:color w:val="000000"/>
        </w:rPr>
        <w:t xml:space="preserve">a corresponding total volume to </w:t>
      </w:r>
      <w:r w:rsidR="0042011E" w:rsidRPr="00204CE6">
        <w:rPr>
          <w:rFonts w:cs="Times New Roman"/>
          <w:color w:val="000000"/>
        </w:rPr>
        <w:t>calculate the</w:t>
      </w:r>
      <w:r w:rsidRPr="00204CE6">
        <w:rPr>
          <w:rFonts w:cs="Times New Roman"/>
          <w:color w:val="000000"/>
        </w:rPr>
        <w:t xml:space="preserve"> volume weighted average </w:t>
      </w:r>
      <w:r w:rsidR="005207F7" w:rsidRPr="00204CE6">
        <w:rPr>
          <w:rFonts w:cs="Times New Roman"/>
          <w:color w:val="000000"/>
        </w:rPr>
        <w:t>price</w:t>
      </w:r>
      <w:r w:rsidRPr="00204CE6">
        <w:rPr>
          <w:rFonts w:cs="Times New Roman"/>
          <w:color w:val="000000"/>
        </w:rPr>
        <w:t>.</w:t>
      </w:r>
    </w:p>
    <w:p w14:paraId="59DB8547" w14:textId="120839A6" w:rsidR="00847D86" w:rsidRPr="00204CE6" w:rsidRDefault="00847D86" w:rsidP="00F4147A">
      <w:pPr>
        <w:pStyle w:val="TEXT0"/>
        <w:spacing w:after="0"/>
        <w:rPr>
          <w:color w:val="000000"/>
          <w:szCs w:val="22"/>
        </w:rPr>
      </w:pPr>
      <w:r w:rsidRPr="00204CE6">
        <w:rPr>
          <w:szCs w:val="22"/>
        </w:rPr>
        <w:t xml:space="preserve">For EIA-821, EIA-877, and EIA-878, and EIA-888, sample weights are calculated as the inverse of the probability of selection of the sampled company or outlet. The price surveys create volume-weights for use in estimation, which are the product of the sampling weight </w:t>
      </w:r>
      <w:r w:rsidR="00AE6AF7">
        <w:rPr>
          <w:szCs w:val="22"/>
        </w:rPr>
        <w:t>multiplied by</w:t>
      </w:r>
      <w:r w:rsidRPr="00204CE6">
        <w:rPr>
          <w:szCs w:val="22"/>
        </w:rPr>
        <w:t xml:space="preserve"> a sales volume measure for the outlet. </w:t>
      </w:r>
    </w:p>
    <w:p w14:paraId="434EA2E9" w14:textId="00C62B5B" w:rsidR="0079037F" w:rsidRPr="00204CE6" w:rsidRDefault="008A2788" w:rsidP="00985552">
      <w:pPr>
        <w:pStyle w:val="Heading2"/>
        <w:rPr>
          <w:sz w:val="22"/>
          <w:szCs w:val="22"/>
        </w:rPr>
      </w:pPr>
      <w:r w:rsidRPr="00204CE6">
        <w:rPr>
          <w:sz w:val="22"/>
          <w:szCs w:val="22"/>
        </w:rPr>
        <w:t xml:space="preserve">B.2.1 </w:t>
      </w:r>
      <w:r w:rsidR="00176646" w:rsidRPr="00204CE6">
        <w:rPr>
          <w:sz w:val="22"/>
          <w:szCs w:val="22"/>
        </w:rPr>
        <w:t>Statistical Methods</w:t>
      </w:r>
      <w:r w:rsidR="0079037F" w:rsidRPr="00204CE6">
        <w:rPr>
          <w:sz w:val="22"/>
          <w:szCs w:val="22"/>
        </w:rPr>
        <w:t xml:space="preserve"> for Monthly Crude Oil Surveys</w:t>
      </w:r>
    </w:p>
    <w:p w14:paraId="56B50F0C" w14:textId="3342557E" w:rsidR="0079037F" w:rsidRPr="00204CE6" w:rsidRDefault="00DE7B62" w:rsidP="00353B4F">
      <w:pPr>
        <w:pStyle w:val="ListParagraph"/>
        <w:rPr>
          <w:sz w:val="22"/>
          <w:szCs w:val="22"/>
        </w:rPr>
      </w:pPr>
      <w:r w:rsidRPr="00204CE6">
        <w:rPr>
          <w:color w:val="000000"/>
          <w:sz w:val="22"/>
          <w:szCs w:val="22"/>
        </w:rPr>
        <w:t xml:space="preserve"> </w:t>
      </w:r>
      <w:r w:rsidR="00A01C47" w:rsidRPr="00204CE6">
        <w:rPr>
          <w:color w:val="000000"/>
          <w:sz w:val="22"/>
          <w:szCs w:val="22"/>
        </w:rPr>
        <w:t>Form</w:t>
      </w:r>
      <w:r w:rsidR="0079037F" w:rsidRPr="00204CE6">
        <w:rPr>
          <w:color w:val="000000"/>
          <w:sz w:val="22"/>
          <w:szCs w:val="22"/>
        </w:rPr>
        <w:t xml:space="preserve"> EIA-14 is a census. </w:t>
      </w:r>
      <w:r w:rsidR="0079037F" w:rsidRPr="00204CE6">
        <w:rPr>
          <w:sz w:val="22"/>
          <w:szCs w:val="22"/>
        </w:rPr>
        <w:t xml:space="preserve">A volume weighted price at the national and regional levels is calculated by dividing the total cost (price </w:t>
      </w:r>
      <w:r w:rsidR="0042011E" w:rsidRPr="00204CE6">
        <w:rPr>
          <w:sz w:val="22"/>
          <w:szCs w:val="22"/>
        </w:rPr>
        <w:t xml:space="preserve">* </w:t>
      </w:r>
      <w:r w:rsidR="0079037F" w:rsidRPr="00204CE6">
        <w:rPr>
          <w:sz w:val="22"/>
          <w:szCs w:val="22"/>
        </w:rPr>
        <w:t>volume) by the corresponding total volume.</w:t>
      </w:r>
    </w:p>
    <w:p w14:paraId="7B0F1633" w14:textId="2AD8BEFC" w:rsidR="0079037F" w:rsidRPr="00204CE6" w:rsidRDefault="00DE7B62">
      <w:pPr>
        <w:pStyle w:val="ListParagraph"/>
        <w:rPr>
          <w:sz w:val="22"/>
          <w:szCs w:val="22"/>
        </w:rPr>
      </w:pPr>
      <w:r w:rsidRPr="00204CE6">
        <w:rPr>
          <w:sz w:val="22"/>
          <w:szCs w:val="22"/>
        </w:rPr>
        <w:t xml:space="preserve"> </w:t>
      </w:r>
      <w:r w:rsidR="00A01C47" w:rsidRPr="00204CE6">
        <w:rPr>
          <w:sz w:val="22"/>
          <w:szCs w:val="22"/>
        </w:rPr>
        <w:t xml:space="preserve">Form </w:t>
      </w:r>
      <w:r w:rsidR="0079037F" w:rsidRPr="00204CE6">
        <w:rPr>
          <w:sz w:val="22"/>
          <w:szCs w:val="22"/>
        </w:rPr>
        <w:t xml:space="preserve">EIA-182 is a census. To obtain a </w:t>
      </w:r>
      <w:r w:rsidR="00455EF1" w:rsidRPr="00204CE6">
        <w:rPr>
          <w:sz w:val="22"/>
          <w:szCs w:val="22"/>
        </w:rPr>
        <w:t xml:space="preserve">volume </w:t>
      </w:r>
      <w:r w:rsidR="0079037F" w:rsidRPr="00204CE6">
        <w:rPr>
          <w:sz w:val="22"/>
          <w:szCs w:val="22"/>
        </w:rPr>
        <w:t xml:space="preserve">weighted </w:t>
      </w:r>
      <w:r w:rsidR="005207F7" w:rsidRPr="00204CE6">
        <w:rPr>
          <w:sz w:val="22"/>
          <w:szCs w:val="22"/>
        </w:rPr>
        <w:t xml:space="preserve">first purchase </w:t>
      </w:r>
      <w:r w:rsidR="0079037F" w:rsidRPr="00204CE6">
        <w:rPr>
          <w:sz w:val="22"/>
          <w:szCs w:val="22"/>
        </w:rPr>
        <w:t>average price</w:t>
      </w:r>
      <w:r w:rsidR="00807AC0" w:rsidRPr="00204CE6">
        <w:rPr>
          <w:sz w:val="22"/>
          <w:szCs w:val="22"/>
        </w:rPr>
        <w:t xml:space="preserve"> at the national and state level</w:t>
      </w:r>
      <w:r w:rsidR="0079037F" w:rsidRPr="00204CE6">
        <w:rPr>
          <w:sz w:val="22"/>
          <w:szCs w:val="22"/>
        </w:rPr>
        <w:t>, the total cost (</w:t>
      </w:r>
      <w:r w:rsidR="00807AC0" w:rsidRPr="00204CE6">
        <w:rPr>
          <w:sz w:val="22"/>
          <w:szCs w:val="22"/>
        </w:rPr>
        <w:t xml:space="preserve">price per barrel of crude oil </w:t>
      </w:r>
      <w:r w:rsidR="00AB5B59" w:rsidRPr="00204CE6">
        <w:rPr>
          <w:sz w:val="22"/>
          <w:szCs w:val="22"/>
        </w:rPr>
        <w:t xml:space="preserve">* </w:t>
      </w:r>
      <w:r w:rsidR="0079037F" w:rsidRPr="00204CE6">
        <w:rPr>
          <w:sz w:val="22"/>
          <w:szCs w:val="22"/>
        </w:rPr>
        <w:t>volume purchased) is divided by corresponding total volume. Subsequently, the data are sorted by crude stream within each state. These data are aggregated across all companies reporting purchases from a given state. Weighted average prices for crude oil are then derived for each producing state and for the Outer Continental Shelf regions, Alaska North Slope and Alaska Other.</w:t>
      </w:r>
    </w:p>
    <w:p w14:paraId="0CD39060" w14:textId="2E939630" w:rsidR="0079037F" w:rsidRPr="00204CE6" w:rsidRDefault="00DE7B62">
      <w:pPr>
        <w:pStyle w:val="ListParagraph"/>
        <w:rPr>
          <w:color w:val="000000"/>
          <w:sz w:val="22"/>
          <w:szCs w:val="22"/>
        </w:rPr>
      </w:pPr>
      <w:r w:rsidRPr="00204CE6">
        <w:rPr>
          <w:sz w:val="22"/>
          <w:szCs w:val="22"/>
        </w:rPr>
        <w:t xml:space="preserve"> </w:t>
      </w:r>
      <w:r w:rsidR="00A01C47" w:rsidRPr="00204CE6">
        <w:rPr>
          <w:sz w:val="22"/>
          <w:szCs w:val="22"/>
        </w:rPr>
        <w:t>Form</w:t>
      </w:r>
      <w:r w:rsidR="0079037F" w:rsidRPr="00204CE6">
        <w:rPr>
          <w:sz w:val="22"/>
          <w:szCs w:val="22"/>
        </w:rPr>
        <w:t xml:space="preserve"> EIA-856 is a census of those companies importing over 500,000 barrels of foreign crude oil into the United States in the report month. </w:t>
      </w:r>
    </w:p>
    <w:p w14:paraId="2E4AC93A" w14:textId="77777777" w:rsidR="0079037F" w:rsidRPr="00204CE6" w:rsidRDefault="008A2788" w:rsidP="00985552">
      <w:pPr>
        <w:pStyle w:val="Heading2"/>
        <w:rPr>
          <w:sz w:val="22"/>
          <w:szCs w:val="22"/>
        </w:rPr>
      </w:pPr>
      <w:r w:rsidRPr="00204CE6">
        <w:rPr>
          <w:sz w:val="22"/>
          <w:szCs w:val="22"/>
        </w:rPr>
        <w:t xml:space="preserve">B.2.2 </w:t>
      </w:r>
      <w:r w:rsidR="00B86BC5" w:rsidRPr="00204CE6">
        <w:rPr>
          <w:sz w:val="22"/>
          <w:szCs w:val="22"/>
        </w:rPr>
        <w:t>Statistical Methods</w:t>
      </w:r>
      <w:r w:rsidR="0079037F" w:rsidRPr="00204CE6">
        <w:rPr>
          <w:sz w:val="22"/>
          <w:szCs w:val="22"/>
        </w:rPr>
        <w:t xml:space="preserve"> for Monthly Petroleum Product Surveys</w:t>
      </w:r>
    </w:p>
    <w:p w14:paraId="0616935C" w14:textId="6C32F23E" w:rsidR="0079037F" w:rsidRPr="00204CE6" w:rsidRDefault="00705743" w:rsidP="00BF57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cs="Times New Roman"/>
        </w:rPr>
      </w:pPr>
      <w:r w:rsidRPr="00204CE6">
        <w:rPr>
          <w:rFonts w:cs="Times New Roman"/>
          <w:color w:val="000000"/>
        </w:rPr>
        <w:t>Form EIA-782A and EIA-782C</w:t>
      </w:r>
      <w:r w:rsidR="0079037F" w:rsidRPr="00204CE6">
        <w:rPr>
          <w:rFonts w:cs="Times New Roman"/>
          <w:color w:val="000000"/>
        </w:rPr>
        <w:t xml:space="preserve"> are two monthly petroleum product surveys </w:t>
      </w:r>
      <w:r w:rsidRPr="00204CE6">
        <w:rPr>
          <w:rFonts w:cs="Times New Roman"/>
          <w:color w:val="000000"/>
        </w:rPr>
        <w:t xml:space="preserve">that </w:t>
      </w:r>
      <w:r w:rsidR="0079037F" w:rsidRPr="00204CE6">
        <w:rPr>
          <w:rFonts w:cs="Times New Roman"/>
          <w:color w:val="000000"/>
        </w:rPr>
        <w:t>are a census</w:t>
      </w:r>
      <w:r w:rsidRPr="00204CE6">
        <w:rPr>
          <w:rFonts w:cs="Times New Roman"/>
          <w:color w:val="000000"/>
        </w:rPr>
        <w:t>. T</w:t>
      </w:r>
      <w:r w:rsidR="0079037F" w:rsidRPr="00204CE6">
        <w:rPr>
          <w:rFonts w:cs="Times New Roman"/>
          <w:color w:val="000000"/>
        </w:rPr>
        <w:t xml:space="preserve">he target population for each of these surveys is small. The volume weighted price is </w:t>
      </w:r>
      <w:r w:rsidRPr="00204CE6">
        <w:rPr>
          <w:rFonts w:cs="Times New Roman"/>
          <w:color w:val="000000"/>
        </w:rPr>
        <w:t>calculated from data reported on Form EIA-782A</w:t>
      </w:r>
      <w:r w:rsidR="0079037F" w:rsidRPr="00204CE6">
        <w:rPr>
          <w:rFonts w:cs="Times New Roman"/>
        </w:rPr>
        <w:t xml:space="preserve">. The total revenue (price </w:t>
      </w:r>
      <w:r w:rsidR="00AB5B59" w:rsidRPr="00204CE6">
        <w:rPr>
          <w:rFonts w:cs="Times New Roman"/>
        </w:rPr>
        <w:t xml:space="preserve">* </w:t>
      </w:r>
      <w:r w:rsidR="0079037F" w:rsidRPr="00204CE6">
        <w:rPr>
          <w:rFonts w:cs="Times New Roman"/>
        </w:rPr>
        <w:t>volume) is divided by a corresponding total volume to arrive at a volume weighted average selling price.</w:t>
      </w:r>
    </w:p>
    <w:p w14:paraId="2B1FE95E" w14:textId="10DB4C74" w:rsidR="0079037F" w:rsidRPr="00204CE6" w:rsidRDefault="00DE7B62" w:rsidP="00353B4F">
      <w:pPr>
        <w:pStyle w:val="ListParagraph"/>
        <w:numPr>
          <w:ilvl w:val="0"/>
          <w:numId w:val="24"/>
        </w:numPr>
        <w:rPr>
          <w:sz w:val="22"/>
          <w:szCs w:val="22"/>
        </w:rPr>
      </w:pPr>
      <w:r w:rsidRPr="00204CE6">
        <w:rPr>
          <w:sz w:val="22"/>
          <w:szCs w:val="22"/>
        </w:rPr>
        <w:t xml:space="preserve"> </w:t>
      </w:r>
      <w:r w:rsidR="008A2788" w:rsidRPr="00204CE6">
        <w:rPr>
          <w:sz w:val="22"/>
          <w:szCs w:val="22"/>
        </w:rPr>
        <w:t xml:space="preserve">Form </w:t>
      </w:r>
      <w:r w:rsidR="0079037F" w:rsidRPr="00204CE6">
        <w:rPr>
          <w:sz w:val="22"/>
          <w:szCs w:val="22"/>
        </w:rPr>
        <w:t xml:space="preserve">EIA-782A Aggregation: Data from this survey </w:t>
      </w:r>
      <w:r w:rsidR="00F402BE" w:rsidRPr="00204CE6">
        <w:rPr>
          <w:sz w:val="22"/>
          <w:szCs w:val="22"/>
        </w:rPr>
        <w:t xml:space="preserve">are </w:t>
      </w:r>
      <w:r w:rsidR="0079037F" w:rsidRPr="00204CE6">
        <w:rPr>
          <w:sz w:val="22"/>
          <w:szCs w:val="22"/>
        </w:rPr>
        <w:t>used to estimate the national</w:t>
      </w:r>
      <w:r w:rsidR="00705743" w:rsidRPr="00204CE6">
        <w:rPr>
          <w:sz w:val="22"/>
          <w:szCs w:val="22"/>
        </w:rPr>
        <w:t>, Petroleum Administration for Defense Districts (PADD), and state</w:t>
      </w:r>
      <w:r w:rsidR="0079037F" w:rsidRPr="00204CE6">
        <w:rPr>
          <w:sz w:val="22"/>
          <w:szCs w:val="22"/>
        </w:rPr>
        <w:t xml:space="preserve"> </w:t>
      </w:r>
      <w:r w:rsidR="00705743" w:rsidRPr="00204CE6">
        <w:rPr>
          <w:sz w:val="22"/>
          <w:szCs w:val="22"/>
        </w:rPr>
        <w:t xml:space="preserve">weighted </w:t>
      </w:r>
      <w:r w:rsidR="0079037F" w:rsidRPr="00204CE6">
        <w:rPr>
          <w:sz w:val="22"/>
          <w:szCs w:val="22"/>
        </w:rPr>
        <w:t xml:space="preserve">average price for each product and </w:t>
      </w:r>
      <w:r w:rsidR="00705743" w:rsidRPr="00204CE6">
        <w:rPr>
          <w:sz w:val="22"/>
          <w:szCs w:val="22"/>
        </w:rPr>
        <w:t>sales</w:t>
      </w:r>
      <w:r w:rsidR="00AB5B59" w:rsidRPr="00204CE6">
        <w:rPr>
          <w:sz w:val="22"/>
          <w:szCs w:val="22"/>
        </w:rPr>
        <w:t>-</w:t>
      </w:r>
      <w:r w:rsidR="00705743" w:rsidRPr="00204CE6">
        <w:rPr>
          <w:sz w:val="22"/>
          <w:szCs w:val="22"/>
        </w:rPr>
        <w:t>type category</w:t>
      </w:r>
      <w:r w:rsidR="0079037F" w:rsidRPr="00204CE6">
        <w:rPr>
          <w:sz w:val="22"/>
          <w:szCs w:val="22"/>
        </w:rPr>
        <w:t xml:space="preserve">. The price and volume data for each company are multiplied and then aggregated across all companies for each product and market level to obtain a total revenue figure. This revenue is then divided by the corresponding total volume to arrive at a volume weighted average selling price. </w:t>
      </w:r>
    </w:p>
    <w:p w14:paraId="024896CA" w14:textId="5F58F3BA" w:rsidR="00D1656B" w:rsidRPr="00204CE6" w:rsidRDefault="00DE7B62" w:rsidP="00353B4F">
      <w:pPr>
        <w:pStyle w:val="ListParagraph"/>
        <w:rPr>
          <w:sz w:val="22"/>
          <w:szCs w:val="22"/>
        </w:rPr>
      </w:pPr>
      <w:r w:rsidRPr="00204CE6">
        <w:rPr>
          <w:sz w:val="22"/>
          <w:szCs w:val="22"/>
        </w:rPr>
        <w:t xml:space="preserve"> </w:t>
      </w:r>
      <w:r w:rsidR="008A2788" w:rsidRPr="00204CE6">
        <w:rPr>
          <w:sz w:val="22"/>
          <w:szCs w:val="22"/>
        </w:rPr>
        <w:t xml:space="preserve">Form </w:t>
      </w:r>
      <w:r w:rsidR="0079037F" w:rsidRPr="00204CE6">
        <w:rPr>
          <w:sz w:val="22"/>
          <w:szCs w:val="22"/>
        </w:rPr>
        <w:t xml:space="preserve">EIA-782C Aggregation: </w:t>
      </w:r>
      <w:r w:rsidR="006C06B5" w:rsidRPr="00204CE6">
        <w:rPr>
          <w:sz w:val="22"/>
          <w:szCs w:val="22"/>
        </w:rPr>
        <w:t xml:space="preserve">Form </w:t>
      </w:r>
      <w:r w:rsidR="0079037F" w:rsidRPr="00204CE6">
        <w:rPr>
          <w:sz w:val="22"/>
          <w:szCs w:val="22"/>
        </w:rPr>
        <w:t>EIA-782C</w:t>
      </w:r>
      <w:r w:rsidR="00B464DA" w:rsidRPr="00204CE6">
        <w:rPr>
          <w:sz w:val="22"/>
          <w:szCs w:val="22"/>
        </w:rPr>
        <w:t xml:space="preserve"> collects </w:t>
      </w:r>
      <w:r w:rsidR="00AB5B59" w:rsidRPr="00204CE6">
        <w:rPr>
          <w:sz w:val="22"/>
          <w:szCs w:val="22"/>
        </w:rPr>
        <w:t>sale volumes of refined petroleum products</w:t>
      </w:r>
      <w:r w:rsidR="00B464DA" w:rsidRPr="00204CE6">
        <w:rPr>
          <w:sz w:val="22"/>
          <w:szCs w:val="22"/>
        </w:rPr>
        <w:t xml:space="preserve">. </w:t>
      </w:r>
      <w:r w:rsidR="0079037F" w:rsidRPr="00204CE6">
        <w:rPr>
          <w:sz w:val="22"/>
          <w:szCs w:val="22"/>
        </w:rPr>
        <w:t xml:space="preserve"> </w:t>
      </w:r>
      <w:r w:rsidR="00B464DA" w:rsidRPr="00204CE6">
        <w:rPr>
          <w:sz w:val="22"/>
          <w:szCs w:val="22"/>
        </w:rPr>
        <w:t>T</w:t>
      </w:r>
      <w:r w:rsidR="0079037F" w:rsidRPr="00204CE6">
        <w:rPr>
          <w:sz w:val="22"/>
          <w:szCs w:val="22"/>
        </w:rPr>
        <w:t>he only estimation procedures used are for summing across companies</w:t>
      </w:r>
      <w:r w:rsidR="00B464DA" w:rsidRPr="00204CE6">
        <w:rPr>
          <w:sz w:val="22"/>
          <w:szCs w:val="22"/>
        </w:rPr>
        <w:t xml:space="preserve"> to calculate state, regional, and national volume totals</w:t>
      </w:r>
      <w:r w:rsidR="0079037F" w:rsidRPr="00204CE6">
        <w:rPr>
          <w:sz w:val="22"/>
          <w:szCs w:val="22"/>
        </w:rPr>
        <w:t>.</w:t>
      </w:r>
    </w:p>
    <w:p w14:paraId="272D3DE6" w14:textId="71656CF8" w:rsidR="0079037F" w:rsidRPr="00204CE6" w:rsidRDefault="008A2788" w:rsidP="00985552">
      <w:pPr>
        <w:pStyle w:val="Heading2"/>
        <w:rPr>
          <w:sz w:val="22"/>
          <w:szCs w:val="22"/>
        </w:rPr>
      </w:pPr>
      <w:r w:rsidRPr="00204CE6">
        <w:rPr>
          <w:sz w:val="22"/>
          <w:szCs w:val="22"/>
        </w:rPr>
        <w:t xml:space="preserve">B.2.3 </w:t>
      </w:r>
      <w:r w:rsidR="00D766D2" w:rsidRPr="00204CE6">
        <w:rPr>
          <w:sz w:val="22"/>
          <w:szCs w:val="22"/>
        </w:rPr>
        <w:t>S</w:t>
      </w:r>
      <w:r w:rsidR="00D1398E" w:rsidRPr="00204CE6">
        <w:rPr>
          <w:sz w:val="22"/>
          <w:szCs w:val="22"/>
        </w:rPr>
        <w:t>tatistical Methods</w:t>
      </w:r>
      <w:r w:rsidR="0079037F" w:rsidRPr="00204CE6">
        <w:rPr>
          <w:sz w:val="22"/>
          <w:szCs w:val="22"/>
        </w:rPr>
        <w:t xml:space="preserve"> for Weekly Petroleum Product Surveys </w:t>
      </w:r>
    </w:p>
    <w:p w14:paraId="0E088B53" w14:textId="107F1286" w:rsidR="00137342" w:rsidRPr="00204CE6" w:rsidRDefault="0079037F" w:rsidP="00E51E4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360"/>
        <w:rPr>
          <w:rFonts w:cs="Times New Roman"/>
          <w:color w:val="000000"/>
        </w:rPr>
      </w:pPr>
      <w:r w:rsidRPr="00204CE6">
        <w:rPr>
          <w:rFonts w:cs="Times New Roman"/>
          <w:color w:val="000000"/>
        </w:rPr>
        <w:t>All three of the following surveys collect weekly prices for petroleum products</w:t>
      </w:r>
      <w:r w:rsidR="00455EF1" w:rsidRPr="00204CE6">
        <w:rPr>
          <w:rFonts w:cs="Times New Roman"/>
          <w:color w:val="000000"/>
        </w:rPr>
        <w:t>, including</w:t>
      </w:r>
      <w:r w:rsidRPr="00204CE6">
        <w:rPr>
          <w:rFonts w:cs="Times New Roman"/>
          <w:color w:val="000000"/>
        </w:rPr>
        <w:t xml:space="preserve"> motor gasoline, on-highway diesel, heating fuel, and propane. Table B1 contains a summary of the sample design for</w:t>
      </w:r>
      <w:r w:rsidR="00D9357E" w:rsidRPr="00204CE6">
        <w:rPr>
          <w:rFonts w:cs="Times New Roman"/>
          <w:color w:val="000000"/>
        </w:rPr>
        <w:t xml:space="preserve"> </w:t>
      </w:r>
      <w:r w:rsidR="00D32B94" w:rsidRPr="00204CE6">
        <w:rPr>
          <w:rFonts w:cs="Times New Roman"/>
          <w:color w:val="000000"/>
        </w:rPr>
        <w:t>the weekly surveys (</w:t>
      </w:r>
      <w:r w:rsidR="006C06B5" w:rsidRPr="00204CE6">
        <w:rPr>
          <w:rFonts w:cs="Times New Roman"/>
          <w:color w:val="000000"/>
        </w:rPr>
        <w:t xml:space="preserve">Forms </w:t>
      </w:r>
      <w:r w:rsidR="00D32B94" w:rsidRPr="00204CE6">
        <w:rPr>
          <w:rFonts w:cs="Times New Roman"/>
          <w:color w:val="000000"/>
        </w:rPr>
        <w:t xml:space="preserve">EIA-877, EIA-878, and EIA-888) in the Petroleum Marketing Program. </w:t>
      </w:r>
    </w:p>
    <w:tbl>
      <w:tblPr>
        <w:tblStyle w:val="TableGrid3"/>
        <w:tblpPr w:leftFromText="187" w:rightFromText="187" w:vertAnchor="text" w:horzAnchor="margin" w:tblpY="1"/>
        <w:tblW w:w="9990" w:type="dxa"/>
        <w:tblLayout w:type="fixed"/>
        <w:tblLook w:val="04A0" w:firstRow="1" w:lastRow="0" w:firstColumn="1" w:lastColumn="0" w:noHBand="0" w:noVBand="1"/>
      </w:tblPr>
      <w:tblGrid>
        <w:gridCol w:w="2520"/>
        <w:gridCol w:w="5220"/>
        <w:gridCol w:w="1260"/>
        <w:gridCol w:w="990"/>
      </w:tblGrid>
      <w:tr w:rsidR="00137342" w:rsidRPr="004A0B1D" w14:paraId="36E6AAFF" w14:textId="77777777" w:rsidTr="002B5DA7">
        <w:tc>
          <w:tcPr>
            <w:tcW w:w="9990" w:type="dxa"/>
            <w:gridSpan w:val="4"/>
          </w:tcPr>
          <w:p w14:paraId="78D5A34D" w14:textId="77777777" w:rsidR="00137342" w:rsidRPr="00590755" w:rsidRDefault="00137342" w:rsidP="002B5DA7">
            <w:pPr>
              <w:pBdr>
                <w:top w:val="single" w:sz="24" w:space="0" w:color="DBE5F1"/>
                <w:left w:val="single" w:sz="24" w:space="0" w:color="DBE5F1"/>
                <w:bottom w:val="single" w:sz="24" w:space="0" w:color="DBE5F1"/>
                <w:right w:val="single" w:sz="24" w:space="0" w:color="DBE5F1"/>
              </w:pBdr>
              <w:shd w:val="clear" w:color="auto" w:fill="DBE5F1"/>
              <w:spacing w:line="240" w:lineRule="auto"/>
              <w:outlineLvl w:val="1"/>
              <w:rPr>
                <w:rFonts w:ascii="Cambria" w:hAnsi="Cambria" w:cs="Times New Roman"/>
                <w:caps/>
                <w:color w:val="365F91"/>
                <w:spacing w:val="15"/>
                <w:sz w:val="28"/>
                <w:szCs w:val="28"/>
              </w:rPr>
            </w:pPr>
            <w:r w:rsidRPr="00590755">
              <w:rPr>
                <w:rFonts w:ascii="Cambria" w:hAnsi="Cambria" w:cs="Times New Roman"/>
                <w:color w:val="0070C0"/>
                <w:spacing w:val="15"/>
                <w:sz w:val="28"/>
                <w:szCs w:val="28"/>
              </w:rPr>
              <w:t>Table</w:t>
            </w:r>
            <w:r w:rsidRPr="00590755">
              <w:rPr>
                <w:rFonts w:ascii="Cambria" w:hAnsi="Cambria" w:cs="Times New Roman"/>
                <w:caps/>
                <w:color w:val="0070C0"/>
                <w:spacing w:val="15"/>
                <w:sz w:val="28"/>
                <w:szCs w:val="28"/>
              </w:rPr>
              <w:t xml:space="preserve"> B1: </w:t>
            </w:r>
            <w:r w:rsidRPr="00590755">
              <w:rPr>
                <w:rFonts w:ascii="Cambria" w:hAnsi="Cambria" w:cs="Times New Roman"/>
                <w:color w:val="0070C0"/>
                <w:spacing w:val="15"/>
                <w:sz w:val="28"/>
                <w:szCs w:val="28"/>
              </w:rPr>
              <w:t>Summary of Sample Design</w:t>
            </w:r>
          </w:p>
        </w:tc>
      </w:tr>
      <w:tr w:rsidR="00137342" w:rsidRPr="004A0B1D" w14:paraId="36198AD4" w14:textId="77777777" w:rsidTr="002B5DA7">
        <w:tc>
          <w:tcPr>
            <w:tcW w:w="2520" w:type="dxa"/>
          </w:tcPr>
          <w:p w14:paraId="4A3AD360"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Pr>
                <w:rFonts w:ascii="Calibri" w:hAnsi="Calibri" w:cs="Times New Roman"/>
                <w:b/>
                <w:color w:val="000000"/>
              </w:rPr>
              <w:t xml:space="preserve">                                  </w:t>
            </w:r>
            <w:r w:rsidRPr="004A0B1D">
              <w:rPr>
                <w:rFonts w:ascii="Calibri" w:hAnsi="Calibri" w:cs="Times New Roman"/>
                <w:b/>
                <w:color w:val="000000"/>
              </w:rPr>
              <w:t>Survey Name</w:t>
            </w:r>
          </w:p>
        </w:tc>
        <w:tc>
          <w:tcPr>
            <w:tcW w:w="5220" w:type="dxa"/>
          </w:tcPr>
          <w:p w14:paraId="4DCBE271"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p>
          <w:p w14:paraId="21BAD75A"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sidRPr="004A0B1D">
              <w:rPr>
                <w:rFonts w:ascii="Calibri" w:hAnsi="Calibri" w:cs="Times New Roman"/>
                <w:b/>
                <w:color w:val="000000"/>
              </w:rPr>
              <w:t>Sample Design</w:t>
            </w:r>
          </w:p>
        </w:tc>
        <w:tc>
          <w:tcPr>
            <w:tcW w:w="1260" w:type="dxa"/>
          </w:tcPr>
          <w:p w14:paraId="17E46A6B"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sidRPr="004A0B1D">
              <w:rPr>
                <w:rFonts w:ascii="Calibri" w:hAnsi="Calibri" w:cs="Times New Roman"/>
                <w:b/>
                <w:color w:val="000000"/>
              </w:rPr>
              <w:t>Selection Procedure</w:t>
            </w:r>
          </w:p>
        </w:tc>
        <w:tc>
          <w:tcPr>
            <w:tcW w:w="990" w:type="dxa"/>
          </w:tcPr>
          <w:p w14:paraId="30D352BB"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jc w:val="center"/>
              <w:rPr>
                <w:rFonts w:ascii="Calibri" w:hAnsi="Calibri" w:cs="Times New Roman"/>
                <w:b/>
                <w:color w:val="000000"/>
              </w:rPr>
            </w:pPr>
            <w:r w:rsidRPr="004A0B1D">
              <w:rPr>
                <w:rFonts w:ascii="Calibri" w:hAnsi="Calibri" w:cs="Times New Roman"/>
                <w:b/>
                <w:color w:val="000000"/>
              </w:rPr>
              <w:t>Sample Size</w:t>
            </w:r>
          </w:p>
        </w:tc>
      </w:tr>
      <w:tr w:rsidR="00137342" w:rsidRPr="004A0B1D" w14:paraId="296598F3" w14:textId="77777777" w:rsidTr="002B5DA7">
        <w:tc>
          <w:tcPr>
            <w:tcW w:w="2520" w:type="dxa"/>
          </w:tcPr>
          <w:p w14:paraId="0CEFB804"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sidRPr="004A0B1D">
              <w:rPr>
                <w:rFonts w:ascii="Calibri" w:hAnsi="Calibri" w:cs="Times New Roman"/>
                <w:color w:val="000000"/>
              </w:rPr>
              <w:t>EIA-877,</w:t>
            </w:r>
            <w:r w:rsidRPr="004A0B1D">
              <w:rPr>
                <w:rFonts w:ascii="Calibri" w:hAnsi="Calibri" w:cs="Times New Roman"/>
                <w:b/>
                <w:color w:val="000000"/>
              </w:rPr>
              <w:t xml:space="preserve"> “</w:t>
            </w:r>
            <w:r w:rsidRPr="004A0B1D">
              <w:rPr>
                <w:rFonts w:ascii="Calibri" w:hAnsi="Calibri" w:cs="Times New Roman"/>
                <w:bCs/>
              </w:rPr>
              <w:t>Winter Heating Fuels Telephone Survey</w:t>
            </w:r>
            <w:r w:rsidRPr="004A0B1D">
              <w:rPr>
                <w:rFonts w:ascii="Calibri" w:hAnsi="Calibri" w:cs="Times New Roman"/>
                <w:color w:val="000000"/>
              </w:rPr>
              <w:t>”</w:t>
            </w:r>
          </w:p>
        </w:tc>
        <w:tc>
          <w:tcPr>
            <w:tcW w:w="5220" w:type="dxa"/>
          </w:tcPr>
          <w:p w14:paraId="0E89096D" w14:textId="75F66197" w:rsidR="00137342" w:rsidRDefault="00006295"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color w:val="000000"/>
              </w:rPr>
            </w:pPr>
            <w:r>
              <w:rPr>
                <w:rFonts w:ascii="Calibri" w:hAnsi="Calibri" w:cs="Times New Roman"/>
                <w:color w:val="000000"/>
              </w:rPr>
              <w:t>Residential h</w:t>
            </w:r>
            <w:r w:rsidR="00137342" w:rsidRPr="004A0B1D">
              <w:rPr>
                <w:rFonts w:ascii="Calibri" w:hAnsi="Calibri" w:cs="Times New Roman"/>
                <w:color w:val="000000"/>
              </w:rPr>
              <w:t>eating oil</w:t>
            </w:r>
            <w:r>
              <w:rPr>
                <w:rFonts w:ascii="Calibri" w:hAnsi="Calibri" w:cs="Times New Roman"/>
                <w:color w:val="000000"/>
              </w:rPr>
              <w:t xml:space="preserve"> sellers</w:t>
            </w:r>
            <w:r w:rsidR="00137342" w:rsidRPr="004A0B1D">
              <w:rPr>
                <w:rFonts w:ascii="Calibri" w:hAnsi="Calibri" w:cs="Times New Roman"/>
                <w:color w:val="000000"/>
              </w:rPr>
              <w:t xml:space="preserve">: Stratified </w:t>
            </w:r>
            <w:r w:rsidR="00BF7B15">
              <w:rPr>
                <w:rFonts w:ascii="Calibri" w:hAnsi="Calibri" w:cs="Times New Roman"/>
                <w:color w:val="000000"/>
              </w:rPr>
              <w:t xml:space="preserve">systematic </w:t>
            </w:r>
            <w:r w:rsidR="00137342" w:rsidRPr="004A0B1D">
              <w:rPr>
                <w:rFonts w:ascii="Calibri" w:hAnsi="Calibri" w:cs="Times New Roman"/>
                <w:color w:val="000000"/>
              </w:rPr>
              <w:t xml:space="preserve">random sample </w:t>
            </w:r>
            <w:r>
              <w:rPr>
                <w:rFonts w:ascii="Calibri" w:hAnsi="Calibri" w:cs="Times New Roman"/>
                <w:color w:val="000000"/>
              </w:rPr>
              <w:t xml:space="preserve">of </w:t>
            </w:r>
            <w:r w:rsidR="00D97B45">
              <w:rPr>
                <w:rFonts w:ascii="Calibri" w:hAnsi="Calibri" w:cs="Times New Roman"/>
                <w:color w:val="000000"/>
              </w:rPr>
              <w:t>approximately 1,</w:t>
            </w:r>
            <w:r w:rsidR="005F3FC3">
              <w:rPr>
                <w:rFonts w:ascii="Calibri" w:hAnsi="Calibri" w:cs="Times New Roman"/>
                <w:color w:val="000000"/>
              </w:rPr>
              <w:t>320</w:t>
            </w:r>
            <w:r w:rsidR="00D97B45">
              <w:rPr>
                <w:rFonts w:ascii="Calibri" w:hAnsi="Calibri" w:cs="Times New Roman"/>
                <w:color w:val="000000"/>
              </w:rPr>
              <w:t xml:space="preserve"> </w:t>
            </w:r>
            <w:r>
              <w:rPr>
                <w:rFonts w:ascii="Calibri" w:hAnsi="Calibri" w:cs="Times New Roman"/>
                <w:color w:val="000000"/>
              </w:rPr>
              <w:t xml:space="preserve">outlets </w:t>
            </w:r>
            <w:r w:rsidR="00137342" w:rsidRPr="004A0B1D">
              <w:rPr>
                <w:rFonts w:ascii="Calibri" w:hAnsi="Calibri" w:cs="Times New Roman"/>
                <w:color w:val="000000"/>
              </w:rPr>
              <w:t>for 21 states and DC in the East Coast and Midwest Regions.</w:t>
            </w:r>
          </w:p>
          <w:p w14:paraId="6373327D" w14:textId="211D07F2" w:rsidR="00137342" w:rsidRPr="004A0B1D" w:rsidRDefault="00006295"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color w:val="000000"/>
              </w:rPr>
            </w:pPr>
            <w:r>
              <w:rPr>
                <w:rFonts w:ascii="Calibri" w:hAnsi="Calibri" w:cs="Times New Roman"/>
                <w:color w:val="000000"/>
              </w:rPr>
              <w:t>Residential p</w:t>
            </w:r>
            <w:r w:rsidR="007E2247">
              <w:rPr>
                <w:rFonts w:ascii="Calibri" w:hAnsi="Calibri" w:cs="Times New Roman"/>
                <w:color w:val="000000"/>
              </w:rPr>
              <w:t>ropane</w:t>
            </w:r>
            <w:r>
              <w:rPr>
                <w:rFonts w:ascii="Calibri" w:hAnsi="Calibri" w:cs="Times New Roman"/>
                <w:color w:val="000000"/>
              </w:rPr>
              <w:t xml:space="preserve"> sellers</w:t>
            </w:r>
            <w:r w:rsidR="007E2247">
              <w:rPr>
                <w:rFonts w:ascii="Calibri" w:hAnsi="Calibri" w:cs="Times New Roman"/>
                <w:color w:val="000000"/>
              </w:rPr>
              <w:t xml:space="preserve">: </w:t>
            </w:r>
            <w:r w:rsidR="007E2247" w:rsidRPr="007E2247">
              <w:rPr>
                <w:rFonts w:ascii="Calibri" w:hAnsi="Calibri" w:cs="Times New Roman"/>
                <w:color w:val="000000"/>
              </w:rPr>
              <w:t>Stratified</w:t>
            </w:r>
            <w:r w:rsidR="007E2247">
              <w:rPr>
                <w:rFonts w:ascii="Calibri" w:hAnsi="Calibri" w:cs="Times New Roman"/>
                <w:color w:val="000000"/>
              </w:rPr>
              <w:t xml:space="preserve"> </w:t>
            </w:r>
            <w:r w:rsidR="00BF7B15">
              <w:rPr>
                <w:rFonts w:ascii="Calibri" w:hAnsi="Calibri" w:cs="Times New Roman"/>
                <w:color w:val="000000"/>
              </w:rPr>
              <w:t>systematic random</w:t>
            </w:r>
            <w:r w:rsidR="007E2247">
              <w:rPr>
                <w:rFonts w:ascii="Calibri" w:hAnsi="Calibri" w:cs="Times New Roman"/>
                <w:color w:val="000000"/>
              </w:rPr>
              <w:t xml:space="preserve"> sample </w:t>
            </w:r>
            <w:r>
              <w:rPr>
                <w:rFonts w:ascii="Calibri" w:hAnsi="Calibri" w:cs="Times New Roman"/>
                <w:color w:val="000000"/>
              </w:rPr>
              <w:t xml:space="preserve">of </w:t>
            </w:r>
            <w:r w:rsidR="00D97B45">
              <w:rPr>
                <w:rFonts w:ascii="Calibri" w:hAnsi="Calibri" w:cs="Times New Roman"/>
                <w:color w:val="000000"/>
              </w:rPr>
              <w:t>approximately 1,6</w:t>
            </w:r>
            <w:r w:rsidR="005F3FC3">
              <w:rPr>
                <w:rFonts w:ascii="Calibri" w:hAnsi="Calibri" w:cs="Times New Roman"/>
                <w:color w:val="000000"/>
              </w:rPr>
              <w:t>8</w:t>
            </w:r>
            <w:r w:rsidR="00D97B45">
              <w:rPr>
                <w:rFonts w:ascii="Calibri" w:hAnsi="Calibri" w:cs="Times New Roman"/>
                <w:color w:val="000000"/>
              </w:rPr>
              <w:t xml:space="preserve">0 </w:t>
            </w:r>
            <w:r>
              <w:rPr>
                <w:rFonts w:ascii="Calibri" w:hAnsi="Calibri" w:cs="Times New Roman"/>
                <w:color w:val="000000"/>
              </w:rPr>
              <w:t xml:space="preserve">outlets </w:t>
            </w:r>
            <w:r w:rsidR="007E2247">
              <w:rPr>
                <w:rFonts w:ascii="Calibri" w:hAnsi="Calibri" w:cs="Times New Roman"/>
                <w:color w:val="000000"/>
              </w:rPr>
              <w:t>for 38</w:t>
            </w:r>
            <w:r w:rsidR="007E2247" w:rsidRPr="007E2247">
              <w:rPr>
                <w:rFonts w:ascii="Calibri" w:hAnsi="Calibri" w:cs="Times New Roman"/>
                <w:color w:val="000000"/>
              </w:rPr>
              <w:t xml:space="preserve"> states</w:t>
            </w:r>
            <w:r w:rsidR="003C0D2E">
              <w:t xml:space="preserve"> </w:t>
            </w:r>
            <w:r w:rsidR="003C0D2E" w:rsidRPr="003C0D2E">
              <w:rPr>
                <w:rFonts w:ascii="Calibri" w:hAnsi="Calibri" w:cs="Times New Roman"/>
                <w:color w:val="000000"/>
              </w:rPr>
              <w:t>in the East Coast, Midwest, Gulf Coast, and Rocky Mountain Regions</w:t>
            </w:r>
            <w:r w:rsidR="007E2247">
              <w:rPr>
                <w:rFonts w:ascii="Calibri" w:hAnsi="Calibri" w:cs="Times New Roman"/>
                <w:color w:val="000000"/>
              </w:rPr>
              <w:t>.</w:t>
            </w:r>
          </w:p>
        </w:tc>
        <w:tc>
          <w:tcPr>
            <w:tcW w:w="1260" w:type="dxa"/>
          </w:tcPr>
          <w:p w14:paraId="5564D8B9" w14:textId="33520466" w:rsidR="00137342" w:rsidRPr="004A0B1D" w:rsidRDefault="00137342" w:rsidP="00BF57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color w:val="000000"/>
              </w:rPr>
            </w:pPr>
            <w:r w:rsidRPr="004A0B1D">
              <w:rPr>
                <w:rFonts w:ascii="Calibri" w:hAnsi="Calibri" w:cs="Times New Roman"/>
                <w:color w:val="000000"/>
              </w:rPr>
              <w:t xml:space="preserve">See section 1 </w:t>
            </w:r>
            <w:r>
              <w:rPr>
                <w:rFonts w:ascii="Calibri" w:hAnsi="Calibri" w:cs="Times New Roman"/>
                <w:color w:val="000000"/>
              </w:rPr>
              <w:t xml:space="preserve"> </w:t>
            </w:r>
          </w:p>
        </w:tc>
        <w:tc>
          <w:tcPr>
            <w:tcW w:w="990" w:type="dxa"/>
          </w:tcPr>
          <w:p w14:paraId="18DB1FF4" w14:textId="71C68E4D" w:rsidR="00137342" w:rsidRPr="004A0B1D" w:rsidRDefault="005F3FC3"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jc w:val="center"/>
              <w:rPr>
                <w:rFonts w:ascii="Calibri" w:hAnsi="Calibri" w:cs="Times New Roman"/>
                <w:color w:val="000000"/>
              </w:rPr>
            </w:pPr>
            <w:r>
              <w:rPr>
                <w:rFonts w:ascii="Calibri" w:hAnsi="Calibri" w:cs="Times New Roman"/>
                <w:color w:val="000000"/>
              </w:rPr>
              <w:t>3,000</w:t>
            </w:r>
          </w:p>
        </w:tc>
      </w:tr>
      <w:tr w:rsidR="00137342" w:rsidRPr="004A0B1D" w14:paraId="1286EC0A" w14:textId="77777777" w:rsidTr="002B5DA7">
        <w:trPr>
          <w:trHeight w:val="593"/>
        </w:trPr>
        <w:tc>
          <w:tcPr>
            <w:tcW w:w="2520" w:type="dxa"/>
          </w:tcPr>
          <w:p w14:paraId="3C663EF0"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sidRPr="004A0B1D">
              <w:rPr>
                <w:rFonts w:ascii="Calibri" w:hAnsi="Calibri" w:cs="Times New Roman"/>
                <w:color w:val="000000"/>
              </w:rPr>
              <w:t>EIA-878, “</w:t>
            </w:r>
            <w:r w:rsidRPr="004A0B1D">
              <w:rPr>
                <w:rFonts w:ascii="Calibri" w:hAnsi="Calibri" w:cs="Times New Roman"/>
                <w:bCs/>
              </w:rPr>
              <w:t>Motor Gasoline Price Survey</w:t>
            </w:r>
            <w:r w:rsidRPr="004A0B1D">
              <w:rPr>
                <w:rFonts w:ascii="Calibri" w:hAnsi="Calibri" w:cs="Times New Roman"/>
                <w:color w:val="000000"/>
              </w:rPr>
              <w:t>”</w:t>
            </w:r>
          </w:p>
        </w:tc>
        <w:tc>
          <w:tcPr>
            <w:tcW w:w="5220" w:type="dxa"/>
          </w:tcPr>
          <w:p w14:paraId="39894892" w14:textId="77777777" w:rsidR="00137342" w:rsidRPr="004A0B1D" w:rsidRDefault="00137342" w:rsidP="002B5DA7">
            <w:pPr>
              <w:spacing w:line="240" w:lineRule="auto"/>
              <w:rPr>
                <w:rFonts w:ascii="Calibri" w:hAnsi="Calibri" w:cs="Times New Roman"/>
              </w:rPr>
            </w:pPr>
            <w:r w:rsidRPr="004A0B1D">
              <w:rPr>
                <w:rFonts w:ascii="Calibri" w:hAnsi="Calibri" w:cs="Times New Roman"/>
              </w:rPr>
              <w:t>Stratified systematic simple random sample.</w:t>
            </w:r>
          </w:p>
        </w:tc>
        <w:tc>
          <w:tcPr>
            <w:tcW w:w="1260" w:type="dxa"/>
          </w:tcPr>
          <w:p w14:paraId="62B1C92D" w14:textId="4D7412A1" w:rsidR="00137342" w:rsidRPr="004A0B1D" w:rsidRDefault="00137342" w:rsidP="00BF57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color w:val="000000"/>
              </w:rPr>
            </w:pPr>
            <w:r w:rsidRPr="004A0B1D">
              <w:rPr>
                <w:rFonts w:ascii="Calibri" w:hAnsi="Calibri" w:cs="Times New Roman"/>
                <w:color w:val="000000"/>
              </w:rPr>
              <w:t xml:space="preserve">See section 2 </w:t>
            </w:r>
            <w:r>
              <w:rPr>
                <w:rFonts w:ascii="Calibri" w:hAnsi="Calibri" w:cs="Times New Roman"/>
                <w:color w:val="000000"/>
              </w:rPr>
              <w:t xml:space="preserve"> </w:t>
            </w:r>
          </w:p>
        </w:tc>
        <w:tc>
          <w:tcPr>
            <w:tcW w:w="990" w:type="dxa"/>
          </w:tcPr>
          <w:p w14:paraId="597FAFC5"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jc w:val="center"/>
              <w:rPr>
                <w:rFonts w:ascii="Calibri" w:hAnsi="Calibri" w:cs="Times New Roman"/>
                <w:color w:val="000000"/>
              </w:rPr>
            </w:pPr>
            <w:r w:rsidRPr="004A0B1D">
              <w:rPr>
                <w:rFonts w:ascii="Calibri" w:hAnsi="Calibri" w:cs="Times New Roman"/>
                <w:color w:val="000000"/>
              </w:rPr>
              <w:t>1,000</w:t>
            </w:r>
          </w:p>
        </w:tc>
      </w:tr>
      <w:tr w:rsidR="00137342" w:rsidRPr="004A0B1D" w14:paraId="3F0A883D" w14:textId="77777777" w:rsidTr="002B5DA7">
        <w:tc>
          <w:tcPr>
            <w:tcW w:w="2520" w:type="dxa"/>
          </w:tcPr>
          <w:p w14:paraId="5D19FC72"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b/>
                <w:color w:val="000000"/>
              </w:rPr>
            </w:pPr>
            <w:r w:rsidRPr="004A0B1D">
              <w:rPr>
                <w:rFonts w:ascii="Calibri" w:hAnsi="Calibri" w:cs="Times New Roman"/>
                <w:color w:val="000000"/>
              </w:rPr>
              <w:t>EIA-888, “</w:t>
            </w:r>
            <w:r w:rsidRPr="004A0B1D">
              <w:rPr>
                <w:rFonts w:ascii="Calibri" w:hAnsi="Calibri" w:cs="Times New Roman"/>
                <w:bCs/>
              </w:rPr>
              <w:t>On-Highway Diesel Fuel Price Survey</w:t>
            </w:r>
            <w:r w:rsidRPr="004A0B1D">
              <w:rPr>
                <w:rFonts w:ascii="Calibri" w:hAnsi="Calibri" w:cs="Times New Roman"/>
                <w:color w:val="000000"/>
              </w:rPr>
              <w:t>”</w:t>
            </w:r>
          </w:p>
        </w:tc>
        <w:tc>
          <w:tcPr>
            <w:tcW w:w="5220" w:type="dxa"/>
          </w:tcPr>
          <w:p w14:paraId="48F67FD3"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color w:val="000000"/>
              </w:rPr>
            </w:pPr>
            <w:r w:rsidRPr="004A0B1D">
              <w:rPr>
                <w:rFonts w:ascii="Calibri" w:hAnsi="Calibri" w:cs="Times New Roman"/>
                <w:color w:val="000000"/>
              </w:rPr>
              <w:t>Stratified Probability Proportional to Size sample of retail outlets from 48 continental states and DC.</w:t>
            </w:r>
          </w:p>
        </w:tc>
        <w:tc>
          <w:tcPr>
            <w:tcW w:w="1260" w:type="dxa"/>
          </w:tcPr>
          <w:p w14:paraId="33929666" w14:textId="78FB818D" w:rsidR="00137342" w:rsidRPr="004A0B1D" w:rsidRDefault="00137342" w:rsidP="00BF57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Calibri" w:hAnsi="Calibri" w:cs="Times New Roman"/>
                <w:color w:val="000000"/>
              </w:rPr>
            </w:pPr>
            <w:r w:rsidRPr="004A0B1D">
              <w:rPr>
                <w:rFonts w:ascii="Calibri" w:hAnsi="Calibri" w:cs="Times New Roman"/>
                <w:color w:val="000000"/>
              </w:rPr>
              <w:t xml:space="preserve">See section 3 </w:t>
            </w:r>
            <w:r>
              <w:rPr>
                <w:rFonts w:ascii="Calibri" w:hAnsi="Calibri" w:cs="Times New Roman"/>
                <w:color w:val="000000"/>
              </w:rPr>
              <w:t xml:space="preserve"> </w:t>
            </w:r>
          </w:p>
        </w:tc>
        <w:tc>
          <w:tcPr>
            <w:tcW w:w="990" w:type="dxa"/>
          </w:tcPr>
          <w:p w14:paraId="19A08B3E" w14:textId="77777777" w:rsidR="00137342" w:rsidRPr="004A0B1D" w:rsidRDefault="00137342" w:rsidP="002B5D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jc w:val="center"/>
              <w:rPr>
                <w:rFonts w:ascii="Calibri" w:hAnsi="Calibri" w:cs="Times New Roman"/>
                <w:color w:val="000000"/>
              </w:rPr>
            </w:pPr>
            <w:r w:rsidRPr="004A0B1D">
              <w:rPr>
                <w:rFonts w:ascii="Calibri" w:hAnsi="Calibri" w:cs="Times New Roman"/>
                <w:color w:val="000000"/>
              </w:rPr>
              <w:t>403</w:t>
            </w:r>
          </w:p>
        </w:tc>
      </w:tr>
    </w:tbl>
    <w:p w14:paraId="535A6F6C" w14:textId="77777777" w:rsidR="0042629E" w:rsidRDefault="0042629E" w:rsidP="0042629E">
      <w:pPr>
        <w:pStyle w:val="NormalWeb"/>
        <w:rPr>
          <w:lang w:val="en"/>
        </w:rPr>
      </w:pPr>
    </w:p>
    <w:p w14:paraId="6B300B11" w14:textId="32E7F686" w:rsidR="0042629E" w:rsidRDefault="0042629E" w:rsidP="0042629E">
      <w:pPr>
        <w:pStyle w:val="NormalWeb"/>
        <w:rPr>
          <w:lang w:val="en"/>
        </w:rPr>
      </w:pPr>
      <w:r>
        <w:rPr>
          <w:lang w:val="en"/>
        </w:rPr>
        <w:t xml:space="preserve">EIA uses measures of sampling variability, such as the standard error and the coefficient of variation, to measure the sampling error in the three weekly price surveys referenced above. These measures of sampling variability are estimated from the sample that was selected. The standard error, which is measured in the same units (current dollars per gallon for weekly gasoline or No. 2 heating oil prices) as the estimate, is a measure of the sampling variability of the estimate based on all possible samples that could have been selected using the chosen sample design. The coefficient of variation, which is used as a measure of variability for weekly on-highway no. 2 diesel fuel may also be referred to as the relative standard error, and is the standard error expressed as a fraction of the estimate. </w:t>
      </w:r>
    </w:p>
    <w:p w14:paraId="2D256A30" w14:textId="755D1A5A" w:rsidR="0042629E" w:rsidRDefault="0042629E" w:rsidP="0042629E">
      <w:pPr>
        <w:pStyle w:val="NormalWeb"/>
        <w:rPr>
          <w:lang w:val="en"/>
        </w:rPr>
      </w:pPr>
      <w:r>
        <w:rPr>
          <w:lang w:val="en"/>
        </w:rPr>
        <w:t xml:space="preserve">Each average gasoline price estimate published by EIA has a corresponding estimated standard error published with the weekly price estimates.  For quality assurance purposes, average price estimates are flagged if the corresponding estimated coefficient of variation is more than 5%. </w:t>
      </w:r>
    </w:p>
    <w:p w14:paraId="0F677334" w14:textId="0FC8F5B8" w:rsidR="0042629E" w:rsidRDefault="0042629E" w:rsidP="0042629E">
      <w:pPr>
        <w:pStyle w:val="NormalWeb"/>
        <w:rPr>
          <w:lang w:val="en"/>
        </w:rPr>
      </w:pPr>
      <w:r>
        <w:rPr>
          <w:lang w:val="en"/>
        </w:rPr>
        <w:t xml:space="preserve">Data users can use the estimated standard error to compute a confidence interval centered about the corresponding published average price estimate with a desired level of confidence. For example, EIA selected only one of many possible samples for the Motor Gasoline Price Survey. If a confidence interval were constructed for each of these possible samples, the percentage of confidence intervals containing the census value (if we had surveyed the entire sampling frame) would be expected to equal the level of confidence. For example, if one could construct a 95% confidence interval for each possible sample that could be selected, then one would expect that 95% of these confidence intervals would contain the value obtained from taking a census of the sampling frame. </w:t>
      </w:r>
    </w:p>
    <w:p w14:paraId="0EBB5B79" w14:textId="77777777" w:rsidR="0042629E" w:rsidRDefault="0042629E" w:rsidP="0042629E">
      <w:pPr>
        <w:pStyle w:val="NormalWeb"/>
        <w:rPr>
          <w:lang w:val="en"/>
        </w:rPr>
      </w:pPr>
      <w:r>
        <w:rPr>
          <w:lang w:val="en"/>
        </w:rPr>
        <w:t xml:space="preserve">To determine the width of the confidence interval for a given published average price estimate, users can compute the margin of error (MOE) using the estimated standard error. The MOE is defined as the estimated standard error of the estimate multiplied by the standard normal percentile for the level of confidence, rounded up to the nearest unit used in publishing the corresponding estimate. The lower bound of the confidence interval is the estimate minus the MOE, and the upper bound of the confidence interval is the estimate plus the MOE. For the standard normal percentile, 1.645 is used for a 90% confidence interval, and 1.96 is used for a 95% confidence interval. </w:t>
      </w:r>
    </w:p>
    <w:p w14:paraId="2A2E6567" w14:textId="2B87539C" w:rsidR="00D32B94" w:rsidRPr="00D77CB9" w:rsidRDefault="0042629E" w:rsidP="00BA325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rFonts w:cs="Times New Roman"/>
          <w:color w:val="000000"/>
        </w:rPr>
      </w:pPr>
      <w:r>
        <w:rPr>
          <w:rFonts w:cs="Times New Roman"/>
          <w:color w:val="000000"/>
        </w:rPr>
        <w:t>EIA will publish estimated standard errors for the new sample selected to report on Form EIA-877.</w:t>
      </w:r>
    </w:p>
    <w:p w14:paraId="7D0F5B28" w14:textId="4C872BE6" w:rsidR="00B6290B" w:rsidRPr="00D77CB9" w:rsidRDefault="0079037F" w:rsidP="00353B4F">
      <w:pPr>
        <w:pStyle w:val="ListParagraph"/>
        <w:numPr>
          <w:ilvl w:val="0"/>
          <w:numId w:val="18"/>
        </w:numPr>
        <w:rPr>
          <w:sz w:val="22"/>
          <w:szCs w:val="22"/>
        </w:rPr>
      </w:pPr>
      <w:r w:rsidRPr="00D77CB9">
        <w:rPr>
          <w:b/>
          <w:i/>
          <w:sz w:val="22"/>
          <w:szCs w:val="22"/>
        </w:rPr>
        <w:t>EIA-877 Sample and Estimation:</w:t>
      </w:r>
      <w:r w:rsidRPr="00D77CB9">
        <w:rPr>
          <w:sz w:val="22"/>
          <w:szCs w:val="22"/>
        </w:rPr>
        <w:t xml:space="preserve"> </w:t>
      </w:r>
      <w:r w:rsidR="00D1398E" w:rsidRPr="00D77CB9">
        <w:rPr>
          <w:sz w:val="22"/>
          <w:szCs w:val="22"/>
        </w:rPr>
        <w:t>S</w:t>
      </w:r>
      <w:r w:rsidR="005E307E" w:rsidRPr="00D77CB9">
        <w:rPr>
          <w:sz w:val="22"/>
          <w:szCs w:val="22"/>
        </w:rPr>
        <w:t>imilar</w:t>
      </w:r>
      <w:r w:rsidR="00D1398E" w:rsidRPr="00D77CB9">
        <w:rPr>
          <w:sz w:val="22"/>
          <w:szCs w:val="22"/>
        </w:rPr>
        <w:t xml:space="preserve"> sampling and est</w:t>
      </w:r>
      <w:r w:rsidR="00D1656B" w:rsidRPr="00D77CB9">
        <w:rPr>
          <w:sz w:val="22"/>
          <w:szCs w:val="22"/>
        </w:rPr>
        <w:t xml:space="preserve">imation procedures are used for </w:t>
      </w:r>
      <w:r w:rsidR="005E307E" w:rsidRPr="00D77CB9">
        <w:rPr>
          <w:sz w:val="22"/>
          <w:szCs w:val="22"/>
        </w:rPr>
        <w:t xml:space="preserve">estimating weekly prices of </w:t>
      </w:r>
      <w:r w:rsidR="00E51E43" w:rsidRPr="00D77CB9">
        <w:rPr>
          <w:sz w:val="22"/>
          <w:szCs w:val="22"/>
        </w:rPr>
        <w:t>r</w:t>
      </w:r>
      <w:r w:rsidR="00D1398E" w:rsidRPr="00D77CB9">
        <w:rPr>
          <w:sz w:val="22"/>
          <w:szCs w:val="22"/>
        </w:rPr>
        <w:t xml:space="preserve">esidential No. 2 heating oil and propane. </w:t>
      </w:r>
      <w:r w:rsidR="005E307E" w:rsidRPr="00D77CB9">
        <w:rPr>
          <w:sz w:val="22"/>
          <w:szCs w:val="22"/>
        </w:rPr>
        <w:t xml:space="preserve">For </w:t>
      </w:r>
      <w:r w:rsidR="00B464DA" w:rsidRPr="00D77CB9">
        <w:rPr>
          <w:sz w:val="22"/>
          <w:szCs w:val="22"/>
        </w:rPr>
        <w:t>the No. 2 heating oil and propane</w:t>
      </w:r>
      <w:r w:rsidR="005E307E" w:rsidRPr="00D77CB9">
        <w:rPr>
          <w:sz w:val="22"/>
          <w:szCs w:val="22"/>
        </w:rPr>
        <w:t xml:space="preserve"> sampling frame</w:t>
      </w:r>
      <w:r w:rsidR="00B464DA" w:rsidRPr="00D77CB9">
        <w:rPr>
          <w:sz w:val="22"/>
          <w:szCs w:val="22"/>
        </w:rPr>
        <w:t>s</w:t>
      </w:r>
      <w:r w:rsidR="005E307E" w:rsidRPr="00D77CB9">
        <w:rPr>
          <w:sz w:val="22"/>
          <w:szCs w:val="22"/>
        </w:rPr>
        <w:t>, primary strata are defined based on the state of an outlet’s location, which is the most detailed geographic level</w:t>
      </w:r>
      <w:r w:rsidR="0077131F" w:rsidRPr="00D77CB9">
        <w:rPr>
          <w:sz w:val="22"/>
          <w:szCs w:val="22"/>
        </w:rPr>
        <w:t xml:space="preserve"> used for published estimates. Secondary strata within a primary (state) stratum are based on the relative sales volume of the companies that own the outlets and </w:t>
      </w:r>
      <w:r w:rsidR="00BC67F7" w:rsidRPr="00D77CB9">
        <w:rPr>
          <w:sz w:val="22"/>
          <w:szCs w:val="22"/>
        </w:rPr>
        <w:t>annual sales volumes collected from</w:t>
      </w:r>
      <w:r w:rsidR="0077131F" w:rsidRPr="00D77CB9">
        <w:rPr>
          <w:sz w:val="22"/>
          <w:szCs w:val="22"/>
        </w:rPr>
        <w:t xml:space="preserve"> propane outlets in the current sample.</w:t>
      </w:r>
    </w:p>
    <w:p w14:paraId="1E1E9E64" w14:textId="78ABF9E8" w:rsidR="00C271E2" w:rsidRPr="00D77CB9" w:rsidRDefault="00A83CB4" w:rsidP="00093799">
      <w:pPr>
        <w:spacing w:line="360" w:lineRule="auto"/>
        <w:ind w:left="734"/>
      </w:pPr>
      <w:r w:rsidRPr="00D77CB9">
        <w:t xml:space="preserve">Each secondary stratum is sorted by county and ZIP code. </w:t>
      </w:r>
      <w:r w:rsidR="00BE271F" w:rsidRPr="00D77CB9">
        <w:t>From each sampling frame</w:t>
      </w:r>
      <w:r w:rsidR="002956CA" w:rsidRPr="00D77CB9">
        <w:t>, a</w:t>
      </w:r>
      <w:r w:rsidRPr="00D77CB9">
        <w:t xml:space="preserve"> systematic </w:t>
      </w:r>
      <w:r w:rsidR="002956CA" w:rsidRPr="00D77CB9">
        <w:t xml:space="preserve">random </w:t>
      </w:r>
      <w:r w:rsidRPr="00D77CB9">
        <w:t>sample is selected from each secondary stratum.  Sorting in this way imposes an implicit stratification so that we prevent selecting the sample for a given substratum consisting of outlets in only a certain part of the state.</w:t>
      </w:r>
      <w:r w:rsidR="0046197C" w:rsidRPr="00D77CB9">
        <w:t xml:space="preserve"> </w:t>
      </w:r>
      <w:r w:rsidR="00B6290B" w:rsidRPr="00D77CB9">
        <w:t>Approximately 1,</w:t>
      </w:r>
      <w:r w:rsidR="00623563" w:rsidRPr="00D77CB9">
        <w:t>320</w:t>
      </w:r>
      <w:r w:rsidR="00B6290B" w:rsidRPr="00D77CB9">
        <w:t xml:space="preserve"> outlets are selected from the frame of residential heating oil sellers</w:t>
      </w:r>
      <w:r w:rsidR="00017394" w:rsidRPr="00D77CB9">
        <w:t>, and approximatel</w:t>
      </w:r>
      <w:r w:rsidR="00B6290B" w:rsidRPr="00D77CB9">
        <w:t>y 1,6</w:t>
      </w:r>
      <w:r w:rsidR="00623563" w:rsidRPr="00D77CB9">
        <w:t>8</w:t>
      </w:r>
      <w:r w:rsidR="00B6290B" w:rsidRPr="00D77CB9">
        <w:t>0 outlets are selected from the frame of residential propane sellers</w:t>
      </w:r>
      <w:r w:rsidR="001C0773" w:rsidRPr="00D77CB9">
        <w:t xml:space="preserve"> resulting in a total sample size of 3,000 respondents</w:t>
      </w:r>
      <w:r w:rsidR="00B6290B" w:rsidRPr="00D77CB9">
        <w:t xml:space="preserve">. </w:t>
      </w:r>
      <w:r w:rsidR="0046197C" w:rsidRPr="00D77CB9">
        <w:t>The sample size for a given state is determined by how it compares to other states in terms of number of outlets represented on the frame, variability in weekly price and annual sales volume based on available data, and nonresponse in the current sample.</w:t>
      </w:r>
      <w:r w:rsidR="00100A0A" w:rsidRPr="00D77CB9">
        <w:t xml:space="preserve"> Each sampled outlet is assigned a </w:t>
      </w:r>
      <w:r w:rsidR="005F54F3" w:rsidRPr="00D77CB9">
        <w:t>sampling</w:t>
      </w:r>
      <w:r w:rsidR="00100A0A" w:rsidRPr="00D77CB9">
        <w:t xml:space="preserve"> weight that is the inverse of its probability of selection in the sample.</w:t>
      </w:r>
    </w:p>
    <w:p w14:paraId="1120C7A9" w14:textId="475F44B1" w:rsidR="00DC3F0D" w:rsidRPr="00D77CB9" w:rsidRDefault="00DC3F0D" w:rsidP="00093799">
      <w:pPr>
        <w:spacing w:line="360" w:lineRule="auto"/>
        <w:ind w:left="734"/>
      </w:pPr>
      <w:r w:rsidRPr="00D77CB9">
        <w:t xml:space="preserve">The total sample </w:t>
      </w:r>
      <w:r w:rsidR="00FA71CA" w:rsidRPr="00D77CB9">
        <w:t>size increased from 1,506</w:t>
      </w:r>
      <w:r w:rsidR="00FB286E" w:rsidRPr="00D77CB9">
        <w:t xml:space="preserve"> </w:t>
      </w:r>
      <w:r w:rsidR="00FA71CA" w:rsidRPr="00D77CB9">
        <w:t>outlets to</w:t>
      </w:r>
      <w:r w:rsidR="006774B1" w:rsidRPr="00D77CB9">
        <w:t xml:space="preserve"> 3,000 outlets </w:t>
      </w:r>
      <w:r w:rsidR="00FA71CA" w:rsidRPr="00D77CB9">
        <w:t xml:space="preserve">due to </w:t>
      </w:r>
      <w:r w:rsidRPr="00D77CB9">
        <w:t>change</w:t>
      </w:r>
      <w:r w:rsidR="00FA71CA" w:rsidRPr="00D77CB9">
        <w:t>s</w:t>
      </w:r>
      <w:r w:rsidRPr="00D77CB9">
        <w:t xml:space="preserve"> in the sampling methodology. </w:t>
      </w:r>
      <w:r w:rsidR="005214F1" w:rsidRPr="00D77CB9">
        <w:t>First, o</w:t>
      </w:r>
      <w:r w:rsidRPr="00D77CB9">
        <w:t xml:space="preserve">utlets that </w:t>
      </w:r>
      <w:r w:rsidR="00FA71CA" w:rsidRPr="00D77CB9">
        <w:t>are</w:t>
      </w:r>
      <w:r w:rsidR="00AC3EA9" w:rsidRPr="00D77CB9">
        <w:t xml:space="preserve"> identified as</w:t>
      </w:r>
      <w:r w:rsidR="00E3371D">
        <w:t xml:space="preserve"> out of business, out of </w:t>
      </w:r>
      <w:r w:rsidRPr="00D77CB9">
        <w:t xml:space="preserve">scope, or nonrespondents will no longer be replaced with other outlets </w:t>
      </w:r>
      <w:r w:rsidR="00AC3EA9" w:rsidRPr="00D77CB9">
        <w:t>from</w:t>
      </w:r>
      <w:r w:rsidRPr="00D77CB9">
        <w:t xml:space="preserve"> the frame</w:t>
      </w:r>
      <w:r w:rsidR="005214F1" w:rsidRPr="00D77CB9">
        <w:t xml:space="preserve"> that were not </w:t>
      </w:r>
      <w:r w:rsidR="00AC3EA9" w:rsidRPr="00D77CB9">
        <w:t>selected</w:t>
      </w:r>
      <w:r w:rsidR="005214F1" w:rsidRPr="00D77CB9">
        <w:t xml:space="preserve"> in the initial sample size</w:t>
      </w:r>
      <w:r w:rsidRPr="00D77CB9">
        <w:t xml:space="preserve">. </w:t>
      </w:r>
      <w:r w:rsidR="005214F1" w:rsidRPr="00D77CB9">
        <w:t xml:space="preserve">Second, </w:t>
      </w:r>
      <w:r w:rsidR="00AC3EA9" w:rsidRPr="00D77CB9">
        <w:t>9 years have passed since the last EIA-863 collection cycle</w:t>
      </w:r>
      <w:r w:rsidRPr="00D77CB9">
        <w:t xml:space="preserve"> </w:t>
      </w:r>
      <w:r w:rsidR="00E94C1A">
        <w:t xml:space="preserve">so </w:t>
      </w:r>
      <w:r w:rsidRPr="00D77CB9">
        <w:t xml:space="preserve">the sampling frames for heating oil and propane </w:t>
      </w:r>
      <w:r w:rsidR="00E94C1A">
        <w:t>were</w:t>
      </w:r>
      <w:r w:rsidRPr="00D77CB9">
        <w:t xml:space="preserve"> updated using various administrative and third-party data sources that have varying degrees of </w:t>
      </w:r>
      <w:r w:rsidR="00AC3EA9" w:rsidRPr="00D77CB9">
        <w:t>accuracy</w:t>
      </w:r>
      <w:r w:rsidR="005214F1" w:rsidRPr="00D77CB9">
        <w:t xml:space="preserve">. </w:t>
      </w:r>
      <w:r w:rsidR="00E94C1A">
        <w:t>We</w:t>
      </w:r>
      <w:r w:rsidRPr="00D77CB9">
        <w:t xml:space="preserve"> </w:t>
      </w:r>
      <w:r w:rsidRPr="00E94C1A">
        <w:t xml:space="preserve">expect </w:t>
      </w:r>
      <w:r w:rsidR="00E94C1A">
        <w:t xml:space="preserve">more </w:t>
      </w:r>
      <w:r w:rsidRPr="00D77CB9">
        <w:t xml:space="preserve">attrition for outlets in the </w:t>
      </w:r>
      <w:r w:rsidR="00E94C1A">
        <w:t xml:space="preserve">heating oil </w:t>
      </w:r>
      <w:r w:rsidRPr="00D77CB9">
        <w:t xml:space="preserve">sample that </w:t>
      </w:r>
      <w:r w:rsidR="00E3371D">
        <w:t xml:space="preserve">are out of business or out of </w:t>
      </w:r>
      <w:r w:rsidR="00E94C1A">
        <w:t>scope.</w:t>
      </w:r>
      <w:r w:rsidR="005214F1" w:rsidRPr="00D77CB9">
        <w:t xml:space="preserve"> </w:t>
      </w:r>
      <w:r w:rsidR="00E94C1A">
        <w:t>T</w:t>
      </w:r>
      <w:r w:rsidRPr="00D77CB9">
        <w:t xml:space="preserve">he sample size </w:t>
      </w:r>
      <w:r w:rsidR="005214F1" w:rsidRPr="00D77CB9">
        <w:t xml:space="preserve">is </w:t>
      </w:r>
      <w:r w:rsidR="00E94C1A">
        <w:t>18</w:t>
      </w:r>
      <w:r w:rsidRPr="00D77CB9">
        <w:t xml:space="preserve">% </w:t>
      </w:r>
      <w:r w:rsidR="005214F1" w:rsidRPr="00D77CB9">
        <w:t xml:space="preserve">higher </w:t>
      </w:r>
      <w:r w:rsidRPr="00D77CB9">
        <w:t>for heating oil compared to proportional allocation based on the expected number of outlets on the heating oil and propane sampling frames.</w:t>
      </w:r>
      <w:r w:rsidR="005214F1" w:rsidRPr="00D77CB9">
        <w:t xml:space="preserve"> Third</w:t>
      </w:r>
      <w:r w:rsidR="001C4B10" w:rsidRPr="00D77CB9">
        <w:t xml:space="preserve">, </w:t>
      </w:r>
      <w:r w:rsidR="00286F3A" w:rsidRPr="00D77CB9">
        <w:t xml:space="preserve">while </w:t>
      </w:r>
      <w:r w:rsidR="00946F3E" w:rsidRPr="00D77CB9">
        <w:t xml:space="preserve">creating the sampling frames at the outlet level </w:t>
      </w:r>
      <w:r w:rsidR="005214F1" w:rsidRPr="00D77CB9">
        <w:t>allows more control in the sample design in terms of certain characteristics of the outlets such as their geography and company ownership, sales volume information is limited</w:t>
      </w:r>
      <w:r w:rsidR="00286F3A" w:rsidRPr="00D77CB9">
        <w:t xml:space="preserve"> </w:t>
      </w:r>
      <w:r w:rsidR="00A445EC" w:rsidRPr="00D77CB9">
        <w:t xml:space="preserve">and </w:t>
      </w:r>
      <w:r w:rsidR="005214F1" w:rsidRPr="00D77CB9">
        <w:t xml:space="preserve">the increased sample size reflects this </w:t>
      </w:r>
      <w:r w:rsidR="00946F3E" w:rsidRPr="00D77CB9">
        <w:t xml:space="preserve">lack of </w:t>
      </w:r>
      <w:r w:rsidR="00290B0F" w:rsidRPr="00D77CB9">
        <w:t xml:space="preserve">accurate </w:t>
      </w:r>
      <w:r w:rsidR="00AC3EA9" w:rsidRPr="00D77CB9">
        <w:t>information on the measure size</w:t>
      </w:r>
      <w:r w:rsidR="00290B0F" w:rsidRPr="00D77CB9">
        <w:t xml:space="preserve"> for the outlets</w:t>
      </w:r>
      <w:r w:rsidR="005214F1" w:rsidRPr="00D77CB9">
        <w:t xml:space="preserve"> in the sample design.</w:t>
      </w:r>
    </w:p>
    <w:p w14:paraId="6DDAFE2F" w14:textId="0CEFD529" w:rsidR="009E7324" w:rsidRPr="00D77CB9" w:rsidRDefault="009E7324" w:rsidP="00093799">
      <w:pPr>
        <w:spacing w:line="360" w:lineRule="auto"/>
        <w:ind w:left="734"/>
      </w:pPr>
      <w:r w:rsidRPr="00D77CB9">
        <w:t>Weekly price data are collected by State Energy Offices under the U.S. Energy Information Administration (EIA) State Heating Oil and Propane Program (SHOPP).  When sample updates are made, EIA collects recent annual sales volume data from respondents. The volume weight for a given sampled outlet is then constructed by multiplying its sampling weight by its reported or imputed annual sales volume. These volume weights are applied each week to the reported or imputed outlet prices to obtain weighted average price estimates for the geographic areas that EIA publishes. Item and unit nonresponse to weekly prices and annual sales volumes are handled at the outlet level by imputation using prior survey data reported by the outlet and survey data reported from other outlets in the sample.</w:t>
      </w:r>
    </w:p>
    <w:p w14:paraId="5DD80F47" w14:textId="03BA6908" w:rsidR="000C083F" w:rsidRPr="00D77CB9" w:rsidRDefault="000C083F" w:rsidP="00093799">
      <w:pPr>
        <w:spacing w:line="360" w:lineRule="auto"/>
        <w:ind w:left="734"/>
      </w:pPr>
      <w:r w:rsidRPr="00D77CB9">
        <w:t>After the initial sample of outlets has been selected, available sources of information on new outlets since the sampling frame</w:t>
      </w:r>
      <w:r w:rsidR="00BD55CF" w:rsidRPr="00D77CB9">
        <w:t>s</w:t>
      </w:r>
      <w:r w:rsidRPr="00D77CB9">
        <w:t xml:space="preserve"> w</w:t>
      </w:r>
      <w:r w:rsidR="00BD55CF" w:rsidRPr="00D77CB9">
        <w:t>ere</w:t>
      </w:r>
      <w:r w:rsidRPr="00D77CB9">
        <w:t xml:space="preserve"> constructed will be analyzed each year until the sample is redesigned, with the goal of selecting an independent birth sample annually to augment the initial sample. In designing these annual birth samples, geographic regions will be oversampled where there are relatively higher rates of sample attrition because of outlets that were selected in the initial sample and subsequently went out of business.</w:t>
      </w:r>
    </w:p>
    <w:p w14:paraId="6B088323" w14:textId="1267CC84" w:rsidR="009D6AA9" w:rsidRPr="00D77CB9" w:rsidRDefault="00093799" w:rsidP="009B0C35">
      <w:pPr>
        <w:spacing w:line="360" w:lineRule="auto"/>
        <w:ind w:left="720" w:hanging="360"/>
      </w:pPr>
      <w:bookmarkStart w:id="5" w:name="OLE_LINK1"/>
      <w:bookmarkStart w:id="6" w:name="OLE_LINK2"/>
      <w:r w:rsidRPr="00D77CB9">
        <w:rPr>
          <w:b/>
          <w:i/>
        </w:rPr>
        <w:t>(2)</w:t>
      </w:r>
      <w:r w:rsidRPr="00D77CB9">
        <w:rPr>
          <w:b/>
        </w:rPr>
        <w:t xml:space="preserve">  </w:t>
      </w:r>
      <w:r w:rsidR="00513C3B" w:rsidRPr="00D77CB9">
        <w:rPr>
          <w:b/>
          <w:i/>
        </w:rPr>
        <w:t xml:space="preserve">Form </w:t>
      </w:r>
      <w:r w:rsidR="0079037F" w:rsidRPr="00D77CB9">
        <w:rPr>
          <w:b/>
          <w:i/>
        </w:rPr>
        <w:t>EIA-878 Sample Design:</w:t>
      </w:r>
      <w:r w:rsidR="0079037F" w:rsidRPr="00D77CB9">
        <w:t xml:space="preserve"> The sample for the Motor Gasoline Price Survey was drawn from a frame of approximately 130,000 retail gasoline outlets</w:t>
      </w:r>
      <w:r w:rsidR="006223B8" w:rsidRPr="00D77CB9">
        <w:t xml:space="preserve"> in the U.S. that were active in 2016</w:t>
      </w:r>
      <w:r w:rsidR="0079037F" w:rsidRPr="00D77CB9">
        <w:t xml:space="preserve">. </w:t>
      </w:r>
      <w:r w:rsidR="0066633C" w:rsidRPr="00D77CB9">
        <w:t xml:space="preserve">The gasoline outlet frame was constructed by combining </w:t>
      </w:r>
      <w:r w:rsidR="00BD1303" w:rsidRPr="00D77CB9">
        <w:t xml:space="preserve">U.S. </w:t>
      </w:r>
      <w:r w:rsidR="0066633C" w:rsidRPr="00D77CB9">
        <w:t>Energy Information Administration outlet information from a private commercial source with information contained on existing EIA petroleum product frames and surveys, federal and state administrative records, and other publicly available sources.</w:t>
      </w:r>
      <w:r w:rsidR="0079037F" w:rsidRPr="00D77CB9">
        <w:t xml:space="preserve"> </w:t>
      </w:r>
    </w:p>
    <w:p w14:paraId="3DB1AD0B" w14:textId="77777777" w:rsidR="009D6AA9" w:rsidRPr="00D77CB9" w:rsidRDefault="009D6AA9" w:rsidP="00352ABC">
      <w:pPr>
        <w:spacing w:line="360" w:lineRule="auto"/>
        <w:ind w:left="720"/>
      </w:pPr>
      <w:r w:rsidRPr="00D77CB9">
        <w:t>Outlet names, physical addresses, and ZIP codes were obtained from the private commercial data source. The individual outlets in the frame were assigned to counties after converting the physical addresses to geographic coordinates. The outlets were then assigned either as reformulated or conventional gasoline areas based on the published geographic areas as defined by the U.S. Environmental Protection Agency program and some state-defined reformulated gasoline program areas. The outlets were then further assigned to city areas based on the geographic areas as defined by EIA.</w:t>
      </w:r>
    </w:p>
    <w:p w14:paraId="45B304DB" w14:textId="77777777" w:rsidR="009D6AA9" w:rsidRPr="00D77CB9" w:rsidRDefault="009D6AA9" w:rsidP="00352ABC">
      <w:pPr>
        <w:spacing w:line="360" w:lineRule="auto"/>
        <w:ind w:left="720"/>
      </w:pPr>
      <w:r w:rsidRPr="00D77CB9">
        <w:t>The new gasoline outlet sample is a stratified systematic sample with a total size of 1,000 retail outlets. Retail gasoline outlets are assigned to primary sampling strata based on physical address. These primary sampling strata are nonoverlapping, and one or more primary sampling strata may be combined to correspond to a publication cell.</w:t>
      </w:r>
    </w:p>
    <w:p w14:paraId="209D48FB" w14:textId="4B008037" w:rsidR="009D6AA9" w:rsidRPr="00D77CB9" w:rsidRDefault="009D6AA9" w:rsidP="00352ABC">
      <w:pPr>
        <w:spacing w:line="360" w:lineRule="auto"/>
        <w:ind w:left="720"/>
      </w:pPr>
      <w:r w:rsidRPr="00D77CB9">
        <w:t xml:space="preserve">The primary sampling strata are </w:t>
      </w:r>
      <w:r w:rsidR="00455EF1" w:rsidRPr="00D77CB9">
        <w:t xml:space="preserve">then </w:t>
      </w:r>
      <w:r w:rsidRPr="00D77CB9">
        <w:t>substratified by retail gasoline outlet type (big-box or non-big-box). The total sample size is allocated to the sampling substrata in proportion to the number of outlets in the cell after weighting the big-box substrata in recognition of larger annual sales volume per outlet compared with non-big-box substrata.</w:t>
      </w:r>
    </w:p>
    <w:p w14:paraId="67E126D2" w14:textId="77777777" w:rsidR="009D6AA9" w:rsidRPr="00D77CB9" w:rsidRDefault="009D6AA9" w:rsidP="00352ABC">
      <w:pPr>
        <w:spacing w:line="360" w:lineRule="auto"/>
        <w:ind w:left="720"/>
      </w:pPr>
      <w:r w:rsidRPr="00D77CB9">
        <w:t>Sampling within each sampling substratum is performed by ordering the outlets by county and ZIP code and selecting an independent systematic random sample without replacement. This procedure results in adequate sample representation by ZIP code within a given substratum.</w:t>
      </w:r>
    </w:p>
    <w:p w14:paraId="31233B78" w14:textId="15D0828A" w:rsidR="009D6AA9" w:rsidRPr="00D77CB9" w:rsidRDefault="009D6AA9" w:rsidP="00BD1303">
      <w:pPr>
        <w:spacing w:line="360" w:lineRule="auto"/>
        <w:ind w:left="720"/>
      </w:pPr>
      <w:r w:rsidRPr="00D77CB9">
        <w:t>Each year, the sample will be augmented to account for new outlets that are established. Also, each year, some geographic regions may experience relatively higher annual rates of outlets going out of business. Those geographic regions with relatively higher rates of sample attrition will be oversampled to account for this impact</w:t>
      </w:r>
      <w:r w:rsidR="00F10901" w:rsidRPr="00D77CB9">
        <w:t>.</w:t>
      </w:r>
      <w:r w:rsidRPr="00D77CB9" w:rsidDel="009D6AA9">
        <w:t xml:space="preserve"> </w:t>
      </w:r>
    </w:p>
    <w:p w14:paraId="7C979067" w14:textId="7FA644A1" w:rsidR="0079037F" w:rsidRPr="00D77CB9" w:rsidRDefault="00513C3B" w:rsidP="00BB5A69">
      <w:pPr>
        <w:spacing w:before="100" w:beforeAutospacing="1" w:after="100" w:afterAutospacing="1" w:line="360" w:lineRule="auto"/>
        <w:ind w:left="720"/>
      </w:pPr>
      <w:r w:rsidRPr="00D77CB9">
        <w:rPr>
          <w:b/>
          <w:i/>
        </w:rPr>
        <w:t xml:space="preserve">Form </w:t>
      </w:r>
      <w:r w:rsidR="0079037F" w:rsidRPr="00D77CB9">
        <w:rPr>
          <w:b/>
          <w:i/>
        </w:rPr>
        <w:t>EIA-878 Estimation</w:t>
      </w:r>
      <w:r w:rsidR="0079037F" w:rsidRPr="00D77CB9">
        <w:rPr>
          <w:b/>
        </w:rPr>
        <w:t>:</w:t>
      </w:r>
      <w:r w:rsidR="0079037F" w:rsidRPr="00D77CB9">
        <w:t xml:space="preserve"> In the first phase of this survey, a measure of size – annual volumetric sales by grade of gasoline- </w:t>
      </w:r>
      <w:r w:rsidR="00A64D31" w:rsidRPr="00D77CB9">
        <w:t>was</w:t>
      </w:r>
      <w:r w:rsidR="0079037F" w:rsidRPr="00D77CB9">
        <w:t xml:space="preserve"> collected from </w:t>
      </w:r>
      <w:r w:rsidR="00A20831" w:rsidRPr="00D77CB9">
        <w:t>1,000</w:t>
      </w:r>
      <w:r w:rsidR="0079037F" w:rsidRPr="00D77CB9">
        <w:t xml:space="preserve"> selected outlet owners</w:t>
      </w:r>
      <w:r w:rsidR="00542FD8" w:rsidRPr="00D77CB9">
        <w:t xml:space="preserve"> with additional collection annually for new birth samples</w:t>
      </w:r>
      <w:r w:rsidR="0079037F" w:rsidRPr="00D77CB9">
        <w:t>. These volumes</w:t>
      </w:r>
      <w:r w:rsidR="00A64D31" w:rsidRPr="00D77CB9">
        <w:t xml:space="preserve"> were</w:t>
      </w:r>
      <w:r w:rsidR="0079037F" w:rsidRPr="00D77CB9">
        <w:t xml:space="preserve"> applied each week to the reported outlet gasoline prices to get volume weighted average prices and measures of uncertainty. </w:t>
      </w:r>
    </w:p>
    <w:p w14:paraId="1605DDE0" w14:textId="2803B23D" w:rsidR="002F4C71" w:rsidRPr="00D77CB9" w:rsidRDefault="002F4C71" w:rsidP="001353F4">
      <w:pPr>
        <w:spacing w:line="360" w:lineRule="auto"/>
        <w:ind w:left="720" w:hanging="360"/>
      </w:pPr>
      <w:r w:rsidRPr="00D77CB9">
        <w:t>Imputation of annual volume</w:t>
      </w:r>
      <w:r w:rsidR="00A113FE" w:rsidRPr="00D77CB9">
        <w:t>s</w:t>
      </w:r>
      <w:r w:rsidRPr="00D77CB9">
        <w:t xml:space="preserve"> for nonrespondents </w:t>
      </w:r>
      <w:r w:rsidR="00A113FE" w:rsidRPr="00D77CB9">
        <w:t xml:space="preserve">relies on </w:t>
      </w:r>
      <w:r w:rsidR="00542FD8" w:rsidRPr="00D77CB9">
        <w:t>two different methods based on the level of nonresponse:</w:t>
      </w:r>
    </w:p>
    <w:p w14:paraId="7E1A0B26" w14:textId="31A71456" w:rsidR="00996B2A" w:rsidRPr="00D77CB9" w:rsidRDefault="00996B2A" w:rsidP="00F4147A">
      <w:pPr>
        <w:pStyle w:val="ListParagraph"/>
        <w:numPr>
          <w:ilvl w:val="0"/>
          <w:numId w:val="35"/>
        </w:numPr>
        <w:rPr>
          <w:sz w:val="22"/>
          <w:szCs w:val="22"/>
        </w:rPr>
      </w:pPr>
      <w:r w:rsidRPr="00D77CB9">
        <w:rPr>
          <w:sz w:val="22"/>
          <w:szCs w:val="22"/>
        </w:rPr>
        <w:t xml:space="preserve">Only </w:t>
      </w:r>
      <w:r w:rsidR="00542FD8" w:rsidRPr="00D77CB9">
        <w:rPr>
          <w:sz w:val="22"/>
          <w:szCs w:val="22"/>
        </w:rPr>
        <w:t>Regula</w:t>
      </w:r>
      <w:r w:rsidRPr="00D77CB9">
        <w:rPr>
          <w:sz w:val="22"/>
          <w:szCs w:val="22"/>
        </w:rPr>
        <w:t>r</w:t>
      </w:r>
      <w:r w:rsidR="005D2873" w:rsidRPr="00D77CB9">
        <w:rPr>
          <w:sz w:val="22"/>
          <w:szCs w:val="22"/>
        </w:rPr>
        <w:t xml:space="preserve"> grade</w:t>
      </w:r>
      <w:r w:rsidR="00542FD8" w:rsidRPr="00D77CB9">
        <w:rPr>
          <w:sz w:val="22"/>
          <w:szCs w:val="22"/>
        </w:rPr>
        <w:t xml:space="preserve"> gasoline volume </w:t>
      </w:r>
      <w:r w:rsidRPr="00D77CB9">
        <w:rPr>
          <w:sz w:val="22"/>
          <w:szCs w:val="22"/>
        </w:rPr>
        <w:t>reported:</w:t>
      </w:r>
      <w:r w:rsidR="00542FD8" w:rsidRPr="00D77CB9">
        <w:rPr>
          <w:sz w:val="22"/>
          <w:szCs w:val="22"/>
        </w:rPr>
        <w:t xml:space="preserve"> </w:t>
      </w:r>
    </w:p>
    <w:p w14:paraId="394B43FD" w14:textId="077E9A3A" w:rsidR="001A2F4B" w:rsidRPr="00D77CB9" w:rsidRDefault="00542FD8" w:rsidP="00352ABC">
      <w:pPr>
        <w:ind w:left="1440"/>
      </w:pPr>
      <w:r w:rsidRPr="00D77CB9">
        <w:t>If a respondent provided only annual sales volumes for regular</w:t>
      </w:r>
      <w:r w:rsidR="009D264F" w:rsidRPr="00D77CB9">
        <w:t xml:space="preserve"> grade</w:t>
      </w:r>
      <w:r w:rsidRPr="00D77CB9">
        <w:t xml:space="preserve"> gasoline for a particular outlet, but it is known that the respondent also sold midgrade and/or premium</w:t>
      </w:r>
      <w:r w:rsidR="009D264F" w:rsidRPr="00D77CB9">
        <w:t xml:space="preserve"> grade</w:t>
      </w:r>
      <w:r w:rsidRPr="00D77CB9">
        <w:t xml:space="preserve"> gasoline for that survey period at that particular outlet, imputation of annual midgrade and/or premium </w:t>
      </w:r>
      <w:r w:rsidR="009D264F" w:rsidRPr="00D77CB9">
        <w:t xml:space="preserve">grade </w:t>
      </w:r>
      <w:r w:rsidRPr="00D77CB9">
        <w:t>gasoline volumes are based on the propor</w:t>
      </w:r>
      <w:r w:rsidR="005D2873" w:rsidRPr="00D77CB9">
        <w:t xml:space="preserve">tion of </w:t>
      </w:r>
      <w:r w:rsidRPr="00D77CB9">
        <w:t xml:space="preserve">volumes of </w:t>
      </w:r>
      <w:r w:rsidR="005D2873" w:rsidRPr="00D77CB9">
        <w:t xml:space="preserve">midgrade and/or premium grade </w:t>
      </w:r>
      <w:r w:rsidRPr="00D77CB9">
        <w:t>gasoline reported for</w:t>
      </w:r>
      <w:r w:rsidR="001A2F4B" w:rsidRPr="00D77CB9">
        <w:t xml:space="preserve"> </w:t>
      </w:r>
      <w:r w:rsidR="009D264F" w:rsidRPr="00D77CB9">
        <w:t xml:space="preserve">the </w:t>
      </w:r>
      <w:r w:rsidR="001A2F4B" w:rsidRPr="00D77CB9">
        <w:t xml:space="preserve">most recent complete calendar year </w:t>
      </w:r>
      <w:r w:rsidR="0071701D" w:rsidRPr="00D77CB9">
        <w:t xml:space="preserve">on the EIA-782C Monthly Report of Prime Supplier Sales of Petroleum Products Sold for Local Consumption </w:t>
      </w:r>
      <w:r w:rsidR="001A2F4B" w:rsidRPr="00D77CB9">
        <w:t>for</w:t>
      </w:r>
      <w:r w:rsidRPr="00D77CB9">
        <w:t xml:space="preserve"> the </w:t>
      </w:r>
      <w:r w:rsidR="009D264F" w:rsidRPr="00D77CB9">
        <w:t xml:space="preserve">U.S. state/district of the </w:t>
      </w:r>
      <w:r w:rsidRPr="00D77CB9">
        <w:t>respondent’s outlet</w:t>
      </w:r>
      <w:r w:rsidR="001A2F4B" w:rsidRPr="00D77CB9">
        <w:t xml:space="preserve">. </w:t>
      </w:r>
    </w:p>
    <w:p w14:paraId="65877130" w14:textId="49720115" w:rsidR="001A2F4B" w:rsidRPr="00D77CB9" w:rsidRDefault="00B5763A" w:rsidP="00352ABC">
      <w:pPr>
        <w:ind w:left="1440"/>
      </w:pPr>
      <w:r w:rsidRPr="00D77CB9">
        <w:t>The following is the formula for imputation</w:t>
      </w:r>
      <w:r w:rsidR="009D264F" w:rsidRPr="00D77CB9">
        <w:t xml:space="preserve"> for respondents only reporting annual regular grade gasoline volume sales</w:t>
      </w:r>
      <w:r w:rsidRPr="00D77CB9">
        <w:t>:</w:t>
      </w:r>
    </w:p>
    <w:p w14:paraId="2D055707" w14:textId="251F6D50" w:rsidR="001A2F4B" w:rsidRPr="00D77CB9" w:rsidRDefault="004B4066" w:rsidP="00352ABC">
      <w:pPr>
        <w:ind w:left="1440"/>
      </w:pPr>
      <m:oMathPara>
        <m:oMath>
          <m:sSub>
            <m:sSubPr>
              <m:ctrlPr>
                <w:rPr>
                  <w:rFonts w:ascii="Cambria Math" w:hAnsi="Cambria Math"/>
                </w:rPr>
              </m:ctrlPr>
            </m:sSubPr>
            <m:e>
              <m:r>
                <w:rPr>
                  <w:rFonts w:ascii="Cambria Math" w:hAnsi="Cambria Math"/>
                </w:rPr>
                <m:t>V</m:t>
              </m:r>
            </m:e>
            <m:sub>
              <m:r>
                <w:rPr>
                  <w:rFonts w:ascii="Cambria Math" w:hAnsi="Cambria Math"/>
                </w:rPr>
                <m:t>i</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r</m:t>
                  </m:r>
                </m:sub>
              </m:sSub>
            </m:num>
            <m:den>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r</m:t>
                      </m:r>
                    </m:sub>
                  </m:sSub>
                </m:num>
                <m:den>
                  <m:r>
                    <m:rPr>
                      <m:sty m:val="p"/>
                    </m:rPr>
                    <w:rPr>
                      <w:rFonts w:ascii="Cambria Math" w:hAnsi="Cambria Math"/>
                    </w:rPr>
                    <m:t>100</m:t>
                  </m:r>
                </m:den>
              </m:f>
              <m:r>
                <m:rPr>
                  <m:sty m:val="p"/>
                </m:rPr>
                <w:rPr>
                  <w:rFonts w:ascii="Cambria Math" w:hAnsi="Cambria Math"/>
                </w:rPr>
                <m:t>)</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m</m:t>
                  </m:r>
                </m:sub>
              </m:sSub>
            </m:num>
            <m:den>
              <m:r>
                <m:rPr>
                  <m:sty m:val="p"/>
                </m:rPr>
                <w:rPr>
                  <w:rFonts w:ascii="Cambria Math" w:hAnsi="Cambria Math"/>
                </w:rPr>
                <m:t>100</m:t>
              </m:r>
            </m:den>
          </m:f>
          <m:r>
            <m:rPr>
              <m:sty m:val="p"/>
            </m:rPr>
            <w:rPr>
              <w:rFonts w:ascii="Cambria Math" w:hAnsi="Cambria Math"/>
            </w:rPr>
            <m:t>)</m:t>
          </m:r>
        </m:oMath>
      </m:oMathPara>
    </w:p>
    <w:p w14:paraId="4DACEC21" w14:textId="27E8379B" w:rsidR="00C73961" w:rsidRPr="00D77CB9" w:rsidRDefault="00C73961" w:rsidP="00352ABC">
      <w:pPr>
        <w:ind w:left="1440"/>
      </w:pPr>
      <w:r w:rsidRPr="00D77CB9">
        <w:t>Where,</w:t>
      </w:r>
    </w:p>
    <w:p w14:paraId="1DA39718" w14:textId="46FAC8A3" w:rsidR="00C73961" w:rsidRPr="00D77CB9" w:rsidRDefault="00C73961" w:rsidP="00352ABC">
      <w:pPr>
        <w:ind w:left="1440"/>
      </w:pPr>
      <w:r w:rsidRPr="00D77CB9">
        <w:rPr>
          <w:i/>
        </w:rPr>
        <w:t>V</w:t>
      </w:r>
      <w:r w:rsidR="00A83B9B" w:rsidRPr="00D77CB9">
        <w:rPr>
          <w:i/>
          <w:vertAlign w:val="subscript"/>
        </w:rPr>
        <w:t>i</w:t>
      </w:r>
      <w:r w:rsidRPr="00D77CB9">
        <w:rPr>
          <w:i/>
          <w:vertAlign w:val="subscript"/>
        </w:rPr>
        <w:t xml:space="preserve"> </w:t>
      </w:r>
      <w:r w:rsidRPr="00D77CB9">
        <w:t>=</w:t>
      </w:r>
      <w:r w:rsidR="00A65142" w:rsidRPr="00D77CB9">
        <w:t xml:space="preserve"> </w:t>
      </w:r>
      <w:r w:rsidR="00B5763A" w:rsidRPr="00D77CB9">
        <w:t>A</w:t>
      </w:r>
      <w:r w:rsidR="00A65142" w:rsidRPr="00D77CB9">
        <w:t>nnual</w:t>
      </w:r>
      <w:r w:rsidR="005D2873" w:rsidRPr="00D77CB9">
        <w:t xml:space="preserve"> </w:t>
      </w:r>
      <w:r w:rsidR="00A65142" w:rsidRPr="00D77CB9">
        <w:t>volume</w:t>
      </w:r>
      <w:r w:rsidR="005D2873" w:rsidRPr="00D77CB9">
        <w:t xml:space="preserve"> of </w:t>
      </w:r>
      <w:r w:rsidR="00A65142" w:rsidRPr="00D77CB9">
        <w:t>either midgrade or premium</w:t>
      </w:r>
      <w:r w:rsidR="005D2873" w:rsidRPr="00D77CB9">
        <w:t xml:space="preserve"> grade gasoline</w:t>
      </w:r>
      <w:r w:rsidR="00A65142" w:rsidRPr="00D77CB9">
        <w:t xml:space="preserve"> for a given outlet</w:t>
      </w:r>
      <w:r w:rsidR="00B5763A" w:rsidRPr="00D77CB9">
        <w:t xml:space="preserve"> to be imputed</w:t>
      </w:r>
      <w:r w:rsidR="005D2873" w:rsidRPr="00D77CB9">
        <w:t>.</w:t>
      </w:r>
    </w:p>
    <w:p w14:paraId="4C5338BF" w14:textId="0AC4375A" w:rsidR="00A65142" w:rsidRPr="00D77CB9" w:rsidRDefault="00A65142" w:rsidP="00352ABC">
      <w:pPr>
        <w:ind w:left="1440"/>
      </w:pPr>
      <w:r w:rsidRPr="00D77CB9">
        <w:rPr>
          <w:i/>
        </w:rPr>
        <w:t>V</w:t>
      </w:r>
      <w:r w:rsidRPr="00D77CB9">
        <w:rPr>
          <w:i/>
          <w:vertAlign w:val="subscript"/>
        </w:rPr>
        <w:t>r</w:t>
      </w:r>
      <w:r w:rsidRPr="00D77CB9">
        <w:t xml:space="preserve"> = Reported </w:t>
      </w:r>
      <w:r w:rsidR="005D2873" w:rsidRPr="00D77CB9">
        <w:t xml:space="preserve">annual </w:t>
      </w:r>
      <w:r w:rsidR="00B5763A" w:rsidRPr="00D77CB9">
        <w:t>volume of</w:t>
      </w:r>
      <w:r w:rsidR="005D2873" w:rsidRPr="00D77CB9">
        <w:t xml:space="preserve"> regular grade</w:t>
      </w:r>
      <w:r w:rsidR="00B5763A" w:rsidRPr="00D77CB9">
        <w:t xml:space="preserve"> gasoline for a given outlet</w:t>
      </w:r>
      <w:r w:rsidR="005D2873" w:rsidRPr="00D77CB9">
        <w:t>.</w:t>
      </w:r>
    </w:p>
    <w:p w14:paraId="56FB35FD" w14:textId="662B7521" w:rsidR="00A65142" w:rsidRPr="00D77CB9" w:rsidRDefault="00A65142" w:rsidP="00352ABC">
      <w:pPr>
        <w:ind w:left="1440"/>
      </w:pPr>
      <w:r w:rsidRPr="00D77CB9">
        <w:rPr>
          <w:i/>
        </w:rPr>
        <w:t>P</w:t>
      </w:r>
      <w:r w:rsidRPr="00D77CB9">
        <w:rPr>
          <w:i/>
          <w:vertAlign w:val="subscript"/>
        </w:rPr>
        <w:t>r</w:t>
      </w:r>
      <w:r w:rsidRPr="00D77CB9">
        <w:rPr>
          <w:i/>
        </w:rPr>
        <w:t xml:space="preserve"> </w:t>
      </w:r>
      <w:r w:rsidR="005D2873" w:rsidRPr="00D77CB9">
        <w:t xml:space="preserve">= Percentage of annual </w:t>
      </w:r>
      <w:r w:rsidRPr="00D77CB9">
        <w:t xml:space="preserve">volume of </w:t>
      </w:r>
      <w:r w:rsidR="005D2873" w:rsidRPr="00D77CB9">
        <w:t xml:space="preserve">regular grade </w:t>
      </w:r>
      <w:r w:rsidRPr="00D77CB9">
        <w:t xml:space="preserve">gasoline sold </w:t>
      </w:r>
      <w:r w:rsidR="00B5763A" w:rsidRPr="00D77CB9">
        <w:t>with respect to the</w:t>
      </w:r>
      <w:r w:rsidRPr="00D77CB9">
        <w:t xml:space="preserve"> total annual gasoline reported on the EIA-782C for the outlet’s state</w:t>
      </w:r>
      <w:r w:rsidR="005D2873" w:rsidRPr="00D77CB9">
        <w:t>/district.</w:t>
      </w:r>
    </w:p>
    <w:p w14:paraId="2735C33E" w14:textId="4C687CCF" w:rsidR="00A65142" w:rsidRPr="00D77CB9" w:rsidRDefault="00A65142" w:rsidP="00352ABC">
      <w:pPr>
        <w:ind w:left="1440"/>
      </w:pPr>
      <w:r w:rsidRPr="00D77CB9">
        <w:rPr>
          <w:i/>
        </w:rPr>
        <w:t>P</w:t>
      </w:r>
      <w:r w:rsidRPr="00D77CB9">
        <w:rPr>
          <w:i/>
          <w:vertAlign w:val="subscript"/>
        </w:rPr>
        <w:t>m</w:t>
      </w:r>
      <w:r w:rsidRPr="00D77CB9">
        <w:rPr>
          <w:i/>
        </w:rPr>
        <w:t xml:space="preserve"> </w:t>
      </w:r>
      <w:r w:rsidRPr="00D77CB9">
        <w:t>= Percentage of annual</w:t>
      </w:r>
      <w:r w:rsidR="005D2873" w:rsidRPr="00D77CB9">
        <w:t xml:space="preserve"> volume of </w:t>
      </w:r>
      <w:r w:rsidR="00B5763A" w:rsidRPr="00D77CB9">
        <w:t>either midgrade or premium</w:t>
      </w:r>
      <w:r w:rsidR="005D2873" w:rsidRPr="00D77CB9">
        <w:t xml:space="preserve"> grade</w:t>
      </w:r>
      <w:r w:rsidRPr="00D77CB9">
        <w:t xml:space="preserve"> gasoline sold </w:t>
      </w:r>
      <w:r w:rsidR="00B5763A" w:rsidRPr="00D77CB9">
        <w:t>with respect to the</w:t>
      </w:r>
      <w:r w:rsidRPr="00D77CB9">
        <w:t xml:space="preserve"> total annual gasoline reported on the EIA-782C for the outlet’s state</w:t>
      </w:r>
      <w:r w:rsidR="005139A0" w:rsidRPr="00D77CB9">
        <w:t>/district.</w:t>
      </w:r>
    </w:p>
    <w:p w14:paraId="76961AE8" w14:textId="1CFDA74D" w:rsidR="001A2F4B" w:rsidRPr="00D77CB9" w:rsidRDefault="005D2873" w:rsidP="00352ABC">
      <w:pPr>
        <w:ind w:left="1440"/>
      </w:pPr>
      <w:r w:rsidRPr="00D77CB9">
        <w:t>Imputation</w:t>
      </w:r>
      <w:r w:rsidR="001A2F4B" w:rsidRPr="00D77CB9">
        <w:t xml:space="preserve"> example:</w:t>
      </w:r>
    </w:p>
    <w:p w14:paraId="320A5A3B" w14:textId="3EA01A03" w:rsidR="001A2F4B" w:rsidRPr="00D77CB9" w:rsidRDefault="001A2F4B" w:rsidP="00353B4F">
      <w:pPr>
        <w:pStyle w:val="ListParagraph"/>
        <w:numPr>
          <w:ilvl w:val="0"/>
          <w:numId w:val="32"/>
        </w:numPr>
        <w:rPr>
          <w:sz w:val="22"/>
          <w:szCs w:val="22"/>
        </w:rPr>
      </w:pPr>
      <w:r w:rsidRPr="00D77CB9">
        <w:rPr>
          <w:sz w:val="22"/>
          <w:szCs w:val="22"/>
        </w:rPr>
        <w:t>Outlet A in State B reported 10,000 gallons of regular</w:t>
      </w:r>
      <w:r w:rsidR="005D2873" w:rsidRPr="00D77CB9">
        <w:rPr>
          <w:sz w:val="22"/>
          <w:szCs w:val="22"/>
        </w:rPr>
        <w:t xml:space="preserve"> grade</w:t>
      </w:r>
      <w:r w:rsidRPr="00D77CB9">
        <w:rPr>
          <w:sz w:val="22"/>
          <w:szCs w:val="22"/>
        </w:rPr>
        <w:t xml:space="preserve"> gasoline sold </w:t>
      </w:r>
      <w:r w:rsidR="005139A0" w:rsidRPr="00D77CB9">
        <w:rPr>
          <w:sz w:val="22"/>
          <w:szCs w:val="22"/>
        </w:rPr>
        <w:t>in</w:t>
      </w:r>
      <w:r w:rsidRPr="00D77CB9">
        <w:rPr>
          <w:sz w:val="22"/>
          <w:szCs w:val="22"/>
        </w:rPr>
        <w:t xml:space="preserve"> Year C, but did not provide any volumetric data for premium </w:t>
      </w:r>
      <w:r w:rsidR="005D2873" w:rsidRPr="00D77CB9">
        <w:rPr>
          <w:sz w:val="22"/>
          <w:szCs w:val="22"/>
        </w:rPr>
        <w:t xml:space="preserve">grade </w:t>
      </w:r>
      <w:r w:rsidRPr="00D77CB9">
        <w:rPr>
          <w:sz w:val="22"/>
          <w:szCs w:val="22"/>
        </w:rPr>
        <w:t>gasoline sold despite selling such a product in Year C.</w:t>
      </w:r>
    </w:p>
    <w:p w14:paraId="5F7D9F39" w14:textId="234D666F" w:rsidR="00A64D31" w:rsidRPr="00D77CB9" w:rsidRDefault="001A2F4B">
      <w:pPr>
        <w:pStyle w:val="ListParagraph"/>
        <w:numPr>
          <w:ilvl w:val="0"/>
          <w:numId w:val="32"/>
        </w:numPr>
        <w:rPr>
          <w:sz w:val="22"/>
          <w:szCs w:val="22"/>
        </w:rPr>
      </w:pPr>
      <w:r w:rsidRPr="00D77CB9">
        <w:rPr>
          <w:sz w:val="22"/>
          <w:szCs w:val="22"/>
        </w:rPr>
        <w:t xml:space="preserve">On EIA-782C collected data, State B had proportions for all gasoline sold by prime suppliers by grades of 85% regular, 5% midgrade, and 10% premium reported for the most recent complete calendar year </w:t>
      </w:r>
      <w:r w:rsidR="005139A0" w:rsidRPr="00D77CB9">
        <w:rPr>
          <w:sz w:val="22"/>
          <w:szCs w:val="22"/>
        </w:rPr>
        <w:t>near</w:t>
      </w:r>
      <w:r w:rsidRPr="00D77CB9">
        <w:rPr>
          <w:sz w:val="22"/>
          <w:szCs w:val="22"/>
        </w:rPr>
        <w:t xml:space="preserve"> Year C.</w:t>
      </w:r>
    </w:p>
    <w:p w14:paraId="5605B8EB" w14:textId="715232DC" w:rsidR="00542FD8" w:rsidRPr="00D77CB9" w:rsidRDefault="001A2F4B">
      <w:pPr>
        <w:pStyle w:val="ListParagraph"/>
        <w:numPr>
          <w:ilvl w:val="0"/>
          <w:numId w:val="32"/>
        </w:numPr>
        <w:rPr>
          <w:sz w:val="22"/>
          <w:szCs w:val="22"/>
        </w:rPr>
      </w:pPr>
      <w:r w:rsidRPr="00D77CB9">
        <w:rPr>
          <w:sz w:val="22"/>
          <w:szCs w:val="22"/>
        </w:rPr>
        <w:t xml:space="preserve">The premium </w:t>
      </w:r>
      <w:r w:rsidR="005D2873" w:rsidRPr="00D77CB9">
        <w:rPr>
          <w:sz w:val="22"/>
          <w:szCs w:val="22"/>
        </w:rPr>
        <w:t xml:space="preserve">grade gasoline </w:t>
      </w:r>
      <w:r w:rsidRPr="00D77CB9">
        <w:rPr>
          <w:sz w:val="22"/>
          <w:szCs w:val="22"/>
        </w:rPr>
        <w:t xml:space="preserve">volume for Outlet A </w:t>
      </w:r>
      <w:r w:rsidR="00996B2A" w:rsidRPr="00D77CB9">
        <w:rPr>
          <w:sz w:val="22"/>
          <w:szCs w:val="22"/>
        </w:rPr>
        <w:t xml:space="preserve">for Year C </w:t>
      </w:r>
      <w:r w:rsidRPr="00D77CB9">
        <w:rPr>
          <w:sz w:val="22"/>
          <w:szCs w:val="22"/>
        </w:rPr>
        <w:t>would be imputed as follows:</w:t>
      </w:r>
    </w:p>
    <w:p w14:paraId="28E08090" w14:textId="694BFA2D" w:rsidR="005D2873" w:rsidRPr="00F26C93" w:rsidRDefault="004B4066" w:rsidP="00352ABC">
      <w:pPr>
        <w:ind w:left="1440"/>
        <w:rPr>
          <w:rFonts w:ascii="Calibri" w:hAnsi="Calibri"/>
        </w:rPr>
      </w:pPr>
      <m:oMath>
        <m:f>
          <m:fPr>
            <m:ctrlPr>
              <w:rPr>
                <w:rFonts w:ascii="Cambria Math" w:hAnsi="Cambria Math"/>
              </w:rPr>
            </m:ctrlPr>
          </m:fPr>
          <m:num>
            <m:r>
              <m:rPr>
                <m:nor/>
              </m:rPr>
              <w:rPr>
                <w:rFonts w:ascii="Cambria Math" w:hAnsi="Cambria Math"/>
              </w:rPr>
              <m:t>10,000 gal.  reg.  gas</m:t>
            </m:r>
          </m:num>
          <m:den>
            <m:f>
              <m:fPr>
                <m:ctrlPr>
                  <w:rPr>
                    <w:rFonts w:ascii="Cambria Math" w:hAnsi="Cambria Math"/>
                  </w:rPr>
                </m:ctrlPr>
              </m:fPr>
              <m:num>
                <m:r>
                  <m:rPr>
                    <m:nor/>
                  </m:rPr>
                  <w:rPr>
                    <w:rFonts w:ascii="Cambria Math" w:hAnsi="Cambria Math"/>
                  </w:rPr>
                  <m:t>85% reg.  gas in State B for Year C</m:t>
                </m:r>
              </m:num>
              <m:den>
                <m:r>
                  <m:rPr>
                    <m:nor/>
                  </m:rPr>
                  <w:rPr>
                    <w:rFonts w:ascii="Cambria Math" w:hAnsi="Cambria Math"/>
                  </w:rPr>
                  <m:t>100</m:t>
                </m:r>
              </m:den>
            </m:f>
            <m:r>
              <m:rPr>
                <m:nor/>
              </m:rPr>
              <w:rPr>
                <w:rFonts w:ascii="Cambria Math" w:hAnsi="Cambria Math"/>
              </w:rPr>
              <m:t xml:space="preserve">     </m:t>
            </m:r>
          </m:den>
        </m:f>
        <m:r>
          <m:rPr>
            <m:nor/>
          </m:rPr>
          <w:rPr>
            <w:rFonts w:ascii="Cambria Math" w:hAnsi="Cambria Math"/>
          </w:rPr>
          <m:t>×</m:t>
        </m:r>
        <m:f>
          <m:fPr>
            <m:ctrlPr>
              <w:rPr>
                <w:rFonts w:ascii="Cambria Math" w:hAnsi="Cambria Math"/>
              </w:rPr>
            </m:ctrlPr>
          </m:fPr>
          <m:num>
            <m:r>
              <m:rPr>
                <m:nor/>
              </m:rPr>
              <w:rPr>
                <w:rFonts w:ascii="Cambria Math" w:hAnsi="Cambria Math"/>
              </w:rPr>
              <m:t xml:space="preserve">10%  pre.  gas in State B for Year C </m:t>
            </m:r>
          </m:num>
          <m:den>
            <m:r>
              <m:rPr>
                <m:nor/>
              </m:rPr>
              <w:rPr>
                <w:rFonts w:ascii="Cambria Math" w:hAnsi="Cambria Math"/>
              </w:rPr>
              <m:t>100</m:t>
            </m:r>
          </m:den>
        </m:f>
        <m:r>
          <m:rPr>
            <m:nor/>
          </m:rPr>
          <w:rPr>
            <w:rFonts w:ascii="Cambria Math" w:hAnsi="Cambria Math"/>
          </w:rPr>
          <m:t xml:space="preserve"> </m:t>
        </m:r>
        <m:r>
          <m:rPr>
            <m:nor/>
          </m:rPr>
          <w:rPr>
            <w:rFonts w:ascii="Cambria Math" w:eastAsiaTheme="minorEastAsia" w:hAnsi="Cambria Math"/>
          </w:rPr>
          <m:t>= 1,176 gal. pre. gas</m:t>
        </m:r>
        <m:r>
          <m:rPr>
            <m:sty m:val="p"/>
          </m:rPr>
          <w:rPr>
            <w:rFonts w:ascii="Cambria Math" w:eastAsiaTheme="minorEastAsia" w:hAnsi="Cambria Math"/>
          </w:rPr>
          <m:t xml:space="preserve"> </m:t>
        </m:r>
        <m:r>
          <m:rPr>
            <m:sty m:val="p"/>
          </m:rPr>
          <w:rPr>
            <w:rFonts w:ascii="Cambria Math" w:hAnsi="Cambria Math"/>
          </w:rPr>
          <m:t xml:space="preserve"> </m:t>
        </m:r>
      </m:oMath>
      <w:r w:rsidR="00AE6AF7" w:rsidRPr="00F26C93">
        <w:rPr>
          <w:rFonts w:ascii="Calibri" w:eastAsiaTheme="minorEastAsia" w:hAnsi="Calibri"/>
        </w:rPr>
        <w:t xml:space="preserve"> </w:t>
      </w:r>
    </w:p>
    <w:p w14:paraId="1006606C" w14:textId="17308D82" w:rsidR="00996B2A" w:rsidRPr="00D77CB9" w:rsidRDefault="00996B2A" w:rsidP="00F4147A">
      <w:pPr>
        <w:pStyle w:val="ListParagraph"/>
        <w:numPr>
          <w:ilvl w:val="0"/>
          <w:numId w:val="35"/>
        </w:numPr>
        <w:rPr>
          <w:sz w:val="22"/>
          <w:szCs w:val="22"/>
        </w:rPr>
      </w:pPr>
      <w:r w:rsidRPr="00D77CB9">
        <w:rPr>
          <w:sz w:val="22"/>
          <w:szCs w:val="22"/>
        </w:rPr>
        <w:t>No gasoline volumes reported:</w:t>
      </w:r>
    </w:p>
    <w:p w14:paraId="1E1CC3CA" w14:textId="43AE1203" w:rsidR="00996B2A" w:rsidRPr="00D77CB9" w:rsidRDefault="00996B2A" w:rsidP="00352ABC">
      <w:pPr>
        <w:ind w:left="1080"/>
      </w:pPr>
      <w:r w:rsidRPr="00D77CB9">
        <w:t xml:space="preserve">If a respondent provided no volumetric data, imputation is a carried out via a donor imputation method based on an outlet’s given </w:t>
      </w:r>
      <w:r w:rsidR="00533E43" w:rsidRPr="00D77CB9">
        <w:t xml:space="preserve">sample </w:t>
      </w:r>
      <w:r w:rsidRPr="00D77CB9">
        <w:t>strat</w:t>
      </w:r>
      <w:r w:rsidR="009A70A0" w:rsidRPr="00D77CB9">
        <w:t>um with</w:t>
      </w:r>
      <w:r w:rsidRPr="00D77CB9">
        <w:t xml:space="preserve"> </w:t>
      </w:r>
      <w:r w:rsidR="009A70A0" w:rsidRPr="00D77CB9">
        <w:t>e</w:t>
      </w:r>
      <w:r w:rsidR="00966479" w:rsidRPr="00D77CB9">
        <w:t>ach</w:t>
      </w:r>
      <w:r w:rsidR="009A70A0" w:rsidRPr="00D77CB9">
        <w:t xml:space="preserve"> of the</w:t>
      </w:r>
      <w:r w:rsidR="00227D22" w:rsidRPr="00D77CB9">
        <w:t xml:space="preserve"> 71</w:t>
      </w:r>
      <w:r w:rsidR="00966479" w:rsidRPr="00D77CB9">
        <w:t xml:space="preserve"> </w:t>
      </w:r>
      <w:r w:rsidR="00A64D31" w:rsidRPr="00D77CB9">
        <w:t xml:space="preserve">sample </w:t>
      </w:r>
      <w:r w:rsidR="00966479" w:rsidRPr="00D77CB9">
        <w:t>stratum form</w:t>
      </w:r>
      <w:r w:rsidR="009A70A0" w:rsidRPr="00D77CB9">
        <w:t>ing</w:t>
      </w:r>
      <w:r w:rsidR="00966479" w:rsidRPr="00D77CB9">
        <w:t xml:space="preserve"> individual donor pool</w:t>
      </w:r>
      <w:r w:rsidR="009A70A0" w:rsidRPr="00D77CB9">
        <w:t>s</w:t>
      </w:r>
      <w:r w:rsidR="00966479" w:rsidRPr="00D77CB9">
        <w:t xml:space="preserve">. </w:t>
      </w:r>
      <w:r w:rsidRPr="00D77CB9">
        <w:t>The donor imputation procedure is as follows:</w:t>
      </w:r>
    </w:p>
    <w:p w14:paraId="3326BA46" w14:textId="3A0F0B06" w:rsidR="00996B2A" w:rsidRPr="00D77CB9" w:rsidRDefault="00996B2A" w:rsidP="00353B4F">
      <w:pPr>
        <w:pStyle w:val="ListParagraph"/>
        <w:rPr>
          <w:sz w:val="22"/>
          <w:szCs w:val="22"/>
        </w:rPr>
      </w:pPr>
      <w:r w:rsidRPr="00D77CB9">
        <w:rPr>
          <w:sz w:val="22"/>
          <w:szCs w:val="22"/>
        </w:rPr>
        <w:t xml:space="preserve">Unreported </w:t>
      </w:r>
      <w:r w:rsidR="009A70A0" w:rsidRPr="00D77CB9">
        <w:rPr>
          <w:sz w:val="22"/>
          <w:szCs w:val="22"/>
        </w:rPr>
        <w:t xml:space="preserve">grade of gasoline </w:t>
      </w:r>
      <w:r w:rsidRPr="00D77CB9">
        <w:rPr>
          <w:sz w:val="22"/>
          <w:szCs w:val="22"/>
        </w:rPr>
        <w:t>volumes are identified for outlets based on i</w:t>
      </w:r>
      <w:r w:rsidR="00A64D31" w:rsidRPr="00D77CB9">
        <w:rPr>
          <w:sz w:val="22"/>
          <w:szCs w:val="22"/>
        </w:rPr>
        <w:t>nformation on whether outlets</w:t>
      </w:r>
      <w:r w:rsidRPr="00D77CB9">
        <w:rPr>
          <w:sz w:val="22"/>
          <w:szCs w:val="22"/>
        </w:rPr>
        <w:t xml:space="preserve"> sell regular grade, midgrade, and/or premium grade gasoline. </w:t>
      </w:r>
    </w:p>
    <w:p w14:paraId="3DD9A1A8" w14:textId="096DC0DD" w:rsidR="00B87486" w:rsidRPr="00D77CB9" w:rsidRDefault="00B87486">
      <w:pPr>
        <w:pStyle w:val="ListParagraph"/>
        <w:rPr>
          <w:sz w:val="22"/>
          <w:szCs w:val="22"/>
        </w:rPr>
      </w:pPr>
      <w:r w:rsidRPr="00D77CB9">
        <w:rPr>
          <w:sz w:val="22"/>
          <w:szCs w:val="22"/>
        </w:rPr>
        <w:t xml:space="preserve">The </w:t>
      </w:r>
      <w:r w:rsidR="00533E43" w:rsidRPr="00D77CB9">
        <w:rPr>
          <w:sz w:val="22"/>
          <w:szCs w:val="22"/>
        </w:rPr>
        <w:t xml:space="preserve">sample </w:t>
      </w:r>
      <w:r w:rsidRPr="00D77CB9">
        <w:rPr>
          <w:sz w:val="22"/>
          <w:szCs w:val="22"/>
        </w:rPr>
        <w:t xml:space="preserve">stratum for each unreported volume </w:t>
      </w:r>
      <w:r w:rsidR="00966479" w:rsidRPr="00D77CB9">
        <w:rPr>
          <w:sz w:val="22"/>
          <w:szCs w:val="22"/>
        </w:rPr>
        <w:t>is</w:t>
      </w:r>
      <w:r w:rsidRPr="00D77CB9">
        <w:rPr>
          <w:sz w:val="22"/>
          <w:szCs w:val="22"/>
        </w:rPr>
        <w:t xml:space="preserve"> </w:t>
      </w:r>
      <w:r w:rsidR="00966479" w:rsidRPr="00D77CB9">
        <w:rPr>
          <w:sz w:val="22"/>
          <w:szCs w:val="22"/>
        </w:rPr>
        <w:t>identified and treated as a viable pool for random donor imputation</w:t>
      </w:r>
      <w:r w:rsidR="009A70A0" w:rsidRPr="00D77CB9">
        <w:rPr>
          <w:sz w:val="22"/>
          <w:szCs w:val="22"/>
        </w:rPr>
        <w:t xml:space="preserve"> with each reported volume by grade being a possible donor for an outlet’s unreported grade of gasoline volume</w:t>
      </w:r>
      <w:r w:rsidR="00966479" w:rsidRPr="00D77CB9">
        <w:rPr>
          <w:sz w:val="22"/>
          <w:szCs w:val="22"/>
        </w:rPr>
        <w:t xml:space="preserve">. </w:t>
      </w:r>
    </w:p>
    <w:p w14:paraId="5A1BF2E9" w14:textId="36E31CC2" w:rsidR="00966479" w:rsidRPr="00D77CB9" w:rsidRDefault="00966479">
      <w:pPr>
        <w:pStyle w:val="ListParagraph"/>
        <w:rPr>
          <w:sz w:val="22"/>
          <w:szCs w:val="22"/>
        </w:rPr>
      </w:pPr>
      <w:r w:rsidRPr="00D77CB9">
        <w:rPr>
          <w:sz w:val="22"/>
          <w:szCs w:val="22"/>
        </w:rPr>
        <w:t xml:space="preserve">A subject matter expert reviews each </w:t>
      </w:r>
      <w:r w:rsidR="00965709" w:rsidRPr="00D77CB9">
        <w:rPr>
          <w:sz w:val="22"/>
          <w:szCs w:val="22"/>
        </w:rPr>
        <w:t xml:space="preserve">sample </w:t>
      </w:r>
      <w:r w:rsidRPr="00D77CB9">
        <w:rPr>
          <w:sz w:val="22"/>
          <w:szCs w:val="22"/>
        </w:rPr>
        <w:t>stratum to remove large outlier volumes</w:t>
      </w:r>
      <w:r w:rsidR="009A70A0" w:rsidRPr="00D77CB9">
        <w:rPr>
          <w:sz w:val="22"/>
          <w:szCs w:val="22"/>
        </w:rPr>
        <w:t xml:space="preserve"> by grade</w:t>
      </w:r>
      <w:r w:rsidRPr="00D77CB9">
        <w:rPr>
          <w:sz w:val="22"/>
          <w:szCs w:val="22"/>
        </w:rPr>
        <w:t xml:space="preserve"> from donor pool to ensure imputed values do not overly weight a stratum.</w:t>
      </w:r>
    </w:p>
    <w:p w14:paraId="555B4F28" w14:textId="41D31000" w:rsidR="00966479" w:rsidRPr="00D77CB9" w:rsidRDefault="00D14711">
      <w:pPr>
        <w:pStyle w:val="ListParagraph"/>
        <w:rPr>
          <w:sz w:val="22"/>
          <w:szCs w:val="22"/>
        </w:rPr>
      </w:pPr>
      <w:r w:rsidRPr="00D77CB9">
        <w:rPr>
          <w:sz w:val="22"/>
          <w:szCs w:val="22"/>
        </w:rPr>
        <w:t>V</w:t>
      </w:r>
      <w:r w:rsidR="00966479" w:rsidRPr="00D77CB9">
        <w:rPr>
          <w:sz w:val="22"/>
          <w:szCs w:val="22"/>
        </w:rPr>
        <w:t>olume</w:t>
      </w:r>
      <w:r w:rsidR="00965709" w:rsidRPr="00D77CB9">
        <w:rPr>
          <w:sz w:val="22"/>
          <w:szCs w:val="22"/>
        </w:rPr>
        <w:t>(s)</w:t>
      </w:r>
      <w:r w:rsidRPr="00D77CB9">
        <w:rPr>
          <w:sz w:val="22"/>
          <w:szCs w:val="22"/>
        </w:rPr>
        <w:t xml:space="preserve"> of gasoline by grade</w:t>
      </w:r>
      <w:r w:rsidR="00966479" w:rsidRPr="00D77CB9">
        <w:rPr>
          <w:sz w:val="22"/>
          <w:szCs w:val="22"/>
        </w:rPr>
        <w:t xml:space="preserve"> to be imputed are randomly selected from viable donor pool</w:t>
      </w:r>
      <w:r w:rsidR="009A70A0" w:rsidRPr="00D77CB9">
        <w:rPr>
          <w:sz w:val="22"/>
          <w:szCs w:val="22"/>
        </w:rPr>
        <w:t xml:space="preserve"> and assigned to unreported outlet volume</w:t>
      </w:r>
      <w:r w:rsidR="00966479" w:rsidRPr="00D77CB9">
        <w:rPr>
          <w:sz w:val="22"/>
          <w:szCs w:val="22"/>
        </w:rPr>
        <w:t xml:space="preserve">.   </w:t>
      </w:r>
    </w:p>
    <w:p w14:paraId="63A9D8C9" w14:textId="77777777" w:rsidR="005D2873" w:rsidRPr="00D77CB9" w:rsidRDefault="005D2873" w:rsidP="00352ABC"/>
    <w:p w14:paraId="03916D00" w14:textId="4FE1A13C" w:rsidR="007E2602" w:rsidRPr="00D77CB9" w:rsidRDefault="00A83B9B" w:rsidP="00A83B9B">
      <w:r w:rsidRPr="00D77CB9">
        <w:t>The recurring weekly survey collects the cash price ($/gal.) information by gasoline grade from each respondent and uses a we</w:t>
      </w:r>
      <w:r w:rsidR="007E2602" w:rsidRPr="00D77CB9">
        <w:t xml:space="preserve">ighted price estimation method as detailed below. </w:t>
      </w:r>
    </w:p>
    <w:p w14:paraId="31440E19" w14:textId="7D0F5610" w:rsidR="00A83B9B" w:rsidRPr="00D77CB9" w:rsidRDefault="00A83B9B" w:rsidP="00A83B9B">
      <w:pPr>
        <w:rPr>
          <w:rFonts w:cs="Times New Roman"/>
        </w:rPr>
      </w:pPr>
      <w:r w:rsidRPr="00D77CB9">
        <w:rPr>
          <w:rFonts w:cs="Times New Roman"/>
        </w:rPr>
        <w:t>For the weekly price estimation of means and variances, the following notation is used:</w:t>
      </w:r>
    </w:p>
    <w:p w14:paraId="1ADD96F2" w14:textId="77777777" w:rsidR="00A83B9B" w:rsidRPr="00D77CB9" w:rsidRDefault="00A83B9B" w:rsidP="00A83B9B">
      <w:pPr>
        <w:ind w:firstLine="720"/>
        <w:rPr>
          <w:rFonts w:cs="Times New Roman"/>
        </w:rPr>
      </w:pPr>
      <w:r w:rsidRPr="00D77CB9">
        <w:rPr>
          <w:rFonts w:cs="Times New Roman"/>
        </w:rPr>
        <w:t>k</w:t>
      </w:r>
      <w:r w:rsidRPr="00D77CB9">
        <w:rPr>
          <w:rFonts w:cs="Times New Roman"/>
        </w:rPr>
        <w:tab/>
        <w:t>type of outlet (1 = big box, 2 = other)</w:t>
      </w:r>
    </w:p>
    <w:p w14:paraId="41F48ECA" w14:textId="77777777" w:rsidR="00A83B9B" w:rsidRPr="00D77CB9" w:rsidRDefault="00A83B9B" w:rsidP="00A83B9B">
      <w:pPr>
        <w:ind w:firstLine="720"/>
        <w:rPr>
          <w:rFonts w:cs="Times New Roman"/>
        </w:rPr>
      </w:pPr>
      <w:r w:rsidRPr="00D77CB9">
        <w:rPr>
          <w:rFonts w:cs="Times New Roman"/>
        </w:rPr>
        <w:t>j</w:t>
      </w:r>
      <w:r w:rsidRPr="00D77CB9">
        <w:rPr>
          <w:rFonts w:cs="Times New Roman"/>
        </w:rPr>
        <w:tab/>
        <w:t>sampling region</w:t>
      </w:r>
    </w:p>
    <w:p w14:paraId="5E16C328" w14:textId="77777777" w:rsidR="00A83B9B" w:rsidRPr="00D77CB9" w:rsidRDefault="00A83B9B" w:rsidP="00A83B9B">
      <w:pPr>
        <w:ind w:firstLine="720"/>
        <w:rPr>
          <w:rFonts w:cs="Times New Roman"/>
        </w:rPr>
      </w:pPr>
      <w:r w:rsidRPr="00D77CB9">
        <w:rPr>
          <w:rFonts w:cs="Times New Roman"/>
        </w:rPr>
        <w:t>i</w:t>
      </w:r>
      <w:r w:rsidRPr="00D77CB9">
        <w:rPr>
          <w:rFonts w:cs="Times New Roman"/>
        </w:rPr>
        <w:tab/>
        <w:t>outlet</w:t>
      </w:r>
    </w:p>
    <w:p w14:paraId="2A49C553" w14:textId="77777777" w:rsidR="00A83B9B" w:rsidRPr="00D77CB9" w:rsidRDefault="00A83B9B" w:rsidP="00A83B9B">
      <w:pPr>
        <w:ind w:firstLine="720"/>
        <w:rPr>
          <w:rFonts w:cs="Times New Roman"/>
        </w:rPr>
      </w:pPr>
      <w:r w:rsidRPr="00D77CB9">
        <w:rPr>
          <w:rFonts w:cs="Times New Roman"/>
        </w:rPr>
        <w:t>N</w:t>
      </w:r>
      <w:r w:rsidRPr="00D77CB9">
        <w:rPr>
          <w:rFonts w:cs="Times New Roman"/>
          <w:vertAlign w:val="subscript"/>
        </w:rPr>
        <w:t>jk</w:t>
      </w:r>
      <w:r w:rsidRPr="00D77CB9">
        <w:rPr>
          <w:rFonts w:cs="Times New Roman"/>
        </w:rPr>
        <w:tab/>
        <w:t xml:space="preserve">population size (number of outlets) </w:t>
      </w:r>
    </w:p>
    <w:p w14:paraId="6B23DB4A" w14:textId="77777777" w:rsidR="00A83B9B" w:rsidRPr="00D77CB9" w:rsidRDefault="00A83B9B" w:rsidP="00A83B9B">
      <w:pPr>
        <w:ind w:firstLine="720"/>
        <w:rPr>
          <w:rFonts w:cs="Times New Roman"/>
        </w:rPr>
      </w:pPr>
      <w:r w:rsidRPr="00D77CB9">
        <w:rPr>
          <w:rFonts w:cs="Times New Roman"/>
        </w:rPr>
        <w:t>n</w:t>
      </w:r>
      <w:r w:rsidRPr="00D77CB9">
        <w:rPr>
          <w:rFonts w:cs="Times New Roman"/>
          <w:vertAlign w:val="subscript"/>
        </w:rPr>
        <w:t>jk</w:t>
      </w:r>
      <w:r w:rsidRPr="00D77CB9">
        <w:rPr>
          <w:rFonts w:cs="Times New Roman"/>
        </w:rPr>
        <w:tab/>
        <w:t>sample size in sampling region j and type of outlet k</w:t>
      </w:r>
    </w:p>
    <w:p w14:paraId="59A0936D" w14:textId="77777777" w:rsidR="00A83B9B" w:rsidRPr="00D77CB9" w:rsidRDefault="00A83B9B" w:rsidP="00A83B9B">
      <w:pPr>
        <w:ind w:firstLine="720"/>
        <w:rPr>
          <w:rFonts w:cs="Times New Roman"/>
        </w:rPr>
      </w:pPr>
      <w:r w:rsidRPr="00D77CB9">
        <w:rPr>
          <w:rFonts w:cs="Times New Roman"/>
        </w:rPr>
        <w:t>P</w:t>
      </w:r>
      <w:r w:rsidRPr="00D77CB9">
        <w:rPr>
          <w:rFonts w:cs="Times New Roman"/>
        </w:rPr>
        <w:tab/>
        <w:t>price</w:t>
      </w:r>
    </w:p>
    <w:p w14:paraId="0044AC05" w14:textId="77777777" w:rsidR="00A83B9B" w:rsidRPr="00D77CB9" w:rsidRDefault="00A83B9B" w:rsidP="00A83B9B">
      <w:pPr>
        <w:ind w:firstLine="720"/>
        <w:rPr>
          <w:rFonts w:cs="Times New Roman"/>
        </w:rPr>
      </w:pPr>
      <w:r w:rsidRPr="00D77CB9">
        <w:rPr>
          <w:rFonts w:cs="Times New Roman"/>
        </w:rPr>
        <w:t>V</w:t>
      </w:r>
      <w:r w:rsidRPr="00D77CB9">
        <w:rPr>
          <w:rFonts w:cs="Times New Roman"/>
        </w:rPr>
        <w:tab/>
        <w:t>volume</w:t>
      </w:r>
    </w:p>
    <w:p w14:paraId="6587F31D" w14:textId="77777777" w:rsidR="00A83B9B" w:rsidRPr="00D77CB9" w:rsidRDefault="00A83B9B" w:rsidP="00A83B9B">
      <w:pPr>
        <w:ind w:firstLine="720"/>
        <w:rPr>
          <w:rFonts w:cs="Times New Roman"/>
        </w:rPr>
      </w:pPr>
      <w:r w:rsidRPr="00D77CB9">
        <w:rPr>
          <w:rFonts w:cs="Times New Roman"/>
        </w:rPr>
        <w:t>W</w:t>
      </w:r>
      <w:r w:rsidRPr="00D77CB9">
        <w:rPr>
          <w:rFonts w:cs="Times New Roman"/>
          <w:vertAlign w:val="subscript"/>
        </w:rPr>
        <w:t>jk</w:t>
      </w:r>
      <w:r w:rsidRPr="00D77CB9">
        <w:rPr>
          <w:rFonts w:cs="Times New Roman"/>
        </w:rPr>
        <w:tab/>
        <w:t xml:space="preserve">sampling weights = inverses of probability of selection </w:t>
      </w:r>
    </w:p>
    <w:p w14:paraId="2B867B53" w14:textId="77777777" w:rsidR="00A83B9B" w:rsidRPr="00D77CB9" w:rsidRDefault="00A83B9B" w:rsidP="00A83B9B">
      <w:pPr>
        <w:ind w:firstLine="720"/>
        <w:rPr>
          <w:rFonts w:cs="Times New Roman"/>
        </w:rPr>
      </w:pPr>
      <w:r w:rsidRPr="00D77CB9">
        <w:rPr>
          <w:rFonts w:cs="Times New Roman"/>
        </w:rPr>
        <w:t>f</w:t>
      </w:r>
      <w:r w:rsidRPr="00D77CB9">
        <w:rPr>
          <w:rFonts w:cs="Times New Roman"/>
          <w:vertAlign w:val="subscript"/>
        </w:rPr>
        <w:t>jk</w:t>
      </w:r>
      <w:r w:rsidRPr="00D77CB9">
        <w:rPr>
          <w:rFonts w:cs="Times New Roman"/>
          <w:vertAlign w:val="subscript"/>
        </w:rPr>
        <w:tab/>
      </w:r>
      <w:r w:rsidRPr="00D77CB9">
        <w:rPr>
          <w:rFonts w:cs="Times New Roman"/>
        </w:rPr>
        <w:t>denotes the sampling fraction in region j and type of outlet k, for certainty strata f</w:t>
      </w:r>
      <w:r w:rsidRPr="00D77CB9">
        <w:rPr>
          <w:rFonts w:cs="Times New Roman"/>
          <w:vertAlign w:val="subscript"/>
        </w:rPr>
        <w:t>jk</w:t>
      </w:r>
      <w:r w:rsidRPr="00D77CB9">
        <w:rPr>
          <w:rFonts w:cs="Times New Roman"/>
        </w:rPr>
        <w:t xml:space="preserve"> = 1</w:t>
      </w:r>
    </w:p>
    <w:p w14:paraId="6135F492" w14:textId="77777777" w:rsidR="00A83B9B" w:rsidRPr="00D77CB9" w:rsidRDefault="00A83B9B" w:rsidP="00A83B9B">
      <w:pPr>
        <w:rPr>
          <w:rFonts w:cs="Times New Roman"/>
        </w:rPr>
      </w:pPr>
      <w:r w:rsidRPr="00D77CB9">
        <w:rPr>
          <w:rFonts w:cs="Times New Roman"/>
        </w:rPr>
        <w:t>By definition,</w:t>
      </w:r>
    </w:p>
    <w:p w14:paraId="6DF46193" w14:textId="77777777" w:rsidR="00A83B9B" w:rsidRPr="00D77CB9" w:rsidRDefault="004B4066" w:rsidP="00A83B9B">
      <w:pPr>
        <w:ind w:left="720" w:firstLine="720"/>
        <w:rPr>
          <w:rFonts w:eastAsiaTheme="minorEastAsia" w:cs="Times New Roman"/>
        </w:rPr>
      </w:pPr>
      <m:oMath>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jki</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N</m:t>
                </m:r>
              </m:e>
              <m:sub>
                <m:r>
                  <m:rPr>
                    <m:sty m:val="p"/>
                  </m:rPr>
                  <w:rPr>
                    <w:rFonts w:ascii="Cambria Math" w:hAnsi="Cambria Math" w:cs="Times New Roman"/>
                  </w:rPr>
                  <m:t>jk</m:t>
                </m:r>
              </m:sub>
            </m:sSub>
          </m:num>
          <m:den>
            <m:sSub>
              <m:sSubPr>
                <m:ctrlPr>
                  <w:rPr>
                    <w:rFonts w:ascii="Cambria Math" w:hAnsi="Cambria Math" w:cs="Times New Roman"/>
                  </w:rPr>
                </m:ctrlPr>
              </m:sSubPr>
              <m:e>
                <m:r>
                  <m:rPr>
                    <m:sty m:val="p"/>
                  </m:rPr>
                  <w:rPr>
                    <w:rFonts w:ascii="Cambria Math" w:hAnsi="Cambria Math" w:cs="Times New Roman"/>
                  </w:rPr>
                  <m:t>n</m:t>
                </m:r>
              </m:e>
              <m:sub>
                <m:r>
                  <m:rPr>
                    <m:sty m:val="p"/>
                  </m:rPr>
                  <w:rPr>
                    <w:rFonts w:ascii="Cambria Math" w:hAnsi="Cambria Math" w:cs="Times New Roman"/>
                  </w:rPr>
                  <m:t>jk</m:t>
                </m:r>
              </m:sub>
            </m:sSub>
          </m:den>
        </m:f>
      </m:oMath>
      <w:r w:rsidR="00A83B9B" w:rsidRPr="00D77CB9">
        <w:rPr>
          <w:rFonts w:eastAsiaTheme="minorEastAsia" w:cs="Times New Roman"/>
        </w:rPr>
        <w:t xml:space="preserve">  </w:t>
      </w:r>
    </w:p>
    <w:p w14:paraId="45850CBF" w14:textId="77777777" w:rsidR="00A83B9B" w:rsidRPr="00D77CB9" w:rsidRDefault="00A83B9B" w:rsidP="00A83B9B">
      <w:pPr>
        <w:rPr>
          <w:rFonts w:eastAsiaTheme="minorEastAsia" w:cs="Times New Roman"/>
        </w:rPr>
      </w:pPr>
      <w:r w:rsidRPr="00D77CB9">
        <w:rPr>
          <w:rFonts w:cs="Times New Roman"/>
        </w:rPr>
        <w:t xml:space="preserve">Define </w:t>
      </w:r>
      <w:r w:rsidRPr="00D77CB9">
        <w:rPr>
          <w:rFonts w:cs="Times New Roman"/>
        </w:rPr>
        <w:tab/>
      </w:r>
      <w:r w:rsidRPr="00D77CB9">
        <w:rPr>
          <w:rFonts w:cs="Times New Roman"/>
        </w:rPr>
        <w:tab/>
      </w:r>
      <m:oMath>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jki</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jki</m:t>
            </m:r>
          </m:sub>
        </m:sSub>
        <m:sSub>
          <m:sSubPr>
            <m:ctrlPr>
              <w:rPr>
                <w:rFonts w:ascii="Cambria Math" w:hAnsi="Cambria Math" w:cs="Times New Roman"/>
              </w:rPr>
            </m:ctrlPr>
          </m:sSubPr>
          <m:e>
            <m:r>
              <m:rPr>
                <m:sty m:val="p"/>
              </m:rPr>
              <w:rPr>
                <w:rFonts w:ascii="Cambria Math" w:hAnsi="Cambria Math" w:cs="Times New Roman"/>
              </w:rPr>
              <m:t>V</m:t>
            </m:r>
          </m:e>
          <m:sub>
            <m:r>
              <m:rPr>
                <m:sty m:val="p"/>
              </m:rPr>
              <w:rPr>
                <w:rFonts w:ascii="Cambria Math" w:hAnsi="Cambria Math" w:cs="Times New Roman"/>
              </w:rPr>
              <m:t>jki</m:t>
            </m:r>
          </m:sub>
        </m:sSub>
      </m:oMath>
    </w:p>
    <w:p w14:paraId="1C46E50A" w14:textId="77777777" w:rsidR="00A83B9B" w:rsidRPr="00D77CB9" w:rsidRDefault="00A83B9B" w:rsidP="00A83B9B">
      <w:pPr>
        <w:rPr>
          <w:rFonts w:eastAsiaTheme="minorEastAsia" w:cs="Times New Roman"/>
        </w:rPr>
      </w:pPr>
      <w:r w:rsidRPr="00D77CB9">
        <w:rPr>
          <w:rFonts w:eastAsiaTheme="minorEastAsia" w:cs="Times New Roman"/>
        </w:rPr>
        <w:tab/>
      </w:r>
      <w:r w:rsidRPr="00D77CB9">
        <w:rPr>
          <w:rFonts w:eastAsiaTheme="minorEastAsia" w:cs="Times New Roman"/>
        </w:rPr>
        <w:tab/>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jki</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sSub>
              <m:sSubPr>
                <m:ctrlPr>
                  <w:rPr>
                    <w:rFonts w:ascii="Cambria Math" w:eastAsiaTheme="minorEastAsia" w:hAnsi="Cambria Math" w:cs="Times New Roman"/>
                  </w:rPr>
                </m:ctrlPr>
              </m:sSubPr>
              <m:e>
                <m:r>
                  <m:rPr>
                    <m:sty m:val="p"/>
                  </m:rPr>
                  <w:rPr>
                    <w:rFonts w:ascii="Cambria Math" w:eastAsiaTheme="minorEastAsia" w:hAnsi="Cambria Math" w:cs="Times New Roman"/>
                  </w:rPr>
                  <m:t>W</m:t>
                </m:r>
              </m:e>
              <m:sub>
                <m:r>
                  <m:rPr>
                    <m:sty m:val="p"/>
                  </m:rPr>
                  <w:rPr>
                    <w:rFonts w:ascii="Cambria Math" w:eastAsiaTheme="minorEastAsia" w:hAnsi="Cambria Math" w:cs="Times New Roman"/>
                  </w:rPr>
                  <m:t>jki</m:t>
                </m:r>
              </m:sub>
            </m:sSub>
            <m:r>
              <m:rPr>
                <m:sty m:val="p"/>
              </m:rPr>
              <w:rPr>
                <w:rFonts w:ascii="Cambria Math" w:eastAsiaTheme="minorEastAsia" w:hAnsi="Cambria Math" w:cs="Times New Roman"/>
              </w:rPr>
              <m:t>V</m:t>
            </m:r>
          </m:e>
          <m:sub>
            <m:r>
              <m:rPr>
                <m:sty m:val="p"/>
              </m:rPr>
              <w:rPr>
                <w:rFonts w:ascii="Cambria Math" w:eastAsiaTheme="minorEastAsia" w:hAnsi="Cambria Math" w:cs="Times New Roman"/>
              </w:rPr>
              <m:t>jki</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P</m:t>
            </m:r>
          </m:e>
          <m:sub>
            <m:r>
              <m:rPr>
                <m:sty m:val="p"/>
              </m:rPr>
              <w:rPr>
                <w:rFonts w:ascii="Cambria Math" w:eastAsiaTheme="minorEastAsia" w:hAnsi="Cambria Math" w:cs="Times New Roman"/>
              </w:rPr>
              <m:t>jki</m:t>
            </m:r>
          </m:sub>
        </m:sSub>
      </m:oMath>
    </w:p>
    <w:p w14:paraId="66CD6874" w14:textId="77777777" w:rsidR="00A83B9B" w:rsidRPr="00D77CB9" w:rsidRDefault="00A83B9B" w:rsidP="00A83B9B">
      <w:pPr>
        <w:rPr>
          <w:rFonts w:eastAsiaTheme="minorEastAsia" w:cs="Times New Roman"/>
        </w:rPr>
      </w:pPr>
      <w:r w:rsidRPr="00D77CB9">
        <w:rPr>
          <w:rFonts w:eastAsiaTheme="minorEastAsia" w:cs="Times New Roman"/>
        </w:rPr>
        <w:tab/>
      </w:r>
      <w:r w:rsidRPr="00D77CB9">
        <w:rPr>
          <w:rFonts w:eastAsiaTheme="minorEastAsia" w:cs="Times New Roman"/>
        </w:rPr>
        <w:tab/>
        <w:t xml:space="preserve">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x</m:t>
            </m:r>
          </m:e>
          <m:sub>
            <m:r>
              <m:rPr>
                <m:sty m:val="p"/>
              </m:rPr>
              <w:rPr>
                <w:rFonts w:ascii="Cambria Math" w:eastAsiaTheme="minorEastAsia" w:hAnsi="Cambria Math" w:cs="Times New Roman"/>
              </w:rPr>
              <m:t>j</m:t>
            </m:r>
          </m:sub>
        </m:sSub>
        <m:r>
          <m:rPr>
            <m:sty m:val="p"/>
          </m:rPr>
          <w:rPr>
            <w:rFonts w:ascii="Cambria Math" w:eastAsiaTheme="minorEastAsia" w:hAnsi="Cambria Math" w:cs="Times New Roman"/>
          </w:rPr>
          <m:t>=</m:t>
        </m:r>
        <m:nary>
          <m:naryPr>
            <m:chr m:val="∑"/>
            <m:limLoc m:val="undOvr"/>
            <m:supHide m:val="1"/>
            <m:ctrlPr>
              <w:rPr>
                <w:rFonts w:ascii="Cambria Math" w:eastAsiaTheme="minorEastAsia" w:hAnsi="Cambria Math" w:cs="Times New Roman"/>
              </w:rPr>
            </m:ctrlPr>
          </m:naryPr>
          <m:sub>
            <m:r>
              <m:rPr>
                <m:sty m:val="p"/>
              </m:rPr>
              <w:rPr>
                <w:rFonts w:ascii="Cambria Math" w:eastAsiaTheme="minorEastAsia" w:hAnsi="Cambria Math" w:cs="Times New Roman"/>
              </w:rPr>
              <m:t>i,k</m:t>
            </m:r>
          </m:sub>
          <m:sup/>
          <m:e>
            <m:sSub>
              <m:sSubPr>
                <m:ctrlPr>
                  <w:rPr>
                    <w:rFonts w:ascii="Cambria Math" w:eastAsiaTheme="minorEastAsia" w:hAnsi="Cambria Math" w:cs="Times New Roman"/>
                  </w:rPr>
                </m:ctrlPr>
              </m:sSubPr>
              <m:e>
                <m:r>
                  <m:rPr>
                    <m:sty m:val="p"/>
                  </m:rPr>
                  <w:rPr>
                    <w:rFonts w:ascii="Cambria Math" w:eastAsiaTheme="minorEastAsia" w:hAnsi="Cambria Math" w:cs="Times New Roman"/>
                  </w:rPr>
                  <m:t>x</m:t>
                </m:r>
              </m:e>
              <m:sub>
                <m:r>
                  <m:rPr>
                    <m:sty m:val="p"/>
                  </m:rPr>
                  <w:rPr>
                    <w:rFonts w:ascii="Cambria Math" w:eastAsiaTheme="minorEastAsia" w:hAnsi="Cambria Math" w:cs="Times New Roman"/>
                  </w:rPr>
                  <m:t>jki</m:t>
                </m:r>
              </m:sub>
            </m:sSub>
          </m:e>
        </m:nary>
      </m:oMath>
    </w:p>
    <w:p w14:paraId="712D1057" w14:textId="77777777" w:rsidR="00A83B9B" w:rsidRPr="00D77CB9" w:rsidRDefault="00A83B9B" w:rsidP="00A83B9B">
      <w:pPr>
        <w:rPr>
          <w:rFonts w:eastAsiaTheme="minorEastAsia" w:cs="Times New Roman"/>
        </w:rPr>
      </w:pPr>
      <w:r w:rsidRPr="00D77CB9">
        <w:rPr>
          <w:rFonts w:eastAsiaTheme="minorEastAsia" w:cs="Times New Roman"/>
        </w:rPr>
        <w:tab/>
      </w:r>
      <w:r w:rsidRPr="00D77CB9">
        <w:rPr>
          <w:rFonts w:eastAsiaTheme="minorEastAsia" w:cs="Times New Roman"/>
        </w:rPr>
        <w:tab/>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j</m:t>
            </m:r>
          </m:sub>
        </m:sSub>
        <m:r>
          <m:rPr>
            <m:sty m:val="p"/>
          </m:rPr>
          <w:rPr>
            <w:rFonts w:ascii="Cambria Math" w:eastAsiaTheme="minorEastAsia" w:hAnsi="Cambria Math" w:cs="Times New Roman"/>
          </w:rPr>
          <m:t>=</m:t>
        </m:r>
        <m:nary>
          <m:naryPr>
            <m:chr m:val="∑"/>
            <m:limLoc m:val="undOvr"/>
            <m:supHide m:val="1"/>
            <m:ctrlPr>
              <w:rPr>
                <w:rFonts w:ascii="Cambria Math" w:eastAsiaTheme="minorEastAsia" w:hAnsi="Cambria Math" w:cs="Times New Roman"/>
              </w:rPr>
            </m:ctrlPr>
          </m:naryPr>
          <m:sub>
            <m:r>
              <m:rPr>
                <m:sty m:val="p"/>
              </m:rPr>
              <w:rPr>
                <w:rFonts w:ascii="Cambria Math" w:eastAsiaTheme="minorEastAsia" w:hAnsi="Cambria Math" w:cs="Times New Roman"/>
              </w:rPr>
              <m:t>i,k</m:t>
            </m:r>
          </m:sub>
          <m:sup/>
          <m:e>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jki</m:t>
                </m:r>
              </m:sub>
            </m:sSub>
          </m:e>
        </m:nary>
      </m:oMath>
    </w:p>
    <w:p w14:paraId="627370DA" w14:textId="77777777" w:rsidR="00321082" w:rsidRPr="00D77CB9" w:rsidRDefault="00A83B9B" w:rsidP="00321082">
      <w:pPr>
        <w:rPr>
          <w:rFonts w:eastAsiaTheme="minorEastAsia" w:cs="Times New Roman"/>
        </w:rPr>
      </w:pPr>
      <w:r w:rsidRPr="00D77CB9">
        <w:rPr>
          <w:rFonts w:eastAsiaTheme="minorEastAsia" w:cs="Times New Roman"/>
        </w:rPr>
        <w:t>Then the volume weighted average price for a region is as follows:</w:t>
      </w:r>
    </w:p>
    <w:p w14:paraId="633DF8D4" w14:textId="01BD5076" w:rsidR="00A83B9B" w:rsidRPr="00D77CB9" w:rsidRDefault="00A83B9B" w:rsidP="00321082">
      <w:pPr>
        <w:rPr>
          <w:rFonts w:eastAsiaTheme="minorEastAsia" w:cs="Times New Roman"/>
        </w:rPr>
      </w:pPr>
      <m:oMathPara>
        <m:oMath>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j</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j</m:t>
                  </m:r>
                </m:sub>
              </m:sSub>
            </m:num>
            <m:den>
              <m:sSub>
                <m:sSubPr>
                  <m:ctrlPr>
                    <w:rPr>
                      <w:rFonts w:ascii="Cambria Math" w:hAnsi="Cambria Math"/>
                    </w:rPr>
                  </m:ctrlPr>
                </m:sSubPr>
                <m:e>
                  <m:r>
                    <w:rPr>
                      <w:rFonts w:ascii="Cambria Math" w:hAnsi="Cambria Math"/>
                    </w:rPr>
                    <m:t>x</m:t>
                  </m:r>
                </m:e>
                <m:sub>
                  <m:r>
                    <w:rPr>
                      <w:rFonts w:ascii="Cambria Math" w:hAnsi="Cambria Math"/>
                    </w:rPr>
                    <m:t>j</m:t>
                  </m:r>
                </m:sub>
              </m:sSub>
            </m:den>
          </m:f>
        </m:oMath>
      </m:oMathPara>
    </w:p>
    <w:p w14:paraId="53EA6FFF" w14:textId="72CC081D" w:rsidR="00C10278" w:rsidRPr="00D77CB9" w:rsidRDefault="001526FE" w:rsidP="00C10278">
      <w:pPr>
        <w:rPr>
          <w:rFonts w:eastAsiaTheme="minorEastAsia" w:cstheme="majorHAnsi"/>
        </w:rPr>
      </w:pPr>
      <w:r w:rsidRPr="00D77CB9">
        <w:rPr>
          <w:rFonts w:cstheme="majorHAnsi"/>
        </w:rPr>
        <w:t>R</w:t>
      </w:r>
      <w:r w:rsidR="00A83B9B" w:rsidRPr="00D77CB9">
        <w:rPr>
          <w:rFonts w:cstheme="majorHAnsi"/>
        </w:rPr>
        <w:t xml:space="preserve">elvariance </w:t>
      </w:r>
      <w:r w:rsidR="005463EA" w:rsidRPr="00D77CB9">
        <w:rPr>
          <w:rFonts w:cstheme="majorHAnsi"/>
        </w:rPr>
        <w:t xml:space="preserve">(relative variance) </w:t>
      </w:r>
      <w:r w:rsidR="00AE6AF7">
        <w:rPr>
          <w:rFonts w:cstheme="majorHAnsi"/>
        </w:rPr>
        <w:t>is</w:t>
      </w:r>
      <w:r w:rsidR="00A83B9B" w:rsidRPr="00D77CB9">
        <w:rPr>
          <w:rFonts w:cstheme="majorHAnsi"/>
        </w:rPr>
        <w:t xml:space="preserve"> </w:t>
      </w:r>
      <w:r w:rsidR="00C10278" w:rsidRPr="00D77CB9">
        <w:rPr>
          <w:rFonts w:eastAsiaTheme="minorEastAsia" w:cstheme="majorHAnsi"/>
        </w:rPr>
        <w:t xml:space="preserve">calculated by dividing the estimated variance of </w:t>
      </w:r>
      <w:r w:rsidRPr="00D77CB9">
        <w:rPr>
          <w:rFonts w:eastAsiaTheme="minorEastAsia" w:cstheme="majorHAnsi"/>
        </w:rPr>
        <w:t>a statistic</w:t>
      </w:r>
      <w:r w:rsidR="00C10278" w:rsidRPr="00D77CB9">
        <w:rPr>
          <w:rFonts w:eastAsiaTheme="minorEastAsia" w:cstheme="majorHAnsi"/>
        </w:rPr>
        <w:t xml:space="preserve"> by the square</w:t>
      </w:r>
      <w:r w:rsidR="00C10278" w:rsidRPr="00D77CB9">
        <w:rPr>
          <w:rFonts w:cstheme="majorHAnsi"/>
          <w:color w:val="1F497D"/>
        </w:rPr>
        <w:t xml:space="preserve"> </w:t>
      </w:r>
      <w:r w:rsidR="00C10278" w:rsidRPr="00D77CB9">
        <w:rPr>
          <w:rFonts w:cstheme="majorHAnsi"/>
        </w:rPr>
        <w:t xml:space="preserve">of </w:t>
      </w:r>
      <w:r w:rsidR="00E126EA" w:rsidRPr="00D77CB9">
        <w:rPr>
          <w:rFonts w:eastAsiaTheme="minorEastAsia" w:cstheme="majorHAnsi"/>
        </w:rPr>
        <w:t xml:space="preserve">the </w:t>
      </w:r>
      <w:r w:rsidRPr="00D77CB9">
        <w:rPr>
          <w:rFonts w:cstheme="majorHAnsi"/>
        </w:rPr>
        <w:t>statistic</w:t>
      </w:r>
      <w:r w:rsidR="006F63ED" w:rsidRPr="00D77CB9">
        <w:rPr>
          <w:rFonts w:cstheme="majorHAnsi"/>
        </w:rPr>
        <w:t>.</w:t>
      </w:r>
    </w:p>
    <w:p w14:paraId="1EF2A20B" w14:textId="663FD8C6" w:rsidR="001526FE" w:rsidRPr="00D77CB9" w:rsidRDefault="001526FE" w:rsidP="001526FE">
      <w:pPr>
        <w:rPr>
          <w:rFonts w:eastAsiaTheme="minorEastAsia" w:cs="Times New Roman"/>
        </w:rPr>
      </w:pPr>
      <w:r w:rsidRPr="00D77CB9">
        <w:rPr>
          <w:rFonts w:cs="Times New Roman"/>
        </w:rPr>
        <w:t xml:space="preserve">The </w:t>
      </w:r>
      <w:r w:rsidR="007930F4" w:rsidRPr="00D77CB9">
        <w:rPr>
          <w:rFonts w:cs="Times New Roman"/>
        </w:rPr>
        <w:t>relvariance</w:t>
      </w:r>
      <w:r w:rsidRPr="00D77CB9">
        <w:rPr>
          <w:rFonts w:cs="Times New Roman"/>
        </w:rPr>
        <w:t xml:space="preserve"> of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j</m:t>
            </m:r>
          </m:sub>
        </m:sSub>
      </m:oMath>
      <w:r w:rsidRPr="00D77CB9">
        <w:rPr>
          <w:rFonts w:eastAsiaTheme="minorEastAsia" w:cs="Times New Roman"/>
        </w:rPr>
        <w:t xml:space="preserve"> is as follows:</w:t>
      </w:r>
    </w:p>
    <w:p w14:paraId="469AD6A1" w14:textId="77777777" w:rsidR="001526FE" w:rsidRPr="00D77CB9" w:rsidRDefault="001526FE" w:rsidP="00C10278">
      <w:pPr>
        <w:rPr>
          <w:rFonts w:cstheme="majorHAnsi"/>
          <w:color w:val="1F497D"/>
        </w:rPr>
      </w:pPr>
    </w:p>
    <w:p w14:paraId="35EDD0B4" w14:textId="7C66DD42" w:rsidR="00321082" w:rsidRPr="00D77CB9" w:rsidRDefault="004B4066" w:rsidP="00321082">
      <w:pPr>
        <w:ind w:left="1440"/>
        <w:rPr>
          <w:rFonts w:eastAsiaTheme="minorEastAsia"/>
        </w:rPr>
      </w:pP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P</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r>
              <m:rPr>
                <m:sty m:val="p"/>
              </m:rPr>
              <w:rPr>
                <w:rFonts w:ascii="Cambria Math" w:hAnsi="Cambria Math"/>
              </w:rPr>
              <m:t>2</m:t>
            </m:r>
            <m:r>
              <w:rPr>
                <w:rFonts w:ascii="Cambria Math" w:hAnsi="Cambria Math"/>
              </w:rPr>
              <m:t>V</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oMath>
      <w:r w:rsidR="00A83B9B" w:rsidRPr="00D77CB9">
        <w:rPr>
          <w:rFonts w:eastAsiaTheme="minorEastAsia"/>
        </w:rPr>
        <w:t xml:space="preserve"> </w:t>
      </w:r>
    </w:p>
    <w:p w14:paraId="56C47C9B" w14:textId="38406CE8" w:rsidR="00321082" w:rsidRPr="00D77CB9" w:rsidRDefault="00321082" w:rsidP="00321082">
      <w:pPr>
        <w:rPr>
          <w:rFonts w:eastAsiaTheme="minorEastAsia"/>
        </w:rPr>
      </w:pPr>
      <w:r w:rsidRPr="00D77CB9">
        <w:rPr>
          <w:rFonts w:eastAsiaTheme="minorEastAsia"/>
        </w:rPr>
        <w:t>where</w:t>
      </w:r>
    </w:p>
    <w:p w14:paraId="3CDC0C9D" w14:textId="4AED39ED" w:rsidR="00A83B9B" w:rsidRPr="00D77CB9" w:rsidRDefault="00A83B9B" w:rsidP="00321082">
      <w:r w:rsidRPr="00D77CB9">
        <w:rPr>
          <w:rFonts w:eastAsiaTheme="minorEastAsia"/>
        </w:rPr>
        <w:t xml:space="preserve"> </w:t>
      </w: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num>
          <m:den>
            <m:sSub>
              <m:sSubPr>
                <m:ctrlPr>
                  <w:rPr>
                    <w:rFonts w:ascii="Cambria Math" w:hAnsi="Cambria Math"/>
                  </w:rPr>
                </m:ctrlPr>
              </m:sSub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e>
              <m:sub>
                <m:r>
                  <w:rPr>
                    <w:rFonts w:ascii="Cambria Math" w:hAnsi="Cambria Math"/>
                  </w:rPr>
                  <m:t>j</m:t>
                </m:r>
              </m:sub>
            </m:sSub>
          </m:den>
        </m:f>
      </m:oMath>
      <w:r w:rsidRPr="00D77CB9">
        <w:t xml:space="preserve">  and   </w:t>
      </w:r>
      <m:oMath>
        <m:sSub>
          <m:sSubPr>
            <m:ctrlPr>
              <w:rPr>
                <w:rFonts w:ascii="Cambria Math" w:hAnsi="Cambria Math"/>
              </w:rPr>
            </m:ctrlPr>
          </m:sSubPr>
          <m:e>
            <m:r>
              <w:rPr>
                <w:rFonts w:ascii="Cambria Math" w:hAnsi="Cambria Math"/>
              </w:rPr>
              <m:t>V</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σ</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num>
          <m:den>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e>
            </m:d>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j</m:t>
                    </m:r>
                  </m:sub>
                </m:sSub>
              </m:e>
            </m:d>
          </m:den>
        </m:f>
      </m:oMath>
    </w:p>
    <w:p w14:paraId="675694F7" w14:textId="77777777" w:rsidR="00983D08" w:rsidRPr="00D77CB9" w:rsidRDefault="00A83B9B" w:rsidP="008B33CE">
      <w:pPr>
        <w:rPr>
          <w:rFonts w:cs="Times New Roman"/>
        </w:rPr>
      </w:pPr>
      <w:r w:rsidRPr="00D77CB9">
        <w:rPr>
          <w:rFonts w:cs="Times New Roman"/>
        </w:rPr>
        <w:t>The estimated variance for x</w:t>
      </w:r>
      <w:r w:rsidRPr="00D77CB9">
        <w:rPr>
          <w:rFonts w:cs="Times New Roman"/>
          <w:vertAlign w:val="subscript"/>
        </w:rPr>
        <w:t>j</w:t>
      </w:r>
      <w:r w:rsidRPr="00D77CB9">
        <w:rPr>
          <w:rFonts w:cs="Times New Roman"/>
        </w:rPr>
        <w:t xml:space="preserve"> is as follows (The variance of y</w:t>
      </w:r>
      <w:r w:rsidRPr="00D77CB9">
        <w:rPr>
          <w:rFonts w:cs="Times New Roman"/>
          <w:vertAlign w:val="subscript"/>
        </w:rPr>
        <w:t>j</w:t>
      </w:r>
      <w:r w:rsidRPr="00D77CB9">
        <w:rPr>
          <w:rFonts w:cs="Times New Roman"/>
        </w:rPr>
        <w:t xml:space="preserve"> is defined similarly):</w:t>
      </w:r>
    </w:p>
    <w:p w14:paraId="0CEDEA14" w14:textId="7F9DAE87" w:rsidR="00A83B9B" w:rsidRPr="00D77CB9" w:rsidRDefault="00A83B9B" w:rsidP="008B33CE">
      <w:pPr>
        <w:rPr>
          <w:rFonts w:cs="Times New Roman"/>
        </w:rPr>
      </w:pPr>
      <m:oMathPara>
        <m:oMath>
          <m:r>
            <m:rPr>
              <m:sty m:val="p"/>
            </m:rPr>
            <w:rPr>
              <w:rFonts w:ascii="Cambria Math" w:hAnsi="Cambria Math"/>
            </w:rPr>
            <m:t xml:space="preserve">   </m:t>
          </m:r>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rPr>
                <m:t>k</m:t>
              </m:r>
            </m:sub>
            <m:sup/>
            <m:e>
              <m:r>
                <m:rPr>
                  <m:sty m:val="p"/>
                </m:rPr>
                <w:rPr>
                  <w:rFonts w:ascii="Cambria Math" w:hAnsi="Cambria Math"/>
                </w:rPr>
                <m:t>(1-</m:t>
              </m:r>
              <m:sSub>
                <m:sSubPr>
                  <m:ctrlPr>
                    <w:rPr>
                      <w:rFonts w:ascii="Cambria Math" w:hAnsi="Cambria Math"/>
                    </w:rPr>
                  </m:ctrlPr>
                </m:sSubPr>
                <m:e>
                  <m:r>
                    <w:rPr>
                      <w:rFonts w:ascii="Cambria Math" w:hAnsi="Cambria Math"/>
                    </w:rPr>
                    <m:t>f</m:t>
                  </m:r>
                </m:e>
                <m:sub>
                  <m:r>
                    <w:rPr>
                      <w:rFonts w:ascii="Cambria Math" w:hAnsi="Cambria Math"/>
                    </w:rPr>
                    <m:t>jk</m:t>
                  </m:r>
                </m:sub>
              </m:sSub>
              <m:r>
                <m:rPr>
                  <m:sty m:val="p"/>
                </m:rPr>
                <w:rPr>
                  <w:rFonts w:ascii="Cambria Math" w:hAnsi="Cambria Math"/>
                </w:rPr>
                <m:t>)</m:t>
              </m:r>
            </m:e>
          </m:nary>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jk</m:t>
                  </m:r>
                </m:sub>
              </m:sSub>
            </m:num>
            <m:den>
              <m:sSub>
                <m:sSubPr>
                  <m:ctrlPr>
                    <w:rPr>
                      <w:rFonts w:ascii="Cambria Math" w:hAnsi="Cambria Math"/>
                    </w:rPr>
                  </m:ctrlPr>
                </m:sSubPr>
                <m:e>
                  <m:r>
                    <w:rPr>
                      <w:rFonts w:ascii="Cambria Math" w:hAnsi="Cambria Math"/>
                    </w:rPr>
                    <m:t>n</m:t>
                  </m:r>
                </m:e>
                <m:sub>
                  <m:r>
                    <w:rPr>
                      <w:rFonts w:ascii="Cambria Math" w:hAnsi="Cambria Math"/>
                    </w:rPr>
                    <m:t>jk</m:t>
                  </m:r>
                </m:sub>
              </m:sSub>
              <m:r>
                <m:rPr>
                  <m:sty m:val="p"/>
                </m:rPr>
                <w:rPr>
                  <w:rFonts w:ascii="Cambria Math" w:hAnsi="Cambria Math"/>
                </w:rPr>
                <m:t xml:space="preserve">-1 </m:t>
              </m:r>
            </m:den>
          </m:f>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i</m:t>
              </m:r>
            </m:sub>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jki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jk</m:t>
                          </m:r>
                        </m:sub>
                      </m:sSub>
                    </m:e>
                  </m:d>
                </m:e>
                <m:sup>
                  <m:r>
                    <m:rPr>
                      <m:sty m:val="p"/>
                    </m:rPr>
                    <w:rPr>
                      <w:rFonts w:ascii="Cambria Math" w:hAnsi="Cambria Math"/>
                    </w:rPr>
                    <m:t>2</m:t>
                  </m:r>
                </m:sup>
              </m:sSup>
            </m:e>
          </m:nary>
          <m:r>
            <m:rPr>
              <m:sty m:val="p"/>
            </m:rPr>
            <w:rPr>
              <w:rFonts w:ascii="Cambria Math" w:hAnsi="Cambria Math"/>
            </w:rPr>
            <m:t>,</m:t>
          </m:r>
        </m:oMath>
      </m:oMathPara>
    </w:p>
    <w:p w14:paraId="1E39C59A" w14:textId="77777777" w:rsidR="00A83B9B" w:rsidRPr="00D77CB9" w:rsidRDefault="00A83B9B" w:rsidP="00A83B9B">
      <w:pPr>
        <w:ind w:left="990"/>
        <w:rPr>
          <w:rFonts w:eastAsiaTheme="minorEastAsia" w:cs="Times New Roman"/>
        </w:rPr>
      </w:pPr>
      <m:oMathPara>
        <m:oMathParaPr>
          <m:jc m:val="left"/>
        </m:oMathParaPr>
        <m:oMath>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jk</m:t>
              </m:r>
            </m:sub>
          </m:sSub>
          <m:r>
            <w:rPr>
              <w:rFonts w:ascii="Cambria Math" w:hAnsi="Cambria Math" w:cs="Times New Roman"/>
            </w:rPr>
            <m:t>=</m:t>
          </m:r>
          <m:f>
            <m:fPr>
              <m:ctrlPr>
                <w:rPr>
                  <w:rFonts w:ascii="Cambria Math" w:hAnsi="Cambria Math" w:cs="Times New Roman"/>
                  <w:i/>
                </w:rPr>
              </m:ctrlPr>
            </m:fPr>
            <m:num>
              <m:nary>
                <m:naryPr>
                  <m:chr m:val="∑"/>
                  <m:limLoc m:val="undOvr"/>
                  <m:supHide m:val="1"/>
                  <m:ctrlPr>
                    <w:rPr>
                      <w:rFonts w:ascii="Cambria Math" w:eastAsiaTheme="minorEastAsia" w:hAnsi="Cambria Math" w:cs="Times New Roman"/>
                    </w:rPr>
                  </m:ctrlPr>
                </m:naryPr>
                <m:sub>
                  <m:r>
                    <m:rPr>
                      <m:sty m:val="p"/>
                    </m:rPr>
                    <w:rPr>
                      <w:rFonts w:ascii="Cambria Math" w:eastAsiaTheme="minorEastAsia" w:hAnsi="Cambria Math" w:cs="Times New Roman"/>
                    </w:rPr>
                    <m:t>i</m:t>
                  </m:r>
                </m:sub>
                <m:sup/>
                <m:e>
                  <m:sSub>
                    <m:sSubPr>
                      <m:ctrlPr>
                        <w:rPr>
                          <w:rFonts w:ascii="Cambria Math" w:eastAsiaTheme="minorEastAsia" w:hAnsi="Cambria Math" w:cs="Times New Roman"/>
                        </w:rPr>
                      </m:ctrlPr>
                    </m:sSubPr>
                    <m:e>
                      <m:r>
                        <m:rPr>
                          <m:sty m:val="p"/>
                        </m:rPr>
                        <w:rPr>
                          <w:rFonts w:ascii="Cambria Math" w:eastAsiaTheme="minorEastAsia" w:hAnsi="Cambria Math" w:cs="Times New Roman"/>
                        </w:rPr>
                        <m:t>x</m:t>
                      </m:r>
                    </m:e>
                    <m:sub>
                      <m:r>
                        <m:rPr>
                          <m:sty m:val="p"/>
                        </m:rPr>
                        <w:rPr>
                          <w:rFonts w:ascii="Cambria Math" w:eastAsiaTheme="minorEastAsia" w:hAnsi="Cambria Math" w:cs="Times New Roman"/>
                        </w:rPr>
                        <m:t>jki</m:t>
                      </m:r>
                    </m:sub>
                  </m:sSub>
                </m:e>
              </m:nary>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jk</m:t>
                  </m:r>
                </m:sub>
              </m:sSub>
            </m:den>
          </m:f>
        </m:oMath>
      </m:oMathPara>
    </w:p>
    <w:p w14:paraId="295E7199" w14:textId="77777777" w:rsidR="00A83B9B" w:rsidRPr="00D77CB9" w:rsidRDefault="00A83B9B" w:rsidP="00A83B9B">
      <w:pPr>
        <w:rPr>
          <w:rFonts w:cs="Times New Roman"/>
        </w:rPr>
      </w:pPr>
      <w:r w:rsidRPr="00D77CB9">
        <w:rPr>
          <w:rFonts w:cs="Times New Roman"/>
        </w:rPr>
        <w:t>The estimated covariance is as follows:</w:t>
      </w:r>
    </w:p>
    <w:p w14:paraId="2738CD74" w14:textId="77777777" w:rsidR="00A83B9B" w:rsidRPr="00D77CB9" w:rsidRDefault="00A83B9B" w:rsidP="008B33CE">
      <w:pPr>
        <w:ind w:left="1440"/>
      </w:pPr>
      <w:r w:rsidRPr="00D77CB9">
        <w:rPr>
          <w:rFonts w:eastAsiaTheme="minorEastAsia"/>
        </w:rPr>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σ</m:t>
                </m:r>
              </m:e>
            </m:acc>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k</m:t>
            </m:r>
          </m:sub>
          <m:sup/>
          <m:e>
            <m:r>
              <m:rPr>
                <m:sty m:val="p"/>
              </m:rPr>
              <w:rPr>
                <w:rFonts w:ascii="Cambria Math" w:hAnsi="Cambria Math"/>
              </w:rPr>
              <m:t>(1-</m:t>
            </m:r>
            <m:sSub>
              <m:sSubPr>
                <m:ctrlPr>
                  <w:rPr>
                    <w:rFonts w:ascii="Cambria Math" w:hAnsi="Cambria Math"/>
                  </w:rPr>
                </m:ctrlPr>
              </m:sSubPr>
              <m:e>
                <m:r>
                  <w:rPr>
                    <w:rFonts w:ascii="Cambria Math" w:hAnsi="Cambria Math"/>
                  </w:rPr>
                  <m:t>f</m:t>
                </m:r>
              </m:e>
              <m:sub>
                <m:r>
                  <w:rPr>
                    <w:rFonts w:ascii="Cambria Math" w:hAnsi="Cambria Math"/>
                  </w:rPr>
                  <m:t>jk</m:t>
                </m:r>
              </m:sub>
            </m:sSub>
            <m:r>
              <m:rPr>
                <m:sty m:val="p"/>
              </m:rPr>
              <w:rPr>
                <w:rFonts w:ascii="Cambria Math" w:hAnsi="Cambria Math"/>
              </w:rPr>
              <m:t>)</m:t>
            </m:r>
          </m:e>
        </m:nary>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jk</m:t>
                </m:r>
              </m:sub>
            </m:sSub>
          </m:num>
          <m:den>
            <m:sSub>
              <m:sSubPr>
                <m:ctrlPr>
                  <w:rPr>
                    <w:rFonts w:ascii="Cambria Math" w:hAnsi="Cambria Math"/>
                  </w:rPr>
                </m:ctrlPr>
              </m:sSubPr>
              <m:e>
                <m:r>
                  <w:rPr>
                    <w:rFonts w:ascii="Cambria Math" w:hAnsi="Cambria Math"/>
                  </w:rPr>
                  <m:t>n</m:t>
                </m:r>
              </m:e>
              <m:sub>
                <m:r>
                  <w:rPr>
                    <w:rFonts w:ascii="Cambria Math" w:hAnsi="Cambria Math"/>
                  </w:rPr>
                  <m:t>jk</m:t>
                </m:r>
              </m:sub>
            </m:sSub>
            <m:r>
              <m:rPr>
                <m:sty m:val="p"/>
              </m:rPr>
              <w:rPr>
                <w:rFonts w:ascii="Cambria Math" w:hAnsi="Cambria Math"/>
              </w:rPr>
              <m:t>-1</m:t>
            </m:r>
          </m:den>
        </m:f>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i</m:t>
            </m:r>
          </m:sub>
          <m:sup/>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jki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jk</m:t>
                    </m:r>
                  </m:sub>
                </m:sSub>
              </m:e>
            </m:d>
          </m:e>
        </m:nary>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jki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jk</m:t>
                </m:r>
              </m:sub>
            </m:sSub>
          </m:e>
        </m:d>
      </m:oMath>
      <w:r w:rsidRPr="00D77CB9">
        <w:rPr>
          <w:rFonts w:eastAsiaTheme="minorEastAsia"/>
        </w:rPr>
        <w:t>,</w:t>
      </w:r>
    </w:p>
    <w:p w14:paraId="492EB0EF" w14:textId="77777777" w:rsidR="00A83B9B" w:rsidRPr="00D77CB9" w:rsidRDefault="004B4066" w:rsidP="00A83B9B">
      <w:pPr>
        <w:ind w:left="1710" w:firstLine="450"/>
        <w:rPr>
          <w:rFonts w:eastAsiaTheme="minorEastAsia" w:cs="Times New Roman"/>
        </w:rPr>
      </w:pPr>
      <m:oMathPara>
        <m:oMathParaPr>
          <m:jc m:val="left"/>
        </m:oMathParaP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jk</m:t>
              </m:r>
            </m:sub>
          </m:sSub>
          <m:r>
            <w:rPr>
              <w:rFonts w:ascii="Cambria Math" w:hAnsi="Cambria Math" w:cs="Times New Roman"/>
            </w:rPr>
            <m:t>=</m:t>
          </m:r>
          <m:f>
            <m:fPr>
              <m:ctrlPr>
                <w:rPr>
                  <w:rFonts w:ascii="Cambria Math" w:hAnsi="Cambria Math" w:cs="Times New Roman"/>
                  <w:i/>
                </w:rPr>
              </m:ctrlPr>
            </m:fPr>
            <m:num>
              <m:nary>
                <m:naryPr>
                  <m:chr m:val="∑"/>
                  <m:limLoc m:val="undOvr"/>
                  <m:supHide m:val="1"/>
                  <m:ctrlPr>
                    <w:rPr>
                      <w:rFonts w:ascii="Cambria Math" w:eastAsiaTheme="minorEastAsia" w:hAnsi="Cambria Math" w:cs="Times New Roman"/>
                    </w:rPr>
                  </m:ctrlPr>
                </m:naryPr>
                <m:sub>
                  <m:r>
                    <m:rPr>
                      <m:sty m:val="p"/>
                    </m:rPr>
                    <w:rPr>
                      <w:rFonts w:ascii="Cambria Math" w:eastAsiaTheme="minorEastAsia" w:hAnsi="Cambria Math" w:cs="Times New Roman"/>
                    </w:rPr>
                    <m:t>i</m:t>
                  </m:r>
                </m:sub>
                <m:sup/>
                <m:e>
                  <m:sSub>
                    <m:sSubPr>
                      <m:ctrlPr>
                        <w:rPr>
                          <w:rFonts w:ascii="Cambria Math" w:eastAsiaTheme="minorEastAsia" w:hAnsi="Cambria Math" w:cs="Times New Roman"/>
                        </w:rPr>
                      </m:ctrlPr>
                    </m:sSubPr>
                    <m:e>
                      <m:r>
                        <m:rPr>
                          <m:sty m:val="p"/>
                        </m:rPr>
                        <w:rPr>
                          <w:rFonts w:ascii="Cambria Math" w:eastAsiaTheme="minorEastAsia" w:hAnsi="Cambria Math" w:cs="Times New Roman"/>
                        </w:rPr>
                        <m:t>y</m:t>
                      </m:r>
                    </m:e>
                    <m:sub>
                      <m:r>
                        <m:rPr>
                          <m:sty m:val="p"/>
                        </m:rPr>
                        <w:rPr>
                          <w:rFonts w:ascii="Cambria Math" w:eastAsiaTheme="minorEastAsia" w:hAnsi="Cambria Math" w:cs="Times New Roman"/>
                        </w:rPr>
                        <m:t>jki</m:t>
                      </m:r>
                    </m:sub>
                  </m:sSub>
                </m:e>
              </m:nary>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jk</m:t>
                  </m:r>
                </m:sub>
              </m:sSub>
            </m:den>
          </m:f>
        </m:oMath>
      </m:oMathPara>
    </w:p>
    <w:p w14:paraId="1F4699D7" w14:textId="77777777" w:rsidR="00A83B9B" w:rsidRPr="00D77CB9" w:rsidRDefault="00A83B9B" w:rsidP="00A83B9B">
      <w:pPr>
        <w:rPr>
          <w:rFonts w:cs="Times New Roman"/>
        </w:rPr>
      </w:pPr>
      <w:r w:rsidRPr="00D77CB9">
        <w:rPr>
          <w:rFonts w:cs="Times New Roman"/>
        </w:rPr>
        <w:t>The volume weighted average price for a publication region, which is made up of one or more sampling regions j, is as follows:</w:t>
      </w:r>
    </w:p>
    <w:p w14:paraId="72889ED9" w14:textId="77777777" w:rsidR="00A83B9B" w:rsidRPr="00D77CB9" w:rsidRDefault="00A83B9B" w:rsidP="008B33CE">
      <w:pPr>
        <w:ind w:left="1440"/>
      </w:pPr>
      <w:r w:rsidRPr="00D77CB9">
        <w:t xml:space="preserve">    </w:t>
      </w:r>
      <m:oMath>
        <m:acc>
          <m:accPr>
            <m:ctrlPr>
              <w:rPr>
                <w:rFonts w:ascii="Cambria Math" w:hAnsi="Cambria Math"/>
              </w:rPr>
            </m:ctrlPr>
          </m:accPr>
          <m:e>
            <m:r>
              <w:rPr>
                <w:rFonts w:ascii="Cambria Math" w:hAnsi="Cambria Math"/>
              </w:rPr>
              <m:t>P</m:t>
            </m:r>
          </m:e>
        </m:acc>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num>
          <m:den>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den>
        </m:f>
      </m:oMath>
      <w:r w:rsidRPr="00D77CB9">
        <w:rPr>
          <w:rFonts w:eastAsiaTheme="minorEastAsia"/>
        </w:rPr>
        <w:t xml:space="preserve">     </w:t>
      </w:r>
    </w:p>
    <w:p w14:paraId="7E42F18D" w14:textId="77777777" w:rsidR="00A83B9B" w:rsidRPr="00D77CB9" w:rsidRDefault="00A83B9B" w:rsidP="00A83B9B">
      <w:pPr>
        <w:rPr>
          <w:rFonts w:cs="Times New Roman"/>
        </w:rPr>
      </w:pPr>
      <w:r w:rsidRPr="00D77CB9">
        <w:rPr>
          <w:rFonts w:cs="Times New Roman"/>
        </w:rPr>
        <w:t>The estimated relvariance of p is given as follows:</w:t>
      </w:r>
    </w:p>
    <w:p w14:paraId="69399ED6" w14:textId="7FD98FEB" w:rsidR="00A83B9B" w:rsidRPr="00D77CB9" w:rsidRDefault="00A83B9B" w:rsidP="008B33CE">
      <w:pPr>
        <w:ind w:left="720" w:firstLine="720"/>
      </w:pPr>
      <w:r w:rsidRPr="00D77CB9">
        <w:t xml:space="preserve">   </w:t>
      </w: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acc>
                  <m:accPr>
                    <m:ctrlPr>
                      <w:rPr>
                        <w:rFonts w:ascii="Cambria Math" w:hAnsi="Cambria Math"/>
                      </w:rPr>
                    </m:ctrlPr>
                  </m:accPr>
                  <m:e>
                    <m:r>
                      <w:rPr>
                        <w:rFonts w:ascii="Cambria Math" w:hAnsi="Cambria Math"/>
                      </w:rPr>
                      <m:t>V</m:t>
                    </m:r>
                  </m:e>
                </m:acc>
              </m:e>
              <m:sup>
                <m:r>
                  <m:rPr>
                    <m:sty m:val="p"/>
                  </m:rPr>
                  <w:rPr>
                    <w:rFonts w:ascii="Cambria Math" w:hAnsi="Cambria Math"/>
                  </w:rPr>
                  <m:t>2</m:t>
                </m:r>
              </m:sup>
            </m:sSup>
          </m:e>
          <m:sub>
            <m:r>
              <w:rPr>
                <w:rFonts w:ascii="Cambria Math" w:hAnsi="Cambria Math"/>
              </w:rPr>
              <m:t>P</m:t>
            </m:r>
          </m:sub>
        </m:sSub>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e>
            </m:nary>
          </m:num>
          <m:den>
            <m:sSup>
              <m:sSupPr>
                <m:ctrlPr>
                  <w:rPr>
                    <w:rFonts w:ascii="Cambria Math" w:hAnsi="Cambria Math"/>
                  </w:rPr>
                </m:ctrlPr>
              </m:sSupPr>
              <m:e>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e>
                </m:d>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y</m:t>
                        </m:r>
                      </m:e>
                      <m:sub>
                        <m:r>
                          <w:rPr>
                            <w:rFonts w:ascii="Cambria Math" w:hAnsi="Cambria Math"/>
                          </w:rPr>
                          <m:t>j</m:t>
                        </m:r>
                      </m:sub>
                    </m:sSub>
                  </m:sub>
                </m:sSub>
              </m:e>
            </m:nary>
          </m:num>
          <m:den>
            <m:sSup>
              <m:sSupPr>
                <m:ctrlPr>
                  <w:rPr>
                    <w:rFonts w:ascii="Cambria Math" w:hAnsi="Cambria Math"/>
                  </w:rPr>
                </m:ctrlPr>
              </m:sSupPr>
              <m:e>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e>
                </m:d>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2</m:t>
            </m:r>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y</m:t>
                        </m:r>
                      </m:e>
                      <m:sub>
                        <m:r>
                          <w:rPr>
                            <w:rFonts w:ascii="Cambria Math" w:hAnsi="Cambria Math"/>
                          </w:rPr>
                          <m:t>j</m:t>
                        </m:r>
                      </m:sub>
                    </m:sSub>
                  </m:sub>
                </m:sSub>
              </m:e>
            </m:nary>
          </m:num>
          <m:den>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e>
            </m:d>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e>
            </m:d>
          </m:den>
        </m:f>
      </m:oMath>
    </w:p>
    <w:p w14:paraId="628F783E" w14:textId="77777777" w:rsidR="00A83B9B" w:rsidRPr="00D77CB9" w:rsidRDefault="00A83B9B" w:rsidP="00A83B9B">
      <w:pPr>
        <w:rPr>
          <w:rFonts w:cs="Times New Roman"/>
        </w:rPr>
      </w:pPr>
    </w:p>
    <w:p w14:paraId="3504D012" w14:textId="77777777" w:rsidR="00A83B9B" w:rsidRPr="00D77CB9" w:rsidRDefault="00A83B9B" w:rsidP="008B33CE">
      <w:pPr>
        <w:ind w:left="1440"/>
      </w:pPr>
      <w:r w:rsidRPr="00D77CB9">
        <w:t xml:space="preserve">        RSE(P) =  </w:t>
      </w:r>
      <m:oMath>
        <m:sSub>
          <m:sSubPr>
            <m:ctrlPr>
              <w:rPr>
                <w:rFonts w:ascii="Cambria Math" w:hAnsi="Cambria Math"/>
                <w:i/>
              </w:rPr>
            </m:ctrlPr>
          </m:sSubPr>
          <m:e>
            <m:r>
              <w:rPr>
                <w:rFonts w:ascii="Cambria Math" w:hAnsi="Cambria Math"/>
              </w:rPr>
              <m:t xml:space="preserve"> (</m:t>
            </m:r>
            <m:sSup>
              <m:sSupPr>
                <m:ctrlPr>
                  <w:rPr>
                    <w:rFonts w:ascii="Cambria Math" w:hAnsi="Cambria Math"/>
                    <w:i/>
                  </w:rPr>
                </m:ctrlPr>
              </m:sSupPr>
              <m:e>
                <m:acc>
                  <m:accPr>
                    <m:ctrlPr>
                      <w:rPr>
                        <w:rFonts w:ascii="Cambria Math" w:hAnsi="Cambria Math"/>
                        <w:i/>
                      </w:rPr>
                    </m:ctrlPr>
                  </m:accPr>
                  <m:e>
                    <m:r>
                      <w:rPr>
                        <w:rFonts w:ascii="Cambria Math" w:hAnsi="Cambria Math"/>
                      </w:rPr>
                      <m:t>V</m:t>
                    </m:r>
                  </m:e>
                </m:acc>
              </m:e>
              <m:sup>
                <m:r>
                  <w:rPr>
                    <w:rFonts w:ascii="Cambria Math" w:hAnsi="Cambria Math"/>
                  </w:rPr>
                  <m:t>2</m:t>
                </m:r>
              </m:sup>
            </m:sSup>
          </m:e>
          <m:sub>
            <m:r>
              <w:rPr>
                <w:rFonts w:ascii="Cambria Math" w:hAnsi="Cambria Math"/>
              </w:rPr>
              <m:t>P</m:t>
            </m:r>
          </m:sub>
        </m:sSub>
        <m:r>
          <w:rPr>
            <w:rFonts w:ascii="Cambria Math" w:hAnsi="Cambria Math"/>
          </w:rPr>
          <m:t>)</m:t>
        </m:r>
      </m:oMath>
      <w:r w:rsidRPr="00D77CB9">
        <w:rPr>
          <w:rFonts w:eastAsiaTheme="minorEastAsia"/>
          <w:vertAlign w:val="superscript"/>
        </w:rPr>
        <w:t>(1/2)</w:t>
      </w:r>
    </w:p>
    <w:p w14:paraId="14AF0B72" w14:textId="77777777" w:rsidR="00A83B9B" w:rsidRPr="00D77CB9" w:rsidRDefault="00A83B9B" w:rsidP="008B33CE">
      <w:pPr>
        <w:ind w:left="1440"/>
      </w:pPr>
    </w:p>
    <w:p w14:paraId="19C7A462" w14:textId="10D1F4AB" w:rsidR="00F14400" w:rsidRPr="00D77CB9" w:rsidRDefault="00F14400" w:rsidP="007E2602">
      <w:pPr>
        <w:rPr>
          <w:rFonts w:cstheme="majorHAnsi"/>
        </w:rPr>
      </w:pPr>
      <w:r w:rsidRPr="00D77CB9">
        <w:rPr>
          <w:rFonts w:cstheme="majorHAnsi"/>
        </w:rPr>
        <w:t>Weekly price imputation for</w:t>
      </w:r>
      <w:r w:rsidR="009F5008" w:rsidRPr="00D77CB9">
        <w:rPr>
          <w:rFonts w:cstheme="majorHAnsi"/>
        </w:rPr>
        <w:t xml:space="preserve"> a</w:t>
      </w:r>
      <w:r w:rsidRPr="00D77CB9">
        <w:rPr>
          <w:rFonts w:cstheme="majorHAnsi"/>
        </w:rPr>
        <w:t xml:space="preserve"> nonrespondent outlet</w:t>
      </w:r>
      <w:r w:rsidR="009F5008" w:rsidRPr="00D77CB9">
        <w:rPr>
          <w:rFonts w:cstheme="majorHAnsi"/>
        </w:rPr>
        <w:t>’s price</w:t>
      </w:r>
      <w:r w:rsidRPr="00D77CB9">
        <w:rPr>
          <w:rFonts w:cstheme="majorHAnsi"/>
        </w:rPr>
        <w:t xml:space="preserve"> by grade of gasoline are based on a volume weighted </w:t>
      </w:r>
      <w:r w:rsidR="008819FE" w:rsidRPr="00D77CB9">
        <w:rPr>
          <w:rFonts w:cstheme="majorHAnsi"/>
        </w:rPr>
        <w:t>average</w:t>
      </w:r>
      <w:r w:rsidRPr="00D77CB9">
        <w:rPr>
          <w:rFonts w:cstheme="majorHAnsi"/>
        </w:rPr>
        <w:t xml:space="preserve"> of price increases from the prior week to the current week for other stations located in the </w:t>
      </w:r>
      <w:r w:rsidR="00296574" w:rsidRPr="00D77CB9">
        <w:rPr>
          <w:rFonts w:cstheme="majorHAnsi"/>
        </w:rPr>
        <w:t>nonrespondent’ s</w:t>
      </w:r>
      <w:r w:rsidRPr="00D77CB9">
        <w:rPr>
          <w:rFonts w:cstheme="majorHAnsi"/>
        </w:rPr>
        <w:t xml:space="preserve"> outlet </w:t>
      </w:r>
      <w:r w:rsidR="00965709" w:rsidRPr="00D77CB9">
        <w:rPr>
          <w:rFonts w:cstheme="majorHAnsi"/>
        </w:rPr>
        <w:t xml:space="preserve">sample </w:t>
      </w:r>
      <w:r w:rsidRPr="00D77CB9">
        <w:rPr>
          <w:rFonts w:cstheme="majorHAnsi"/>
        </w:rPr>
        <w:t xml:space="preserve">stratum. </w:t>
      </w:r>
    </w:p>
    <w:p w14:paraId="44B3353E" w14:textId="4B716A0C" w:rsidR="007E2602" w:rsidRPr="00D77CB9" w:rsidRDefault="007E2602" w:rsidP="007E2602">
      <w:pPr>
        <w:rPr>
          <w:rFonts w:cstheme="majorHAnsi"/>
        </w:rPr>
      </w:pPr>
      <w:r w:rsidRPr="00D77CB9">
        <w:rPr>
          <w:rFonts w:cstheme="majorHAnsi"/>
        </w:rPr>
        <w:t xml:space="preserve">The weekly </w:t>
      </w:r>
      <w:r w:rsidR="007D59B3" w:rsidRPr="00D77CB9">
        <w:rPr>
          <w:rFonts w:cstheme="majorHAnsi"/>
        </w:rPr>
        <w:t xml:space="preserve">price </w:t>
      </w:r>
      <w:r w:rsidRPr="00D77CB9">
        <w:rPr>
          <w:rFonts w:cstheme="majorHAnsi"/>
        </w:rPr>
        <w:t xml:space="preserve">imputation formula </w:t>
      </w:r>
      <w:r w:rsidR="007D59B3" w:rsidRPr="00D77CB9">
        <w:rPr>
          <w:rFonts w:cstheme="majorHAnsi"/>
        </w:rPr>
        <w:t xml:space="preserve">for </w:t>
      </w:r>
      <w:r w:rsidRPr="00D77CB9">
        <w:rPr>
          <w:rFonts w:cstheme="majorHAnsi"/>
        </w:rPr>
        <w:t>prices</w:t>
      </w:r>
      <w:r w:rsidR="00187A13" w:rsidRPr="00D77CB9">
        <w:rPr>
          <w:rFonts w:cstheme="majorHAnsi"/>
        </w:rPr>
        <w:t xml:space="preserve"> by non</w:t>
      </w:r>
      <w:r w:rsidR="007D59B3" w:rsidRPr="00D77CB9">
        <w:rPr>
          <w:rFonts w:cstheme="majorHAnsi"/>
        </w:rPr>
        <w:t>respondent outlet</w:t>
      </w:r>
      <w:r w:rsidRPr="00D77CB9">
        <w:rPr>
          <w:rFonts w:cstheme="majorHAnsi"/>
        </w:rPr>
        <w:t xml:space="preserve"> </w:t>
      </w:r>
      <w:r w:rsidR="009F5008" w:rsidRPr="00D77CB9">
        <w:rPr>
          <w:rFonts w:cstheme="majorHAnsi"/>
        </w:rPr>
        <w:t>is</w:t>
      </w:r>
      <w:r w:rsidRPr="00D77CB9">
        <w:rPr>
          <w:rFonts w:cstheme="majorHAnsi"/>
        </w:rPr>
        <w:t xml:space="preserve"> as follows</w:t>
      </w:r>
      <w:r w:rsidR="007D59B3" w:rsidRPr="00D77CB9">
        <w:rPr>
          <w:rFonts w:cstheme="majorHAnsi"/>
        </w:rPr>
        <w:t>:</w:t>
      </w:r>
      <w:r w:rsidRPr="00D77CB9">
        <w:rPr>
          <w:rFonts w:cstheme="majorHAnsi"/>
        </w:rPr>
        <w:t xml:space="preserve"> </w:t>
      </w:r>
    </w:p>
    <w:p w14:paraId="6D875248" w14:textId="3F153D93" w:rsidR="007E2602" w:rsidRPr="00D77CB9" w:rsidRDefault="004B4066" w:rsidP="00352ABC">
      <w:pPr>
        <w:spacing w:after="160" w:line="259" w:lineRule="auto"/>
        <w:ind w:left="1440"/>
        <w:rPr>
          <w:rFonts w:cs="Times New Roman"/>
          <w:i/>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 xml:space="preserve"> i,t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 i,t-1</m:t>
              </m:r>
            </m:sub>
          </m:sSub>
          <m:r>
            <w:rPr>
              <w:rFonts w:ascii="Cambria Math" w:hAnsi="Cambria Math" w:cs="Times New Roman"/>
            </w:rPr>
            <m:t xml:space="preserve">+ </m:t>
          </m:r>
          <m:f>
            <m:fPr>
              <m:ctrlPr>
                <w:rPr>
                  <w:rFonts w:ascii="Cambria Math" w:hAnsi="Cambria Math" w:cs="Times New Roman"/>
                  <w:i/>
                </w:rPr>
              </m:ctrlPr>
            </m:fPr>
            <m:num>
              <m:nary>
                <m:naryPr>
                  <m:chr m:val="∑"/>
                  <m:limLoc m:val="subSup"/>
                  <m:supHide m:val="1"/>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 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 t-1</m:t>
                      </m:r>
                    </m:sub>
                  </m:sSub>
                  <m:r>
                    <w:rPr>
                      <w:rFonts w:ascii="Cambria Math" w:hAnsi="Cambria Math" w:cs="Times New Roman"/>
                    </w:rPr>
                    <m:t>)</m:t>
                  </m:r>
                </m:e>
              </m:nary>
            </m:num>
            <m:den>
              <m:nary>
                <m:naryPr>
                  <m:chr m:val="∑"/>
                  <m:limLoc m:val="subSup"/>
                  <m:supHide m:val="1"/>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j</m:t>
                      </m:r>
                    </m:sub>
                  </m:sSub>
                </m:e>
              </m:nary>
            </m:den>
          </m:f>
        </m:oMath>
      </m:oMathPara>
    </w:p>
    <w:p w14:paraId="7B6C8286" w14:textId="2E92390E" w:rsidR="007E2602" w:rsidRPr="00D77CB9" w:rsidRDefault="007E2602" w:rsidP="007E2602">
      <w:pPr>
        <w:rPr>
          <w:rFonts w:cstheme="majorHAnsi"/>
        </w:rPr>
      </w:pPr>
      <w:r w:rsidRPr="00D77CB9">
        <w:rPr>
          <w:rFonts w:cstheme="majorHAnsi"/>
        </w:rPr>
        <w:t>Where,</w:t>
      </w:r>
    </w:p>
    <w:p w14:paraId="7EDAE50E" w14:textId="1C0BBB25" w:rsidR="007E2602" w:rsidRPr="00D77CB9" w:rsidRDefault="007D59B3" w:rsidP="007E2602">
      <w:pPr>
        <w:rPr>
          <w:rFonts w:cstheme="majorHAnsi"/>
        </w:rPr>
      </w:pPr>
      <w:r w:rsidRPr="00D77CB9">
        <w:rPr>
          <w:rFonts w:cstheme="majorHAnsi"/>
        </w:rPr>
        <w:t>P</w:t>
      </w:r>
      <w:r w:rsidR="00F14400" w:rsidRPr="00D77CB9">
        <w:rPr>
          <w:rFonts w:cstheme="majorHAnsi"/>
        </w:rPr>
        <w:t>̂</w:t>
      </w:r>
      <w:r w:rsidRPr="00D77CB9">
        <w:rPr>
          <w:rFonts w:cstheme="majorHAnsi"/>
          <w:vertAlign w:val="subscript"/>
        </w:rPr>
        <w:t>i,t</w:t>
      </w:r>
      <w:r w:rsidR="007E2602" w:rsidRPr="00D77CB9">
        <w:rPr>
          <w:rFonts w:cstheme="majorHAnsi"/>
          <w:vertAlign w:val="subscript"/>
        </w:rPr>
        <w:t xml:space="preserve"> </w:t>
      </w:r>
      <w:r w:rsidR="007E2602" w:rsidRPr="00D77CB9">
        <w:rPr>
          <w:rFonts w:cstheme="majorHAnsi"/>
        </w:rPr>
        <w:t xml:space="preserve">= </w:t>
      </w:r>
      <w:r w:rsidRPr="00D77CB9">
        <w:rPr>
          <w:rFonts w:cstheme="majorHAnsi"/>
        </w:rPr>
        <w:t>Imputation price estimate for</w:t>
      </w:r>
      <w:r w:rsidR="007E2602" w:rsidRPr="00D77CB9">
        <w:rPr>
          <w:rFonts w:cstheme="majorHAnsi"/>
        </w:rPr>
        <w:t xml:space="preserve"> </w:t>
      </w:r>
      <w:r w:rsidRPr="00D77CB9">
        <w:rPr>
          <w:rFonts w:cstheme="majorHAnsi"/>
        </w:rPr>
        <w:t xml:space="preserve">nonrespondent price for a particular grade of gasoline for </w:t>
      </w:r>
      <w:r w:rsidR="002E67E2" w:rsidRPr="00D77CB9">
        <w:rPr>
          <w:rFonts w:cstheme="majorHAnsi"/>
        </w:rPr>
        <w:t xml:space="preserve">a </w:t>
      </w:r>
      <w:r w:rsidRPr="00D77CB9">
        <w:rPr>
          <w:rFonts w:cstheme="majorHAnsi"/>
        </w:rPr>
        <w:t>nonrespondent outlet (i) during current week (t)</w:t>
      </w:r>
    </w:p>
    <w:p w14:paraId="0F05EC7E" w14:textId="1F202614" w:rsidR="007D59B3" w:rsidRPr="00D77CB9" w:rsidRDefault="00F14400" w:rsidP="007E2602">
      <w:pPr>
        <w:rPr>
          <w:rFonts w:cstheme="majorHAnsi"/>
        </w:rPr>
      </w:pPr>
      <w:r w:rsidRPr="00D77CB9">
        <w:rPr>
          <w:rFonts w:cstheme="majorHAnsi"/>
        </w:rPr>
        <w:t>P</w:t>
      </w:r>
      <w:r w:rsidRPr="00D77CB9">
        <w:rPr>
          <w:rFonts w:cstheme="majorHAnsi"/>
          <w:vertAlign w:val="subscript"/>
        </w:rPr>
        <w:t xml:space="preserve">i,t-1 </w:t>
      </w:r>
      <w:r w:rsidRPr="00D77CB9">
        <w:rPr>
          <w:rFonts w:cstheme="majorHAnsi"/>
        </w:rPr>
        <w:t>= The outlet’s</w:t>
      </w:r>
      <w:r w:rsidR="00474C62" w:rsidRPr="00D77CB9">
        <w:rPr>
          <w:rFonts w:cstheme="majorHAnsi"/>
        </w:rPr>
        <w:t xml:space="preserve"> (i)</w:t>
      </w:r>
      <w:r w:rsidRPr="00D77CB9">
        <w:rPr>
          <w:rFonts w:cstheme="majorHAnsi"/>
        </w:rPr>
        <w:t xml:space="preserve"> prior week’s</w:t>
      </w:r>
      <w:r w:rsidR="00474C62" w:rsidRPr="00D77CB9">
        <w:rPr>
          <w:rFonts w:cstheme="majorHAnsi"/>
        </w:rPr>
        <w:t xml:space="preserve"> (t-1)</w:t>
      </w:r>
      <w:r w:rsidRPr="00D77CB9">
        <w:rPr>
          <w:rFonts w:cstheme="majorHAnsi"/>
        </w:rPr>
        <w:t xml:space="preserve"> reported price for the </w:t>
      </w:r>
      <w:r w:rsidR="002E67E2" w:rsidRPr="00D77CB9">
        <w:rPr>
          <w:rFonts w:cstheme="majorHAnsi"/>
        </w:rPr>
        <w:t>unreported</w:t>
      </w:r>
      <w:r w:rsidRPr="00D77CB9">
        <w:rPr>
          <w:rFonts w:cstheme="majorHAnsi"/>
        </w:rPr>
        <w:t xml:space="preserve"> grade of gasoline.</w:t>
      </w:r>
    </w:p>
    <w:p w14:paraId="12984120" w14:textId="0AAFD3C0" w:rsidR="00F14400" w:rsidRPr="00D77CB9" w:rsidRDefault="00F14400" w:rsidP="007E2602">
      <w:pPr>
        <w:rPr>
          <w:rFonts w:cstheme="majorHAnsi"/>
        </w:rPr>
      </w:pPr>
      <w:r w:rsidRPr="00D77CB9">
        <w:rPr>
          <w:rFonts w:cstheme="majorHAnsi"/>
        </w:rPr>
        <w:t>V</w:t>
      </w:r>
      <w:r w:rsidRPr="00D77CB9">
        <w:rPr>
          <w:rFonts w:cstheme="majorHAnsi"/>
          <w:vertAlign w:val="subscript"/>
        </w:rPr>
        <w:t xml:space="preserve">j </w:t>
      </w:r>
      <w:r w:rsidRPr="00D77CB9">
        <w:rPr>
          <w:rFonts w:cstheme="majorHAnsi"/>
        </w:rPr>
        <w:t xml:space="preserve">= The annual volume reported of the </w:t>
      </w:r>
      <w:r w:rsidR="002E67E2" w:rsidRPr="00D77CB9">
        <w:rPr>
          <w:rFonts w:cstheme="majorHAnsi"/>
        </w:rPr>
        <w:t>unreported</w:t>
      </w:r>
      <w:r w:rsidRPr="00D77CB9">
        <w:rPr>
          <w:rFonts w:cstheme="majorHAnsi"/>
        </w:rPr>
        <w:t xml:space="preserve"> grade</w:t>
      </w:r>
      <w:r w:rsidR="002E67E2" w:rsidRPr="00D77CB9">
        <w:rPr>
          <w:rFonts w:cstheme="majorHAnsi"/>
        </w:rPr>
        <w:t xml:space="preserve"> of</w:t>
      </w:r>
      <w:r w:rsidRPr="00D77CB9">
        <w:rPr>
          <w:rFonts w:cstheme="majorHAnsi"/>
        </w:rPr>
        <w:t xml:space="preserve"> gasoline for another individual outlet</w:t>
      </w:r>
      <w:r w:rsidR="00474C62" w:rsidRPr="00D77CB9">
        <w:rPr>
          <w:rFonts w:cstheme="majorHAnsi"/>
        </w:rPr>
        <w:t xml:space="preserve"> (j)</w:t>
      </w:r>
      <w:r w:rsidRPr="00D77CB9">
        <w:rPr>
          <w:rFonts w:cstheme="majorHAnsi"/>
        </w:rPr>
        <w:t xml:space="preserve"> within the nonrespondent outlet’s</w:t>
      </w:r>
      <w:r w:rsidR="00474C62" w:rsidRPr="00D77CB9">
        <w:rPr>
          <w:rFonts w:cstheme="majorHAnsi"/>
        </w:rPr>
        <w:t xml:space="preserve"> (i)</w:t>
      </w:r>
      <w:r w:rsidRPr="00D77CB9">
        <w:rPr>
          <w:rFonts w:cstheme="majorHAnsi"/>
        </w:rPr>
        <w:t xml:space="preserve"> </w:t>
      </w:r>
      <w:r w:rsidR="00965709" w:rsidRPr="00D77CB9">
        <w:rPr>
          <w:rFonts w:cstheme="majorHAnsi"/>
        </w:rPr>
        <w:t>sample</w:t>
      </w:r>
      <w:r w:rsidRPr="00D77CB9">
        <w:rPr>
          <w:rFonts w:cstheme="majorHAnsi"/>
        </w:rPr>
        <w:t xml:space="preserve"> stratum.</w:t>
      </w:r>
    </w:p>
    <w:p w14:paraId="60623BD7" w14:textId="1D96DEA8" w:rsidR="00F14400" w:rsidRPr="00D77CB9" w:rsidRDefault="00F14400" w:rsidP="007E2602">
      <w:pPr>
        <w:rPr>
          <w:rFonts w:cstheme="majorHAnsi"/>
        </w:rPr>
      </w:pPr>
      <w:r w:rsidRPr="00D77CB9">
        <w:rPr>
          <w:rFonts w:cstheme="majorHAnsi"/>
        </w:rPr>
        <w:t>P</w:t>
      </w:r>
      <w:r w:rsidRPr="00D77CB9">
        <w:rPr>
          <w:rFonts w:cstheme="majorHAnsi"/>
          <w:vertAlign w:val="subscript"/>
        </w:rPr>
        <w:t xml:space="preserve">j,t </w:t>
      </w:r>
      <w:r w:rsidRPr="00D77CB9">
        <w:rPr>
          <w:rFonts w:cstheme="majorHAnsi"/>
        </w:rPr>
        <w:t>= T</w:t>
      </w:r>
      <w:r w:rsidR="00474C62" w:rsidRPr="00D77CB9">
        <w:rPr>
          <w:rFonts w:cstheme="majorHAnsi"/>
        </w:rPr>
        <w:t>he</w:t>
      </w:r>
      <w:r w:rsidRPr="00D77CB9">
        <w:rPr>
          <w:rFonts w:cstheme="majorHAnsi"/>
        </w:rPr>
        <w:t xml:space="preserve"> current week</w:t>
      </w:r>
      <w:r w:rsidR="00474C62" w:rsidRPr="00D77CB9">
        <w:rPr>
          <w:rFonts w:cstheme="majorHAnsi"/>
        </w:rPr>
        <w:t>’s (t)</w:t>
      </w:r>
      <w:r w:rsidRPr="00D77CB9">
        <w:rPr>
          <w:rFonts w:cstheme="majorHAnsi"/>
        </w:rPr>
        <w:t xml:space="preserve"> reported price for the </w:t>
      </w:r>
      <w:r w:rsidR="002E67E2" w:rsidRPr="00D77CB9">
        <w:rPr>
          <w:rFonts w:cstheme="majorHAnsi"/>
        </w:rPr>
        <w:t>unreported</w:t>
      </w:r>
      <w:r w:rsidR="00474C62" w:rsidRPr="00D77CB9">
        <w:rPr>
          <w:rFonts w:cstheme="majorHAnsi"/>
        </w:rPr>
        <w:t xml:space="preserve"> grade of gasoline for another individual outlet (j) within the nonrespondent outlet’s (i) </w:t>
      </w:r>
      <w:r w:rsidR="00965709" w:rsidRPr="00D77CB9">
        <w:rPr>
          <w:rFonts w:cstheme="majorHAnsi"/>
        </w:rPr>
        <w:t>sample</w:t>
      </w:r>
      <w:r w:rsidR="00474C62" w:rsidRPr="00D77CB9">
        <w:rPr>
          <w:rFonts w:cstheme="majorHAnsi"/>
        </w:rPr>
        <w:t xml:space="preserve"> stratum.</w:t>
      </w:r>
    </w:p>
    <w:p w14:paraId="398ECB2B" w14:textId="36FEF0CF" w:rsidR="00474C62" w:rsidRPr="00D77CB9" w:rsidRDefault="00474C62" w:rsidP="00474C62">
      <w:pPr>
        <w:rPr>
          <w:rFonts w:cstheme="majorHAnsi"/>
        </w:rPr>
      </w:pPr>
      <w:r w:rsidRPr="00D77CB9">
        <w:rPr>
          <w:rFonts w:cstheme="majorHAnsi"/>
        </w:rPr>
        <w:t>P</w:t>
      </w:r>
      <w:r w:rsidRPr="00D77CB9">
        <w:rPr>
          <w:rFonts w:cstheme="majorHAnsi"/>
          <w:vertAlign w:val="subscript"/>
        </w:rPr>
        <w:t xml:space="preserve">j,t-1 </w:t>
      </w:r>
      <w:r w:rsidRPr="00D77CB9">
        <w:rPr>
          <w:rFonts w:cstheme="majorHAnsi"/>
        </w:rPr>
        <w:t xml:space="preserve">= The prior week’s (t-1) reported price for the </w:t>
      </w:r>
      <w:r w:rsidR="002E67E2" w:rsidRPr="00D77CB9">
        <w:rPr>
          <w:rFonts w:cstheme="majorHAnsi"/>
        </w:rPr>
        <w:t>unreported</w:t>
      </w:r>
      <w:r w:rsidRPr="00D77CB9">
        <w:rPr>
          <w:rFonts w:cstheme="majorHAnsi"/>
        </w:rPr>
        <w:t xml:space="preserve"> grade of gasoline for another individual outlet (j) within the nonrespondent outlet’s (i) </w:t>
      </w:r>
      <w:r w:rsidR="00965709" w:rsidRPr="00D77CB9">
        <w:rPr>
          <w:rFonts w:cstheme="majorHAnsi"/>
        </w:rPr>
        <w:t xml:space="preserve">sample </w:t>
      </w:r>
      <w:r w:rsidRPr="00D77CB9">
        <w:rPr>
          <w:rFonts w:cstheme="majorHAnsi"/>
        </w:rPr>
        <w:t>stratum.</w:t>
      </w:r>
    </w:p>
    <w:p w14:paraId="00EA5A17" w14:textId="5F2CF2D8" w:rsidR="00474C62" w:rsidRPr="00D77CB9" w:rsidRDefault="00474C62" w:rsidP="007E2602">
      <w:pPr>
        <w:rPr>
          <w:rFonts w:cstheme="majorHAnsi"/>
        </w:rPr>
      </w:pPr>
      <w:r w:rsidRPr="00D77CB9">
        <w:rPr>
          <w:rFonts w:cstheme="majorHAnsi"/>
        </w:rPr>
        <w:t>Σ</w:t>
      </w:r>
      <w:r w:rsidRPr="00D77CB9">
        <w:rPr>
          <w:rFonts w:cstheme="majorHAnsi"/>
          <w:vertAlign w:val="subscript"/>
        </w:rPr>
        <w:t xml:space="preserve">j = </w:t>
      </w:r>
      <w:r w:rsidRPr="00D77CB9">
        <w:rPr>
          <w:rFonts w:cstheme="majorHAnsi"/>
        </w:rPr>
        <w:t xml:space="preserve">Summation over all other stations within </w:t>
      </w:r>
      <w:r w:rsidR="00187A13" w:rsidRPr="00D77CB9">
        <w:rPr>
          <w:rFonts w:cstheme="majorHAnsi"/>
        </w:rPr>
        <w:t>the non</w:t>
      </w:r>
      <w:r w:rsidR="008D2DC1" w:rsidRPr="00D77CB9">
        <w:rPr>
          <w:rFonts w:cstheme="majorHAnsi"/>
        </w:rPr>
        <w:t>respondent outlet’s (i)</w:t>
      </w:r>
      <w:r w:rsidRPr="00D77CB9">
        <w:rPr>
          <w:rFonts w:cstheme="majorHAnsi"/>
        </w:rPr>
        <w:t xml:space="preserve"> </w:t>
      </w:r>
      <w:r w:rsidR="00965709" w:rsidRPr="00D77CB9">
        <w:rPr>
          <w:rFonts w:cstheme="majorHAnsi"/>
        </w:rPr>
        <w:t xml:space="preserve">sample </w:t>
      </w:r>
      <w:r w:rsidRPr="00D77CB9">
        <w:rPr>
          <w:rFonts w:cstheme="majorHAnsi"/>
        </w:rPr>
        <w:t>stratum.</w:t>
      </w:r>
    </w:p>
    <w:p w14:paraId="0142D4E6" w14:textId="77777777" w:rsidR="00BC635A" w:rsidRPr="00D77CB9" w:rsidRDefault="00BC635A"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rPr>
      </w:pPr>
    </w:p>
    <w:p w14:paraId="64513369" w14:textId="3F80176A" w:rsidR="00435171" w:rsidRPr="00D77CB9"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rPr>
      </w:pPr>
      <w:r w:rsidRPr="00D77CB9">
        <w:rPr>
          <w:rFonts w:cs="Times New Roman"/>
        </w:rPr>
        <w:t xml:space="preserve">A </w:t>
      </w:r>
      <w:r w:rsidR="00BD1303" w:rsidRPr="00D77CB9">
        <w:rPr>
          <w:rFonts w:cs="Times New Roman"/>
        </w:rPr>
        <w:t xml:space="preserve">larger </w:t>
      </w:r>
      <w:r w:rsidRPr="00D77CB9">
        <w:rPr>
          <w:rFonts w:cs="Times New Roman"/>
        </w:rPr>
        <w:t xml:space="preserve">sample size of approximately 1,000 outlets was </w:t>
      </w:r>
      <w:r w:rsidR="00BD1303" w:rsidRPr="00D77CB9">
        <w:rPr>
          <w:rFonts w:cs="Times New Roman"/>
        </w:rPr>
        <w:t>n</w:t>
      </w:r>
      <w:r w:rsidRPr="00D77CB9">
        <w:rPr>
          <w:rFonts w:cs="Times New Roman"/>
        </w:rPr>
        <w:t xml:space="preserve">eeded because of the higher variances using annual volumes as weights versus </w:t>
      </w:r>
      <w:r w:rsidR="00435171" w:rsidRPr="00D77CB9">
        <w:rPr>
          <w:rFonts w:cs="Times New Roman"/>
        </w:rPr>
        <w:t xml:space="preserve">the previous methodology </w:t>
      </w:r>
      <w:r w:rsidR="00F4147A" w:rsidRPr="00D77CB9">
        <w:rPr>
          <w:rFonts w:cs="Times New Roman"/>
        </w:rPr>
        <w:t>that used the</w:t>
      </w:r>
      <w:r w:rsidRPr="00D77CB9">
        <w:rPr>
          <w:rFonts w:cs="Times New Roman"/>
        </w:rPr>
        <w:t xml:space="preserve"> number of pumps</w:t>
      </w:r>
      <w:r w:rsidR="00F4147A" w:rsidRPr="00D77CB9">
        <w:rPr>
          <w:rFonts w:cs="Times New Roman"/>
        </w:rPr>
        <w:t xml:space="preserve"> located at an outlet</w:t>
      </w:r>
      <w:r w:rsidR="00435171" w:rsidRPr="00D77CB9">
        <w:rPr>
          <w:rFonts w:cs="Times New Roman"/>
        </w:rPr>
        <w:t xml:space="preserve"> as a measure of size</w:t>
      </w:r>
    </w:p>
    <w:p w14:paraId="6673629B" w14:textId="01955E7C" w:rsidR="0079037F" w:rsidRPr="00D77CB9"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color w:val="000000"/>
        </w:rPr>
      </w:pPr>
      <w:r w:rsidRPr="00D77CB9">
        <w:rPr>
          <w:rFonts w:cs="Times New Roman"/>
        </w:rPr>
        <w:t xml:space="preserve">The target coefficient of variation was set at 0.4 for the United States, 0.55 for PADDs and U.S. formulations, 0.70 for sub-PADDS and the PADD formulations, 0.85 for cities and states, and 1.0 for the remaining cells </w:t>
      </w:r>
      <w:r w:rsidR="001F2862" w:rsidRPr="00D77CB9">
        <w:rPr>
          <w:rFonts w:cs="Times New Roman"/>
        </w:rPr>
        <w:t>–</w:t>
      </w:r>
      <w:r w:rsidRPr="00D77CB9">
        <w:rPr>
          <w:rFonts w:cs="Times New Roman"/>
        </w:rPr>
        <w:t xml:space="preserve"> </w:t>
      </w:r>
      <w:r w:rsidR="001F2862" w:rsidRPr="00D77CB9">
        <w:rPr>
          <w:rFonts w:cs="Times New Roman"/>
        </w:rPr>
        <w:t>i.e.,</w:t>
      </w:r>
      <w:r w:rsidRPr="00D77CB9">
        <w:rPr>
          <w:rFonts w:cs="Times New Roman"/>
        </w:rPr>
        <w:t xml:space="preserve"> state and sub-PADD formulations. The sample size is approximately 1,000 outlets</w:t>
      </w:r>
      <w:r w:rsidR="0016741B" w:rsidRPr="00D77CB9">
        <w:rPr>
          <w:rFonts w:cs="Times New Roman"/>
        </w:rPr>
        <w:t xml:space="preserve"> with outlets add</w:t>
      </w:r>
      <w:r w:rsidR="001A756D" w:rsidRPr="00D77CB9">
        <w:rPr>
          <w:rFonts w:cs="Times New Roman"/>
        </w:rPr>
        <w:t>ed</w:t>
      </w:r>
      <w:r w:rsidR="0016741B" w:rsidRPr="00D77CB9">
        <w:rPr>
          <w:rFonts w:cs="Times New Roman"/>
        </w:rPr>
        <w:t xml:space="preserve"> annually as part of supplemental birth samples</w:t>
      </w:r>
      <w:r w:rsidRPr="00D77CB9">
        <w:rPr>
          <w:rFonts w:cs="Times New Roman"/>
        </w:rPr>
        <w:t xml:space="preserve">. The survey is conducted every Monday (Tuesday on Federal holidays), and more frequently during emergency situations. Data are released on </w:t>
      </w:r>
      <w:hyperlink r:id="rId23" w:history="1">
        <w:r w:rsidRPr="00D77CB9">
          <w:rPr>
            <w:rStyle w:val="Hyperlink"/>
            <w:rFonts w:cs="Times New Roman"/>
          </w:rPr>
          <w:t>EIA’s website</w:t>
        </w:r>
      </w:hyperlink>
      <w:r w:rsidRPr="00D77CB9">
        <w:rPr>
          <w:rFonts w:cs="Times New Roman"/>
        </w:rPr>
        <w:t xml:space="preserve"> around 5 p.m. each Monday (Tuesday on Federal holidays). Data are made available through email notification to those customers who sign up for that service. The U.S., PADD, sub-PADD, </w:t>
      </w:r>
      <w:r w:rsidR="008A2788" w:rsidRPr="00D77CB9">
        <w:rPr>
          <w:rFonts w:cs="Times New Roman"/>
        </w:rPr>
        <w:t>s</w:t>
      </w:r>
      <w:r w:rsidRPr="00D77CB9">
        <w:rPr>
          <w:rFonts w:cs="Times New Roman"/>
        </w:rPr>
        <w:t xml:space="preserve">tate, and city levels regular gasoline average prices are made available on EIA’s prerecorded telephone hotline at </w:t>
      </w:r>
      <w:r w:rsidR="00BA79C2" w:rsidRPr="00D77CB9">
        <w:rPr>
          <w:rFonts w:cs="Times New Roman"/>
        </w:rPr>
        <w:t>2</w:t>
      </w:r>
      <w:r w:rsidRPr="00D77CB9">
        <w:rPr>
          <w:rFonts w:cs="Times New Roman"/>
        </w:rPr>
        <w:t>02</w:t>
      </w:r>
      <w:r w:rsidR="00873EDA" w:rsidRPr="00D77CB9">
        <w:rPr>
          <w:rFonts w:cs="Times New Roman"/>
        </w:rPr>
        <w:t>-</w:t>
      </w:r>
      <w:r w:rsidRPr="00D77CB9">
        <w:rPr>
          <w:rFonts w:cs="Times New Roman"/>
        </w:rPr>
        <w:t xml:space="preserve">586-6966 and in the publications </w:t>
      </w:r>
      <w:hyperlink r:id="rId24" w:history="1">
        <w:r w:rsidRPr="00D77CB9">
          <w:rPr>
            <w:rStyle w:val="Hyperlink"/>
            <w:rFonts w:cs="Times New Roman"/>
          </w:rPr>
          <w:t>Weekly Petroleum Status Report</w:t>
        </w:r>
      </w:hyperlink>
      <w:r w:rsidRPr="00D77CB9">
        <w:rPr>
          <w:rFonts w:cs="Times New Roman"/>
        </w:rPr>
        <w:t xml:space="preserve"> and </w:t>
      </w:r>
      <w:hyperlink r:id="rId25" w:history="1">
        <w:r w:rsidRPr="00D77CB9">
          <w:rPr>
            <w:rStyle w:val="Hyperlink"/>
            <w:rFonts w:cs="Times New Roman"/>
          </w:rPr>
          <w:t>This Week in Petroleum (TWIP)</w:t>
        </w:r>
      </w:hyperlink>
      <w:r w:rsidRPr="00D77CB9">
        <w:rPr>
          <w:rFonts w:cs="Times New Roman"/>
        </w:rPr>
        <w:t xml:space="preserve">. </w:t>
      </w:r>
    </w:p>
    <w:p w14:paraId="739AB63D" w14:textId="7DA643D5" w:rsidR="0079037F" w:rsidRPr="00D77CB9" w:rsidRDefault="009B0C35" w:rsidP="009B0C35">
      <w:pPr>
        <w:spacing w:line="360" w:lineRule="auto"/>
        <w:ind w:left="360"/>
        <w:contextualSpacing/>
      </w:pPr>
      <w:r w:rsidRPr="00D77CB9">
        <w:rPr>
          <w:b/>
          <w:i/>
        </w:rPr>
        <w:t xml:space="preserve">(3)  </w:t>
      </w:r>
      <w:r w:rsidR="00513C3B" w:rsidRPr="00D77CB9">
        <w:rPr>
          <w:b/>
          <w:i/>
        </w:rPr>
        <w:t xml:space="preserve">Form </w:t>
      </w:r>
      <w:r w:rsidR="0079037F" w:rsidRPr="00D77CB9">
        <w:rPr>
          <w:b/>
          <w:i/>
        </w:rPr>
        <w:t>EIA-888 Sample Design</w:t>
      </w:r>
      <w:r w:rsidR="0079037F" w:rsidRPr="00D77CB9">
        <w:rPr>
          <w:i/>
        </w:rPr>
        <w:t>:</w:t>
      </w:r>
      <w:r w:rsidR="0079037F" w:rsidRPr="00D77CB9">
        <w:t xml:space="preserve"> The respondents reporting to the weekly diesel price survey represent a stratified probability proportional to size (PPS) sample selected from a frame list of retail outlets. The outlet sampling frame was constructed using commercially available lists from several sources in order to provide comprehensive coverage of truck stops and service stations that sell on-highway diesel fuel in the United States. The frame includes about 62,000 service stations and 4,000 truck stops. Due to statistical and operational considerations, outlets in the States of Alaska and Hawaii are excluded from the target population.</w:t>
      </w:r>
    </w:p>
    <w:p w14:paraId="114E2B83" w14:textId="13AE288C" w:rsidR="0079037F" w:rsidRPr="00D77CB9" w:rsidRDefault="0079037F" w:rsidP="004D0B78">
      <w:pPr>
        <w:pStyle w:val="NormalWeb"/>
        <w:spacing w:line="360" w:lineRule="auto"/>
        <w:ind w:left="360"/>
        <w:rPr>
          <w:rFonts w:asciiTheme="minorHAnsi" w:hAnsiTheme="minorHAnsi"/>
          <w:sz w:val="22"/>
          <w:szCs w:val="22"/>
        </w:rPr>
      </w:pPr>
      <w:r w:rsidRPr="00D77CB9">
        <w:rPr>
          <w:rFonts w:asciiTheme="minorHAnsi" w:hAnsiTheme="minorHAnsi"/>
          <w:sz w:val="22"/>
          <w:szCs w:val="22"/>
        </w:rPr>
        <w:t>The primary publication cells of the survey include PADDs 2-4, three sub-PADDs within PADD 1, and the two subparts of PADD 5 (the State of California and the West Coast region excluding California). The U.S., the East Coast (PADD 1), and the West Coast (PADD 5) are considered secondary publication cells since their prices are aggregated based on the prices from their primary publication cell components. To select the sample, allocations were first assigned to all primary publication cells through a simulation of coefficients of variation of average prices using historical price data. The target coefficient of variation for each primary publication cell was capped at one percent (1%). Allocations were further assigned to the states covered by each primary publication cell. The distribution of allocations was proportional to the annual state total volume of retail on-highway diesel fuel sales. This allocation procedure yielded a total target sample size of 403 retail outlets. The states were treated as sampling strata in the sample design.</w:t>
      </w:r>
    </w:p>
    <w:p w14:paraId="7EE8030C" w14:textId="77777777" w:rsidR="0079037F" w:rsidRPr="00D77CB9" w:rsidRDefault="0079037F" w:rsidP="0079037F">
      <w:pPr>
        <w:pStyle w:val="NormalWeb"/>
        <w:spacing w:line="360" w:lineRule="auto"/>
        <w:ind w:left="360"/>
        <w:rPr>
          <w:rFonts w:asciiTheme="minorHAnsi" w:hAnsiTheme="minorHAnsi"/>
          <w:sz w:val="22"/>
          <w:szCs w:val="22"/>
        </w:rPr>
      </w:pPr>
      <w:r w:rsidRPr="00D77CB9">
        <w:rPr>
          <w:rFonts w:asciiTheme="minorHAnsi" w:hAnsiTheme="minorHAnsi"/>
          <w:sz w:val="22"/>
          <w:szCs w:val="22"/>
        </w:rPr>
        <w:t>It is believed that on-highway diesel fuel sold through all service stations combined only accounts for a small portion of the retail on-highway diesel fuel market. The truck stops on the frame were also classified into two categories, dependent on whether they belong to the nation's four largest on-highway diesel sellers. Based on information from other survey data and industry sources the proportions of total diesel volumes sold by outlets in the three categories - service stations, mid-sized truck stops, and top four - was assumed to be 20, 55, and 25 percent, respectively. These volume proportions, along with the outlet counts for the three categories on the frame, were used to calculate relative size measures for the outlets in each of the three categories. Pareto Sampling, which is a PPS procedure, and the size measures for each outlet were then used to select sampling units from each state.</w:t>
      </w:r>
    </w:p>
    <w:p w14:paraId="25C9E7FC" w14:textId="77C4F2EA" w:rsidR="0079037F" w:rsidRPr="00D77CB9" w:rsidRDefault="0079037F" w:rsidP="0079037F">
      <w:pPr>
        <w:pStyle w:val="NormalWeb"/>
        <w:spacing w:line="360" w:lineRule="auto"/>
        <w:ind w:left="360"/>
        <w:rPr>
          <w:rFonts w:asciiTheme="minorHAnsi" w:hAnsiTheme="minorHAnsi"/>
          <w:sz w:val="22"/>
          <w:szCs w:val="22"/>
        </w:rPr>
      </w:pPr>
      <w:r w:rsidRPr="00D77CB9">
        <w:rPr>
          <w:rFonts w:asciiTheme="minorHAnsi" w:hAnsiTheme="minorHAnsi"/>
          <w:color w:val="000000"/>
          <w:sz w:val="22"/>
          <w:szCs w:val="22"/>
        </w:rPr>
        <w:t xml:space="preserve">The survey is conducted every Monday (Tuesday on Federal holidays), and data are released on </w:t>
      </w:r>
      <w:hyperlink r:id="rId26" w:history="1">
        <w:r w:rsidRPr="00D77CB9">
          <w:rPr>
            <w:rStyle w:val="Hyperlink"/>
            <w:sz w:val="22"/>
            <w:szCs w:val="22"/>
          </w:rPr>
          <w:t>EIA’s website</w:t>
        </w:r>
      </w:hyperlink>
      <w:r w:rsidRPr="00D77CB9">
        <w:rPr>
          <w:rFonts w:asciiTheme="minorHAnsi" w:hAnsiTheme="minorHAnsi"/>
          <w:color w:val="000000"/>
          <w:sz w:val="22"/>
          <w:szCs w:val="22"/>
        </w:rPr>
        <w:t xml:space="preserve"> </w:t>
      </w:r>
      <w:r w:rsidRPr="00D77CB9">
        <w:rPr>
          <w:rFonts w:asciiTheme="minorHAnsi" w:hAnsiTheme="minorHAnsi"/>
          <w:sz w:val="22"/>
          <w:szCs w:val="22"/>
        </w:rPr>
        <w:t>around</w:t>
      </w:r>
      <w:r w:rsidRPr="00D77CB9">
        <w:rPr>
          <w:rFonts w:asciiTheme="minorHAnsi" w:hAnsiTheme="minorHAnsi"/>
          <w:color w:val="000000"/>
          <w:sz w:val="22"/>
          <w:szCs w:val="22"/>
        </w:rPr>
        <w:t xml:space="preserve"> 5 p.m. each Monday (Tuesday on Federal holidays). Data are made available through email notification to those customers who sign up for that service. The U.S., PADD, sub-PADD, and the State of California levels retail on-highway diesel average prices are made available on EIA’s prerecorded telephone hotline</w:t>
      </w:r>
      <w:r w:rsidRPr="00D77CB9">
        <w:rPr>
          <w:rFonts w:asciiTheme="minorHAnsi" w:hAnsiTheme="minorHAnsi"/>
          <w:sz w:val="22"/>
          <w:szCs w:val="22"/>
        </w:rPr>
        <w:t xml:space="preserve"> at 202-586-6966 and in the publications </w:t>
      </w:r>
      <w:hyperlink r:id="rId27" w:history="1">
        <w:r w:rsidRPr="00D77CB9">
          <w:rPr>
            <w:rStyle w:val="Hyperlink"/>
            <w:sz w:val="22"/>
            <w:szCs w:val="22"/>
          </w:rPr>
          <w:t>Weekly Petroleum Status Report</w:t>
        </w:r>
      </w:hyperlink>
      <w:r w:rsidRPr="00D77CB9">
        <w:rPr>
          <w:rFonts w:asciiTheme="minorHAnsi" w:hAnsiTheme="minorHAnsi"/>
          <w:sz w:val="22"/>
          <w:szCs w:val="22"/>
        </w:rPr>
        <w:t xml:space="preserve"> and</w:t>
      </w:r>
      <w:r w:rsidRPr="00D77CB9">
        <w:rPr>
          <w:rFonts w:asciiTheme="minorHAnsi" w:hAnsiTheme="minorHAnsi"/>
          <w:iCs/>
          <w:color w:val="FF0000"/>
          <w:sz w:val="22"/>
          <w:szCs w:val="22"/>
        </w:rPr>
        <w:t xml:space="preserve"> </w:t>
      </w:r>
      <w:hyperlink r:id="rId28" w:history="1">
        <w:r w:rsidRPr="00D77CB9">
          <w:rPr>
            <w:rStyle w:val="Hyperlink"/>
            <w:sz w:val="22"/>
            <w:szCs w:val="22"/>
          </w:rPr>
          <w:t>This Week in Petroleum (TWIP)</w:t>
        </w:r>
      </w:hyperlink>
      <w:r w:rsidRPr="00D77CB9">
        <w:rPr>
          <w:rFonts w:asciiTheme="minorHAnsi" w:hAnsiTheme="minorHAnsi"/>
          <w:iCs/>
          <w:sz w:val="22"/>
          <w:szCs w:val="22"/>
        </w:rPr>
        <w:t>.</w:t>
      </w:r>
      <w:r w:rsidRPr="00D77CB9">
        <w:rPr>
          <w:rFonts w:asciiTheme="minorHAnsi" w:hAnsiTheme="minorHAnsi"/>
          <w:sz w:val="22"/>
          <w:szCs w:val="22"/>
        </w:rPr>
        <w:t xml:space="preserve"> </w:t>
      </w:r>
    </w:p>
    <w:p w14:paraId="4DD57581" w14:textId="77777777" w:rsidR="0079037F" w:rsidRPr="00D77CB9" w:rsidRDefault="00513C3B" w:rsidP="0079037F">
      <w:pPr>
        <w:pStyle w:val="NormalWeb"/>
        <w:spacing w:line="360" w:lineRule="auto"/>
        <w:ind w:left="360"/>
        <w:rPr>
          <w:rFonts w:asciiTheme="minorHAnsi" w:hAnsiTheme="minorHAnsi"/>
          <w:sz w:val="22"/>
          <w:szCs w:val="22"/>
        </w:rPr>
      </w:pPr>
      <w:r w:rsidRPr="00D77CB9">
        <w:rPr>
          <w:rFonts w:asciiTheme="minorHAnsi" w:hAnsiTheme="minorHAnsi"/>
          <w:b/>
          <w:i/>
          <w:sz w:val="22"/>
          <w:szCs w:val="22"/>
        </w:rPr>
        <w:t xml:space="preserve">Form </w:t>
      </w:r>
      <w:r w:rsidR="0079037F" w:rsidRPr="00D77CB9">
        <w:rPr>
          <w:rFonts w:asciiTheme="minorHAnsi" w:hAnsiTheme="minorHAnsi"/>
          <w:b/>
          <w:i/>
          <w:sz w:val="22"/>
          <w:szCs w:val="22"/>
        </w:rPr>
        <w:t>EIA-888 Estimation:</w:t>
      </w:r>
      <w:r w:rsidR="0079037F" w:rsidRPr="00D77CB9">
        <w:rPr>
          <w:rFonts w:asciiTheme="minorHAnsi" w:hAnsiTheme="minorHAnsi"/>
          <w:sz w:val="22"/>
          <w:szCs w:val="22"/>
        </w:rPr>
        <w:t xml:space="preserve"> The reported and imputed prices each week are aggregated in multiple steps to obtain price estimates for publication cells. First, state average prices are calculated as simple unweighted averages of reported and imputed prices. Volumes of on-highway diesel sold in the states, as published by the Federal Highway Administration (FHWA), are then used to weight the state average prices and obtain average prices for primary publication cells. These weights are updated annually when FHWA data are available. Average prices for secondary publication cells are weighted averages of primary publication cell prices based on the proportion of diesel volumes attributable to their component primary publication cells.</w:t>
      </w:r>
    </w:p>
    <w:p w14:paraId="1109B03B" w14:textId="355DB7F7" w:rsidR="0079037F" w:rsidRPr="00D77CB9" w:rsidRDefault="00C722B2" w:rsidP="00985552">
      <w:pPr>
        <w:pStyle w:val="Heading2"/>
        <w:rPr>
          <w:sz w:val="22"/>
          <w:szCs w:val="22"/>
        </w:rPr>
      </w:pPr>
      <w:r w:rsidRPr="00D77CB9">
        <w:rPr>
          <w:sz w:val="22"/>
          <w:szCs w:val="22"/>
        </w:rPr>
        <w:t>B.2.4 Statistical Methods for Annual Petroleum Product Survey</w:t>
      </w:r>
      <w:r w:rsidR="0079037F" w:rsidRPr="00D77CB9">
        <w:rPr>
          <w:sz w:val="22"/>
          <w:szCs w:val="22"/>
        </w:rPr>
        <w:t xml:space="preserve"> </w:t>
      </w:r>
    </w:p>
    <w:p w14:paraId="3BBA7D28" w14:textId="59A7F477" w:rsidR="0079037F" w:rsidRPr="00D77CB9" w:rsidRDefault="00513C3B"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i/>
          <w:color w:val="000000"/>
        </w:rPr>
      </w:pPr>
      <w:r w:rsidRPr="00D77CB9">
        <w:rPr>
          <w:rFonts w:cs="Times New Roman"/>
          <w:b/>
          <w:i/>
          <w:color w:val="000000"/>
        </w:rPr>
        <w:t xml:space="preserve">Form </w:t>
      </w:r>
      <w:r w:rsidR="0079037F" w:rsidRPr="00D77CB9">
        <w:rPr>
          <w:rFonts w:cs="Times New Roman"/>
          <w:b/>
          <w:i/>
          <w:color w:val="000000"/>
        </w:rPr>
        <w:t>EIA-821 Sample Design:</w:t>
      </w:r>
      <w:r w:rsidR="0079037F" w:rsidRPr="00D77CB9">
        <w:rPr>
          <w:rFonts w:cs="Times New Roman"/>
          <w:i/>
          <w:color w:val="000000"/>
        </w:rPr>
        <w:t xml:space="preserve"> </w:t>
      </w:r>
      <w:r w:rsidR="0079037F" w:rsidRPr="00D77CB9">
        <w:rPr>
          <w:rFonts w:cs="Times New Roman"/>
        </w:rPr>
        <w:t xml:space="preserve">The target population for </w:t>
      </w:r>
      <w:r w:rsidRPr="00D77CB9">
        <w:rPr>
          <w:rFonts w:cs="Times New Roman"/>
        </w:rPr>
        <w:t>Form</w:t>
      </w:r>
      <w:r w:rsidR="0079037F" w:rsidRPr="00D77CB9">
        <w:rPr>
          <w:rFonts w:cs="Times New Roman"/>
        </w:rPr>
        <w:t xml:space="preserve"> EIA-821, “Annual Fuel Oil and Kerosene Sales Report” survey is the universe of all active companies that sell distillate fuel oil, residual fuel oil, or kerosene in the 50 states and the District of Columbia. </w:t>
      </w:r>
    </w:p>
    <w:p w14:paraId="7C604A6F" w14:textId="5C150E4D" w:rsidR="0079037F" w:rsidRPr="00D77CB9" w:rsidRDefault="0079037F" w:rsidP="0079037F">
      <w:pPr>
        <w:spacing w:line="360" w:lineRule="auto"/>
        <w:ind w:left="360"/>
        <w:rPr>
          <w:rFonts w:cs="Times New Roman"/>
        </w:rPr>
      </w:pPr>
      <w:r w:rsidRPr="00D77CB9">
        <w:rPr>
          <w:rFonts w:cs="Times New Roman"/>
        </w:rPr>
        <w:t>The 2006</w:t>
      </w:r>
      <w:r w:rsidR="00513C3B" w:rsidRPr="00D77CB9">
        <w:rPr>
          <w:rFonts w:cs="Times New Roman"/>
        </w:rPr>
        <w:t xml:space="preserve"> Form </w:t>
      </w:r>
      <w:r w:rsidRPr="00D77CB9">
        <w:rPr>
          <w:rFonts w:cs="Times New Roman"/>
        </w:rPr>
        <w:t>EIA-863 database provided a base sampling frame for</w:t>
      </w:r>
      <w:r w:rsidR="005463EA" w:rsidRPr="00D77CB9">
        <w:rPr>
          <w:rFonts w:cs="Times New Roman"/>
        </w:rPr>
        <w:t xml:space="preserve"> the</w:t>
      </w:r>
      <w:r w:rsidRPr="00D77CB9">
        <w:rPr>
          <w:rFonts w:cs="Times New Roman"/>
        </w:rPr>
        <w:t xml:space="preserve"> </w:t>
      </w:r>
      <w:r w:rsidR="00513C3B" w:rsidRPr="00D77CB9">
        <w:rPr>
          <w:rFonts w:cs="Times New Roman"/>
        </w:rPr>
        <w:t>Form</w:t>
      </w:r>
      <w:r w:rsidRPr="00D77CB9">
        <w:rPr>
          <w:rFonts w:cs="Times New Roman"/>
        </w:rPr>
        <w:t xml:space="preserve"> EIA-821 survey. </w:t>
      </w:r>
      <w:r w:rsidR="00513C3B" w:rsidRPr="00D77CB9">
        <w:rPr>
          <w:rFonts w:cs="Times New Roman"/>
        </w:rPr>
        <w:t>Form</w:t>
      </w:r>
      <w:r w:rsidR="00BB5A69" w:rsidRPr="00D77CB9">
        <w:rPr>
          <w:rFonts w:cs="Times New Roman"/>
        </w:rPr>
        <w:t xml:space="preserve"> </w:t>
      </w:r>
      <w:r w:rsidRPr="00D77CB9">
        <w:rPr>
          <w:rFonts w:cs="Times New Roman"/>
        </w:rPr>
        <w:t>EIA-863</w:t>
      </w:r>
      <w:r w:rsidR="00513C3B" w:rsidRPr="00D77CB9">
        <w:rPr>
          <w:rFonts w:cs="Times New Roman"/>
        </w:rPr>
        <w:t xml:space="preserve"> </w:t>
      </w:r>
      <w:r w:rsidRPr="00D77CB9">
        <w:rPr>
          <w:rFonts w:cs="Times New Roman"/>
        </w:rPr>
        <w:t>was mailed to approximately 24,000 companies in January 2007 to collect 2006 state-level sales volume data for No. 2 distillate fuel, residual fuel oil, motor gasoline, and propane. Companies also indicated if they sold kerosene. The No. 2 distillate fuel data were further identified by residential No. 2 fuel oil</w:t>
      </w:r>
      <w:r w:rsidRPr="00D77CB9" w:rsidDel="00BE19A9">
        <w:rPr>
          <w:rFonts w:cs="Times New Roman"/>
        </w:rPr>
        <w:t xml:space="preserve"> </w:t>
      </w:r>
      <w:r w:rsidRPr="00D77CB9">
        <w:rPr>
          <w:rFonts w:cs="Times New Roman"/>
        </w:rPr>
        <w:t xml:space="preserve">and by nonresidential retail and wholesale for No. 2 fuel oil and No. 2 diesel fuel; the residual fuel oil data were identified by retail and wholesale. In addition, company/state-level volumes for distillate fuel, residual fuel oil, and kerosene from the 2008 </w:t>
      </w:r>
      <w:r w:rsidR="00513C3B" w:rsidRPr="00D77CB9">
        <w:rPr>
          <w:rFonts w:cs="Times New Roman"/>
        </w:rPr>
        <w:t xml:space="preserve">Form </w:t>
      </w:r>
      <w:r w:rsidRPr="00D77CB9">
        <w:rPr>
          <w:rFonts w:cs="Times New Roman"/>
        </w:rPr>
        <w:t xml:space="preserve">EIA-821, 2008 </w:t>
      </w:r>
      <w:r w:rsidR="00513C3B" w:rsidRPr="00D77CB9">
        <w:rPr>
          <w:rFonts w:cs="Times New Roman"/>
        </w:rPr>
        <w:t xml:space="preserve">Form </w:t>
      </w:r>
      <w:r w:rsidRPr="00D77CB9">
        <w:rPr>
          <w:rFonts w:cs="Times New Roman"/>
        </w:rPr>
        <w:t xml:space="preserve">EIA-782A, and 2008 </w:t>
      </w:r>
      <w:r w:rsidR="00513C3B" w:rsidRPr="00D77CB9">
        <w:rPr>
          <w:rFonts w:cs="Times New Roman"/>
        </w:rPr>
        <w:t xml:space="preserve">Form </w:t>
      </w:r>
      <w:r w:rsidRPr="00D77CB9">
        <w:rPr>
          <w:rFonts w:cs="Times New Roman"/>
        </w:rPr>
        <w:t xml:space="preserve">EIA-782B were also merged with the 2006 </w:t>
      </w:r>
      <w:r w:rsidR="007C1F59" w:rsidRPr="00D77CB9">
        <w:rPr>
          <w:rFonts w:cs="Times New Roman"/>
        </w:rPr>
        <w:t xml:space="preserve">Form </w:t>
      </w:r>
      <w:r w:rsidRPr="00D77CB9">
        <w:rPr>
          <w:rFonts w:cs="Times New Roman"/>
        </w:rPr>
        <w:t xml:space="preserve">EIA-863 data. The integrated and comprehensive frame was then used to design and select the 2009 </w:t>
      </w:r>
      <w:r w:rsidR="007C1F59" w:rsidRPr="00D77CB9">
        <w:rPr>
          <w:rFonts w:cs="Times New Roman"/>
        </w:rPr>
        <w:t xml:space="preserve">Form </w:t>
      </w:r>
      <w:r w:rsidRPr="00D77CB9">
        <w:rPr>
          <w:rFonts w:cs="Times New Roman"/>
        </w:rPr>
        <w:t>EIA-821 sample, which the survey is based.</w:t>
      </w:r>
    </w:p>
    <w:p w14:paraId="15147B8A" w14:textId="3E4190A9" w:rsidR="0079037F" w:rsidRPr="00D77CB9" w:rsidRDefault="0079037F" w:rsidP="0079037F">
      <w:pPr>
        <w:spacing w:line="360" w:lineRule="auto"/>
        <w:ind w:left="360"/>
        <w:rPr>
          <w:rFonts w:cs="Times New Roman"/>
          <w:spacing w:val="-2"/>
        </w:rPr>
      </w:pPr>
      <w:r w:rsidRPr="00D77CB9">
        <w:rPr>
          <w:rFonts w:cs="Times New Roman"/>
        </w:rPr>
        <w:t xml:space="preserve">To select a sample for </w:t>
      </w:r>
      <w:r w:rsidR="007C1F59" w:rsidRPr="00D77CB9">
        <w:rPr>
          <w:rFonts w:cs="Times New Roman"/>
        </w:rPr>
        <w:t>Form</w:t>
      </w:r>
      <w:r w:rsidR="007F2B30" w:rsidRPr="00D77CB9">
        <w:rPr>
          <w:rFonts w:cs="Times New Roman"/>
        </w:rPr>
        <w:t xml:space="preserve"> </w:t>
      </w:r>
      <w:r w:rsidRPr="00D77CB9">
        <w:rPr>
          <w:rFonts w:cs="Times New Roman"/>
        </w:rPr>
        <w:t>EIA-821, s</w:t>
      </w:r>
      <w:r w:rsidRPr="00D77CB9">
        <w:rPr>
          <w:rFonts w:cs="Times New Roman"/>
          <w:spacing w:val="-2"/>
        </w:rPr>
        <w:t>ubsidiaries and parents of a company were merged by adding the volumes of parents and subsidiaries in a cluster (i.e.</w:t>
      </w:r>
      <w:r w:rsidR="000355BD" w:rsidRPr="00D77CB9">
        <w:rPr>
          <w:rFonts w:cs="Times New Roman"/>
          <w:spacing w:val="-2"/>
        </w:rPr>
        <w:t xml:space="preserve">, </w:t>
      </w:r>
      <w:r w:rsidRPr="00D77CB9">
        <w:rPr>
          <w:rFonts w:cs="Times New Roman"/>
          <w:spacing w:val="-2"/>
        </w:rPr>
        <w:t>parent-subsidiary combination) to represent the company. The sample was drawn from a multi-attribute frame with</w:t>
      </w:r>
      <w:r w:rsidRPr="00D77CB9">
        <w:rPr>
          <w:rFonts w:cs="Times New Roman"/>
        </w:rPr>
        <w:t xml:space="preserve"> four target variables of No. 2 residential fuel oil, No. 2 nonresidential fuel oil, No. 2 nonresidential diesel fuel, and No. 2 wholesale distillate fuel. </w:t>
      </w:r>
    </w:p>
    <w:p w14:paraId="4DD4104F" w14:textId="77777777" w:rsidR="0079037F" w:rsidRPr="00D77CB9" w:rsidRDefault="0079037F" w:rsidP="0079037F">
      <w:pPr>
        <w:spacing w:line="360" w:lineRule="auto"/>
        <w:ind w:left="360"/>
        <w:rPr>
          <w:rFonts w:cs="Times New Roman"/>
          <w:spacing w:val="-2"/>
        </w:rPr>
      </w:pPr>
      <w:r w:rsidRPr="00D77CB9">
        <w:rPr>
          <w:rFonts w:cs="Times New Roman"/>
          <w:spacing w:val="-2"/>
        </w:rPr>
        <w:t>A company was classified as a certainty company if it met one of the following criteria:</w:t>
      </w:r>
    </w:p>
    <w:p w14:paraId="5B8282DC" w14:textId="77777777" w:rsidR="0079037F" w:rsidRPr="00D77CB9" w:rsidRDefault="0079037F" w:rsidP="00F4147A">
      <w:pPr>
        <w:pStyle w:val="ListParagraph"/>
        <w:numPr>
          <w:ilvl w:val="0"/>
          <w:numId w:val="36"/>
        </w:numPr>
        <w:rPr>
          <w:sz w:val="22"/>
          <w:szCs w:val="22"/>
        </w:rPr>
      </w:pPr>
      <w:r w:rsidRPr="00D77CB9">
        <w:rPr>
          <w:sz w:val="22"/>
          <w:szCs w:val="22"/>
        </w:rPr>
        <w:t xml:space="preserve">The company (or one of its subsidiaries) was a refiner as identified in the 2008 </w:t>
      </w:r>
      <w:r w:rsidR="007C1F59" w:rsidRPr="00D77CB9">
        <w:rPr>
          <w:sz w:val="22"/>
          <w:szCs w:val="22"/>
        </w:rPr>
        <w:t xml:space="preserve">Form </w:t>
      </w:r>
      <w:r w:rsidRPr="00D77CB9">
        <w:rPr>
          <w:sz w:val="22"/>
          <w:szCs w:val="22"/>
        </w:rPr>
        <w:t>EIA-782A survey.</w:t>
      </w:r>
    </w:p>
    <w:p w14:paraId="38E31BCC" w14:textId="77777777" w:rsidR="0079037F" w:rsidRPr="00D77CB9" w:rsidRDefault="0079037F" w:rsidP="00F4147A">
      <w:pPr>
        <w:pStyle w:val="ListParagraph"/>
        <w:numPr>
          <w:ilvl w:val="0"/>
          <w:numId w:val="36"/>
        </w:numPr>
        <w:rPr>
          <w:sz w:val="22"/>
          <w:szCs w:val="22"/>
        </w:rPr>
      </w:pPr>
      <w:r w:rsidRPr="00D77CB9">
        <w:rPr>
          <w:sz w:val="22"/>
          <w:szCs w:val="22"/>
        </w:rPr>
        <w:t>The company had residual fuel oil sales.</w:t>
      </w:r>
    </w:p>
    <w:p w14:paraId="7BAE2DD5" w14:textId="77777777" w:rsidR="0079037F" w:rsidRPr="00D77CB9" w:rsidRDefault="0079037F" w:rsidP="00F4147A">
      <w:pPr>
        <w:pStyle w:val="ListParagraph"/>
        <w:numPr>
          <w:ilvl w:val="0"/>
          <w:numId w:val="36"/>
        </w:numPr>
        <w:rPr>
          <w:sz w:val="22"/>
          <w:szCs w:val="22"/>
        </w:rPr>
      </w:pPr>
      <w:r w:rsidRPr="00D77CB9">
        <w:rPr>
          <w:sz w:val="22"/>
          <w:szCs w:val="22"/>
        </w:rPr>
        <w:t xml:space="preserve">The company sold any </w:t>
      </w:r>
      <w:r w:rsidR="007C1F59" w:rsidRPr="00D77CB9">
        <w:rPr>
          <w:sz w:val="22"/>
          <w:szCs w:val="22"/>
        </w:rPr>
        <w:t xml:space="preserve">Form </w:t>
      </w:r>
      <w:r w:rsidRPr="00D77CB9">
        <w:rPr>
          <w:sz w:val="22"/>
          <w:szCs w:val="22"/>
        </w:rPr>
        <w:t>EIA-821 product in at least five states.</w:t>
      </w:r>
    </w:p>
    <w:p w14:paraId="64214494" w14:textId="77777777" w:rsidR="0079037F" w:rsidRPr="00D77CB9" w:rsidRDefault="0079037F" w:rsidP="00F4147A">
      <w:pPr>
        <w:pStyle w:val="ListParagraph"/>
        <w:numPr>
          <w:ilvl w:val="0"/>
          <w:numId w:val="36"/>
        </w:numPr>
        <w:rPr>
          <w:sz w:val="22"/>
          <w:szCs w:val="22"/>
        </w:rPr>
      </w:pPr>
      <w:r w:rsidRPr="00D77CB9">
        <w:rPr>
          <w:sz w:val="22"/>
          <w:szCs w:val="22"/>
        </w:rPr>
        <w:t>The sum of maximum percentage of the four distillate products at the state level across states was five percent or more.</w:t>
      </w:r>
    </w:p>
    <w:p w14:paraId="6B50D9E0" w14:textId="48731F31" w:rsidR="0079037F" w:rsidRPr="00D77CB9" w:rsidRDefault="00590755" w:rsidP="00F4147A">
      <w:pPr>
        <w:pStyle w:val="ListParagraph"/>
        <w:numPr>
          <w:ilvl w:val="0"/>
          <w:numId w:val="36"/>
        </w:numPr>
        <w:rPr>
          <w:sz w:val="22"/>
          <w:szCs w:val="22"/>
        </w:rPr>
      </w:pPr>
      <w:r>
        <w:rPr>
          <w:sz w:val="22"/>
          <w:szCs w:val="22"/>
        </w:rPr>
        <w:t>The company reported</w:t>
      </w:r>
      <w:r w:rsidR="0079037F" w:rsidRPr="00D77CB9">
        <w:rPr>
          <w:sz w:val="22"/>
          <w:szCs w:val="22"/>
        </w:rPr>
        <w:t xml:space="preserve"> five percent </w:t>
      </w:r>
      <w:r w:rsidR="00705CFC" w:rsidRPr="00D77CB9">
        <w:rPr>
          <w:sz w:val="22"/>
          <w:szCs w:val="22"/>
        </w:rPr>
        <w:t xml:space="preserve">or more </w:t>
      </w:r>
      <w:r w:rsidR="0079037F" w:rsidRPr="00D77CB9">
        <w:rPr>
          <w:sz w:val="22"/>
          <w:szCs w:val="22"/>
        </w:rPr>
        <w:t xml:space="preserve">of the total weighted volume in any state for any specified product by end-use category in the 2008 </w:t>
      </w:r>
      <w:r w:rsidR="007C1F59" w:rsidRPr="00D77CB9">
        <w:rPr>
          <w:sz w:val="22"/>
          <w:szCs w:val="22"/>
        </w:rPr>
        <w:t xml:space="preserve">Form </w:t>
      </w:r>
      <w:r w:rsidR="0079037F" w:rsidRPr="00D77CB9">
        <w:rPr>
          <w:sz w:val="22"/>
          <w:szCs w:val="22"/>
        </w:rPr>
        <w:t>EIA-821 survey</w:t>
      </w:r>
      <w:r w:rsidR="0079037F" w:rsidRPr="00D77CB9">
        <w:rPr>
          <w:spacing w:val="-2"/>
          <w:sz w:val="22"/>
          <w:szCs w:val="22"/>
        </w:rPr>
        <w:t>.</w:t>
      </w:r>
    </w:p>
    <w:p w14:paraId="397D648D" w14:textId="4E00878C" w:rsidR="003A06C9" w:rsidRPr="00D77CB9" w:rsidRDefault="0079037F" w:rsidP="00BB5A69">
      <w:pPr>
        <w:spacing w:after="0" w:line="360" w:lineRule="auto"/>
        <w:ind w:left="360"/>
        <w:rPr>
          <w:rFonts w:cs="Times New Roman"/>
        </w:rPr>
      </w:pPr>
      <w:r w:rsidRPr="00D77CB9">
        <w:rPr>
          <w:rFonts w:cs="Times New Roman"/>
        </w:rPr>
        <w:t xml:space="preserve">A systematic probability proportional to size design (PPS) was used to sample noncertainty companies. Company State Units (CSUs) were the sampling units. A CSU selected by the sampling procedure was referred </w:t>
      </w:r>
      <w:r w:rsidR="00C83A57" w:rsidRPr="00D77CB9">
        <w:rPr>
          <w:rFonts w:cs="Times New Roman"/>
        </w:rPr>
        <w:t xml:space="preserve">to </w:t>
      </w:r>
      <w:r w:rsidRPr="00D77CB9">
        <w:rPr>
          <w:rFonts w:cs="Times New Roman"/>
        </w:rPr>
        <w:t>as a “basic” CSU. A company was included in the sample if it had at least one “basic” CSU. All non-“basic” CSUs of a sampled company were referred as “volunteer” CSUs.</w:t>
      </w:r>
    </w:p>
    <w:p w14:paraId="1A874F4A" w14:textId="77777777" w:rsidR="0079037F" w:rsidRPr="00D77CB9" w:rsidRDefault="0079037F" w:rsidP="003A06C9">
      <w:pPr>
        <w:tabs>
          <w:tab w:val="num" w:pos="1260"/>
        </w:tabs>
        <w:spacing w:after="0" w:line="360" w:lineRule="auto"/>
        <w:rPr>
          <w:rFonts w:cs="Times New Roman"/>
        </w:rPr>
      </w:pPr>
      <w:r w:rsidRPr="00D77CB9">
        <w:rPr>
          <w:rFonts w:cs="Times New Roman"/>
        </w:rPr>
        <w:t xml:space="preserve"> </w:t>
      </w:r>
    </w:p>
    <w:p w14:paraId="53F98A18" w14:textId="7C1D8983" w:rsidR="0079037F" w:rsidRPr="00D77CB9" w:rsidRDefault="0079037F" w:rsidP="00BB5A69">
      <w:pPr>
        <w:spacing w:line="360" w:lineRule="auto"/>
        <w:ind w:left="360"/>
        <w:rPr>
          <w:rFonts w:cs="Times New Roman"/>
        </w:rPr>
      </w:pPr>
      <w:r w:rsidRPr="00D77CB9">
        <w:rPr>
          <w:rFonts w:cs="Times New Roman"/>
        </w:rPr>
        <w:t xml:space="preserve">In each state, the Dalenius-Hodges procedure was used to stratify CSUs, with each of the four target distillate variables, into zero, low, medium, and high volume four strata. Neyman allocation was used to obtain the sample size for each stratum to meet </w:t>
      </w:r>
      <w:r w:rsidR="005E0840" w:rsidRPr="00D77CB9">
        <w:rPr>
          <w:rFonts w:cs="Times New Roman"/>
        </w:rPr>
        <w:t xml:space="preserve">the </w:t>
      </w:r>
      <w:r w:rsidRPr="00D77CB9">
        <w:rPr>
          <w:rFonts w:cs="Times New Roman"/>
        </w:rPr>
        <w:t>target coefficient of variation of five percent. The population of CSUs was divided into mutually exclusive cells by crossing the four stratifications such that every CSU in a particular cell was in the same stratum for each of the four stratifications. Each CSU was assigned a probability of selection, which was the largest sample proportion across all four stratifications. All CSUs within a cell had the same probability of selection. A systematic PPS sample of CSUs was then drawn for the state.</w:t>
      </w:r>
    </w:p>
    <w:p w14:paraId="04AB3786" w14:textId="77777777" w:rsidR="0079037F" w:rsidRPr="00D77CB9" w:rsidRDefault="0079037F" w:rsidP="00BB5A69">
      <w:pPr>
        <w:spacing w:line="360" w:lineRule="auto"/>
        <w:ind w:left="360"/>
        <w:rPr>
          <w:rFonts w:cstheme="minorHAnsi"/>
        </w:rPr>
      </w:pPr>
      <w:r w:rsidRPr="00D77CB9">
        <w:rPr>
          <w:rFonts w:cstheme="minorHAnsi"/>
        </w:rPr>
        <w:t>This design produced a final sample of approximately 4,000 companies. Selected companies were asked to report sales by end-use categories for distillate fuel, residual fuel oil, and kerosene.</w:t>
      </w:r>
    </w:p>
    <w:p w14:paraId="377DD0DE" w14:textId="77777777" w:rsidR="0079037F" w:rsidRPr="00D77CB9" w:rsidRDefault="0079037F" w:rsidP="007C1F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360" w:hanging="1440"/>
        <w:rPr>
          <w:rFonts w:cstheme="minorHAnsi"/>
          <w:color w:val="000000"/>
        </w:rPr>
      </w:pPr>
      <w:r w:rsidRPr="00D77CB9">
        <w:rPr>
          <w:rFonts w:cstheme="minorHAnsi"/>
          <w:color w:val="000000"/>
        </w:rPr>
        <w:t xml:space="preserve">  </w:t>
      </w:r>
      <w:r w:rsidRPr="00D77CB9">
        <w:rPr>
          <w:rFonts w:cstheme="minorHAnsi"/>
          <w:color w:val="000000"/>
        </w:rPr>
        <w:tab/>
      </w:r>
      <w:r w:rsidR="007C1F59" w:rsidRPr="00D77CB9">
        <w:rPr>
          <w:rFonts w:cstheme="minorHAnsi"/>
          <w:b/>
          <w:i/>
          <w:color w:val="000000"/>
        </w:rPr>
        <w:t xml:space="preserve">Form </w:t>
      </w:r>
      <w:r w:rsidRPr="00D77CB9">
        <w:rPr>
          <w:rFonts w:cstheme="minorHAnsi"/>
          <w:b/>
          <w:i/>
          <w:color w:val="000000"/>
        </w:rPr>
        <w:t>EIA-821</w:t>
      </w:r>
      <w:r w:rsidRPr="00D77CB9">
        <w:rPr>
          <w:rFonts w:cstheme="minorHAnsi"/>
          <w:b/>
          <w:color w:val="000000"/>
        </w:rPr>
        <w:t xml:space="preserve"> </w:t>
      </w:r>
      <w:r w:rsidRPr="00D77CB9">
        <w:rPr>
          <w:rFonts w:cstheme="minorHAnsi"/>
          <w:b/>
          <w:i/>
          <w:color w:val="000000"/>
        </w:rPr>
        <w:t>Estimation:</w:t>
      </w:r>
      <w:r w:rsidRPr="00D77CB9">
        <w:rPr>
          <w:rFonts w:cstheme="minorHAnsi"/>
          <w:color w:val="000000"/>
        </w:rPr>
        <w:t xml:space="preserve"> For obtaining total estimates of volume, the adjusted probability estimator is used. This estimator, the sum of the weighted volumes, is defined as follows:</w:t>
      </w:r>
    </w:p>
    <w:p w14:paraId="70C2AF89" w14:textId="77777777" w:rsidR="0079037F" w:rsidRPr="00D77CB9" w:rsidRDefault="0079037F" w:rsidP="0079037F">
      <w:pPr>
        <w:ind w:firstLine="576"/>
        <w:rPr>
          <w:rFonts w:cstheme="minorHAnsi"/>
          <w:color w:val="000000"/>
        </w:rPr>
      </w:pPr>
      <w:r w:rsidRPr="00D77CB9">
        <w:rPr>
          <w:rFonts w:cstheme="minorHAnsi"/>
          <w:color w:val="000000"/>
        </w:rPr>
        <w:t>V   = Σ</w:t>
      </w:r>
      <w:r w:rsidRPr="00D77CB9">
        <w:rPr>
          <w:rFonts w:cstheme="minorHAnsi"/>
          <w:color w:val="000000"/>
          <w:vertAlign w:val="subscript"/>
        </w:rPr>
        <w:t>h</w:t>
      </w:r>
      <w:r w:rsidRPr="00D77CB9">
        <w:rPr>
          <w:rFonts w:cstheme="minorHAnsi"/>
          <w:color w:val="000000"/>
        </w:rPr>
        <w:t xml:space="preserve"> (Σ</w:t>
      </w:r>
      <w:r w:rsidRPr="00D77CB9">
        <w:rPr>
          <w:rFonts w:cstheme="minorHAnsi"/>
          <w:color w:val="000000"/>
          <w:vertAlign w:val="subscript"/>
        </w:rPr>
        <w:t>i</w:t>
      </w:r>
      <w:r w:rsidRPr="00D77CB9">
        <w:rPr>
          <w:rFonts w:cstheme="minorHAnsi"/>
          <w:color w:val="000000"/>
        </w:rPr>
        <w:t>W</w:t>
      </w:r>
      <w:r w:rsidRPr="00D77CB9">
        <w:rPr>
          <w:rFonts w:cstheme="minorHAnsi"/>
          <w:color w:val="000000"/>
          <w:vertAlign w:val="subscript"/>
        </w:rPr>
        <w:t>ih</w:t>
      </w:r>
      <w:r w:rsidRPr="00D77CB9">
        <w:rPr>
          <w:rFonts w:cstheme="minorHAnsi"/>
          <w:color w:val="000000"/>
        </w:rPr>
        <w:t>V</w:t>
      </w:r>
      <w:r w:rsidRPr="00D77CB9">
        <w:rPr>
          <w:rFonts w:cstheme="minorHAnsi"/>
          <w:color w:val="000000"/>
          <w:vertAlign w:val="subscript"/>
        </w:rPr>
        <w:t>ih</w:t>
      </w:r>
      <w:r w:rsidRPr="00D77CB9">
        <w:rPr>
          <w:rFonts w:cstheme="minorHAnsi"/>
          <w:color w:val="000000"/>
        </w:rPr>
        <w:t>), where:</w:t>
      </w:r>
    </w:p>
    <w:p w14:paraId="77D50145" w14:textId="77777777" w:rsidR="0079037F" w:rsidRPr="00D77CB9"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heme="minorHAnsi"/>
          <w:color w:val="000000"/>
        </w:rPr>
      </w:pPr>
      <w:r w:rsidRPr="00D77CB9">
        <w:rPr>
          <w:rFonts w:cstheme="minorHAnsi"/>
          <w:color w:val="000000"/>
        </w:rPr>
        <w:t>V   = total estimated volume,</w:t>
      </w:r>
    </w:p>
    <w:p w14:paraId="419EA07D" w14:textId="77777777" w:rsidR="0079037F" w:rsidRPr="00D77CB9"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heme="minorHAnsi"/>
          <w:color w:val="000000"/>
        </w:rPr>
      </w:pPr>
      <w:r w:rsidRPr="00D77CB9">
        <w:rPr>
          <w:rFonts w:cstheme="minorHAnsi"/>
          <w:color w:val="000000"/>
        </w:rPr>
        <w:t>Σ</w:t>
      </w:r>
      <w:r w:rsidRPr="00D77CB9">
        <w:rPr>
          <w:rFonts w:cstheme="minorHAnsi"/>
          <w:color w:val="000000"/>
          <w:vertAlign w:val="subscript"/>
        </w:rPr>
        <w:t>h</w:t>
      </w:r>
      <w:r w:rsidRPr="00D77CB9">
        <w:rPr>
          <w:rFonts w:cstheme="minorHAnsi"/>
          <w:color w:val="000000"/>
        </w:rPr>
        <w:t xml:space="preserve">  = summation over strata,</w:t>
      </w:r>
    </w:p>
    <w:p w14:paraId="7D7FAEF4" w14:textId="77777777" w:rsidR="0079037F" w:rsidRPr="00D77CB9"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heme="minorHAnsi"/>
          <w:color w:val="000000"/>
        </w:rPr>
      </w:pPr>
      <w:r w:rsidRPr="00D77CB9">
        <w:rPr>
          <w:rFonts w:cstheme="minorHAnsi"/>
          <w:color w:val="000000"/>
        </w:rPr>
        <w:t>Σ</w:t>
      </w:r>
      <w:r w:rsidRPr="00D77CB9">
        <w:rPr>
          <w:rFonts w:cstheme="minorHAnsi"/>
          <w:color w:val="000000"/>
          <w:vertAlign w:val="subscript"/>
        </w:rPr>
        <w:t>i</w:t>
      </w:r>
      <w:r w:rsidRPr="00D77CB9">
        <w:rPr>
          <w:rFonts w:cstheme="minorHAnsi"/>
          <w:color w:val="000000"/>
        </w:rPr>
        <w:t xml:space="preserve">   = summation over units within stratum h,</w:t>
      </w:r>
    </w:p>
    <w:p w14:paraId="2667B4CA" w14:textId="77777777" w:rsidR="0079037F" w:rsidRPr="00D77CB9"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heme="minorHAnsi"/>
          <w:color w:val="000000"/>
        </w:rPr>
      </w:pPr>
      <w:r w:rsidRPr="00D77CB9">
        <w:rPr>
          <w:rFonts w:cstheme="minorHAnsi"/>
          <w:color w:val="000000"/>
        </w:rPr>
        <w:t>W</w:t>
      </w:r>
      <w:r w:rsidRPr="00D77CB9">
        <w:rPr>
          <w:rFonts w:cstheme="minorHAnsi"/>
          <w:color w:val="000000"/>
          <w:vertAlign w:val="subscript"/>
        </w:rPr>
        <w:t>ih</w:t>
      </w:r>
      <w:r w:rsidRPr="00D77CB9">
        <w:rPr>
          <w:rFonts w:cstheme="minorHAnsi"/>
          <w:color w:val="000000"/>
        </w:rPr>
        <w:t xml:space="preserve"> = weight attached to unit i in stratum h </w:t>
      </w:r>
    </w:p>
    <w:p w14:paraId="738F5D75" w14:textId="77777777" w:rsidR="0079037F" w:rsidRPr="00D77CB9" w:rsidRDefault="0079037F" w:rsidP="000355B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heme="minorHAnsi"/>
          <w:color w:val="000000"/>
        </w:rPr>
      </w:pPr>
      <w:r w:rsidRPr="00D77CB9">
        <w:rPr>
          <w:rFonts w:cstheme="minorHAnsi"/>
          <w:color w:val="000000"/>
        </w:rPr>
        <w:t>(the reciprocal of the probability of selection, P</w:t>
      </w:r>
      <w:r w:rsidRPr="00D77CB9">
        <w:rPr>
          <w:rFonts w:cstheme="minorHAnsi"/>
          <w:color w:val="000000"/>
          <w:vertAlign w:val="subscript"/>
        </w:rPr>
        <w:t>ih</w:t>
      </w:r>
      <w:r w:rsidRPr="00D77CB9">
        <w:rPr>
          <w:rFonts w:cstheme="minorHAnsi"/>
          <w:color w:val="000000"/>
        </w:rPr>
        <w:t>, for that unit), and</w:t>
      </w:r>
    </w:p>
    <w:p w14:paraId="5E01348F" w14:textId="77777777" w:rsidR="0079037F" w:rsidRPr="00D77CB9" w:rsidRDefault="0079037F" w:rsidP="007903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heme="minorHAnsi"/>
          <w:color w:val="000000"/>
        </w:rPr>
      </w:pPr>
      <w:r w:rsidRPr="00D77CB9">
        <w:rPr>
          <w:rFonts w:cstheme="minorHAnsi"/>
          <w:color w:val="000000"/>
        </w:rPr>
        <w:t>V</w:t>
      </w:r>
      <w:r w:rsidRPr="00D77CB9">
        <w:rPr>
          <w:rFonts w:cstheme="minorHAnsi"/>
          <w:color w:val="000000"/>
          <w:vertAlign w:val="subscript"/>
        </w:rPr>
        <w:t>ih</w:t>
      </w:r>
      <w:r w:rsidRPr="00D77CB9">
        <w:rPr>
          <w:rFonts w:cstheme="minorHAnsi"/>
          <w:color w:val="000000"/>
        </w:rPr>
        <w:t xml:space="preserve">  = volume reported or imputed for units i in stratum h.</w:t>
      </w:r>
    </w:p>
    <w:p w14:paraId="6F4A30E1" w14:textId="77777777" w:rsidR="0079037F" w:rsidRPr="00D77CB9" w:rsidRDefault="0079037F" w:rsidP="00BE31A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432"/>
        <w:rPr>
          <w:rFonts w:cstheme="minorHAnsi"/>
          <w:color w:val="000000"/>
        </w:rPr>
      </w:pPr>
      <w:r w:rsidRPr="00D77CB9">
        <w:rPr>
          <w:rFonts w:cstheme="minorHAnsi"/>
          <w:color w:val="000000"/>
        </w:rPr>
        <w:t>Survey nonrespondent volumes are also imputed as the mean of their strata.</w:t>
      </w:r>
    </w:p>
    <w:p w14:paraId="0C422D44" w14:textId="77777777" w:rsidR="007E53C4" w:rsidRPr="00D77CB9" w:rsidRDefault="00844524" w:rsidP="00985552">
      <w:pPr>
        <w:pStyle w:val="Heading2"/>
        <w:rPr>
          <w:sz w:val="22"/>
          <w:szCs w:val="22"/>
        </w:rPr>
      </w:pPr>
      <w:bookmarkStart w:id="7" w:name="_Toc466046936"/>
      <w:bookmarkEnd w:id="5"/>
      <w:bookmarkEnd w:id="6"/>
      <w:r w:rsidRPr="00D77CB9">
        <w:rPr>
          <w:sz w:val="22"/>
          <w:szCs w:val="22"/>
        </w:rPr>
        <w:t>B.</w:t>
      </w:r>
      <w:r w:rsidR="00A41763" w:rsidRPr="00D77CB9">
        <w:rPr>
          <w:sz w:val="22"/>
          <w:szCs w:val="22"/>
        </w:rPr>
        <w:t xml:space="preserve">3. </w:t>
      </w:r>
      <w:r w:rsidR="007E53C4" w:rsidRPr="00D77CB9">
        <w:rPr>
          <w:sz w:val="22"/>
          <w:szCs w:val="22"/>
        </w:rPr>
        <w:t>Maximizing Response Rates</w:t>
      </w:r>
      <w:bookmarkEnd w:id="7"/>
    </w:p>
    <w:p w14:paraId="61CF3130" w14:textId="77777777" w:rsidR="00C74606" w:rsidRPr="00D77CB9" w:rsidRDefault="00C74606" w:rsidP="00C746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rFonts w:eastAsia="Times New Roman" w:cs="Times New Roman"/>
          <w:lang w:bidi="en-US"/>
        </w:rPr>
      </w:pPr>
      <w:r w:rsidRPr="00D77CB9">
        <w:rPr>
          <w:rFonts w:eastAsia="Times New Roman" w:cs="Times New Roman"/>
          <w:lang w:bidi="en-US"/>
        </w:rPr>
        <w:t xml:space="preserve">All the units that are surveyed may not respond (unit non-response) or may not provide all the information requested (item non-response). </w:t>
      </w:r>
      <w:r w:rsidRPr="00D77CB9">
        <w:rPr>
          <w:rFonts w:eastAsia="Times New Roman" w:cs="Times New Roman"/>
          <w:color w:val="000000"/>
          <w:lang w:bidi="en-US"/>
        </w:rPr>
        <w:t xml:space="preserve">Alternative modes of data collection and follow-up are </w:t>
      </w:r>
      <w:r w:rsidRPr="00D77CB9">
        <w:rPr>
          <w:rFonts w:eastAsia="Times New Roman" w:cs="Times New Roman"/>
          <w:lang w:bidi="en-US"/>
        </w:rPr>
        <w:t xml:space="preserve">employed to encourage maximum response to the surveys in the Petroleum Marketing Program (PMP). Respondents are allowed to report by mail, fax, phone, or electronically using Excel forms or a fillable PDF available from the </w:t>
      </w:r>
      <w:hyperlink r:id="rId29" w:history="1">
        <w:r w:rsidRPr="00590755">
          <w:rPr>
            <w:rFonts w:eastAsia="Times New Roman" w:cs="Times New Roman"/>
            <w:color w:val="0070C0"/>
            <w:u w:val="single"/>
            <w:lang w:bidi="en-US"/>
          </w:rPr>
          <w:t>survey directory</w:t>
        </w:r>
      </w:hyperlink>
      <w:r w:rsidRPr="00D77CB9">
        <w:rPr>
          <w:rFonts w:eastAsia="Times New Roman" w:cs="Times New Roman"/>
          <w:lang w:bidi="en-US"/>
        </w:rPr>
        <w:t xml:space="preserve"> on EIA’s website. </w:t>
      </w:r>
    </w:p>
    <w:p w14:paraId="649EF413" w14:textId="77777777" w:rsidR="00063077" w:rsidRPr="00D77CB9" w:rsidRDefault="00063077" w:rsidP="00C746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rFonts w:eastAsia="Times New Roman" w:cs="Times New Roman"/>
          <w:lang w:bidi="en-US"/>
        </w:rPr>
      </w:pPr>
    </w:p>
    <w:p w14:paraId="41065D7C" w14:textId="45EBDEFD" w:rsidR="00C74606" w:rsidRPr="00D77CB9" w:rsidRDefault="00C74606" w:rsidP="00C746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rFonts w:eastAsia="Times New Roman" w:cs="Times New Roman"/>
          <w:lang w:bidi="en-US"/>
        </w:rPr>
      </w:pPr>
      <w:r w:rsidRPr="00D77CB9">
        <w:rPr>
          <w:rFonts w:eastAsia="Times New Roman" w:cs="Times New Roman"/>
          <w:lang w:bidi="en-US"/>
        </w:rPr>
        <w:t>The nonresponse strategy for each of the monthly surveys is to generate a follow-up email or phone call within five days of the reporting deadline. Late respondents on both the weekly and monthly surveys are emailed or called and asked to submit data. If a weekly respondent still fails to respond after our initial reminder during data collection, secondary contacts are emailed or called for data. If a firm repeatedly fails to respond, a noncompliance letter requesting submission by a specific date is sent. The strategy for the annual survey is to generate a follow-up email or phone call within two weeks of the reporting deadline and on a monthly basis thereafter. Five months after the reporting deadline, a noncompliance letter requesting submission by a specific date is mailed. Table B2 contains the average annual response rate for the weekly, monthly, and annual surveys from January 201</w:t>
      </w:r>
      <w:r w:rsidR="005E6E60" w:rsidRPr="00D77CB9">
        <w:rPr>
          <w:rFonts w:eastAsia="Times New Roman" w:cs="Times New Roman"/>
          <w:lang w:bidi="en-US"/>
        </w:rPr>
        <w:t>8</w:t>
      </w:r>
      <w:r w:rsidRPr="00D77CB9">
        <w:rPr>
          <w:rFonts w:eastAsia="Times New Roman" w:cs="Times New Roman"/>
          <w:lang w:bidi="en-US"/>
        </w:rPr>
        <w:t xml:space="preserve"> to December 201</w:t>
      </w:r>
      <w:r w:rsidR="005E6E60" w:rsidRPr="00D77CB9">
        <w:rPr>
          <w:rFonts w:eastAsia="Times New Roman" w:cs="Times New Roman"/>
          <w:lang w:bidi="en-US"/>
        </w:rPr>
        <w:t>8</w:t>
      </w:r>
      <w:r w:rsidRPr="00D77CB9">
        <w:rPr>
          <w:rFonts w:eastAsia="Times New Roman" w:cs="Times New Roman"/>
          <w:lang w:bidi="en-US"/>
        </w:rPr>
        <w:t>.</w:t>
      </w:r>
      <w:r w:rsidR="00BB5A69" w:rsidRPr="00D77CB9">
        <w:rPr>
          <w:rFonts w:eastAsia="Times New Roman" w:cs="Times New Roman"/>
          <w:lang w:bidi="en-US"/>
        </w:rPr>
        <w:t xml:space="preserve"> The EIA-821 has not finalized data collection for 201</w:t>
      </w:r>
      <w:r w:rsidR="00D460EB" w:rsidRPr="00D77CB9">
        <w:rPr>
          <w:rFonts w:eastAsia="Times New Roman" w:cs="Times New Roman"/>
          <w:lang w:bidi="en-US"/>
        </w:rPr>
        <w:t>8</w:t>
      </w:r>
      <w:r w:rsidR="00BB5A69" w:rsidRPr="00D77CB9">
        <w:rPr>
          <w:rFonts w:eastAsia="Times New Roman" w:cs="Times New Roman"/>
          <w:lang w:bidi="en-US"/>
        </w:rPr>
        <w:t xml:space="preserve"> data.</w:t>
      </w:r>
      <w:r w:rsidRPr="00D77CB9">
        <w:rPr>
          <w:rFonts w:eastAsia="Times New Roman" w:cs="Times New Roman"/>
          <w:lang w:bidi="en-US"/>
        </w:rPr>
        <w:t xml:space="preserve"> </w:t>
      </w:r>
    </w:p>
    <w:p w14:paraId="1E7F8F90" w14:textId="3DC48BE2" w:rsidR="00C74606" w:rsidRPr="00590755" w:rsidRDefault="00C74606" w:rsidP="00C746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76" w:lineRule="auto"/>
        <w:jc w:val="both"/>
        <w:rPr>
          <w:rFonts w:ascii="Times New Roman" w:eastAsia="Times New Roman" w:hAnsi="Times New Roman" w:cs="Times New Roman"/>
          <w:color w:val="0070C0"/>
          <w:sz w:val="28"/>
          <w:szCs w:val="28"/>
          <w:lang w:bidi="en-US"/>
        </w:rPr>
      </w:pPr>
      <w:r w:rsidRPr="00590755">
        <w:rPr>
          <w:rFonts w:ascii="Times New Roman" w:eastAsia="Times New Roman" w:hAnsi="Times New Roman" w:cs="Times New Roman"/>
          <w:color w:val="0070C0"/>
          <w:sz w:val="28"/>
          <w:szCs w:val="28"/>
          <w:lang w:bidi="en-US"/>
        </w:rPr>
        <w:t xml:space="preserve">Table B2: </w:t>
      </w:r>
      <w:r w:rsidR="005E6E60" w:rsidRPr="00590755">
        <w:rPr>
          <w:rFonts w:ascii="Times New Roman" w:eastAsia="Times New Roman" w:hAnsi="Times New Roman" w:cs="Times New Roman"/>
          <w:color w:val="0070C0"/>
          <w:sz w:val="28"/>
          <w:szCs w:val="28"/>
          <w:lang w:bidi="en-US"/>
        </w:rPr>
        <w:t xml:space="preserve">2018 </w:t>
      </w:r>
      <w:r w:rsidRPr="00590755">
        <w:rPr>
          <w:rFonts w:ascii="Times New Roman" w:eastAsia="Times New Roman" w:hAnsi="Times New Roman" w:cs="Times New Roman"/>
          <w:color w:val="0070C0"/>
          <w:sz w:val="28"/>
          <w:szCs w:val="28"/>
          <w:lang w:bidi="en-US"/>
        </w:rPr>
        <w:t xml:space="preserve">Average Annual Response Rates for PMP Surveys </w:t>
      </w:r>
    </w:p>
    <w:tbl>
      <w:tblPr>
        <w:tblStyle w:val="TableGrid4"/>
        <w:tblW w:w="5000" w:type="pct"/>
        <w:tblLayout w:type="fixed"/>
        <w:tblLook w:val="04A0" w:firstRow="1" w:lastRow="0" w:firstColumn="1" w:lastColumn="0" w:noHBand="0" w:noVBand="1"/>
      </w:tblPr>
      <w:tblGrid>
        <w:gridCol w:w="1329"/>
        <w:gridCol w:w="870"/>
        <w:gridCol w:w="854"/>
        <w:gridCol w:w="998"/>
        <w:gridCol w:w="986"/>
        <w:gridCol w:w="950"/>
        <w:gridCol w:w="833"/>
        <w:gridCol w:w="921"/>
        <w:gridCol w:w="921"/>
        <w:gridCol w:w="914"/>
      </w:tblGrid>
      <w:tr w:rsidR="00334D21" w:rsidRPr="003C2B3D" w14:paraId="7B0034DA" w14:textId="77777777" w:rsidTr="00334D21">
        <w:trPr>
          <w:trHeight w:val="800"/>
        </w:trPr>
        <w:tc>
          <w:tcPr>
            <w:tcW w:w="694" w:type="pct"/>
          </w:tcPr>
          <w:p w14:paraId="1EB34907"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imes New Roman"/>
              </w:rPr>
            </w:pPr>
            <w:r w:rsidRPr="003C2B3D">
              <w:rPr>
                <w:rFonts w:ascii="Calibri" w:hAnsi="Calibri" w:cs="Times New Roman"/>
              </w:rPr>
              <w:t>Survey</w:t>
            </w:r>
          </w:p>
        </w:tc>
        <w:tc>
          <w:tcPr>
            <w:tcW w:w="454" w:type="pct"/>
          </w:tcPr>
          <w:p w14:paraId="5F05507B"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  14</w:t>
            </w:r>
          </w:p>
        </w:tc>
        <w:tc>
          <w:tcPr>
            <w:tcW w:w="446" w:type="pct"/>
          </w:tcPr>
          <w:p w14:paraId="69ED6EB3"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EIA-182</w:t>
            </w:r>
          </w:p>
        </w:tc>
        <w:tc>
          <w:tcPr>
            <w:tcW w:w="521" w:type="pct"/>
          </w:tcPr>
          <w:p w14:paraId="54BCB812"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EIA-782A</w:t>
            </w:r>
          </w:p>
        </w:tc>
        <w:tc>
          <w:tcPr>
            <w:tcW w:w="515" w:type="pct"/>
          </w:tcPr>
          <w:p w14:paraId="66EE6BB8"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EIA-782C</w:t>
            </w:r>
          </w:p>
        </w:tc>
        <w:tc>
          <w:tcPr>
            <w:tcW w:w="496" w:type="pct"/>
          </w:tcPr>
          <w:p w14:paraId="63A7623C" w14:textId="7FDE2484"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w:t>
            </w:r>
            <w:r w:rsidR="00F717B2">
              <w:rPr>
                <w:rFonts w:ascii="Calibri" w:hAnsi="Calibri" w:cs="Times New Roman"/>
              </w:rPr>
              <w:t xml:space="preserve">    </w:t>
            </w:r>
            <w:r w:rsidRPr="003C2B3D">
              <w:rPr>
                <w:rFonts w:ascii="Calibri" w:hAnsi="Calibri" w:cs="Times New Roman"/>
              </w:rPr>
              <w:t>821</w:t>
            </w:r>
            <w:r w:rsidR="007B7E15">
              <w:rPr>
                <w:rFonts w:ascii="Calibri" w:hAnsi="Calibri" w:cs="Times New Roman"/>
              </w:rPr>
              <w:t>*</w:t>
            </w:r>
          </w:p>
        </w:tc>
        <w:tc>
          <w:tcPr>
            <w:tcW w:w="435" w:type="pct"/>
          </w:tcPr>
          <w:p w14:paraId="27708352"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EIA-856</w:t>
            </w:r>
          </w:p>
        </w:tc>
        <w:tc>
          <w:tcPr>
            <w:tcW w:w="481" w:type="pct"/>
          </w:tcPr>
          <w:p w14:paraId="226AAD5E"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EIA-877</w:t>
            </w:r>
          </w:p>
        </w:tc>
        <w:tc>
          <w:tcPr>
            <w:tcW w:w="481" w:type="pct"/>
          </w:tcPr>
          <w:p w14:paraId="7189BB0C"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EIA-878</w:t>
            </w:r>
          </w:p>
        </w:tc>
        <w:tc>
          <w:tcPr>
            <w:tcW w:w="478" w:type="pct"/>
          </w:tcPr>
          <w:p w14:paraId="4BD9BBA3"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EIA-888</w:t>
            </w:r>
          </w:p>
        </w:tc>
      </w:tr>
      <w:tr w:rsidR="00334D21" w:rsidRPr="003C2B3D" w14:paraId="7157F1A7" w14:textId="77777777" w:rsidTr="00334D21">
        <w:trPr>
          <w:trHeight w:val="800"/>
        </w:trPr>
        <w:tc>
          <w:tcPr>
            <w:tcW w:w="694" w:type="pct"/>
          </w:tcPr>
          <w:p w14:paraId="51F88AD4"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imes New Roman"/>
              </w:rPr>
            </w:pPr>
            <w:r w:rsidRPr="003C2B3D">
              <w:rPr>
                <w:rFonts w:ascii="Calibri" w:hAnsi="Calibri" w:cs="Times New Roman"/>
              </w:rPr>
              <w:t>Response Rate</w:t>
            </w:r>
          </w:p>
        </w:tc>
        <w:tc>
          <w:tcPr>
            <w:tcW w:w="454" w:type="pct"/>
          </w:tcPr>
          <w:p w14:paraId="46F2B5C4" w14:textId="3A5E628E" w:rsidR="001B0EC4" w:rsidRPr="003C2B3D" w:rsidRDefault="004D7F88"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Pr>
                <w:rFonts w:ascii="Calibri" w:hAnsi="Calibri" w:cs="Times New Roman"/>
              </w:rPr>
              <w:t>99.9</w:t>
            </w:r>
            <w:r w:rsidR="001B0EC4" w:rsidRPr="003C2B3D">
              <w:rPr>
                <w:rFonts w:ascii="Calibri" w:hAnsi="Calibri" w:cs="Times New Roman"/>
              </w:rPr>
              <w:t>%</w:t>
            </w:r>
          </w:p>
        </w:tc>
        <w:tc>
          <w:tcPr>
            <w:tcW w:w="446" w:type="pct"/>
          </w:tcPr>
          <w:p w14:paraId="6833F65E"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100%</w:t>
            </w:r>
          </w:p>
        </w:tc>
        <w:tc>
          <w:tcPr>
            <w:tcW w:w="521" w:type="pct"/>
          </w:tcPr>
          <w:p w14:paraId="2C7F7002" w14:textId="2CEC2D82" w:rsidR="001B0EC4" w:rsidRPr="003C2B3D" w:rsidRDefault="004D7F88"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Pr>
                <w:rFonts w:ascii="Calibri" w:hAnsi="Calibri" w:cs="Times New Roman"/>
              </w:rPr>
              <w:t>99.8</w:t>
            </w:r>
            <w:r w:rsidR="001B0EC4" w:rsidRPr="003C2B3D">
              <w:rPr>
                <w:rFonts w:ascii="Calibri" w:hAnsi="Calibri" w:cs="Times New Roman"/>
              </w:rPr>
              <w:t>%</w:t>
            </w:r>
          </w:p>
        </w:tc>
        <w:tc>
          <w:tcPr>
            <w:tcW w:w="515" w:type="pct"/>
          </w:tcPr>
          <w:p w14:paraId="2FF8B9DF" w14:textId="20D5465C" w:rsidR="001B0EC4" w:rsidRPr="003C2B3D" w:rsidRDefault="004D7F88"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Pr>
                <w:rFonts w:ascii="Calibri" w:hAnsi="Calibri" w:cs="Times New Roman"/>
              </w:rPr>
              <w:t>99.8</w:t>
            </w:r>
            <w:r w:rsidR="001B0EC4" w:rsidRPr="003C2B3D">
              <w:rPr>
                <w:rFonts w:ascii="Calibri" w:hAnsi="Calibri" w:cs="Times New Roman"/>
              </w:rPr>
              <w:t>%</w:t>
            </w:r>
          </w:p>
        </w:tc>
        <w:tc>
          <w:tcPr>
            <w:tcW w:w="496" w:type="pct"/>
          </w:tcPr>
          <w:p w14:paraId="73FF5BE0" w14:textId="3ED4AC2E" w:rsidR="001B0EC4" w:rsidRPr="003C2B3D" w:rsidRDefault="001B0EC4" w:rsidP="00400F4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9</w:t>
            </w:r>
            <w:r w:rsidR="00F717B2">
              <w:rPr>
                <w:rFonts w:ascii="Calibri" w:hAnsi="Calibri" w:cs="Times New Roman"/>
              </w:rPr>
              <w:t>0</w:t>
            </w:r>
            <w:r w:rsidRPr="003C2B3D">
              <w:rPr>
                <w:rFonts w:ascii="Calibri" w:hAnsi="Calibri" w:cs="Times New Roman"/>
              </w:rPr>
              <w:t>.</w:t>
            </w:r>
            <w:r w:rsidR="00F717B2">
              <w:rPr>
                <w:rFonts w:ascii="Calibri" w:hAnsi="Calibri" w:cs="Times New Roman"/>
              </w:rPr>
              <w:t>8</w:t>
            </w:r>
            <w:r w:rsidRPr="003C2B3D">
              <w:rPr>
                <w:rFonts w:ascii="Calibri" w:hAnsi="Calibri" w:cs="Times New Roman"/>
              </w:rPr>
              <w:t>%</w:t>
            </w:r>
          </w:p>
        </w:tc>
        <w:tc>
          <w:tcPr>
            <w:tcW w:w="435" w:type="pct"/>
          </w:tcPr>
          <w:p w14:paraId="2674A599" w14:textId="77777777" w:rsidR="001B0EC4" w:rsidRPr="003C2B3D" w:rsidRDefault="001B0EC4" w:rsidP="000466C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100%</w:t>
            </w:r>
          </w:p>
        </w:tc>
        <w:tc>
          <w:tcPr>
            <w:tcW w:w="481" w:type="pct"/>
          </w:tcPr>
          <w:p w14:paraId="6401B6EC" w14:textId="1F76C1FA" w:rsidR="001B0EC4" w:rsidRPr="003C2B3D" w:rsidRDefault="001B0EC4" w:rsidP="00400F4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9</w:t>
            </w:r>
            <w:r w:rsidR="00D572B8">
              <w:rPr>
                <w:rFonts w:ascii="Calibri" w:hAnsi="Calibri" w:cs="Times New Roman"/>
              </w:rPr>
              <w:t>9</w:t>
            </w:r>
            <w:r w:rsidRPr="003C2B3D">
              <w:rPr>
                <w:rFonts w:ascii="Calibri" w:hAnsi="Calibri" w:cs="Times New Roman"/>
              </w:rPr>
              <w:t>.</w:t>
            </w:r>
            <w:r w:rsidR="00400F4C">
              <w:rPr>
                <w:rFonts w:ascii="Calibri" w:hAnsi="Calibri" w:cs="Times New Roman"/>
              </w:rPr>
              <w:t>2</w:t>
            </w:r>
            <w:r w:rsidRPr="003C2B3D">
              <w:rPr>
                <w:rFonts w:ascii="Calibri" w:hAnsi="Calibri" w:cs="Times New Roman"/>
              </w:rPr>
              <w:t>%</w:t>
            </w:r>
          </w:p>
        </w:tc>
        <w:tc>
          <w:tcPr>
            <w:tcW w:w="481" w:type="pct"/>
          </w:tcPr>
          <w:p w14:paraId="30D35B7E" w14:textId="34B12B9B" w:rsidR="001B0EC4" w:rsidRPr="003C2B3D" w:rsidRDefault="001B0EC4" w:rsidP="00400F4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9</w:t>
            </w:r>
            <w:r w:rsidR="007700D0">
              <w:rPr>
                <w:rFonts w:ascii="Calibri" w:hAnsi="Calibri" w:cs="Times New Roman"/>
              </w:rPr>
              <w:t>5</w:t>
            </w:r>
            <w:r w:rsidRPr="003C2B3D">
              <w:rPr>
                <w:rFonts w:ascii="Calibri" w:hAnsi="Calibri" w:cs="Times New Roman"/>
              </w:rPr>
              <w:t>.</w:t>
            </w:r>
            <w:r w:rsidR="00400F4C">
              <w:rPr>
                <w:rFonts w:ascii="Calibri" w:hAnsi="Calibri" w:cs="Times New Roman"/>
              </w:rPr>
              <w:t>9</w:t>
            </w:r>
            <w:r w:rsidRPr="003C2B3D">
              <w:rPr>
                <w:rFonts w:ascii="Calibri" w:hAnsi="Calibri" w:cs="Times New Roman"/>
              </w:rPr>
              <w:t>%</w:t>
            </w:r>
          </w:p>
        </w:tc>
        <w:tc>
          <w:tcPr>
            <w:tcW w:w="478" w:type="pct"/>
          </w:tcPr>
          <w:p w14:paraId="3769CFDC" w14:textId="648A76E6" w:rsidR="001B0EC4" w:rsidRPr="003C2B3D" w:rsidRDefault="001B0EC4" w:rsidP="00400F4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Times New Roman"/>
              </w:rPr>
            </w:pPr>
            <w:r w:rsidRPr="003C2B3D">
              <w:rPr>
                <w:rFonts w:ascii="Calibri" w:hAnsi="Calibri" w:cs="Times New Roman"/>
              </w:rPr>
              <w:t>9</w:t>
            </w:r>
            <w:r w:rsidR="007700D0">
              <w:rPr>
                <w:rFonts w:ascii="Calibri" w:hAnsi="Calibri" w:cs="Times New Roman"/>
              </w:rPr>
              <w:t>7</w:t>
            </w:r>
            <w:r w:rsidRPr="003C2B3D">
              <w:rPr>
                <w:rFonts w:ascii="Calibri" w:hAnsi="Calibri" w:cs="Times New Roman"/>
              </w:rPr>
              <w:t>.</w:t>
            </w:r>
            <w:r w:rsidR="00400F4C">
              <w:rPr>
                <w:rFonts w:ascii="Calibri" w:hAnsi="Calibri" w:cs="Times New Roman"/>
              </w:rPr>
              <w:t>5</w:t>
            </w:r>
            <w:r w:rsidRPr="003C2B3D">
              <w:rPr>
                <w:rFonts w:ascii="Calibri" w:hAnsi="Calibri" w:cs="Times New Roman"/>
              </w:rPr>
              <w:t>%</w:t>
            </w:r>
          </w:p>
        </w:tc>
      </w:tr>
    </w:tbl>
    <w:p w14:paraId="66BD11E0" w14:textId="146B1DA1" w:rsidR="00985552" w:rsidRPr="00985552" w:rsidRDefault="000466C0" w:rsidP="00F4147A">
      <w:r>
        <w:rPr>
          <w:i/>
          <w:iCs/>
        </w:rPr>
        <w:t>*</w:t>
      </w:r>
      <w:r w:rsidR="00985552" w:rsidRPr="00985552">
        <w:rPr>
          <w:iCs/>
        </w:rPr>
        <w:t>EIA-821</w:t>
      </w:r>
      <w:r w:rsidR="00985552">
        <w:rPr>
          <w:i/>
          <w:iCs/>
        </w:rPr>
        <w:t xml:space="preserve"> </w:t>
      </w:r>
      <w:r w:rsidR="00985552">
        <w:rPr>
          <w:iCs/>
        </w:rPr>
        <w:t>r</w:t>
      </w:r>
      <w:r w:rsidRPr="000466C0">
        <w:rPr>
          <w:iCs/>
        </w:rPr>
        <w:t>esponse</w:t>
      </w:r>
      <w:r w:rsidR="00063077">
        <w:rPr>
          <w:iCs/>
        </w:rPr>
        <w:t xml:space="preserve"> rate</w:t>
      </w:r>
      <w:r w:rsidRPr="000466C0">
        <w:rPr>
          <w:iCs/>
        </w:rPr>
        <w:t xml:space="preserve"> </w:t>
      </w:r>
      <w:r w:rsidR="00063077">
        <w:rPr>
          <w:iCs/>
        </w:rPr>
        <w:t>based on</w:t>
      </w:r>
      <w:r w:rsidRPr="000466C0">
        <w:rPr>
          <w:iCs/>
        </w:rPr>
        <w:t xml:space="preserve"> </w:t>
      </w:r>
      <w:r w:rsidR="005E6E60" w:rsidRPr="000466C0">
        <w:rPr>
          <w:iCs/>
        </w:rPr>
        <w:t>201</w:t>
      </w:r>
      <w:r w:rsidR="005E6E60">
        <w:rPr>
          <w:iCs/>
        </w:rPr>
        <w:t xml:space="preserve">7 </w:t>
      </w:r>
      <w:r w:rsidR="00063077">
        <w:rPr>
          <w:iCs/>
        </w:rPr>
        <w:t>data.</w:t>
      </w:r>
      <w:r w:rsidR="00985552">
        <w:rPr>
          <w:iCs/>
        </w:rPr>
        <w:t xml:space="preserve"> </w:t>
      </w:r>
      <w:bookmarkStart w:id="8" w:name="_Toc466046937"/>
      <w:r w:rsidR="00985552" w:rsidRPr="00985552">
        <w:t xml:space="preserve">Response rates are based </w:t>
      </w:r>
      <w:r w:rsidR="004455A1">
        <w:t xml:space="preserve">on the number of respondents </w:t>
      </w:r>
      <w:r w:rsidR="00F4147A">
        <w:t>included in the</w:t>
      </w:r>
      <w:r w:rsidR="004455A1">
        <w:t xml:space="preserve"> data </w:t>
      </w:r>
      <w:r w:rsidR="00F4147A">
        <w:t>released on</w:t>
      </w:r>
      <w:r w:rsidR="004455A1">
        <w:t xml:space="preserve"> EIA website</w:t>
      </w:r>
      <w:r w:rsidR="00985552" w:rsidRPr="00985552">
        <w:t xml:space="preserve">. Response </w:t>
      </w:r>
      <w:r w:rsidR="00985552">
        <w:t>r</w:t>
      </w:r>
      <w:r w:rsidR="00985552" w:rsidRPr="00985552">
        <w:t>ate</w:t>
      </w:r>
      <w:r w:rsidR="00985552">
        <w:t xml:space="preserve"> </w:t>
      </w:r>
      <w:r w:rsidR="00985552" w:rsidRPr="00985552">
        <w:t>=</w:t>
      </w:r>
      <w:r w:rsidR="00985552">
        <w:t xml:space="preserve"> respondents reporting/total r</w:t>
      </w:r>
      <w:r w:rsidR="00985552" w:rsidRPr="00985552">
        <w:t>espondents. There is no weighting involved.</w:t>
      </w:r>
      <w:r w:rsidR="00F4147A">
        <w:t xml:space="preserve"> All response rates shown above are unweighted. </w:t>
      </w:r>
    </w:p>
    <w:p w14:paraId="600AB8C8" w14:textId="77777777" w:rsidR="00866285" w:rsidRPr="00D77CB9" w:rsidRDefault="00866285" w:rsidP="00985552">
      <w:pPr>
        <w:pStyle w:val="Heading2"/>
        <w:rPr>
          <w:sz w:val="22"/>
          <w:szCs w:val="22"/>
        </w:rPr>
      </w:pPr>
    </w:p>
    <w:p w14:paraId="53CDC6EF" w14:textId="5C413B40" w:rsidR="007E53C4" w:rsidRPr="00D77CB9" w:rsidRDefault="00844524" w:rsidP="00B20E53">
      <w:pPr>
        <w:pStyle w:val="Heading2"/>
        <w:rPr>
          <w:sz w:val="22"/>
          <w:szCs w:val="22"/>
        </w:rPr>
      </w:pPr>
      <w:r w:rsidRPr="00D77CB9">
        <w:rPr>
          <w:sz w:val="22"/>
          <w:szCs w:val="22"/>
        </w:rPr>
        <w:t>B.</w:t>
      </w:r>
      <w:r w:rsidR="00A41763" w:rsidRPr="00D77CB9">
        <w:rPr>
          <w:sz w:val="22"/>
          <w:szCs w:val="22"/>
        </w:rPr>
        <w:t xml:space="preserve">4. </w:t>
      </w:r>
      <w:r w:rsidR="007E53C4" w:rsidRPr="00D77CB9">
        <w:rPr>
          <w:sz w:val="22"/>
          <w:szCs w:val="22"/>
        </w:rPr>
        <w:t>Test Procedures and Form Consultations</w:t>
      </w:r>
      <w:bookmarkEnd w:id="8"/>
      <w:r w:rsidR="008C135C" w:rsidRPr="00D77CB9">
        <w:rPr>
          <w:sz w:val="22"/>
          <w:szCs w:val="22"/>
        </w:rPr>
        <w:t xml:space="preserve"> </w:t>
      </w:r>
    </w:p>
    <w:p w14:paraId="3CB57B06" w14:textId="6527AAF5" w:rsidR="00807AC0" w:rsidRPr="00D77CB9" w:rsidRDefault="006A1AD9" w:rsidP="00F4147A">
      <w:pPr>
        <w:spacing w:after="100" w:afterAutospacing="1" w:line="360" w:lineRule="auto"/>
      </w:pPr>
      <w:r w:rsidRPr="00D77CB9">
        <w:t>In August 2018</w:t>
      </w:r>
      <w:r w:rsidR="00E97555" w:rsidRPr="00D77CB9">
        <w:t>,</w:t>
      </w:r>
      <w:r w:rsidRPr="00D77CB9">
        <w:t xml:space="preserve"> EIA </w:t>
      </w:r>
      <w:r w:rsidR="00807AC0" w:rsidRPr="00D77CB9">
        <w:t>conduct</w:t>
      </w:r>
      <w:r w:rsidRPr="00D77CB9">
        <w:t>ed</w:t>
      </w:r>
      <w:r w:rsidR="00807AC0" w:rsidRPr="00D77CB9">
        <w:t xml:space="preserve"> research on the ability of EIA survey respondents to report retail price information for No. 2 </w:t>
      </w:r>
      <w:r w:rsidR="00E97555" w:rsidRPr="00D77CB9">
        <w:t>heating</w:t>
      </w:r>
      <w:r w:rsidR="00807AC0" w:rsidRPr="00D77CB9">
        <w:t xml:space="preserve"> oil and propane</w:t>
      </w:r>
      <w:r w:rsidRPr="00D77CB9">
        <w:t xml:space="preserve">.  </w:t>
      </w:r>
      <w:r w:rsidR="00807AC0" w:rsidRPr="00D77CB9">
        <w:rPr>
          <w:spacing w:val="-2"/>
        </w:rPr>
        <w:t xml:space="preserve">Specific objectives of this research project were to: </w:t>
      </w:r>
    </w:p>
    <w:p w14:paraId="193D6E0C" w14:textId="77777777" w:rsidR="00807AC0" w:rsidRPr="00D77CB9" w:rsidRDefault="00807AC0" w:rsidP="00807AC0">
      <w:pPr>
        <w:pStyle w:val="BodyText"/>
        <w:widowControl w:val="0"/>
        <w:numPr>
          <w:ilvl w:val="0"/>
          <w:numId w:val="37"/>
        </w:numPr>
        <w:spacing w:before="49" w:after="0" w:line="276" w:lineRule="auto"/>
        <w:ind w:right="249"/>
        <w:rPr>
          <w:spacing w:val="-2"/>
        </w:rPr>
      </w:pPr>
      <w:r w:rsidRPr="00D77CB9">
        <w:rPr>
          <w:spacing w:val="-2"/>
        </w:rPr>
        <w:t>To determine how respondents are reporting the retail price for No. 2 heating oil and propane;</w:t>
      </w:r>
    </w:p>
    <w:p w14:paraId="64B3862B" w14:textId="3DD6766F" w:rsidR="00807AC0" w:rsidRPr="00D77CB9" w:rsidRDefault="00807AC0" w:rsidP="00807AC0">
      <w:pPr>
        <w:pStyle w:val="BodyText"/>
        <w:widowControl w:val="0"/>
        <w:numPr>
          <w:ilvl w:val="0"/>
          <w:numId w:val="37"/>
        </w:numPr>
        <w:spacing w:before="49" w:after="0" w:line="276" w:lineRule="auto"/>
        <w:ind w:right="249"/>
        <w:rPr>
          <w:spacing w:val="-2"/>
        </w:rPr>
      </w:pPr>
      <w:r w:rsidRPr="00D77CB9">
        <w:rPr>
          <w:spacing w:val="-2"/>
        </w:rPr>
        <w:t xml:space="preserve">To better understand the price tiers offered by publicly traded companies that make retail sales of No. 2 </w:t>
      </w:r>
      <w:r w:rsidR="00304F26" w:rsidRPr="00D77CB9">
        <w:rPr>
          <w:spacing w:val="-2"/>
        </w:rPr>
        <w:t>heating</w:t>
      </w:r>
      <w:r w:rsidRPr="00D77CB9">
        <w:rPr>
          <w:spacing w:val="-2"/>
        </w:rPr>
        <w:t xml:space="preserve"> oil and/or propane;</w:t>
      </w:r>
    </w:p>
    <w:p w14:paraId="562F0838" w14:textId="77777777" w:rsidR="00807AC0" w:rsidRPr="00D77CB9" w:rsidRDefault="00807AC0" w:rsidP="00807AC0">
      <w:pPr>
        <w:pStyle w:val="BodyText"/>
        <w:widowControl w:val="0"/>
        <w:numPr>
          <w:ilvl w:val="0"/>
          <w:numId w:val="37"/>
        </w:numPr>
        <w:spacing w:before="49" w:after="0" w:line="276" w:lineRule="auto"/>
        <w:ind w:right="249"/>
        <w:rPr>
          <w:spacing w:val="-2"/>
        </w:rPr>
      </w:pPr>
      <w:r w:rsidRPr="00D77CB9">
        <w:rPr>
          <w:spacing w:val="-2"/>
        </w:rPr>
        <w:t xml:space="preserve">To determine if respondents are reporting the retail price for residential customers only; </w:t>
      </w:r>
    </w:p>
    <w:p w14:paraId="655B3C0F" w14:textId="77777777" w:rsidR="00807AC0" w:rsidRPr="00D77CB9" w:rsidRDefault="00807AC0" w:rsidP="00807AC0">
      <w:pPr>
        <w:pStyle w:val="BodyText"/>
        <w:widowControl w:val="0"/>
        <w:numPr>
          <w:ilvl w:val="0"/>
          <w:numId w:val="37"/>
        </w:numPr>
        <w:spacing w:before="49" w:after="0" w:line="276" w:lineRule="auto"/>
        <w:ind w:right="249"/>
        <w:rPr>
          <w:spacing w:val="-2"/>
        </w:rPr>
      </w:pPr>
      <w:r w:rsidRPr="00D77CB9">
        <w:rPr>
          <w:spacing w:val="-2"/>
        </w:rPr>
        <w:t xml:space="preserve">To assess whether respondents are able to separate residential customers from their commercial and/or industrial customers; </w:t>
      </w:r>
    </w:p>
    <w:p w14:paraId="781C04FB" w14:textId="77777777" w:rsidR="00807AC0" w:rsidRPr="00D77CB9" w:rsidRDefault="00807AC0" w:rsidP="00807AC0">
      <w:pPr>
        <w:pStyle w:val="BodyText"/>
        <w:widowControl w:val="0"/>
        <w:numPr>
          <w:ilvl w:val="0"/>
          <w:numId w:val="37"/>
        </w:numPr>
        <w:spacing w:before="49" w:after="0" w:line="276" w:lineRule="auto"/>
        <w:ind w:right="249"/>
        <w:rPr>
          <w:spacing w:val="-2"/>
        </w:rPr>
      </w:pPr>
      <w:r w:rsidRPr="00D77CB9">
        <w:rPr>
          <w:spacing w:val="-2"/>
        </w:rPr>
        <w:t>To assess whether respondents are including any type of discount in the residential retail price they report every Monday;</w:t>
      </w:r>
      <w:r w:rsidRPr="00D77CB9" w:rsidDel="000E7D46">
        <w:rPr>
          <w:spacing w:val="-2"/>
        </w:rPr>
        <w:t xml:space="preserve"> </w:t>
      </w:r>
    </w:p>
    <w:p w14:paraId="65F802D9" w14:textId="77777777" w:rsidR="00807AC0" w:rsidRPr="00D77CB9" w:rsidRDefault="00807AC0" w:rsidP="00807AC0">
      <w:pPr>
        <w:pStyle w:val="BodyText"/>
        <w:widowControl w:val="0"/>
        <w:numPr>
          <w:ilvl w:val="0"/>
          <w:numId w:val="37"/>
        </w:numPr>
        <w:spacing w:before="49" w:after="0" w:line="276" w:lineRule="auto"/>
        <w:ind w:right="249"/>
        <w:rPr>
          <w:spacing w:val="-2"/>
        </w:rPr>
      </w:pPr>
      <w:r w:rsidRPr="00D77CB9">
        <w:rPr>
          <w:spacing w:val="-2"/>
        </w:rPr>
        <w:t>To determine how companies use contract prices and how these differ from the retail price they report; and</w:t>
      </w:r>
    </w:p>
    <w:p w14:paraId="76922DCC" w14:textId="77777777" w:rsidR="00807AC0" w:rsidRPr="00D77CB9" w:rsidRDefault="00807AC0" w:rsidP="00807AC0">
      <w:pPr>
        <w:pStyle w:val="BodyText"/>
        <w:widowControl w:val="0"/>
        <w:numPr>
          <w:ilvl w:val="0"/>
          <w:numId w:val="37"/>
        </w:numPr>
        <w:spacing w:before="49" w:after="0" w:line="276" w:lineRule="auto"/>
        <w:ind w:right="249"/>
        <w:rPr>
          <w:spacing w:val="-2"/>
        </w:rPr>
      </w:pPr>
      <w:r w:rsidRPr="00D77CB9">
        <w:rPr>
          <w:spacing w:val="-2"/>
        </w:rPr>
        <w:t>To check the burden per response on the form including how much time it takes respondents to report annual volumes.</w:t>
      </w:r>
    </w:p>
    <w:p w14:paraId="31FF093A" w14:textId="77777777" w:rsidR="002C47FE" w:rsidRPr="00D77CB9" w:rsidRDefault="002C47FE" w:rsidP="00F4147A">
      <w:pPr>
        <w:pStyle w:val="BodyText"/>
        <w:widowControl w:val="0"/>
        <w:spacing w:before="49" w:after="0" w:line="276" w:lineRule="auto"/>
        <w:ind w:left="820" w:right="249"/>
        <w:rPr>
          <w:spacing w:val="-2"/>
        </w:rPr>
      </w:pPr>
    </w:p>
    <w:p w14:paraId="60912E99" w14:textId="42138A88" w:rsidR="00807AC0" w:rsidRPr="00D77CB9" w:rsidRDefault="006A1AD9" w:rsidP="006A1AD9">
      <w:pPr>
        <w:spacing w:after="100" w:afterAutospacing="1" w:line="360" w:lineRule="auto"/>
        <w:rPr>
          <w:spacing w:val="-2"/>
        </w:rPr>
      </w:pPr>
      <w:r w:rsidRPr="00D77CB9">
        <w:rPr>
          <w:spacing w:val="-2"/>
        </w:rPr>
        <w:t xml:space="preserve">The findings from this research project show that most respondents to this survey, in general, correctly report their residential retail price offered to residential customers of No. 2 heating oil and propane every week </w:t>
      </w:r>
      <w:r w:rsidR="005176ED" w:rsidRPr="00D77CB9">
        <w:rPr>
          <w:spacing w:val="-2"/>
        </w:rPr>
        <w:t>exclusive of all discounts</w:t>
      </w:r>
      <w:r w:rsidRPr="00D77CB9">
        <w:rPr>
          <w:spacing w:val="-2"/>
        </w:rPr>
        <w:t xml:space="preserve">. </w:t>
      </w:r>
      <w:r w:rsidR="00807AC0" w:rsidRPr="00D77CB9">
        <w:rPr>
          <w:rFonts w:ascii="Calibri" w:eastAsia="Times New Roman" w:hAnsi="Calibri" w:cs="Times New Roman"/>
          <w:lang w:bidi="en-US"/>
        </w:rPr>
        <w:t xml:space="preserve">The </w:t>
      </w:r>
      <w:r w:rsidRPr="00D77CB9">
        <w:rPr>
          <w:rFonts w:ascii="Calibri" w:eastAsia="Times New Roman" w:hAnsi="Calibri" w:cs="Times New Roman"/>
          <w:lang w:bidi="en-US"/>
        </w:rPr>
        <w:t xml:space="preserve">interviews also </w:t>
      </w:r>
      <w:r w:rsidR="00807AC0" w:rsidRPr="00D77CB9">
        <w:rPr>
          <w:rFonts w:ascii="Calibri" w:eastAsia="Times New Roman" w:hAnsi="Calibri" w:cs="Times New Roman"/>
          <w:lang w:bidi="en-US"/>
        </w:rPr>
        <w:t>reveal</w:t>
      </w:r>
      <w:r w:rsidRPr="00D77CB9">
        <w:rPr>
          <w:rFonts w:ascii="Calibri" w:eastAsia="Times New Roman" w:hAnsi="Calibri" w:cs="Times New Roman"/>
          <w:lang w:bidi="en-US"/>
        </w:rPr>
        <w:t>ed</w:t>
      </w:r>
      <w:r w:rsidR="00807AC0" w:rsidRPr="00D77CB9">
        <w:rPr>
          <w:rFonts w:ascii="Calibri" w:eastAsia="Times New Roman" w:hAnsi="Calibri" w:cs="Times New Roman"/>
          <w:lang w:bidi="en-US"/>
        </w:rPr>
        <w:t xml:space="preserve"> that many </w:t>
      </w:r>
      <w:r w:rsidR="007237AA" w:rsidRPr="00D77CB9">
        <w:rPr>
          <w:rFonts w:ascii="Calibri" w:eastAsia="Times New Roman" w:hAnsi="Calibri" w:cs="Times New Roman"/>
          <w:lang w:bidi="en-US"/>
        </w:rPr>
        <w:t>respondents</w:t>
      </w:r>
      <w:r w:rsidR="00807AC0" w:rsidRPr="00D77CB9">
        <w:rPr>
          <w:rFonts w:ascii="Calibri" w:eastAsia="Times New Roman" w:hAnsi="Calibri" w:cs="Times New Roman"/>
          <w:lang w:bidi="en-US"/>
        </w:rPr>
        <w:t xml:space="preserve"> offer a contract price to their customers that is different from the retail price reported weekly on Form EIA-877. The contract price offered to residential customers is a predetermined price a customer pays for agreeing to purchase a certain quantity of heating fuel over a certain time period at a specific price. Participants indicated that these contracts are common in the industry for managing price risk and are a significant business element. As such, establishments that offer these contracts keep detailed records on the terms and price of their contracts, and are able to distinguish their contract price information from the residential retail price they report to EIA</w:t>
      </w:r>
      <w:r w:rsidR="00F85FE9" w:rsidRPr="00D77CB9">
        <w:rPr>
          <w:rFonts w:ascii="Calibri" w:eastAsia="Times New Roman" w:hAnsi="Calibri" w:cs="Times New Roman"/>
          <w:lang w:bidi="en-US"/>
        </w:rPr>
        <w:t xml:space="preserve"> on Form EIA-877</w:t>
      </w:r>
      <w:r w:rsidR="00807AC0" w:rsidRPr="00D77CB9">
        <w:rPr>
          <w:rFonts w:ascii="Calibri" w:eastAsia="Times New Roman" w:hAnsi="Calibri" w:cs="Times New Roman"/>
          <w:lang w:bidi="en-US"/>
        </w:rPr>
        <w:t>.</w:t>
      </w:r>
    </w:p>
    <w:p w14:paraId="0B8E5F46" w14:textId="77777777" w:rsidR="007E53C4" w:rsidRPr="00D77CB9" w:rsidRDefault="00844524" w:rsidP="00985552">
      <w:pPr>
        <w:pStyle w:val="Heading2"/>
        <w:rPr>
          <w:sz w:val="22"/>
          <w:szCs w:val="22"/>
        </w:rPr>
      </w:pPr>
      <w:bookmarkStart w:id="9" w:name="_Toc466046938"/>
      <w:r w:rsidRPr="00D77CB9">
        <w:rPr>
          <w:sz w:val="22"/>
          <w:szCs w:val="22"/>
        </w:rPr>
        <w:t>B.</w:t>
      </w:r>
      <w:r w:rsidR="00A41763" w:rsidRPr="00D77CB9">
        <w:rPr>
          <w:sz w:val="22"/>
          <w:szCs w:val="22"/>
        </w:rPr>
        <w:t xml:space="preserve">5. </w:t>
      </w:r>
      <w:r w:rsidR="007E53C4" w:rsidRPr="00D77CB9">
        <w:rPr>
          <w:sz w:val="22"/>
          <w:szCs w:val="22"/>
        </w:rPr>
        <w:t>Statistical Consultations</w:t>
      </w:r>
      <w:bookmarkEnd w:id="9"/>
    </w:p>
    <w:p w14:paraId="6FE9C1EA" w14:textId="08D44E3D" w:rsidR="00C74606" w:rsidRPr="00D77CB9" w:rsidRDefault="3F34BDD8" w:rsidP="005B4D4E">
      <w:pPr>
        <w:spacing w:after="0" w:line="360" w:lineRule="auto"/>
        <w:rPr>
          <w:rFonts w:ascii="Calibri" w:eastAsia="Times New Roman" w:hAnsi="Calibri" w:cs="Times New Roman"/>
          <w:lang w:bidi="en-US"/>
        </w:rPr>
      </w:pPr>
      <w:r w:rsidRPr="00D77CB9">
        <w:rPr>
          <w:rFonts w:ascii="Calibri" w:eastAsia="Times New Roman" w:hAnsi="Calibri" w:cs="Times New Roman"/>
          <w:lang w:bidi="en-US"/>
        </w:rPr>
        <w:t>Publicly</w:t>
      </w:r>
      <w:r w:rsidR="00C74606" w:rsidRPr="00D77CB9">
        <w:rPr>
          <w:rFonts w:ascii="Calibri" w:eastAsia="Times New Roman" w:hAnsi="Calibri" w:cs="Times New Roman"/>
          <w:lang w:bidi="en-US"/>
        </w:rPr>
        <w:t xml:space="preserve"> available studies and research papers prepared by EIA statisticians and contractors regarding surveys in the </w:t>
      </w:r>
      <w:r w:rsidR="002D767D" w:rsidRPr="00D77CB9">
        <w:rPr>
          <w:rFonts w:ascii="Calibri" w:eastAsia="Times New Roman" w:hAnsi="Calibri" w:cs="Times New Roman"/>
          <w:lang w:bidi="en-US"/>
        </w:rPr>
        <w:t>PMP</w:t>
      </w:r>
      <w:r w:rsidR="00C74606" w:rsidRPr="00D77CB9">
        <w:rPr>
          <w:rFonts w:ascii="Calibri" w:eastAsia="Times New Roman" w:hAnsi="Calibri" w:cs="Times New Roman"/>
          <w:lang w:bidi="en-US"/>
        </w:rPr>
        <w:t xml:space="preserve"> are available upon request. This list includes only publicly available reports. In addition, staff worked with contractor Z, Inc. to conduct a quality assessment in FY2011 which serves as a basis for future survey changes</w:t>
      </w:r>
      <w:r w:rsidR="00FA6B34" w:rsidRPr="00D77CB9">
        <w:rPr>
          <w:rFonts w:ascii="Calibri" w:eastAsia="Times New Roman" w:hAnsi="Calibri" w:cs="Times New Roman"/>
          <w:lang w:bidi="en-US"/>
        </w:rPr>
        <w:t>,</w:t>
      </w:r>
      <w:r w:rsidR="00C74606" w:rsidRPr="00D77CB9">
        <w:rPr>
          <w:rFonts w:ascii="Calibri" w:eastAsia="Times New Roman" w:hAnsi="Calibri" w:cs="Times New Roman"/>
          <w:lang w:bidi="en-US"/>
        </w:rPr>
        <w:t xml:space="preserve"> and with staff from the Office of Survey Development and Statistical Integration (SDSI) on cognitive testing of the surveys in the PMP.</w:t>
      </w:r>
    </w:p>
    <w:p w14:paraId="75C124C4" w14:textId="77777777" w:rsidR="00C74606" w:rsidRPr="00D77CB9" w:rsidRDefault="00C74606" w:rsidP="005B4D4E">
      <w:pPr>
        <w:spacing w:after="0" w:line="360" w:lineRule="auto"/>
        <w:rPr>
          <w:rFonts w:ascii="Calibri" w:eastAsia="Times New Roman" w:hAnsi="Calibri" w:cs="Times New Roman"/>
          <w:lang w:bidi="en-US"/>
        </w:rPr>
      </w:pPr>
    </w:p>
    <w:p w14:paraId="0DAC6FAA" w14:textId="5A421562" w:rsidR="00C74606" w:rsidRPr="00D77CB9" w:rsidRDefault="00C74606" w:rsidP="005B4D4E">
      <w:pPr>
        <w:spacing w:after="0" w:line="360" w:lineRule="auto"/>
        <w:rPr>
          <w:rFonts w:ascii="Calibri" w:eastAsia="Times New Roman" w:hAnsi="Calibri" w:cs="Times New Roman"/>
          <w:lang w:bidi="en-US"/>
        </w:rPr>
      </w:pPr>
      <w:r w:rsidRPr="00D77CB9">
        <w:rPr>
          <w:rFonts w:ascii="Calibri" w:eastAsia="Times New Roman" w:hAnsi="Calibri" w:cs="Times New Roman"/>
          <w:lang w:bidi="en-US"/>
        </w:rPr>
        <w:t>PMP staff met with numerous internal data users –</w:t>
      </w:r>
      <w:r w:rsidR="007C24DA" w:rsidRPr="00D77CB9">
        <w:rPr>
          <w:rFonts w:ascii="Calibri" w:eastAsia="Times New Roman" w:hAnsi="Calibri" w:cs="Times New Roman"/>
          <w:lang w:bidi="en-US"/>
        </w:rPr>
        <w:t xml:space="preserve"> </w:t>
      </w:r>
      <w:r w:rsidR="00654C8F" w:rsidRPr="00D77CB9">
        <w:rPr>
          <w:rFonts w:ascii="Calibri" w:eastAsia="Times New Roman" w:hAnsi="Calibri" w:cs="Times New Roman"/>
          <w:lang w:bidi="en-US"/>
        </w:rPr>
        <w:t>Annual Energy</w:t>
      </w:r>
      <w:r w:rsidR="00B03B76" w:rsidRPr="00D77CB9">
        <w:rPr>
          <w:rFonts w:ascii="Calibri" w:eastAsia="Times New Roman" w:hAnsi="Calibri" w:cs="Times New Roman"/>
          <w:lang w:bidi="en-US"/>
        </w:rPr>
        <w:t xml:space="preserve"> Outlook (</w:t>
      </w:r>
      <w:r w:rsidRPr="00D77CB9">
        <w:rPr>
          <w:rFonts w:ascii="Calibri" w:eastAsia="Times New Roman" w:hAnsi="Calibri" w:cs="Times New Roman"/>
          <w:lang w:bidi="en-US"/>
        </w:rPr>
        <w:t>AEO</w:t>
      </w:r>
      <w:r w:rsidR="00B03B76" w:rsidRPr="00D77CB9">
        <w:rPr>
          <w:rFonts w:ascii="Calibri" w:eastAsia="Times New Roman" w:hAnsi="Calibri" w:cs="Times New Roman"/>
          <w:lang w:bidi="en-US"/>
        </w:rPr>
        <w:t>)</w:t>
      </w:r>
      <w:r w:rsidRPr="00D77CB9">
        <w:rPr>
          <w:rFonts w:ascii="Calibri" w:eastAsia="Times New Roman" w:hAnsi="Calibri" w:cs="Times New Roman"/>
          <w:lang w:bidi="en-US"/>
        </w:rPr>
        <w:t>, I</w:t>
      </w:r>
      <w:r w:rsidR="00B03B76" w:rsidRPr="00D77CB9">
        <w:rPr>
          <w:rFonts w:ascii="Calibri" w:eastAsia="Times New Roman" w:hAnsi="Calibri" w:cs="Times New Roman"/>
          <w:lang w:bidi="en-US"/>
        </w:rPr>
        <w:t xml:space="preserve">nternational </w:t>
      </w:r>
      <w:r w:rsidRPr="00D77CB9">
        <w:rPr>
          <w:rFonts w:ascii="Calibri" w:eastAsia="Times New Roman" w:hAnsi="Calibri" w:cs="Times New Roman"/>
          <w:lang w:bidi="en-US"/>
        </w:rPr>
        <w:t>E</w:t>
      </w:r>
      <w:r w:rsidR="00B03B76" w:rsidRPr="00D77CB9">
        <w:rPr>
          <w:rFonts w:ascii="Calibri" w:eastAsia="Times New Roman" w:hAnsi="Calibri" w:cs="Times New Roman"/>
          <w:lang w:bidi="en-US"/>
        </w:rPr>
        <w:t>nergy Outlook (</w:t>
      </w:r>
      <w:r w:rsidRPr="00D77CB9">
        <w:rPr>
          <w:rFonts w:ascii="Calibri" w:eastAsia="Times New Roman" w:hAnsi="Calibri" w:cs="Times New Roman"/>
          <w:lang w:bidi="en-US"/>
        </w:rPr>
        <w:t>IEO</w:t>
      </w:r>
      <w:r w:rsidR="00B03B76" w:rsidRPr="00D77CB9">
        <w:rPr>
          <w:rFonts w:ascii="Calibri" w:eastAsia="Times New Roman" w:hAnsi="Calibri" w:cs="Times New Roman"/>
          <w:lang w:bidi="en-US"/>
        </w:rPr>
        <w:t>)</w:t>
      </w:r>
      <w:r w:rsidRPr="00D77CB9">
        <w:rPr>
          <w:rFonts w:ascii="Calibri" w:eastAsia="Times New Roman" w:hAnsi="Calibri" w:cs="Times New Roman"/>
          <w:lang w:bidi="en-US"/>
        </w:rPr>
        <w:t xml:space="preserve">, </w:t>
      </w:r>
      <w:r w:rsidR="00B03B76" w:rsidRPr="00D77CB9">
        <w:rPr>
          <w:rFonts w:ascii="Calibri" w:eastAsia="Times New Roman" w:hAnsi="Calibri" w:cs="Times New Roman"/>
          <w:lang w:bidi="en-US"/>
        </w:rPr>
        <w:t>Short-Term Energy Outlook (STEO</w:t>
      </w:r>
      <w:r w:rsidR="00654C8F" w:rsidRPr="00D77CB9">
        <w:rPr>
          <w:rFonts w:ascii="Calibri" w:eastAsia="Times New Roman" w:hAnsi="Calibri" w:cs="Times New Roman"/>
          <w:lang w:bidi="en-US"/>
        </w:rPr>
        <w:t>),</w:t>
      </w:r>
      <w:r w:rsidR="00B03B76" w:rsidRPr="00D77CB9">
        <w:rPr>
          <w:rFonts w:ascii="Calibri" w:eastAsia="Times New Roman" w:hAnsi="Calibri" w:cs="Times New Roman"/>
          <w:lang w:bidi="en-US"/>
        </w:rPr>
        <w:t xml:space="preserve"> and </w:t>
      </w:r>
      <w:r w:rsidRPr="00D77CB9">
        <w:rPr>
          <w:rFonts w:ascii="Calibri" w:eastAsia="Times New Roman" w:hAnsi="Calibri" w:cs="Times New Roman"/>
          <w:lang w:bidi="en-US"/>
        </w:rPr>
        <w:t>S</w:t>
      </w:r>
      <w:r w:rsidR="00B03B76" w:rsidRPr="00D77CB9">
        <w:rPr>
          <w:rFonts w:ascii="Calibri" w:eastAsia="Times New Roman" w:hAnsi="Calibri" w:cs="Times New Roman"/>
          <w:lang w:bidi="en-US"/>
        </w:rPr>
        <w:t xml:space="preserve">tate </w:t>
      </w:r>
      <w:r w:rsidRPr="00D77CB9">
        <w:rPr>
          <w:rFonts w:ascii="Calibri" w:eastAsia="Times New Roman" w:hAnsi="Calibri" w:cs="Times New Roman"/>
          <w:lang w:bidi="en-US"/>
        </w:rPr>
        <w:t>E</w:t>
      </w:r>
      <w:r w:rsidR="00B03B76" w:rsidRPr="00D77CB9">
        <w:rPr>
          <w:rFonts w:ascii="Calibri" w:eastAsia="Times New Roman" w:hAnsi="Calibri" w:cs="Times New Roman"/>
          <w:lang w:bidi="en-US"/>
        </w:rPr>
        <w:t xml:space="preserve">nergy </w:t>
      </w:r>
      <w:r w:rsidRPr="00D77CB9">
        <w:rPr>
          <w:rFonts w:ascii="Calibri" w:eastAsia="Times New Roman" w:hAnsi="Calibri" w:cs="Times New Roman"/>
          <w:lang w:bidi="en-US"/>
        </w:rPr>
        <w:t>D</w:t>
      </w:r>
      <w:r w:rsidR="00B03B76" w:rsidRPr="00D77CB9">
        <w:rPr>
          <w:rFonts w:ascii="Calibri" w:eastAsia="Times New Roman" w:hAnsi="Calibri" w:cs="Times New Roman"/>
          <w:lang w:bidi="en-US"/>
        </w:rPr>
        <w:t xml:space="preserve">atabase </w:t>
      </w:r>
      <w:r w:rsidRPr="00D77CB9">
        <w:rPr>
          <w:rFonts w:ascii="Calibri" w:eastAsia="Times New Roman" w:hAnsi="Calibri" w:cs="Times New Roman"/>
          <w:lang w:bidi="en-US"/>
        </w:rPr>
        <w:t>S</w:t>
      </w:r>
      <w:r w:rsidR="00B03B76" w:rsidRPr="00D77CB9">
        <w:rPr>
          <w:rFonts w:ascii="Calibri" w:eastAsia="Times New Roman" w:hAnsi="Calibri" w:cs="Times New Roman"/>
          <w:lang w:bidi="en-US"/>
        </w:rPr>
        <w:t>ystem (</w:t>
      </w:r>
      <w:r w:rsidRPr="00D77CB9">
        <w:rPr>
          <w:rFonts w:ascii="Calibri" w:eastAsia="Times New Roman" w:hAnsi="Calibri" w:cs="Times New Roman"/>
          <w:lang w:bidi="en-US"/>
        </w:rPr>
        <w:t>SEDS</w:t>
      </w:r>
      <w:r w:rsidR="00B03B76" w:rsidRPr="00D77CB9">
        <w:rPr>
          <w:rFonts w:ascii="Calibri" w:eastAsia="Times New Roman" w:hAnsi="Calibri" w:cs="Times New Roman"/>
          <w:lang w:bidi="en-US"/>
        </w:rPr>
        <w:t>)</w:t>
      </w:r>
      <w:r w:rsidRPr="00D77CB9">
        <w:rPr>
          <w:rFonts w:ascii="Calibri" w:eastAsia="Times New Roman" w:hAnsi="Calibri" w:cs="Times New Roman"/>
          <w:lang w:bidi="en-US"/>
        </w:rPr>
        <w:t xml:space="preserve"> - to consider their needs. In addition, staff also gave presentations at the following conferences to obtain feedback from data users: </w:t>
      </w:r>
    </w:p>
    <w:p w14:paraId="2B4474FF" w14:textId="77777777" w:rsidR="00C74606" w:rsidRPr="00D77CB9"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D77CB9">
        <w:rPr>
          <w:rFonts w:ascii="Calibri" w:eastAsia="Times New Roman" w:hAnsi="Calibri" w:cs="Times New Roman"/>
          <w:lang w:bidi="en-US"/>
        </w:rPr>
        <w:t>American Statistical Association (ASA) Conference (2009 and 2010)</w:t>
      </w:r>
    </w:p>
    <w:p w14:paraId="7C4922DD" w14:textId="77777777" w:rsidR="00C74606" w:rsidRPr="00D77CB9"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D77CB9">
        <w:rPr>
          <w:rFonts w:ascii="Calibri" w:eastAsia="Times New Roman" w:hAnsi="Calibri" w:cs="Times New Roman"/>
          <w:lang w:bidi="en-US"/>
        </w:rPr>
        <w:t>State Energy Data Needs Workshop (2009)</w:t>
      </w:r>
    </w:p>
    <w:p w14:paraId="1CCB7C63" w14:textId="77777777" w:rsidR="00C74606" w:rsidRPr="00D77CB9"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D77CB9">
        <w:rPr>
          <w:rFonts w:ascii="Calibri" w:eastAsia="Times New Roman" w:hAnsi="Calibri" w:cs="Times New Roman"/>
          <w:lang w:bidi="en-US"/>
        </w:rPr>
        <w:t>Energy Markets and Financial Initiative (2010)</w:t>
      </w:r>
    </w:p>
    <w:p w14:paraId="456F9E6F" w14:textId="77777777" w:rsidR="00C74606" w:rsidRPr="00D77CB9"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D77CB9">
        <w:rPr>
          <w:rFonts w:ascii="Calibri" w:eastAsia="Times New Roman" w:hAnsi="Calibri" w:cs="Times New Roman"/>
          <w:lang w:bidi="en-US"/>
        </w:rPr>
        <w:t xml:space="preserve">EIA’s Annual Energy Conference (2011) </w:t>
      </w:r>
    </w:p>
    <w:p w14:paraId="661DD234" w14:textId="77777777" w:rsidR="00C74606" w:rsidRPr="00D77CB9"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D77CB9">
        <w:rPr>
          <w:rFonts w:ascii="Calibri" w:eastAsia="Times New Roman" w:hAnsi="Calibri" w:cs="Times New Roman"/>
          <w:lang w:bidi="en-US"/>
        </w:rPr>
        <w:t>Kauffman Foundation Forum on Establishment Surveys (2011)</w:t>
      </w:r>
    </w:p>
    <w:p w14:paraId="2115F27A" w14:textId="77777777" w:rsidR="00C74606" w:rsidRPr="00D77CB9"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D77CB9">
        <w:rPr>
          <w:rFonts w:ascii="Calibri" w:eastAsia="Times New Roman" w:hAnsi="Calibri" w:cs="Times New Roman"/>
          <w:lang w:bidi="en-US"/>
        </w:rPr>
        <w:t>Federal Committee for Statistics and Methodology - FCSM (2012)</w:t>
      </w:r>
    </w:p>
    <w:p w14:paraId="62040723" w14:textId="77777777" w:rsidR="00C74606" w:rsidRPr="00D77CB9" w:rsidRDefault="00C74606" w:rsidP="005B4D4E">
      <w:pPr>
        <w:numPr>
          <w:ilvl w:val="0"/>
          <w:numId w:val="10"/>
        </w:numPr>
        <w:spacing w:before="200" w:after="0" w:line="360" w:lineRule="auto"/>
        <w:ind w:left="720"/>
        <w:contextualSpacing/>
        <w:rPr>
          <w:rFonts w:ascii="Calibri" w:eastAsia="Times New Roman" w:hAnsi="Calibri" w:cs="Times New Roman"/>
          <w:lang w:bidi="en-US"/>
        </w:rPr>
      </w:pPr>
      <w:r w:rsidRPr="00D77CB9">
        <w:rPr>
          <w:rFonts w:ascii="Calibri" w:eastAsia="Times New Roman" w:hAnsi="Calibri" w:cs="Times New Roman"/>
          <w:lang w:bidi="en-US"/>
        </w:rPr>
        <w:t>FCSM Statistical Policy Conference (2016)</w:t>
      </w:r>
    </w:p>
    <w:p w14:paraId="42EEE768" w14:textId="43FB9787" w:rsidR="00704FFA" w:rsidRPr="00D77CB9" w:rsidRDefault="00704FFA" w:rsidP="005B4D4E">
      <w:pPr>
        <w:numPr>
          <w:ilvl w:val="0"/>
          <w:numId w:val="10"/>
        </w:numPr>
        <w:spacing w:before="200" w:after="0" w:line="360" w:lineRule="auto"/>
        <w:ind w:left="720"/>
        <w:contextualSpacing/>
        <w:rPr>
          <w:rFonts w:ascii="Calibri" w:eastAsia="Times New Roman" w:hAnsi="Calibri" w:cs="Times New Roman"/>
          <w:lang w:bidi="en-US"/>
        </w:rPr>
      </w:pPr>
      <w:r w:rsidRPr="00D77CB9">
        <w:rPr>
          <w:rFonts w:ascii="Calibri" w:eastAsia="Times New Roman" w:hAnsi="Calibri" w:cs="Times New Roman"/>
          <w:lang w:bidi="en-US"/>
        </w:rPr>
        <w:t>FCSM Research and Policy Conference (2018)</w:t>
      </w:r>
    </w:p>
    <w:p w14:paraId="477B4E10" w14:textId="746A37E5" w:rsidR="00651A8A" w:rsidRPr="00D77CB9" w:rsidRDefault="00651A8A" w:rsidP="005B4D4E">
      <w:pPr>
        <w:numPr>
          <w:ilvl w:val="0"/>
          <w:numId w:val="10"/>
        </w:numPr>
        <w:spacing w:before="200" w:after="0" w:line="360" w:lineRule="auto"/>
        <w:ind w:left="720"/>
        <w:contextualSpacing/>
        <w:rPr>
          <w:rFonts w:ascii="Calibri" w:eastAsia="Times New Roman" w:hAnsi="Calibri" w:cs="Times New Roman"/>
          <w:lang w:bidi="en-US"/>
        </w:rPr>
      </w:pPr>
      <w:r w:rsidRPr="00D77CB9">
        <w:rPr>
          <w:rFonts w:ascii="Calibri" w:eastAsia="Times New Roman" w:hAnsi="Calibri" w:cs="Times New Roman"/>
          <w:lang w:bidi="en-US"/>
        </w:rPr>
        <w:t>Joint Statistical Meetings – American Statistical Association (2018)</w:t>
      </w:r>
    </w:p>
    <w:p w14:paraId="4F92BB3B" w14:textId="77777777" w:rsidR="00C74606" w:rsidRPr="00D77CB9" w:rsidRDefault="00C74606" w:rsidP="00C74606">
      <w:pPr>
        <w:spacing w:after="0" w:line="360" w:lineRule="auto"/>
        <w:rPr>
          <w:rFonts w:ascii="Calibri" w:eastAsia="Times New Roman" w:hAnsi="Calibri" w:cs="Times New Roman"/>
          <w:lang w:bidi="en-US"/>
        </w:rPr>
      </w:pPr>
    </w:p>
    <w:p w14:paraId="4B25A764" w14:textId="77777777" w:rsidR="00C74606" w:rsidRPr="00D77CB9" w:rsidRDefault="00C74606" w:rsidP="005B4D4E">
      <w:pPr>
        <w:spacing w:after="0" w:line="360" w:lineRule="auto"/>
        <w:rPr>
          <w:rFonts w:ascii="Calibri" w:eastAsia="Times New Roman" w:hAnsi="Calibri" w:cs="Times New Roman"/>
          <w:lang w:bidi="en-US"/>
        </w:rPr>
      </w:pPr>
      <w:r w:rsidRPr="00D77CB9">
        <w:rPr>
          <w:rFonts w:ascii="Calibri" w:eastAsia="Times New Roman" w:hAnsi="Calibri" w:cs="Times New Roman"/>
          <w:lang w:bidi="en-US"/>
        </w:rPr>
        <w:t>Contact for the Petroleum Marketing Program: Ms. Tammy Heppner, Supervisory Statistician, Office of Petroleum and Biofuels Statistics (PBS),</w:t>
      </w:r>
      <w:r w:rsidRPr="00D77CB9" w:rsidDel="009A6B52">
        <w:rPr>
          <w:rFonts w:ascii="Calibri" w:eastAsia="Times New Roman" w:hAnsi="Calibri" w:cs="Times New Roman"/>
          <w:lang w:bidi="en-US"/>
        </w:rPr>
        <w:t xml:space="preserve"> </w:t>
      </w:r>
      <w:r w:rsidRPr="00D77CB9">
        <w:rPr>
          <w:rFonts w:ascii="Calibri" w:eastAsia="Times New Roman" w:hAnsi="Calibri" w:cs="Times New Roman"/>
          <w:lang w:bidi="en-US"/>
        </w:rPr>
        <w:t>202-586-4748.</w:t>
      </w:r>
    </w:p>
    <w:p w14:paraId="7E9382D0" w14:textId="77777777" w:rsidR="00AA368F" w:rsidRPr="00D77CB9" w:rsidRDefault="00AA368F" w:rsidP="005B4D4E">
      <w:pPr>
        <w:spacing w:after="0" w:line="360" w:lineRule="auto"/>
        <w:rPr>
          <w:rFonts w:ascii="Calibri" w:eastAsia="Times New Roman" w:hAnsi="Calibri" w:cs="Times New Roman"/>
          <w:lang w:bidi="en-US"/>
        </w:rPr>
      </w:pPr>
    </w:p>
    <w:p w14:paraId="7C0E5D72" w14:textId="303FDD78" w:rsidR="00C74606" w:rsidRPr="00D77CB9" w:rsidRDefault="00C74606" w:rsidP="005B4D4E">
      <w:pPr>
        <w:spacing w:after="0" w:line="360" w:lineRule="auto"/>
        <w:rPr>
          <w:rFonts w:ascii="Calibri" w:eastAsia="Times New Roman" w:hAnsi="Calibri" w:cs="Times New Roman"/>
          <w:lang w:bidi="en-US"/>
        </w:rPr>
      </w:pPr>
      <w:r w:rsidRPr="00D77CB9">
        <w:rPr>
          <w:rFonts w:ascii="Calibri" w:eastAsia="Times New Roman" w:hAnsi="Calibri" w:cs="Times New Roman"/>
          <w:lang w:bidi="en-US"/>
        </w:rPr>
        <w:t xml:space="preserve">For information concerning this request for OMB approval, please contact the agency Forms Clearance Officer </w:t>
      </w:r>
      <w:r w:rsidR="002C4230" w:rsidRPr="00D77CB9">
        <w:rPr>
          <w:rFonts w:ascii="Calibri" w:eastAsia="Times New Roman" w:hAnsi="Calibri" w:cs="Times New Roman"/>
          <w:lang w:bidi="en-US"/>
        </w:rPr>
        <w:t>Faouzi</w:t>
      </w:r>
      <w:r w:rsidR="00A833E3">
        <w:rPr>
          <w:rFonts w:ascii="Calibri" w:eastAsia="Times New Roman" w:hAnsi="Calibri" w:cs="Times New Roman"/>
          <w:lang w:bidi="en-US"/>
        </w:rPr>
        <w:t xml:space="preserve"> </w:t>
      </w:r>
      <w:r w:rsidR="00A833E3" w:rsidRPr="00D77CB9">
        <w:rPr>
          <w:rFonts w:ascii="Calibri" w:eastAsia="Times New Roman" w:hAnsi="Calibri" w:cs="Times New Roman"/>
          <w:lang w:bidi="en-US"/>
        </w:rPr>
        <w:t>Aloulou</w:t>
      </w:r>
      <w:r w:rsidRPr="00D77CB9">
        <w:rPr>
          <w:rFonts w:ascii="Calibri" w:eastAsia="Times New Roman" w:hAnsi="Calibri" w:cs="Times New Roman"/>
          <w:lang w:bidi="en-US"/>
        </w:rPr>
        <w:t>, at 202-586-</w:t>
      </w:r>
      <w:r w:rsidR="00F763C8" w:rsidRPr="00D77CB9">
        <w:rPr>
          <w:rFonts w:ascii="Calibri" w:eastAsia="Times New Roman" w:hAnsi="Calibri" w:cs="Times New Roman"/>
          <w:lang w:bidi="en-US"/>
        </w:rPr>
        <w:t>1344</w:t>
      </w:r>
      <w:r w:rsidRPr="00D77CB9">
        <w:rPr>
          <w:rFonts w:ascii="Calibri" w:eastAsia="Times New Roman" w:hAnsi="Calibri" w:cs="Times New Roman"/>
          <w:lang w:bidi="en-US"/>
        </w:rPr>
        <w:t xml:space="preserve">, or </w:t>
      </w:r>
      <w:r w:rsidR="00A833E3">
        <w:rPr>
          <w:rFonts w:ascii="Calibri" w:eastAsia="Times New Roman" w:hAnsi="Calibri" w:cs="Times New Roman"/>
          <w:color w:val="0070C0"/>
          <w:lang w:bidi="en-US"/>
        </w:rPr>
        <w:t>f</w:t>
      </w:r>
      <w:r w:rsidR="00F763C8" w:rsidRPr="00A833E3">
        <w:rPr>
          <w:rFonts w:ascii="Calibri" w:eastAsia="Times New Roman" w:hAnsi="Calibri" w:cs="Times New Roman"/>
          <w:color w:val="0070C0"/>
          <w:lang w:bidi="en-US"/>
        </w:rPr>
        <w:t>aouzi.</w:t>
      </w:r>
      <w:r w:rsidR="00A833E3">
        <w:rPr>
          <w:rFonts w:ascii="Calibri" w:eastAsia="Times New Roman" w:hAnsi="Calibri" w:cs="Times New Roman"/>
          <w:color w:val="0070C0"/>
          <w:lang w:bidi="en-US"/>
        </w:rPr>
        <w:t>a</w:t>
      </w:r>
      <w:r w:rsidR="00F763C8" w:rsidRPr="00A833E3">
        <w:rPr>
          <w:rFonts w:ascii="Calibri" w:eastAsia="Times New Roman" w:hAnsi="Calibri" w:cs="Times New Roman"/>
          <w:color w:val="0070C0"/>
          <w:lang w:bidi="en-US"/>
        </w:rPr>
        <w:t>loulou@eia.gov</w:t>
      </w:r>
      <w:r w:rsidRPr="00D77CB9">
        <w:rPr>
          <w:rFonts w:ascii="Calibri" w:eastAsia="Times New Roman" w:hAnsi="Calibri" w:cs="Times New Roman"/>
          <w:lang w:bidi="en-US"/>
        </w:rPr>
        <w:t>.</w:t>
      </w:r>
    </w:p>
    <w:p w14:paraId="4E23D03B" w14:textId="77777777" w:rsidR="00980B6A" w:rsidRPr="00D77CB9" w:rsidRDefault="00980B6A" w:rsidP="00C74606"/>
    <w:sectPr w:rsidR="00980B6A" w:rsidRPr="00D77CB9" w:rsidSect="008F4CBD">
      <w:headerReference w:type="even" r:id="rId30"/>
      <w:headerReference w:type="default" r:id="rId31"/>
      <w:footerReference w:type="even" r:id="rId32"/>
      <w:headerReference w:type="first" r:id="rId33"/>
      <w:footerReference w:type="first" r:id="rId3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53808" w14:textId="77777777" w:rsidR="00844344" w:rsidRDefault="00844344" w:rsidP="00536CE1">
      <w:pPr>
        <w:spacing w:after="0" w:line="240" w:lineRule="auto"/>
      </w:pPr>
      <w:r>
        <w:separator/>
      </w:r>
    </w:p>
  </w:endnote>
  <w:endnote w:type="continuationSeparator" w:id="0">
    <w:p w14:paraId="103DEF7B" w14:textId="77777777" w:rsidR="00844344" w:rsidRDefault="00844344" w:rsidP="00536CE1">
      <w:pPr>
        <w:spacing w:after="0" w:line="240" w:lineRule="auto"/>
      </w:pPr>
      <w:r>
        <w:continuationSeparator/>
      </w:r>
    </w:p>
  </w:endnote>
  <w:endnote w:type="continuationNotice" w:id="1">
    <w:p w14:paraId="60C9A8D2" w14:textId="77777777" w:rsidR="00844344" w:rsidRDefault="00844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4A800" w14:textId="77777777" w:rsidR="0042629E" w:rsidRDefault="00426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6C37A" w14:textId="778B968F" w:rsidR="00844344" w:rsidRPr="001F3A8F" w:rsidRDefault="00844344" w:rsidP="00616E46">
    <w:pPr>
      <w:pStyle w:val="Footer"/>
      <w:tabs>
        <w:tab w:val="clear" w:pos="9720"/>
        <w:tab w:val="left" w:pos="8655"/>
      </w:tabs>
    </w:pPr>
    <w:r w:rsidRPr="00CB180D">
      <w:t>U.S. Energy Information Administration   |</w:t>
    </w:r>
    <w:r>
      <w:t xml:space="preserve">   </w:t>
    </w:r>
    <w:sdt>
      <w:sdtPr>
        <w:alias w:val="Title"/>
        <w:tag w:val=""/>
        <w:id w:val="94826136"/>
        <w:dataBinding w:prefixMappings="xmlns:ns0='http://purl.org/dc/elements/1.1/' xmlns:ns1='http://schemas.openxmlformats.org/package/2006/metadata/core-properties' " w:xpath="/ns1:coreProperties[1]/ns0:title[1]" w:storeItemID="{6C3C8BC8-F283-45AE-878A-BAB7291924A1}"/>
        <w:text/>
      </w:sdtPr>
      <w:sdtEndPr/>
      <w:sdtContent>
        <w:r>
          <w:t>Supporting Statement for Petroleum Marketing Program</w:t>
        </w:r>
      </w:sdtContent>
    </w:sdt>
    <w:r>
      <w:t xml:space="preserve"> </w:t>
    </w:r>
    <w:r>
      <w:tab/>
      <w:t xml:space="preserve"> </w:t>
    </w:r>
    <w:r>
      <w:fldChar w:fldCharType="begin"/>
    </w:r>
    <w:r>
      <w:instrText xml:space="preserve"> PAGE   \* MERGEFORMAT </w:instrText>
    </w:r>
    <w:r>
      <w:fldChar w:fldCharType="separate"/>
    </w:r>
    <w:r w:rsidR="004B4066">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23E" w14:textId="77777777" w:rsidR="0042629E" w:rsidRDefault="004262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CFAA0" w14:textId="77777777" w:rsidR="00844344" w:rsidRDefault="004B4066" w:rsidP="00760677">
    <w:pPr>
      <w:pStyle w:val="Footer"/>
    </w:pPr>
    <w:sdt>
      <w:sdtPr>
        <w:id w:val="37707256"/>
        <w:docPartObj>
          <w:docPartGallery w:val="Page Numbers (Bottom of Page)"/>
          <w:docPartUnique/>
        </w:docPartObj>
      </w:sdtPr>
      <w:sdtEndPr/>
      <w:sdtContent>
        <w:r w:rsidR="00844344"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844344">
              <w:t>Improving the Quality and Scope of EIA Data</w:t>
            </w:r>
          </w:sdtContent>
        </w:sdt>
        <w:r w:rsidR="00844344" w:rsidRPr="00CB180D">
          <w:tab/>
        </w:r>
      </w:sdtContent>
    </w:sdt>
    <w:r w:rsidR="00844344" w:rsidRPr="00760677">
      <w:t xml:space="preserve"> </w:t>
    </w:r>
    <w:r w:rsidR="00844344">
      <w:fldChar w:fldCharType="begin"/>
    </w:r>
    <w:r w:rsidR="00844344">
      <w:instrText xml:space="preserve"> PAGE   \* MERGEFORMAT </w:instrText>
    </w:r>
    <w:r w:rsidR="00844344">
      <w:fldChar w:fldCharType="separate"/>
    </w:r>
    <w:r w:rsidR="00844344">
      <w:rPr>
        <w:noProof/>
      </w:rPr>
      <w:t>i</w:t>
    </w:r>
    <w:r w:rsidR="00844344">
      <w:rPr>
        <w:noProof/>
      </w:rPr>
      <w:fldChar w:fldCharType="end"/>
    </w:r>
  </w:p>
  <w:p w14:paraId="2157A2D2" w14:textId="77777777" w:rsidR="00844344" w:rsidRDefault="008443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8D766" w14:textId="77777777" w:rsidR="00844344" w:rsidRDefault="004B4066" w:rsidP="00760677">
    <w:pPr>
      <w:pStyle w:val="Footer"/>
    </w:pPr>
    <w:sdt>
      <w:sdtPr>
        <w:id w:val="1300337987"/>
        <w:docPartObj>
          <w:docPartGallery w:val="Page Numbers (Bottom of Page)"/>
          <w:docPartUnique/>
        </w:docPartObj>
      </w:sdtPr>
      <w:sdtEndPr/>
      <w:sdtContent>
        <w:r w:rsidR="00844344"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844344">
              <w:t>Improving the Quality and Scope of EIA Data</w:t>
            </w:r>
          </w:sdtContent>
        </w:sdt>
        <w:r w:rsidR="00844344" w:rsidRPr="00CB180D">
          <w:tab/>
        </w:r>
      </w:sdtContent>
    </w:sdt>
    <w:r w:rsidR="00844344" w:rsidRPr="00760677">
      <w:t xml:space="preserve"> </w:t>
    </w:r>
    <w:r w:rsidR="00844344">
      <w:fldChar w:fldCharType="begin"/>
    </w:r>
    <w:r w:rsidR="00844344">
      <w:instrText xml:space="preserve"> PAGE   \* MERGEFORMAT </w:instrText>
    </w:r>
    <w:r w:rsidR="00844344">
      <w:fldChar w:fldCharType="separate"/>
    </w:r>
    <w:r w:rsidR="00844344">
      <w:rPr>
        <w:noProof/>
      </w:rPr>
      <w:t>ii</w:t>
    </w:r>
    <w:r w:rsidR="00844344">
      <w:rPr>
        <w:noProof/>
      </w:rPr>
      <w:fldChar w:fldCharType="end"/>
    </w:r>
  </w:p>
  <w:p w14:paraId="4A9C48E8" w14:textId="77777777" w:rsidR="00844344" w:rsidRDefault="00844344"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384288B3" w14:textId="77777777" w:rsidR="00844344" w:rsidRDefault="00844344"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46F41" w14:textId="77777777" w:rsidR="00844344" w:rsidRDefault="004B4066" w:rsidP="00760677">
    <w:pPr>
      <w:pStyle w:val="Footer"/>
    </w:pPr>
    <w:sdt>
      <w:sdtPr>
        <w:id w:val="1705557553"/>
        <w:docPartObj>
          <w:docPartGallery w:val="Page Numbers (Bottom of Page)"/>
          <w:docPartUnique/>
        </w:docPartObj>
      </w:sdtPr>
      <w:sdtEndPr/>
      <w:sdtContent>
        <w:r w:rsidR="00844344"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844344">
              <w:t>Improving the Quality and Scope of EIA Data</w:t>
            </w:r>
          </w:sdtContent>
        </w:sdt>
        <w:r w:rsidR="00844344" w:rsidRPr="00CB180D">
          <w:tab/>
        </w:r>
      </w:sdtContent>
    </w:sdt>
    <w:r w:rsidR="00844344" w:rsidRPr="00760677">
      <w:t xml:space="preserve"> </w:t>
    </w:r>
    <w:r w:rsidR="00844344">
      <w:fldChar w:fldCharType="begin"/>
    </w:r>
    <w:r w:rsidR="00844344">
      <w:instrText xml:space="preserve"> PAGE   \* MERGEFORMAT </w:instrText>
    </w:r>
    <w:r w:rsidR="00844344">
      <w:fldChar w:fldCharType="separate"/>
    </w:r>
    <w:r w:rsidR="00844344">
      <w:rPr>
        <w:noProof/>
      </w:rPr>
      <w:t>1</w:t>
    </w:r>
    <w:r w:rsidR="00844344">
      <w:rPr>
        <w:noProof/>
      </w:rPr>
      <w:fldChar w:fldCharType="end"/>
    </w:r>
  </w:p>
  <w:p w14:paraId="607CE7E8" w14:textId="77777777" w:rsidR="00844344" w:rsidRDefault="00844344"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58116" w14:textId="77777777" w:rsidR="00844344" w:rsidRDefault="00844344" w:rsidP="00536CE1">
      <w:pPr>
        <w:spacing w:after="0" w:line="240" w:lineRule="auto"/>
      </w:pPr>
      <w:r>
        <w:separator/>
      </w:r>
    </w:p>
  </w:footnote>
  <w:footnote w:type="continuationSeparator" w:id="0">
    <w:p w14:paraId="39D72118" w14:textId="77777777" w:rsidR="00844344" w:rsidRDefault="00844344" w:rsidP="00536CE1">
      <w:pPr>
        <w:spacing w:after="0" w:line="240" w:lineRule="auto"/>
      </w:pPr>
      <w:r>
        <w:continuationSeparator/>
      </w:r>
    </w:p>
  </w:footnote>
  <w:footnote w:type="continuationNotice" w:id="1">
    <w:p w14:paraId="3B032D01" w14:textId="77777777" w:rsidR="00844344" w:rsidRDefault="0084434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1BD5F" w14:textId="77777777" w:rsidR="0042629E" w:rsidRDefault="004262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3DFF2" w14:textId="77777777" w:rsidR="00844344" w:rsidRDefault="00844344" w:rsidP="0072545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474DF" w14:textId="77777777" w:rsidR="0042629E" w:rsidRDefault="004262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D049A" w14:textId="77777777" w:rsidR="00844344" w:rsidRPr="00373208" w:rsidRDefault="00844344" w:rsidP="00041909">
    <w:pPr>
      <w:pStyle w:val="Header"/>
    </w:pPr>
    <w:r>
      <w:t>September 2011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5A4E5" w14:textId="39483FEE" w:rsidR="00844344" w:rsidRPr="00F8298C" w:rsidRDefault="0042629E" w:rsidP="00041909">
    <w:pPr>
      <w:pStyle w:val="Header"/>
    </w:pPr>
    <w:r>
      <w:t>July</w:t>
    </w:r>
    <w:r w:rsidR="00844344">
      <w:t xml:space="preserve"> 2019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B48BC" w14:textId="77777777" w:rsidR="00844344" w:rsidRDefault="00844344"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1C9E7E8B"/>
    <w:multiLevelType w:val="hybridMultilevel"/>
    <w:tmpl w:val="F2C64F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1CB28AC"/>
    <w:multiLevelType w:val="hybridMultilevel"/>
    <w:tmpl w:val="00FAD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FB6E3F"/>
    <w:multiLevelType w:val="hybridMultilevel"/>
    <w:tmpl w:val="8DE4ED32"/>
    <w:lvl w:ilvl="0" w:tplc="296EB45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2E08AD"/>
    <w:multiLevelType w:val="hybridMultilevel"/>
    <w:tmpl w:val="ABD82CA6"/>
    <w:lvl w:ilvl="0" w:tplc="61EC124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44B37"/>
    <w:multiLevelType w:val="hybridMultilevel"/>
    <w:tmpl w:val="A41A2750"/>
    <w:lvl w:ilvl="0" w:tplc="8D9E58E2">
      <w:start w:val="1"/>
      <w:numFmt w:val="decimal"/>
      <w:lvlText w:val="(%1)"/>
      <w:lvlJc w:val="left"/>
      <w:pPr>
        <w:ind w:left="1800" w:hanging="360"/>
      </w:pPr>
      <w:rPr>
        <w:rFonts w:asciiTheme="minorHAnsi" w:eastAsiaTheme="minorEastAsia" w:hAnsiTheme="minorHAnsi"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54F2E45"/>
    <w:multiLevelType w:val="hybridMultilevel"/>
    <w:tmpl w:val="6BF039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C8D031F"/>
    <w:multiLevelType w:val="hybridMultilevel"/>
    <w:tmpl w:val="B3962F28"/>
    <w:lvl w:ilvl="0" w:tplc="04090011">
      <w:start w:val="1"/>
      <w:numFmt w:val="decimal"/>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F9203D"/>
    <w:multiLevelType w:val="hybridMultilevel"/>
    <w:tmpl w:val="07D4C530"/>
    <w:lvl w:ilvl="0" w:tplc="04090015">
      <w:start w:val="1"/>
      <w:numFmt w:val="upperLetter"/>
      <w:lvlText w:val="%1."/>
      <w:lvlJc w:val="left"/>
      <w:pPr>
        <w:ind w:left="360" w:hanging="360"/>
      </w:pPr>
      <w:rPr>
        <w:rFonts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5">
    <w:nsid w:val="4E5D10BB"/>
    <w:multiLevelType w:val="hybridMultilevel"/>
    <w:tmpl w:val="EE26C080"/>
    <w:lvl w:ilvl="0" w:tplc="3BE42E12">
      <w:start w:val="1"/>
      <w:numFmt w:val="bullet"/>
      <w:lvlText w:val=""/>
      <w:lvlJc w:val="left"/>
      <w:pPr>
        <w:tabs>
          <w:tab w:val="num" w:pos="720"/>
        </w:tabs>
        <w:ind w:left="720" w:hanging="360"/>
      </w:pPr>
      <w:rPr>
        <w:rFonts w:ascii="Symbol" w:hAnsi="Symbol" w:hint="default"/>
      </w:rPr>
    </w:lvl>
    <w:lvl w:ilvl="1" w:tplc="751E6B82" w:tentative="1">
      <w:start w:val="1"/>
      <w:numFmt w:val="bullet"/>
      <w:lvlText w:val="o"/>
      <w:lvlJc w:val="left"/>
      <w:pPr>
        <w:tabs>
          <w:tab w:val="num" w:pos="1440"/>
        </w:tabs>
        <w:ind w:left="1440" w:hanging="360"/>
      </w:pPr>
      <w:rPr>
        <w:rFonts w:ascii="Courier New" w:hAnsi="Courier New" w:cs="Courier New" w:hint="default"/>
      </w:rPr>
    </w:lvl>
    <w:lvl w:ilvl="2" w:tplc="04090017"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4F5251AA"/>
    <w:multiLevelType w:val="hybridMultilevel"/>
    <w:tmpl w:val="70527ED4"/>
    <w:lvl w:ilvl="0" w:tplc="1318074C">
      <w:start w:val="1"/>
      <w:numFmt w:val="bullet"/>
      <w:pStyle w:val="ListParagraph"/>
      <w:lvlText w:val=""/>
      <w:lvlJc w:val="left"/>
      <w:pPr>
        <w:ind w:left="990" w:hanging="360"/>
      </w:pPr>
      <w:rPr>
        <w:rFonts w:ascii="Symbol" w:hAnsi="Symbol"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53801994"/>
    <w:multiLevelType w:val="hybridMultilevel"/>
    <w:tmpl w:val="EE389E1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nsid w:val="552C4099"/>
    <w:multiLevelType w:val="hybridMultilevel"/>
    <w:tmpl w:val="EEC8FF44"/>
    <w:lvl w:ilvl="0" w:tplc="41BC35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7B92D7F"/>
    <w:multiLevelType w:val="hybridMultilevel"/>
    <w:tmpl w:val="055A9420"/>
    <w:lvl w:ilvl="0" w:tplc="25CA3372">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BC5BC4"/>
    <w:multiLevelType w:val="hybridMultilevel"/>
    <w:tmpl w:val="9D96EE24"/>
    <w:lvl w:ilvl="0" w:tplc="760A0102">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A4A0021"/>
    <w:multiLevelType w:val="hybridMultilevel"/>
    <w:tmpl w:val="505E91B6"/>
    <w:lvl w:ilvl="0" w:tplc="E1029E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77B320F"/>
    <w:multiLevelType w:val="hybridMultilevel"/>
    <w:tmpl w:val="91A887F8"/>
    <w:lvl w:ilvl="0" w:tplc="ED00C66A">
      <w:start w:val="1"/>
      <w:numFmt w:val="upperLetter"/>
      <w:lvlText w:val="%1."/>
      <w:lvlJc w:val="left"/>
      <w:pPr>
        <w:ind w:left="720" w:hanging="360"/>
      </w:pPr>
      <w:rPr>
        <w:rFonts w:hint="default"/>
      </w:rPr>
    </w:lvl>
    <w:lvl w:ilvl="1" w:tplc="03BA7496">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6D8D07D1"/>
    <w:multiLevelType w:val="hybridMultilevel"/>
    <w:tmpl w:val="7576B02E"/>
    <w:lvl w:ilvl="0" w:tplc="04090011">
      <w:start w:val="1"/>
      <w:numFmt w:val="decimal"/>
      <w:lvlText w:val="%1)"/>
      <w:lvlJc w:val="left"/>
      <w:pPr>
        <w:ind w:left="360" w:hanging="360"/>
      </w:pPr>
      <w:rPr>
        <w:rFonts w:hint="default"/>
      </w:rPr>
    </w:lvl>
    <w:lvl w:ilvl="1" w:tplc="04090019">
      <w:start w:val="1"/>
      <w:numFmt w:val="bullet"/>
      <w:lvlText w:val="o"/>
      <w:lvlJc w:val="left"/>
      <w:pPr>
        <w:ind w:left="1080" w:hanging="360"/>
      </w:pPr>
      <w:rPr>
        <w:rFonts w:ascii="Courier New" w:hAnsi="Courier New" w:cs="Courier New" w:hint="default"/>
      </w:rPr>
    </w:lvl>
    <w:lvl w:ilvl="2" w:tplc="0409001B">
      <w:numFmt w:val="bullet"/>
      <w:lvlText w:val="-"/>
      <w:lvlJc w:val="left"/>
      <w:pPr>
        <w:ind w:left="2160" w:hanging="720"/>
      </w:pPr>
      <w:rPr>
        <w:rFonts w:ascii="Times New Roman" w:eastAsiaTheme="minorEastAsia" w:hAnsi="Times New Roman" w:cs="Times New Roman"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4">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5">
    <w:nsid w:val="71C30875"/>
    <w:multiLevelType w:val="hybridMultilevel"/>
    <w:tmpl w:val="23D63FE2"/>
    <w:lvl w:ilvl="0" w:tplc="B33804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2101288"/>
    <w:multiLevelType w:val="hybridMultilevel"/>
    <w:tmpl w:val="B3E61816"/>
    <w:lvl w:ilvl="0" w:tplc="0B1CA7C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73A428B"/>
    <w:multiLevelType w:val="hybridMultilevel"/>
    <w:tmpl w:val="BF026634"/>
    <w:lvl w:ilvl="0" w:tplc="3A02D546">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24"/>
  </w:num>
  <w:num w:numId="9">
    <w:abstractNumId w:val="14"/>
  </w:num>
  <w:num w:numId="10">
    <w:abstractNumId w:val="8"/>
  </w:num>
  <w:num w:numId="11">
    <w:abstractNumId w:val="22"/>
  </w:num>
  <w:num w:numId="12">
    <w:abstractNumId w:val="27"/>
  </w:num>
  <w:num w:numId="13">
    <w:abstractNumId w:val="23"/>
  </w:num>
  <w:num w:numId="14">
    <w:abstractNumId w:val="15"/>
  </w:num>
  <w:num w:numId="15">
    <w:abstractNumId w:val="13"/>
  </w:num>
  <w:num w:numId="16">
    <w:abstractNumId w:val="19"/>
  </w:num>
  <w:num w:numId="17">
    <w:abstractNumId w:val="16"/>
  </w:num>
  <w:num w:numId="18">
    <w:abstractNumId w:val="10"/>
  </w:num>
  <w:num w:numId="19">
    <w:abstractNumId w:val="19"/>
    <w:lvlOverride w:ilvl="0">
      <w:startOverride w:val="1"/>
    </w:lvlOverride>
  </w:num>
  <w:num w:numId="20">
    <w:abstractNumId w:val="9"/>
  </w:num>
  <w:num w:numId="21">
    <w:abstractNumId w:val="18"/>
  </w:num>
  <w:num w:numId="22">
    <w:abstractNumId w:val="20"/>
  </w:num>
  <w:num w:numId="23">
    <w:abstractNumId w:val="11"/>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3"/>
    </w:lvlOverride>
  </w:num>
  <w:num w:numId="28">
    <w:abstractNumId w:val="16"/>
    <w:lvlOverride w:ilvl="0">
      <w:startOverride w:val="3"/>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2"/>
    </w:lvlOverride>
  </w:num>
  <w:num w:numId="32">
    <w:abstractNumId w:val="12"/>
  </w:num>
  <w:num w:numId="33">
    <w:abstractNumId w:val="26"/>
  </w:num>
  <w:num w:numId="34">
    <w:abstractNumId w:val="21"/>
  </w:num>
  <w:num w:numId="35">
    <w:abstractNumId w:val="25"/>
  </w:num>
  <w:num w:numId="36">
    <w:abstractNumId w:val="7"/>
  </w:num>
  <w:num w:numId="3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8193"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364C"/>
    <w:rsid w:val="00004135"/>
    <w:rsid w:val="000041A1"/>
    <w:rsid w:val="000053BB"/>
    <w:rsid w:val="00006295"/>
    <w:rsid w:val="00006AD0"/>
    <w:rsid w:val="00011B3F"/>
    <w:rsid w:val="00012113"/>
    <w:rsid w:val="00013373"/>
    <w:rsid w:val="000142E5"/>
    <w:rsid w:val="00015DA7"/>
    <w:rsid w:val="00017394"/>
    <w:rsid w:val="00021870"/>
    <w:rsid w:val="000248CE"/>
    <w:rsid w:val="00024973"/>
    <w:rsid w:val="00024E1E"/>
    <w:rsid w:val="00034A4B"/>
    <w:rsid w:val="000355BD"/>
    <w:rsid w:val="00041909"/>
    <w:rsid w:val="00046593"/>
    <w:rsid w:val="000466C0"/>
    <w:rsid w:val="00047AC3"/>
    <w:rsid w:val="00047C08"/>
    <w:rsid w:val="00050AD8"/>
    <w:rsid w:val="00052FFB"/>
    <w:rsid w:val="0005401F"/>
    <w:rsid w:val="00055769"/>
    <w:rsid w:val="00056EC3"/>
    <w:rsid w:val="00060912"/>
    <w:rsid w:val="00062CFE"/>
    <w:rsid w:val="00062F44"/>
    <w:rsid w:val="00063077"/>
    <w:rsid w:val="0007129A"/>
    <w:rsid w:val="000716CB"/>
    <w:rsid w:val="00072EB9"/>
    <w:rsid w:val="00076175"/>
    <w:rsid w:val="00076551"/>
    <w:rsid w:val="000831C4"/>
    <w:rsid w:val="000844CA"/>
    <w:rsid w:val="00085ED6"/>
    <w:rsid w:val="00091FF1"/>
    <w:rsid w:val="00093799"/>
    <w:rsid w:val="000A0341"/>
    <w:rsid w:val="000A1712"/>
    <w:rsid w:val="000B3FBE"/>
    <w:rsid w:val="000C083F"/>
    <w:rsid w:val="000C28E1"/>
    <w:rsid w:val="000C2C59"/>
    <w:rsid w:val="000C36A2"/>
    <w:rsid w:val="000C5311"/>
    <w:rsid w:val="000D5E17"/>
    <w:rsid w:val="000E47F8"/>
    <w:rsid w:val="000F040A"/>
    <w:rsid w:val="000F2383"/>
    <w:rsid w:val="000F24B9"/>
    <w:rsid w:val="00100A0A"/>
    <w:rsid w:val="001034E8"/>
    <w:rsid w:val="00103F56"/>
    <w:rsid w:val="001054FA"/>
    <w:rsid w:val="00112A69"/>
    <w:rsid w:val="0011541D"/>
    <w:rsid w:val="00123FC2"/>
    <w:rsid w:val="00132F4A"/>
    <w:rsid w:val="001347D9"/>
    <w:rsid w:val="001353F4"/>
    <w:rsid w:val="00136E53"/>
    <w:rsid w:val="00137342"/>
    <w:rsid w:val="001526FE"/>
    <w:rsid w:val="00154192"/>
    <w:rsid w:val="00160BC8"/>
    <w:rsid w:val="0016741B"/>
    <w:rsid w:val="00167425"/>
    <w:rsid w:val="001741B0"/>
    <w:rsid w:val="00176646"/>
    <w:rsid w:val="001807A3"/>
    <w:rsid w:val="00180E42"/>
    <w:rsid w:val="00187A13"/>
    <w:rsid w:val="001947D5"/>
    <w:rsid w:val="0019709C"/>
    <w:rsid w:val="001A2F4B"/>
    <w:rsid w:val="001A6E1E"/>
    <w:rsid w:val="001A756D"/>
    <w:rsid w:val="001B0E69"/>
    <w:rsid w:val="001B0EC4"/>
    <w:rsid w:val="001B6585"/>
    <w:rsid w:val="001B68D7"/>
    <w:rsid w:val="001C0773"/>
    <w:rsid w:val="001C4B10"/>
    <w:rsid w:val="001C51EA"/>
    <w:rsid w:val="001C7DB7"/>
    <w:rsid w:val="001D03A8"/>
    <w:rsid w:val="001E6A16"/>
    <w:rsid w:val="001F2862"/>
    <w:rsid w:val="001F3A8F"/>
    <w:rsid w:val="001F65F4"/>
    <w:rsid w:val="002001C3"/>
    <w:rsid w:val="002008B4"/>
    <w:rsid w:val="00201F24"/>
    <w:rsid w:val="00204CE6"/>
    <w:rsid w:val="002127CE"/>
    <w:rsid w:val="00215842"/>
    <w:rsid w:val="002207DF"/>
    <w:rsid w:val="00221AC2"/>
    <w:rsid w:val="00227D22"/>
    <w:rsid w:val="00227E4B"/>
    <w:rsid w:val="0023015A"/>
    <w:rsid w:val="002327D1"/>
    <w:rsid w:val="0023708A"/>
    <w:rsid w:val="00240629"/>
    <w:rsid w:val="0025022D"/>
    <w:rsid w:val="002530BB"/>
    <w:rsid w:val="002556F3"/>
    <w:rsid w:val="00260EDF"/>
    <w:rsid w:val="00263A9E"/>
    <w:rsid w:val="00264148"/>
    <w:rsid w:val="00274179"/>
    <w:rsid w:val="002757E8"/>
    <w:rsid w:val="00286604"/>
    <w:rsid w:val="00286F3A"/>
    <w:rsid w:val="00290B0F"/>
    <w:rsid w:val="00293284"/>
    <w:rsid w:val="002956CA"/>
    <w:rsid w:val="00296574"/>
    <w:rsid w:val="002A08BC"/>
    <w:rsid w:val="002B0FD2"/>
    <w:rsid w:val="002B5DA7"/>
    <w:rsid w:val="002C1D4B"/>
    <w:rsid w:val="002C378C"/>
    <w:rsid w:val="002C4230"/>
    <w:rsid w:val="002C47FE"/>
    <w:rsid w:val="002D1E2E"/>
    <w:rsid w:val="002D767D"/>
    <w:rsid w:val="002E3FD5"/>
    <w:rsid w:val="002E67E2"/>
    <w:rsid w:val="002E7A38"/>
    <w:rsid w:val="002F225C"/>
    <w:rsid w:val="002F4C71"/>
    <w:rsid w:val="002F6F03"/>
    <w:rsid w:val="00304F26"/>
    <w:rsid w:val="00306516"/>
    <w:rsid w:val="0030734A"/>
    <w:rsid w:val="0031159C"/>
    <w:rsid w:val="0031452C"/>
    <w:rsid w:val="00321082"/>
    <w:rsid w:val="00323BE1"/>
    <w:rsid w:val="00332DB4"/>
    <w:rsid w:val="00333485"/>
    <w:rsid w:val="00334D21"/>
    <w:rsid w:val="003362DD"/>
    <w:rsid w:val="00343971"/>
    <w:rsid w:val="003469CB"/>
    <w:rsid w:val="00350C8B"/>
    <w:rsid w:val="00351310"/>
    <w:rsid w:val="00352ABC"/>
    <w:rsid w:val="00353B4F"/>
    <w:rsid w:val="00363331"/>
    <w:rsid w:val="00365193"/>
    <w:rsid w:val="00365867"/>
    <w:rsid w:val="00365A37"/>
    <w:rsid w:val="003666DA"/>
    <w:rsid w:val="00371E14"/>
    <w:rsid w:val="00373208"/>
    <w:rsid w:val="00383DB3"/>
    <w:rsid w:val="003854B2"/>
    <w:rsid w:val="00385AE6"/>
    <w:rsid w:val="00387C8D"/>
    <w:rsid w:val="00392DD0"/>
    <w:rsid w:val="00396BCB"/>
    <w:rsid w:val="00397825"/>
    <w:rsid w:val="003A06C9"/>
    <w:rsid w:val="003A1073"/>
    <w:rsid w:val="003A10F3"/>
    <w:rsid w:val="003A3906"/>
    <w:rsid w:val="003A4C56"/>
    <w:rsid w:val="003B03A4"/>
    <w:rsid w:val="003B4E54"/>
    <w:rsid w:val="003B54B4"/>
    <w:rsid w:val="003C03EA"/>
    <w:rsid w:val="003C0D2E"/>
    <w:rsid w:val="003C2487"/>
    <w:rsid w:val="003C3E5B"/>
    <w:rsid w:val="003C690C"/>
    <w:rsid w:val="003C76AF"/>
    <w:rsid w:val="003E38CD"/>
    <w:rsid w:val="003E40FA"/>
    <w:rsid w:val="003F24ED"/>
    <w:rsid w:val="003F46EA"/>
    <w:rsid w:val="003F4B08"/>
    <w:rsid w:val="003F529E"/>
    <w:rsid w:val="00400F4C"/>
    <w:rsid w:val="00406C10"/>
    <w:rsid w:val="0042011E"/>
    <w:rsid w:val="00423954"/>
    <w:rsid w:val="0042629E"/>
    <w:rsid w:val="00426481"/>
    <w:rsid w:val="00432966"/>
    <w:rsid w:val="00435171"/>
    <w:rsid w:val="004375DB"/>
    <w:rsid w:val="004455A1"/>
    <w:rsid w:val="004530E7"/>
    <w:rsid w:val="00455EF1"/>
    <w:rsid w:val="0045608E"/>
    <w:rsid w:val="0045662F"/>
    <w:rsid w:val="0046197C"/>
    <w:rsid w:val="00464BAF"/>
    <w:rsid w:val="00466959"/>
    <w:rsid w:val="004708FC"/>
    <w:rsid w:val="00471127"/>
    <w:rsid w:val="00474C62"/>
    <w:rsid w:val="0047784B"/>
    <w:rsid w:val="00485BD2"/>
    <w:rsid w:val="004941F0"/>
    <w:rsid w:val="004946F0"/>
    <w:rsid w:val="00497C2A"/>
    <w:rsid w:val="004A0B1D"/>
    <w:rsid w:val="004A3133"/>
    <w:rsid w:val="004B1075"/>
    <w:rsid w:val="004B4066"/>
    <w:rsid w:val="004B592E"/>
    <w:rsid w:val="004B5A41"/>
    <w:rsid w:val="004B684A"/>
    <w:rsid w:val="004C277B"/>
    <w:rsid w:val="004C3598"/>
    <w:rsid w:val="004D05FB"/>
    <w:rsid w:val="004D0B78"/>
    <w:rsid w:val="004D29C7"/>
    <w:rsid w:val="004D5C6C"/>
    <w:rsid w:val="004D7F88"/>
    <w:rsid w:val="004F41F2"/>
    <w:rsid w:val="004F4B66"/>
    <w:rsid w:val="00504119"/>
    <w:rsid w:val="005065CF"/>
    <w:rsid w:val="00506BB4"/>
    <w:rsid w:val="0050705F"/>
    <w:rsid w:val="005139A0"/>
    <w:rsid w:val="00513C3B"/>
    <w:rsid w:val="00515108"/>
    <w:rsid w:val="005170D3"/>
    <w:rsid w:val="005176ED"/>
    <w:rsid w:val="005207F7"/>
    <w:rsid w:val="005214F1"/>
    <w:rsid w:val="0052493A"/>
    <w:rsid w:val="00531D95"/>
    <w:rsid w:val="00533E43"/>
    <w:rsid w:val="0053446D"/>
    <w:rsid w:val="00535B32"/>
    <w:rsid w:val="00535CAF"/>
    <w:rsid w:val="00536054"/>
    <w:rsid w:val="0053654B"/>
    <w:rsid w:val="00536CE1"/>
    <w:rsid w:val="005375D3"/>
    <w:rsid w:val="005406CD"/>
    <w:rsid w:val="0054180D"/>
    <w:rsid w:val="00542FD8"/>
    <w:rsid w:val="005453CA"/>
    <w:rsid w:val="005463EA"/>
    <w:rsid w:val="005465B0"/>
    <w:rsid w:val="00547B53"/>
    <w:rsid w:val="00556703"/>
    <w:rsid w:val="00571D8F"/>
    <w:rsid w:val="0057367D"/>
    <w:rsid w:val="00573FD7"/>
    <w:rsid w:val="00575634"/>
    <w:rsid w:val="00577621"/>
    <w:rsid w:val="005810E4"/>
    <w:rsid w:val="00581D5D"/>
    <w:rsid w:val="00583759"/>
    <w:rsid w:val="00585BE3"/>
    <w:rsid w:val="00590755"/>
    <w:rsid w:val="0059212D"/>
    <w:rsid w:val="005B0875"/>
    <w:rsid w:val="005B2B58"/>
    <w:rsid w:val="005B4D4E"/>
    <w:rsid w:val="005C00FA"/>
    <w:rsid w:val="005C2D89"/>
    <w:rsid w:val="005C485B"/>
    <w:rsid w:val="005D2873"/>
    <w:rsid w:val="005D39D7"/>
    <w:rsid w:val="005D5956"/>
    <w:rsid w:val="005D6F63"/>
    <w:rsid w:val="005E0840"/>
    <w:rsid w:val="005E307E"/>
    <w:rsid w:val="005E595A"/>
    <w:rsid w:val="005E6E60"/>
    <w:rsid w:val="005F3BE8"/>
    <w:rsid w:val="005F3FC3"/>
    <w:rsid w:val="005F4848"/>
    <w:rsid w:val="005F54F3"/>
    <w:rsid w:val="00601A3F"/>
    <w:rsid w:val="00602F07"/>
    <w:rsid w:val="006105F7"/>
    <w:rsid w:val="00616E46"/>
    <w:rsid w:val="0062008C"/>
    <w:rsid w:val="00620797"/>
    <w:rsid w:val="006223B8"/>
    <w:rsid w:val="00623563"/>
    <w:rsid w:val="00626494"/>
    <w:rsid w:val="0063438F"/>
    <w:rsid w:val="006374FC"/>
    <w:rsid w:val="00641DE2"/>
    <w:rsid w:val="00643384"/>
    <w:rsid w:val="00651A8A"/>
    <w:rsid w:val="00652DB2"/>
    <w:rsid w:val="0065406F"/>
    <w:rsid w:val="00654C8F"/>
    <w:rsid w:val="006568D3"/>
    <w:rsid w:val="00663EC4"/>
    <w:rsid w:val="0066633C"/>
    <w:rsid w:val="006717BC"/>
    <w:rsid w:val="006774B1"/>
    <w:rsid w:val="00677C5F"/>
    <w:rsid w:val="00680CCD"/>
    <w:rsid w:val="006836A5"/>
    <w:rsid w:val="00687CC3"/>
    <w:rsid w:val="0069364B"/>
    <w:rsid w:val="006A0BC7"/>
    <w:rsid w:val="006A1AD9"/>
    <w:rsid w:val="006A6D8C"/>
    <w:rsid w:val="006B67BB"/>
    <w:rsid w:val="006C0062"/>
    <w:rsid w:val="006C06B5"/>
    <w:rsid w:val="006C097E"/>
    <w:rsid w:val="006C2DC3"/>
    <w:rsid w:val="006D0439"/>
    <w:rsid w:val="006D255A"/>
    <w:rsid w:val="006D42EC"/>
    <w:rsid w:val="006F63ED"/>
    <w:rsid w:val="006F7816"/>
    <w:rsid w:val="00704FFA"/>
    <w:rsid w:val="00705743"/>
    <w:rsid w:val="00705CFC"/>
    <w:rsid w:val="00711414"/>
    <w:rsid w:val="0071296B"/>
    <w:rsid w:val="00714768"/>
    <w:rsid w:val="00716ED1"/>
    <w:rsid w:val="0071701D"/>
    <w:rsid w:val="007237AA"/>
    <w:rsid w:val="00725453"/>
    <w:rsid w:val="00730DA0"/>
    <w:rsid w:val="00732C1F"/>
    <w:rsid w:val="00737591"/>
    <w:rsid w:val="007438F2"/>
    <w:rsid w:val="00755C3D"/>
    <w:rsid w:val="007576EF"/>
    <w:rsid w:val="00760677"/>
    <w:rsid w:val="00761C12"/>
    <w:rsid w:val="007658BA"/>
    <w:rsid w:val="007700D0"/>
    <w:rsid w:val="0077131F"/>
    <w:rsid w:val="00771FDF"/>
    <w:rsid w:val="00776CF4"/>
    <w:rsid w:val="0078234F"/>
    <w:rsid w:val="00784F89"/>
    <w:rsid w:val="007860AC"/>
    <w:rsid w:val="00786336"/>
    <w:rsid w:val="0079037F"/>
    <w:rsid w:val="007917D5"/>
    <w:rsid w:val="007930F4"/>
    <w:rsid w:val="00795A0A"/>
    <w:rsid w:val="007A0E7F"/>
    <w:rsid w:val="007A369C"/>
    <w:rsid w:val="007A4378"/>
    <w:rsid w:val="007A57CF"/>
    <w:rsid w:val="007B6586"/>
    <w:rsid w:val="007B7E15"/>
    <w:rsid w:val="007C1F59"/>
    <w:rsid w:val="007C24DA"/>
    <w:rsid w:val="007C5CE9"/>
    <w:rsid w:val="007D39CC"/>
    <w:rsid w:val="007D59B3"/>
    <w:rsid w:val="007D6AAF"/>
    <w:rsid w:val="007E21D8"/>
    <w:rsid w:val="007E2247"/>
    <w:rsid w:val="007E2602"/>
    <w:rsid w:val="007E4D46"/>
    <w:rsid w:val="007E53C4"/>
    <w:rsid w:val="007E5A11"/>
    <w:rsid w:val="007E73E6"/>
    <w:rsid w:val="007F1954"/>
    <w:rsid w:val="007F21D7"/>
    <w:rsid w:val="007F2B30"/>
    <w:rsid w:val="00801230"/>
    <w:rsid w:val="0080500C"/>
    <w:rsid w:val="008057F8"/>
    <w:rsid w:val="008069C3"/>
    <w:rsid w:val="00807AC0"/>
    <w:rsid w:val="0081284D"/>
    <w:rsid w:val="008213F9"/>
    <w:rsid w:val="008307E1"/>
    <w:rsid w:val="00836D62"/>
    <w:rsid w:val="008415ED"/>
    <w:rsid w:val="00844344"/>
    <w:rsid w:val="008443B3"/>
    <w:rsid w:val="00844524"/>
    <w:rsid w:val="00847D86"/>
    <w:rsid w:val="00866285"/>
    <w:rsid w:val="00867160"/>
    <w:rsid w:val="0087205B"/>
    <w:rsid w:val="00873EDA"/>
    <w:rsid w:val="00874032"/>
    <w:rsid w:val="00874FB8"/>
    <w:rsid w:val="00881195"/>
    <w:rsid w:val="008819FE"/>
    <w:rsid w:val="008877B9"/>
    <w:rsid w:val="00891DAA"/>
    <w:rsid w:val="00895669"/>
    <w:rsid w:val="00897946"/>
    <w:rsid w:val="008A1ACA"/>
    <w:rsid w:val="008A2788"/>
    <w:rsid w:val="008A3276"/>
    <w:rsid w:val="008A3447"/>
    <w:rsid w:val="008A39B2"/>
    <w:rsid w:val="008B069E"/>
    <w:rsid w:val="008B33CE"/>
    <w:rsid w:val="008B667E"/>
    <w:rsid w:val="008C135C"/>
    <w:rsid w:val="008C3442"/>
    <w:rsid w:val="008C38BF"/>
    <w:rsid w:val="008C734C"/>
    <w:rsid w:val="008D2DC1"/>
    <w:rsid w:val="008E31D4"/>
    <w:rsid w:val="008E4BF2"/>
    <w:rsid w:val="008E65B7"/>
    <w:rsid w:val="008F0009"/>
    <w:rsid w:val="008F4CBD"/>
    <w:rsid w:val="008F60C8"/>
    <w:rsid w:val="009017AD"/>
    <w:rsid w:val="00901BED"/>
    <w:rsid w:val="00902FA4"/>
    <w:rsid w:val="009055F4"/>
    <w:rsid w:val="00905735"/>
    <w:rsid w:val="0091288A"/>
    <w:rsid w:val="009131B9"/>
    <w:rsid w:val="00913BEA"/>
    <w:rsid w:val="0091729D"/>
    <w:rsid w:val="00920B50"/>
    <w:rsid w:val="00935805"/>
    <w:rsid w:val="009368F3"/>
    <w:rsid w:val="00944DB7"/>
    <w:rsid w:val="00946F3E"/>
    <w:rsid w:val="00947C42"/>
    <w:rsid w:val="00950489"/>
    <w:rsid w:val="00957DE9"/>
    <w:rsid w:val="00960E6B"/>
    <w:rsid w:val="00965709"/>
    <w:rsid w:val="00965A44"/>
    <w:rsid w:val="00966479"/>
    <w:rsid w:val="00967668"/>
    <w:rsid w:val="00967D7C"/>
    <w:rsid w:val="00970836"/>
    <w:rsid w:val="009757AD"/>
    <w:rsid w:val="00980B6A"/>
    <w:rsid w:val="00981691"/>
    <w:rsid w:val="009817CE"/>
    <w:rsid w:val="009818F9"/>
    <w:rsid w:val="00983D08"/>
    <w:rsid w:val="00985552"/>
    <w:rsid w:val="0098618F"/>
    <w:rsid w:val="00987C32"/>
    <w:rsid w:val="00991646"/>
    <w:rsid w:val="0099448B"/>
    <w:rsid w:val="00996B2A"/>
    <w:rsid w:val="00997347"/>
    <w:rsid w:val="009A6235"/>
    <w:rsid w:val="009A70A0"/>
    <w:rsid w:val="009B0C35"/>
    <w:rsid w:val="009B19CE"/>
    <w:rsid w:val="009B4E57"/>
    <w:rsid w:val="009C202F"/>
    <w:rsid w:val="009C77F7"/>
    <w:rsid w:val="009D2134"/>
    <w:rsid w:val="009D264F"/>
    <w:rsid w:val="009D69E6"/>
    <w:rsid w:val="009D6AA9"/>
    <w:rsid w:val="009E5ABC"/>
    <w:rsid w:val="009E5B9C"/>
    <w:rsid w:val="009E7324"/>
    <w:rsid w:val="009F4ED1"/>
    <w:rsid w:val="009F5008"/>
    <w:rsid w:val="00A00D71"/>
    <w:rsid w:val="00A00EDF"/>
    <w:rsid w:val="00A01C47"/>
    <w:rsid w:val="00A113FE"/>
    <w:rsid w:val="00A121CB"/>
    <w:rsid w:val="00A126CC"/>
    <w:rsid w:val="00A20831"/>
    <w:rsid w:val="00A2541B"/>
    <w:rsid w:val="00A26680"/>
    <w:rsid w:val="00A26A17"/>
    <w:rsid w:val="00A30169"/>
    <w:rsid w:val="00A30699"/>
    <w:rsid w:val="00A312A3"/>
    <w:rsid w:val="00A31929"/>
    <w:rsid w:val="00A33D9F"/>
    <w:rsid w:val="00A37229"/>
    <w:rsid w:val="00A41763"/>
    <w:rsid w:val="00A418C9"/>
    <w:rsid w:val="00A445EC"/>
    <w:rsid w:val="00A51692"/>
    <w:rsid w:val="00A51E43"/>
    <w:rsid w:val="00A54472"/>
    <w:rsid w:val="00A56637"/>
    <w:rsid w:val="00A64D31"/>
    <w:rsid w:val="00A65142"/>
    <w:rsid w:val="00A67AE7"/>
    <w:rsid w:val="00A71FE0"/>
    <w:rsid w:val="00A74C9B"/>
    <w:rsid w:val="00A74FFC"/>
    <w:rsid w:val="00A80C01"/>
    <w:rsid w:val="00A81330"/>
    <w:rsid w:val="00A833E3"/>
    <w:rsid w:val="00A83B9B"/>
    <w:rsid w:val="00A83CB4"/>
    <w:rsid w:val="00A93478"/>
    <w:rsid w:val="00A93828"/>
    <w:rsid w:val="00A94316"/>
    <w:rsid w:val="00A97FE7"/>
    <w:rsid w:val="00AA2483"/>
    <w:rsid w:val="00AA368F"/>
    <w:rsid w:val="00AA46CA"/>
    <w:rsid w:val="00AA7EFA"/>
    <w:rsid w:val="00AB1748"/>
    <w:rsid w:val="00AB5B59"/>
    <w:rsid w:val="00AB61B3"/>
    <w:rsid w:val="00AC323A"/>
    <w:rsid w:val="00AC3EA9"/>
    <w:rsid w:val="00AC4E4E"/>
    <w:rsid w:val="00AD6357"/>
    <w:rsid w:val="00AD7F81"/>
    <w:rsid w:val="00AE4CA9"/>
    <w:rsid w:val="00AE6AF7"/>
    <w:rsid w:val="00AF01CE"/>
    <w:rsid w:val="00AF2B5F"/>
    <w:rsid w:val="00AF367D"/>
    <w:rsid w:val="00AF45FD"/>
    <w:rsid w:val="00B00154"/>
    <w:rsid w:val="00B03B76"/>
    <w:rsid w:val="00B20E53"/>
    <w:rsid w:val="00B35035"/>
    <w:rsid w:val="00B35E2A"/>
    <w:rsid w:val="00B40A0E"/>
    <w:rsid w:val="00B4263D"/>
    <w:rsid w:val="00B464DA"/>
    <w:rsid w:val="00B54E54"/>
    <w:rsid w:val="00B56F49"/>
    <w:rsid w:val="00B5763A"/>
    <w:rsid w:val="00B60318"/>
    <w:rsid w:val="00B61A26"/>
    <w:rsid w:val="00B61CFF"/>
    <w:rsid w:val="00B6290B"/>
    <w:rsid w:val="00B63766"/>
    <w:rsid w:val="00B73B6A"/>
    <w:rsid w:val="00B7442A"/>
    <w:rsid w:val="00B758B4"/>
    <w:rsid w:val="00B766C4"/>
    <w:rsid w:val="00B844EB"/>
    <w:rsid w:val="00B86BC5"/>
    <w:rsid w:val="00B87486"/>
    <w:rsid w:val="00B9137D"/>
    <w:rsid w:val="00B97002"/>
    <w:rsid w:val="00BA3251"/>
    <w:rsid w:val="00BA79C2"/>
    <w:rsid w:val="00BB2F70"/>
    <w:rsid w:val="00BB5A69"/>
    <w:rsid w:val="00BB6CF4"/>
    <w:rsid w:val="00BC14C3"/>
    <w:rsid w:val="00BC1ABE"/>
    <w:rsid w:val="00BC4E08"/>
    <w:rsid w:val="00BC635A"/>
    <w:rsid w:val="00BC67F7"/>
    <w:rsid w:val="00BD1303"/>
    <w:rsid w:val="00BD2F20"/>
    <w:rsid w:val="00BD4F62"/>
    <w:rsid w:val="00BD55CF"/>
    <w:rsid w:val="00BE271F"/>
    <w:rsid w:val="00BE31AB"/>
    <w:rsid w:val="00BE34C1"/>
    <w:rsid w:val="00BE3A26"/>
    <w:rsid w:val="00BE4AFD"/>
    <w:rsid w:val="00BF2CC5"/>
    <w:rsid w:val="00BF5764"/>
    <w:rsid w:val="00BF7B15"/>
    <w:rsid w:val="00C00590"/>
    <w:rsid w:val="00C04647"/>
    <w:rsid w:val="00C058CF"/>
    <w:rsid w:val="00C10278"/>
    <w:rsid w:val="00C12551"/>
    <w:rsid w:val="00C211CD"/>
    <w:rsid w:val="00C25328"/>
    <w:rsid w:val="00C271E2"/>
    <w:rsid w:val="00C31FE1"/>
    <w:rsid w:val="00C32633"/>
    <w:rsid w:val="00C3744D"/>
    <w:rsid w:val="00C43A84"/>
    <w:rsid w:val="00C453E1"/>
    <w:rsid w:val="00C555D8"/>
    <w:rsid w:val="00C64137"/>
    <w:rsid w:val="00C658E4"/>
    <w:rsid w:val="00C722B2"/>
    <w:rsid w:val="00C7266E"/>
    <w:rsid w:val="00C73961"/>
    <w:rsid w:val="00C74606"/>
    <w:rsid w:val="00C76ACD"/>
    <w:rsid w:val="00C76C66"/>
    <w:rsid w:val="00C82DF9"/>
    <w:rsid w:val="00C83A57"/>
    <w:rsid w:val="00C86514"/>
    <w:rsid w:val="00C87190"/>
    <w:rsid w:val="00C94B3F"/>
    <w:rsid w:val="00CA1564"/>
    <w:rsid w:val="00CA3B67"/>
    <w:rsid w:val="00CA6180"/>
    <w:rsid w:val="00CA757A"/>
    <w:rsid w:val="00CA7C8A"/>
    <w:rsid w:val="00CB44E8"/>
    <w:rsid w:val="00CB7978"/>
    <w:rsid w:val="00CC1D12"/>
    <w:rsid w:val="00CE42E9"/>
    <w:rsid w:val="00CE710A"/>
    <w:rsid w:val="00D001E4"/>
    <w:rsid w:val="00D0022D"/>
    <w:rsid w:val="00D00AA8"/>
    <w:rsid w:val="00D02778"/>
    <w:rsid w:val="00D1398E"/>
    <w:rsid w:val="00D13E84"/>
    <w:rsid w:val="00D14711"/>
    <w:rsid w:val="00D1656B"/>
    <w:rsid w:val="00D300F4"/>
    <w:rsid w:val="00D32B94"/>
    <w:rsid w:val="00D3344B"/>
    <w:rsid w:val="00D40175"/>
    <w:rsid w:val="00D45E87"/>
    <w:rsid w:val="00D460EB"/>
    <w:rsid w:val="00D53A76"/>
    <w:rsid w:val="00D551E6"/>
    <w:rsid w:val="00D55243"/>
    <w:rsid w:val="00D572B8"/>
    <w:rsid w:val="00D62F90"/>
    <w:rsid w:val="00D63E74"/>
    <w:rsid w:val="00D715C4"/>
    <w:rsid w:val="00D73B87"/>
    <w:rsid w:val="00D766D2"/>
    <w:rsid w:val="00D77CB9"/>
    <w:rsid w:val="00D928FD"/>
    <w:rsid w:val="00D9357E"/>
    <w:rsid w:val="00D97B45"/>
    <w:rsid w:val="00DA27DC"/>
    <w:rsid w:val="00DB49F2"/>
    <w:rsid w:val="00DC0A82"/>
    <w:rsid w:val="00DC3F0D"/>
    <w:rsid w:val="00DC79E3"/>
    <w:rsid w:val="00DD05DB"/>
    <w:rsid w:val="00DD35FC"/>
    <w:rsid w:val="00DD51E1"/>
    <w:rsid w:val="00DE2D54"/>
    <w:rsid w:val="00DE7B62"/>
    <w:rsid w:val="00DF2DCE"/>
    <w:rsid w:val="00E02BB0"/>
    <w:rsid w:val="00E03CE6"/>
    <w:rsid w:val="00E0419A"/>
    <w:rsid w:val="00E054AC"/>
    <w:rsid w:val="00E06079"/>
    <w:rsid w:val="00E07A01"/>
    <w:rsid w:val="00E126EA"/>
    <w:rsid w:val="00E13716"/>
    <w:rsid w:val="00E13A14"/>
    <w:rsid w:val="00E17D95"/>
    <w:rsid w:val="00E266FF"/>
    <w:rsid w:val="00E27661"/>
    <w:rsid w:val="00E311A6"/>
    <w:rsid w:val="00E3371D"/>
    <w:rsid w:val="00E3524C"/>
    <w:rsid w:val="00E43E45"/>
    <w:rsid w:val="00E4411C"/>
    <w:rsid w:val="00E47DB3"/>
    <w:rsid w:val="00E509A9"/>
    <w:rsid w:val="00E51E43"/>
    <w:rsid w:val="00E51F8B"/>
    <w:rsid w:val="00E5242A"/>
    <w:rsid w:val="00E53398"/>
    <w:rsid w:val="00E64694"/>
    <w:rsid w:val="00E64801"/>
    <w:rsid w:val="00E66AE2"/>
    <w:rsid w:val="00E70F91"/>
    <w:rsid w:val="00E73284"/>
    <w:rsid w:val="00E74DA4"/>
    <w:rsid w:val="00E7572D"/>
    <w:rsid w:val="00E81B89"/>
    <w:rsid w:val="00E86969"/>
    <w:rsid w:val="00E86EFA"/>
    <w:rsid w:val="00E91432"/>
    <w:rsid w:val="00E91B5A"/>
    <w:rsid w:val="00E94BC6"/>
    <w:rsid w:val="00E94C1A"/>
    <w:rsid w:val="00E96872"/>
    <w:rsid w:val="00E97555"/>
    <w:rsid w:val="00EC3D0E"/>
    <w:rsid w:val="00EC5657"/>
    <w:rsid w:val="00ED0181"/>
    <w:rsid w:val="00ED5FD6"/>
    <w:rsid w:val="00ED63BE"/>
    <w:rsid w:val="00ED6E45"/>
    <w:rsid w:val="00EE2CAF"/>
    <w:rsid w:val="00EE43E4"/>
    <w:rsid w:val="00EF4713"/>
    <w:rsid w:val="00EF6C84"/>
    <w:rsid w:val="00F001EA"/>
    <w:rsid w:val="00F056C3"/>
    <w:rsid w:val="00F10901"/>
    <w:rsid w:val="00F14400"/>
    <w:rsid w:val="00F1632C"/>
    <w:rsid w:val="00F1695C"/>
    <w:rsid w:val="00F16B90"/>
    <w:rsid w:val="00F238D7"/>
    <w:rsid w:val="00F26C93"/>
    <w:rsid w:val="00F34F19"/>
    <w:rsid w:val="00F402BE"/>
    <w:rsid w:val="00F4147A"/>
    <w:rsid w:val="00F41E7A"/>
    <w:rsid w:val="00F434FB"/>
    <w:rsid w:val="00F44A21"/>
    <w:rsid w:val="00F54A89"/>
    <w:rsid w:val="00F575F0"/>
    <w:rsid w:val="00F57850"/>
    <w:rsid w:val="00F6664C"/>
    <w:rsid w:val="00F717B2"/>
    <w:rsid w:val="00F763C8"/>
    <w:rsid w:val="00F80AF1"/>
    <w:rsid w:val="00F8298C"/>
    <w:rsid w:val="00F85FE9"/>
    <w:rsid w:val="00F8617F"/>
    <w:rsid w:val="00F90245"/>
    <w:rsid w:val="00F920D9"/>
    <w:rsid w:val="00F93737"/>
    <w:rsid w:val="00F94781"/>
    <w:rsid w:val="00FA5388"/>
    <w:rsid w:val="00FA64C7"/>
    <w:rsid w:val="00FA6B34"/>
    <w:rsid w:val="00FA71CA"/>
    <w:rsid w:val="00FB0276"/>
    <w:rsid w:val="00FB08E3"/>
    <w:rsid w:val="00FB286E"/>
    <w:rsid w:val="00FB6BF3"/>
    <w:rsid w:val="00FC3BCC"/>
    <w:rsid w:val="00FD397B"/>
    <w:rsid w:val="00FD4B01"/>
    <w:rsid w:val="00FD52F2"/>
    <w:rsid w:val="00FD7CDC"/>
    <w:rsid w:val="00FE58E0"/>
    <w:rsid w:val="00FE74D0"/>
    <w:rsid w:val="00FF0519"/>
    <w:rsid w:val="00FF0C94"/>
    <w:rsid w:val="00FF2891"/>
    <w:rsid w:val="00FF5363"/>
    <w:rsid w:val="35AA412C"/>
    <w:rsid w:val="3F34B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shapedefaults>
    <o:shapelayout v:ext="edit">
      <o:idmap v:ext="edit" data="1"/>
    </o:shapelayout>
  </w:shapeDefaults>
  <w:decimalSymbol w:val="."/>
  <w:listSeparator w:val=","/>
  <w14:docId w14:val="7AB5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qFormat="1"/>
    <w:lsdException w:name="toc 4" w:locked="0" w:qFormat="1"/>
    <w:lsdException w:name="footnote text" w:locked="0" w:uiPriority="0" w:qFormat="1"/>
    <w:lsdException w:name="header" w:locked="0" w:qFormat="1"/>
    <w:lsdException w:name="footer" w:locked="0" w:qFormat="1"/>
    <w:lsdException w:name="caption" w:locked="0" w:uiPriority="35" w:qFormat="1"/>
    <w:lsdException w:name="table of figures" w:locked="0"/>
    <w:lsdException w:name="footnote reference" w:locked="0" w:uiPriority="0"/>
    <w:lsdException w:name="List Bullet" w:uiPriority="36"/>
    <w:lsdException w:name="List Number" w:uiPriority="20"/>
    <w:lsdException w:name="List Bullet 2" w:uiPriority="36"/>
    <w:lsdException w:name="List Bullet 3" w:uiPriority="36"/>
    <w:lsdException w:name="List Bullet 4" w:uiPriority="36"/>
    <w:lsdException w:name="Title" w:semiHidden="0" w:uiPriority="10" w:unhideWhenUsed="0" w:qFormat="1"/>
    <w:lsdException w:name="Default Paragraph Font" w:locked="0" w:uiPriority="1"/>
    <w:lsdException w:name="Subtitle" w:uiPriority="11" w:unhideWhenUsed="0" w:qFormat="1"/>
    <w:lsdException w:name="Date" w:uiPriority="4" w:qFormat="1"/>
    <w:lsdException w:name="Body Text First Indent" w:qFormat="1"/>
    <w:lsdException w:name="Note Heading" w:uiPriority="13" w:qFormat="1"/>
    <w:lsdException w:name="Body Text 2" w:uiPriority="0"/>
    <w:lsdException w:name="Body Text Indent 3" w:qFormat="1"/>
    <w:lsdException w:name="Block Text" w:uiPriority="40"/>
    <w:lsdException w:name="Hyperlink" w:locked="0" w:qFormat="1"/>
    <w:lsdException w:name="Strong"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1"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9"/>
    <w:qFormat/>
    <w:rsid w:val="007E53C4"/>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9"/>
    <w:qFormat/>
    <w:rsid w:val="00985552"/>
    <w:pPr>
      <w:keepNext/>
      <w:keepLines/>
      <w:spacing w:before="200" w:after="240"/>
      <w:outlineLvl w:val="1"/>
    </w:pPr>
    <w:rPr>
      <w:rFonts w:eastAsia="Times New Roman" w:cstheme="majorBidi"/>
      <w:color w:val="1396D8"/>
      <w:sz w:val="24"/>
      <w:szCs w:val="24"/>
      <w:lang w:bidi="en-US"/>
    </w:rPr>
  </w:style>
  <w:style w:type="paragraph" w:styleId="Heading3">
    <w:name w:val="heading 3"/>
    <w:basedOn w:val="Heading2"/>
    <w:next w:val="Normal"/>
    <w:link w:val="Heading3Char"/>
    <w:autoRedefine/>
    <w:uiPriority w:val="9"/>
    <w:qFormat/>
    <w:rsid w:val="00FD7CDC"/>
    <w:pPr>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9"/>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qFormat/>
    <w:locked/>
    <w:rsid w:val="00112A69"/>
    <w:pPr>
      <w:numPr>
        <w:ilvl w:val="4"/>
      </w:numPr>
      <w:outlineLvl w:val="4"/>
    </w:pPr>
    <w:rPr>
      <w:sz w:val="20"/>
    </w:rPr>
  </w:style>
  <w:style w:type="paragraph" w:styleId="Heading6">
    <w:name w:val="heading 6"/>
    <w:basedOn w:val="Heading5"/>
    <w:next w:val="Normal"/>
    <w:link w:val="Heading6Char"/>
    <w:autoRedefine/>
    <w:uiPriority w:val="9"/>
    <w:qFormat/>
    <w:locked/>
    <w:rsid w:val="00112A69"/>
    <w:pPr>
      <w:numPr>
        <w:ilvl w:val="5"/>
      </w:numPr>
      <w:outlineLvl w:val="5"/>
    </w:pPr>
    <w:rPr>
      <w:iCs w:val="0"/>
      <w:color w:val="666666"/>
    </w:rPr>
  </w:style>
  <w:style w:type="paragraph" w:styleId="Heading7">
    <w:name w:val="heading 7"/>
    <w:basedOn w:val="Normal"/>
    <w:next w:val="Normal"/>
    <w:link w:val="Heading7Char"/>
    <w:uiPriority w:val="9"/>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05Indent">
    <w:name w:val="Left 0.5&quot; Indent"/>
    <w:basedOn w:val="BodyTextFirstIndent"/>
    <w:autoRedefine/>
    <w:semiHidden/>
    <w:qFormat/>
    <w:locked/>
    <w:rsid w:val="0099448B"/>
    <w:pPr>
      <w:ind w:left="360"/>
    </w:pPr>
    <w:rPr>
      <w:rFonts w:cs="Arial"/>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character" w:customStyle="1" w:styleId="Heading1Char">
    <w:name w:val="Heading 1 Char"/>
    <w:basedOn w:val="DefaultParagraphFont"/>
    <w:link w:val="Heading1"/>
    <w:uiPriority w:val="9"/>
    <w:rsid w:val="007E53C4"/>
    <w:rPr>
      <w:rFonts w:asciiTheme="majorHAnsi" w:eastAsiaTheme="majorEastAsia" w:hAnsiTheme="majorHAnsi" w:cstheme="majorBidi"/>
      <w:b/>
      <w:bCs/>
      <w:sz w:val="44"/>
      <w:szCs w:val="44"/>
    </w:rPr>
  </w:style>
  <w:style w:type="character" w:customStyle="1" w:styleId="Heading2Char">
    <w:name w:val="Heading 2 Char"/>
    <w:basedOn w:val="DefaultParagraphFont"/>
    <w:link w:val="Heading2"/>
    <w:uiPriority w:val="9"/>
    <w:rsid w:val="00985552"/>
    <w:rPr>
      <w:rFonts w:eastAsia="Times New Roman" w:cstheme="majorBidi"/>
      <w:color w:val="1396D8"/>
      <w:sz w:val="24"/>
      <w:szCs w:val="24"/>
      <w:lang w:bidi="en-US"/>
    </w:rPr>
  </w:style>
  <w:style w:type="character" w:customStyle="1" w:styleId="Heading3Char">
    <w:name w:val="Heading 3 Char"/>
    <w:basedOn w:val="DefaultParagraphFont"/>
    <w:link w:val="Heading3"/>
    <w:uiPriority w:val="9"/>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9"/>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55243"/>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112A69"/>
    <w:pPr>
      <w:spacing w:after="0"/>
      <w:jc w:val="both"/>
    </w:pPr>
  </w:style>
  <w:style w:type="character" w:customStyle="1" w:styleId="NoSpacingChar">
    <w:name w:val="No Spacing Char"/>
    <w:basedOn w:val="DefaultParagraphFont"/>
    <w:link w:val="NoSpacing"/>
    <w:uiPriority w:val="1"/>
    <w:rsid w:val="0079037F"/>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qFormat/>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29"/>
    <w:qFormat/>
    <w:rsid w:val="00112A69"/>
    <w:pPr>
      <w:ind w:left="720" w:right="720"/>
    </w:pPr>
    <w:rPr>
      <w:iCs/>
      <w:color w:val="000000" w:themeColor="text1"/>
    </w:rPr>
  </w:style>
  <w:style w:type="character" w:customStyle="1" w:styleId="QuoteChar">
    <w:name w:val="Quote Char"/>
    <w:basedOn w:val="DefaultParagraphFont"/>
    <w:link w:val="Quote"/>
    <w:uiPriority w:val="29"/>
    <w:rsid w:val="00D55243"/>
    <w:rPr>
      <w:iCs/>
      <w:color w:val="000000" w:themeColor="text1"/>
    </w:rPr>
  </w:style>
  <w:style w:type="character" w:styleId="IntenseEmphasis">
    <w:name w:val="Intense Emphasis"/>
    <w:basedOn w:val="DefaultParagraphFont"/>
    <w:uiPriority w:val="21"/>
    <w:qFormat/>
    <w:locked/>
    <w:rsid w:val="00112A69"/>
    <w:rPr>
      <w:rFonts w:asciiTheme="minorHAnsi" w:hAnsiTheme="minorHAnsi"/>
      <w:b/>
      <w:bCs/>
      <w:i/>
      <w:iCs/>
      <w:color w:val="1396D8"/>
      <w:sz w:val="20"/>
    </w:rPr>
  </w:style>
  <w:style w:type="character" w:styleId="Emphasis">
    <w:name w:val="Emphasis"/>
    <w:basedOn w:val="DefaultParagraphFont"/>
    <w:uiPriority w:val="20"/>
    <w:qFormat/>
    <w:rsid w:val="00F80AF1"/>
    <w:rPr>
      <w:rFonts w:asciiTheme="minorHAnsi" w:hAnsiTheme="minorHAnsi"/>
      <w:b/>
      <w:iCs/>
      <w:sz w:val="22"/>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353B4F"/>
    <w:pPr>
      <w:numPr>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line="360" w:lineRule="auto"/>
      <w:contextualSpacing/>
    </w:pPr>
    <w:rPr>
      <w:sz w:val="24"/>
      <w:szCs w:val="24"/>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9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36"/>
    <w:locked/>
    <w:rsid w:val="00112A69"/>
    <w:pPr>
      <w:numPr>
        <w:numId w:val="4"/>
      </w:numPr>
      <w:contextualSpacing/>
    </w:pPr>
  </w:style>
  <w:style w:type="paragraph" w:styleId="ListBullet2">
    <w:name w:val="List Bullet 2"/>
    <w:basedOn w:val="Normal"/>
    <w:uiPriority w:val="36"/>
    <w:locked/>
    <w:rsid w:val="00112A69"/>
    <w:pPr>
      <w:numPr>
        <w:numId w:val="5"/>
      </w:numPr>
      <w:contextualSpacing/>
    </w:pPr>
  </w:style>
  <w:style w:type="paragraph" w:styleId="ListBullet3">
    <w:name w:val="List Bullet 3"/>
    <w:basedOn w:val="Normal"/>
    <w:uiPriority w:val="36"/>
    <w:locked/>
    <w:rsid w:val="00112A69"/>
    <w:pPr>
      <w:numPr>
        <w:numId w:val="6"/>
      </w:numPr>
      <w:contextualSpacing/>
    </w:pPr>
  </w:style>
  <w:style w:type="paragraph" w:styleId="ListBullet4">
    <w:name w:val="List Bullet 4"/>
    <w:basedOn w:val="Normal"/>
    <w:uiPriority w:val="36"/>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9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10"/>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10"/>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1"/>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TableGrid1">
    <w:name w:val="Table Grid1"/>
    <w:basedOn w:val="TableNormal"/>
    <w:next w:val="TableGrid"/>
    <w:uiPriority w:val="1"/>
    <w:rsid w:val="00C74606"/>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nhideWhenUsed/>
    <w:locked/>
    <w:rsid w:val="0079037F"/>
    <w:pPr>
      <w:spacing w:after="120" w:line="480" w:lineRule="auto"/>
    </w:pPr>
  </w:style>
  <w:style w:type="character" w:customStyle="1" w:styleId="BodyText2Char">
    <w:name w:val="Body Text 2 Char"/>
    <w:basedOn w:val="DefaultParagraphFont"/>
    <w:link w:val="BodyText2"/>
    <w:rsid w:val="0079037F"/>
  </w:style>
  <w:style w:type="paragraph" w:styleId="Subtitle">
    <w:name w:val="Subtitle"/>
    <w:basedOn w:val="Normal"/>
    <w:next w:val="Normal"/>
    <w:link w:val="SubtitleChar"/>
    <w:uiPriority w:val="11"/>
    <w:qFormat/>
    <w:locked/>
    <w:rsid w:val="0079037F"/>
    <w:pPr>
      <w:spacing w:before="200" w:after="1000" w:line="240" w:lineRule="auto"/>
    </w:pPr>
    <w:rPr>
      <w:rFonts w:eastAsiaTheme="minorEastAsia"/>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79037F"/>
    <w:rPr>
      <w:rFonts w:eastAsiaTheme="minorEastAsia"/>
      <w:caps/>
      <w:color w:val="595959" w:themeColor="text1" w:themeTint="A6"/>
      <w:spacing w:val="10"/>
      <w:sz w:val="24"/>
      <w:szCs w:val="24"/>
      <w:lang w:bidi="en-US"/>
    </w:rPr>
  </w:style>
  <w:style w:type="paragraph" w:styleId="BlockText">
    <w:name w:val="Block Text"/>
    <w:aliases w:val="Block Quote"/>
    <w:uiPriority w:val="40"/>
    <w:locked/>
    <w:rsid w:val="0079037F"/>
    <w:pPr>
      <w:pBdr>
        <w:top w:val="single" w:sz="2" w:space="10" w:color="4EC8FF" w:themeColor="accent1" w:themeTint="99"/>
        <w:bottom w:val="single" w:sz="24" w:space="10" w:color="4EC8FF" w:themeColor="accent1" w:themeTint="99"/>
      </w:pBdr>
      <w:spacing w:before="200"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uiPriority w:val="33"/>
    <w:qFormat/>
    <w:locked/>
    <w:rsid w:val="0079037F"/>
    <w:rPr>
      <w:b/>
      <w:bCs/>
      <w:i/>
      <w:iCs/>
      <w:spacing w:val="9"/>
    </w:rPr>
  </w:style>
  <w:style w:type="paragraph" w:styleId="IntenseQuote">
    <w:name w:val="Intense Quote"/>
    <w:basedOn w:val="Normal"/>
    <w:next w:val="Normal"/>
    <w:link w:val="IntenseQuoteChar"/>
    <w:uiPriority w:val="30"/>
    <w:qFormat/>
    <w:locked/>
    <w:rsid w:val="0079037F"/>
    <w:pPr>
      <w:pBdr>
        <w:top w:val="single" w:sz="4" w:space="10" w:color="0096D7" w:themeColor="accent1"/>
        <w:left w:val="single" w:sz="4" w:space="10" w:color="0096D7" w:themeColor="accent1"/>
      </w:pBdr>
      <w:spacing w:before="200" w:after="0" w:line="276" w:lineRule="auto"/>
      <w:ind w:left="1296" w:right="1152"/>
      <w:jc w:val="both"/>
    </w:pPr>
    <w:rPr>
      <w:rFonts w:eastAsiaTheme="minorEastAsia"/>
      <w:i/>
      <w:iCs/>
      <w:color w:val="0096D7" w:themeColor="accent1"/>
      <w:sz w:val="20"/>
      <w:szCs w:val="20"/>
      <w:lang w:bidi="en-US"/>
    </w:rPr>
  </w:style>
  <w:style w:type="character" w:customStyle="1" w:styleId="IntenseQuoteChar">
    <w:name w:val="Intense Quote Char"/>
    <w:basedOn w:val="DefaultParagraphFont"/>
    <w:link w:val="IntenseQuote"/>
    <w:uiPriority w:val="30"/>
    <w:rsid w:val="0079037F"/>
    <w:rPr>
      <w:rFonts w:eastAsiaTheme="minorEastAsia"/>
      <w:i/>
      <w:iCs/>
      <w:color w:val="0096D7" w:themeColor="accent1"/>
      <w:sz w:val="20"/>
      <w:szCs w:val="20"/>
      <w:lang w:bidi="en-US"/>
    </w:rPr>
  </w:style>
  <w:style w:type="paragraph" w:styleId="ListBullet5">
    <w:name w:val="List Bullet 5"/>
    <w:basedOn w:val="Normal"/>
    <w:uiPriority w:val="99"/>
    <w:unhideWhenUsed/>
    <w:locked/>
    <w:rsid w:val="0079037F"/>
    <w:pPr>
      <w:spacing w:before="200" w:after="0" w:line="276" w:lineRule="auto"/>
      <w:ind w:left="1800" w:hanging="360"/>
    </w:pPr>
    <w:rPr>
      <w:rFonts w:eastAsiaTheme="minorEastAsia"/>
      <w:sz w:val="20"/>
      <w:szCs w:val="20"/>
      <w:lang w:bidi="en-US"/>
    </w:rPr>
  </w:style>
  <w:style w:type="character" w:styleId="SubtleEmphasis">
    <w:name w:val="Subtle Emphasis"/>
    <w:uiPriority w:val="19"/>
    <w:qFormat/>
    <w:locked/>
    <w:rsid w:val="0079037F"/>
    <w:rPr>
      <w:i/>
      <w:iCs/>
      <w:color w:val="004A6B" w:themeColor="accent1" w:themeShade="7F"/>
    </w:rPr>
  </w:style>
  <w:style w:type="character" w:styleId="SubtleReference">
    <w:name w:val="Subtle Reference"/>
    <w:uiPriority w:val="31"/>
    <w:qFormat/>
    <w:locked/>
    <w:rsid w:val="0079037F"/>
    <w:rPr>
      <w:b/>
      <w:bCs/>
      <w:color w:val="0096D7" w:themeColor="accent1"/>
    </w:rPr>
  </w:style>
  <w:style w:type="character" w:customStyle="1" w:styleId="EndnoteTextChar">
    <w:name w:val="Endnote Text Char"/>
    <w:basedOn w:val="DefaultParagraphFont"/>
    <w:link w:val="EndnoteText"/>
    <w:uiPriority w:val="99"/>
    <w:semiHidden/>
    <w:rsid w:val="0079037F"/>
    <w:rPr>
      <w:rFonts w:eastAsiaTheme="minorEastAsia"/>
      <w:sz w:val="20"/>
      <w:szCs w:val="20"/>
      <w:lang w:bidi="en-US"/>
    </w:rPr>
  </w:style>
  <w:style w:type="paragraph" w:styleId="EndnoteText">
    <w:name w:val="endnote text"/>
    <w:basedOn w:val="Normal"/>
    <w:link w:val="EndnoteTextChar"/>
    <w:uiPriority w:val="99"/>
    <w:semiHidden/>
    <w:unhideWhenUsed/>
    <w:locked/>
    <w:rsid w:val="0079037F"/>
    <w:pPr>
      <w:spacing w:after="0" w:line="240" w:lineRule="auto"/>
    </w:pPr>
    <w:rPr>
      <w:rFonts w:eastAsiaTheme="minorEastAsia"/>
      <w:sz w:val="20"/>
      <w:szCs w:val="20"/>
      <w:lang w:bidi="en-US"/>
    </w:rPr>
  </w:style>
  <w:style w:type="paragraph" w:customStyle="1" w:styleId="TEXT0">
    <w:name w:val="TEXT"/>
    <w:basedOn w:val="Normal"/>
    <w:next w:val="Normal"/>
    <w:link w:val="TEXTChar"/>
    <w:autoRedefine/>
    <w:rsid w:val="00BF5764"/>
    <w:pPr>
      <w:spacing w:after="240" w:line="360" w:lineRule="auto"/>
    </w:pPr>
    <w:rPr>
      <w:rFonts w:eastAsia="Times New Roman" w:cs="Times New Roman"/>
      <w:szCs w:val="24"/>
    </w:rPr>
  </w:style>
  <w:style w:type="character" w:customStyle="1" w:styleId="TEXTChar">
    <w:name w:val="TEXT Char"/>
    <w:basedOn w:val="DefaultParagraphFont"/>
    <w:link w:val="TEXT0"/>
    <w:rsid w:val="00BF5764"/>
    <w:rPr>
      <w:rFonts w:eastAsia="Times New Roman" w:cs="Times New Roman"/>
      <w:szCs w:val="24"/>
    </w:rPr>
  </w:style>
  <w:style w:type="paragraph" w:styleId="CommentText">
    <w:name w:val="annotation text"/>
    <w:basedOn w:val="Normal"/>
    <w:link w:val="CommentTextChar"/>
    <w:uiPriority w:val="99"/>
    <w:unhideWhenUsed/>
    <w:locked/>
    <w:rsid w:val="0079037F"/>
    <w:pPr>
      <w:spacing w:before="200" w:line="240" w:lineRule="auto"/>
    </w:pPr>
    <w:rPr>
      <w:rFonts w:eastAsiaTheme="minorEastAsia"/>
      <w:sz w:val="20"/>
      <w:szCs w:val="20"/>
      <w:lang w:bidi="en-US"/>
    </w:rPr>
  </w:style>
  <w:style w:type="character" w:customStyle="1" w:styleId="CommentTextChar">
    <w:name w:val="Comment Text Char"/>
    <w:basedOn w:val="DefaultParagraphFont"/>
    <w:link w:val="CommentText"/>
    <w:uiPriority w:val="99"/>
    <w:rsid w:val="0079037F"/>
    <w:rPr>
      <w:rFonts w:eastAsiaTheme="minorEastAsia"/>
      <w:sz w:val="20"/>
      <w:szCs w:val="20"/>
      <w:lang w:bidi="en-US"/>
    </w:rPr>
  </w:style>
  <w:style w:type="character" w:customStyle="1" w:styleId="CommentSubjectChar">
    <w:name w:val="Comment Subject Char"/>
    <w:basedOn w:val="CommentTextChar"/>
    <w:link w:val="CommentSubject"/>
    <w:uiPriority w:val="99"/>
    <w:semiHidden/>
    <w:rsid w:val="0079037F"/>
    <w:rPr>
      <w:rFonts w:eastAsiaTheme="minorEastAsia"/>
      <w:b/>
      <w:bCs/>
      <w:sz w:val="20"/>
      <w:szCs w:val="20"/>
      <w:lang w:bidi="en-US"/>
    </w:rPr>
  </w:style>
  <w:style w:type="paragraph" w:styleId="CommentSubject">
    <w:name w:val="annotation subject"/>
    <w:basedOn w:val="CommentText"/>
    <w:next w:val="CommentText"/>
    <w:link w:val="CommentSubjectChar"/>
    <w:uiPriority w:val="99"/>
    <w:semiHidden/>
    <w:unhideWhenUsed/>
    <w:locked/>
    <w:rsid w:val="0079037F"/>
    <w:rPr>
      <w:b/>
      <w:bCs/>
    </w:rPr>
  </w:style>
  <w:style w:type="paragraph" w:customStyle="1" w:styleId="Default">
    <w:name w:val="Default"/>
    <w:rsid w:val="0079037F"/>
    <w:pPr>
      <w:autoSpaceDE w:val="0"/>
      <w:autoSpaceDN w:val="0"/>
      <w:adjustRightInd w:val="0"/>
      <w:spacing w:after="0"/>
    </w:pPr>
    <w:rPr>
      <w:rFonts w:ascii="Times New Roman" w:hAnsi="Times New Roman" w:cs="Times New Roman"/>
      <w:color w:val="000000"/>
      <w:sz w:val="24"/>
      <w:szCs w:val="24"/>
    </w:rPr>
  </w:style>
  <w:style w:type="table" w:customStyle="1" w:styleId="TableGrid2">
    <w:name w:val="Table Grid2"/>
    <w:basedOn w:val="TableNormal"/>
    <w:next w:val="TableGrid"/>
    <w:uiPriority w:val="1"/>
    <w:rsid w:val="00F93737"/>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1"/>
    <w:rsid w:val="004A0B1D"/>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1"/>
    <w:rsid w:val="001B0EC4"/>
    <w:pPr>
      <w:spacing w:before="200" w:after="0"/>
    </w:pPr>
    <w:rPr>
      <w:rFonts w:eastAsiaTheme="minorEastAsia" w:cstheme="min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locked/>
    <w:rsid w:val="007F2B30"/>
    <w:rPr>
      <w:sz w:val="16"/>
      <w:szCs w:val="16"/>
    </w:rPr>
  </w:style>
  <w:style w:type="paragraph" w:styleId="Revision">
    <w:name w:val="Revision"/>
    <w:hidden/>
    <w:uiPriority w:val="99"/>
    <w:semiHidden/>
    <w:rsid w:val="00137342"/>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qFormat="1"/>
    <w:lsdException w:name="toc 4" w:locked="0" w:qFormat="1"/>
    <w:lsdException w:name="footnote text" w:locked="0" w:uiPriority="0" w:qFormat="1"/>
    <w:lsdException w:name="header" w:locked="0" w:qFormat="1"/>
    <w:lsdException w:name="footer" w:locked="0" w:qFormat="1"/>
    <w:lsdException w:name="caption" w:locked="0" w:uiPriority="35" w:qFormat="1"/>
    <w:lsdException w:name="table of figures" w:locked="0"/>
    <w:lsdException w:name="footnote reference" w:locked="0" w:uiPriority="0"/>
    <w:lsdException w:name="List Bullet" w:uiPriority="36"/>
    <w:lsdException w:name="List Number" w:uiPriority="20"/>
    <w:lsdException w:name="List Bullet 2" w:uiPriority="36"/>
    <w:lsdException w:name="List Bullet 3" w:uiPriority="36"/>
    <w:lsdException w:name="List Bullet 4" w:uiPriority="36"/>
    <w:lsdException w:name="Title" w:semiHidden="0" w:uiPriority="10" w:unhideWhenUsed="0" w:qFormat="1"/>
    <w:lsdException w:name="Default Paragraph Font" w:locked="0" w:uiPriority="1"/>
    <w:lsdException w:name="Subtitle" w:uiPriority="11" w:unhideWhenUsed="0" w:qFormat="1"/>
    <w:lsdException w:name="Date" w:uiPriority="4" w:qFormat="1"/>
    <w:lsdException w:name="Body Text First Indent" w:qFormat="1"/>
    <w:lsdException w:name="Note Heading" w:uiPriority="13" w:qFormat="1"/>
    <w:lsdException w:name="Body Text 2" w:uiPriority="0"/>
    <w:lsdException w:name="Body Text Indent 3" w:qFormat="1"/>
    <w:lsdException w:name="Block Text" w:uiPriority="40"/>
    <w:lsdException w:name="Hyperlink" w:locked="0" w:qFormat="1"/>
    <w:lsdException w:name="Strong"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1"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9"/>
    <w:qFormat/>
    <w:rsid w:val="007E53C4"/>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9"/>
    <w:qFormat/>
    <w:rsid w:val="00985552"/>
    <w:pPr>
      <w:keepNext/>
      <w:keepLines/>
      <w:spacing w:before="200" w:after="240"/>
      <w:outlineLvl w:val="1"/>
    </w:pPr>
    <w:rPr>
      <w:rFonts w:eastAsia="Times New Roman" w:cstheme="majorBidi"/>
      <w:color w:val="1396D8"/>
      <w:sz w:val="24"/>
      <w:szCs w:val="24"/>
      <w:lang w:bidi="en-US"/>
    </w:rPr>
  </w:style>
  <w:style w:type="paragraph" w:styleId="Heading3">
    <w:name w:val="heading 3"/>
    <w:basedOn w:val="Heading2"/>
    <w:next w:val="Normal"/>
    <w:link w:val="Heading3Char"/>
    <w:autoRedefine/>
    <w:uiPriority w:val="9"/>
    <w:qFormat/>
    <w:rsid w:val="00FD7CDC"/>
    <w:pPr>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9"/>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qFormat/>
    <w:locked/>
    <w:rsid w:val="00112A69"/>
    <w:pPr>
      <w:numPr>
        <w:ilvl w:val="4"/>
      </w:numPr>
      <w:outlineLvl w:val="4"/>
    </w:pPr>
    <w:rPr>
      <w:sz w:val="20"/>
    </w:rPr>
  </w:style>
  <w:style w:type="paragraph" w:styleId="Heading6">
    <w:name w:val="heading 6"/>
    <w:basedOn w:val="Heading5"/>
    <w:next w:val="Normal"/>
    <w:link w:val="Heading6Char"/>
    <w:autoRedefine/>
    <w:uiPriority w:val="9"/>
    <w:qFormat/>
    <w:locked/>
    <w:rsid w:val="00112A69"/>
    <w:pPr>
      <w:numPr>
        <w:ilvl w:val="5"/>
      </w:numPr>
      <w:outlineLvl w:val="5"/>
    </w:pPr>
    <w:rPr>
      <w:iCs w:val="0"/>
      <w:color w:val="666666"/>
    </w:rPr>
  </w:style>
  <w:style w:type="paragraph" w:styleId="Heading7">
    <w:name w:val="heading 7"/>
    <w:basedOn w:val="Normal"/>
    <w:next w:val="Normal"/>
    <w:link w:val="Heading7Char"/>
    <w:uiPriority w:val="9"/>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05Indent">
    <w:name w:val="Left 0.5&quot; Indent"/>
    <w:basedOn w:val="BodyTextFirstIndent"/>
    <w:autoRedefine/>
    <w:semiHidden/>
    <w:qFormat/>
    <w:locked/>
    <w:rsid w:val="0099448B"/>
    <w:pPr>
      <w:ind w:left="360"/>
    </w:pPr>
    <w:rPr>
      <w:rFonts w:cs="Arial"/>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character" w:customStyle="1" w:styleId="Heading1Char">
    <w:name w:val="Heading 1 Char"/>
    <w:basedOn w:val="DefaultParagraphFont"/>
    <w:link w:val="Heading1"/>
    <w:uiPriority w:val="9"/>
    <w:rsid w:val="007E53C4"/>
    <w:rPr>
      <w:rFonts w:asciiTheme="majorHAnsi" w:eastAsiaTheme="majorEastAsia" w:hAnsiTheme="majorHAnsi" w:cstheme="majorBidi"/>
      <w:b/>
      <w:bCs/>
      <w:sz w:val="44"/>
      <w:szCs w:val="44"/>
    </w:rPr>
  </w:style>
  <w:style w:type="character" w:customStyle="1" w:styleId="Heading2Char">
    <w:name w:val="Heading 2 Char"/>
    <w:basedOn w:val="DefaultParagraphFont"/>
    <w:link w:val="Heading2"/>
    <w:uiPriority w:val="9"/>
    <w:rsid w:val="00985552"/>
    <w:rPr>
      <w:rFonts w:eastAsia="Times New Roman" w:cstheme="majorBidi"/>
      <w:color w:val="1396D8"/>
      <w:sz w:val="24"/>
      <w:szCs w:val="24"/>
      <w:lang w:bidi="en-US"/>
    </w:rPr>
  </w:style>
  <w:style w:type="character" w:customStyle="1" w:styleId="Heading3Char">
    <w:name w:val="Heading 3 Char"/>
    <w:basedOn w:val="DefaultParagraphFont"/>
    <w:link w:val="Heading3"/>
    <w:uiPriority w:val="9"/>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9"/>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55243"/>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112A69"/>
    <w:pPr>
      <w:spacing w:after="0"/>
      <w:jc w:val="both"/>
    </w:pPr>
  </w:style>
  <w:style w:type="character" w:customStyle="1" w:styleId="NoSpacingChar">
    <w:name w:val="No Spacing Char"/>
    <w:basedOn w:val="DefaultParagraphFont"/>
    <w:link w:val="NoSpacing"/>
    <w:uiPriority w:val="1"/>
    <w:rsid w:val="0079037F"/>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qFormat/>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29"/>
    <w:qFormat/>
    <w:rsid w:val="00112A69"/>
    <w:pPr>
      <w:ind w:left="720" w:right="720"/>
    </w:pPr>
    <w:rPr>
      <w:iCs/>
      <w:color w:val="000000" w:themeColor="text1"/>
    </w:rPr>
  </w:style>
  <w:style w:type="character" w:customStyle="1" w:styleId="QuoteChar">
    <w:name w:val="Quote Char"/>
    <w:basedOn w:val="DefaultParagraphFont"/>
    <w:link w:val="Quote"/>
    <w:uiPriority w:val="29"/>
    <w:rsid w:val="00D55243"/>
    <w:rPr>
      <w:iCs/>
      <w:color w:val="000000" w:themeColor="text1"/>
    </w:rPr>
  </w:style>
  <w:style w:type="character" w:styleId="IntenseEmphasis">
    <w:name w:val="Intense Emphasis"/>
    <w:basedOn w:val="DefaultParagraphFont"/>
    <w:uiPriority w:val="21"/>
    <w:qFormat/>
    <w:locked/>
    <w:rsid w:val="00112A69"/>
    <w:rPr>
      <w:rFonts w:asciiTheme="minorHAnsi" w:hAnsiTheme="minorHAnsi"/>
      <w:b/>
      <w:bCs/>
      <w:i/>
      <w:iCs/>
      <w:color w:val="1396D8"/>
      <w:sz w:val="20"/>
    </w:rPr>
  </w:style>
  <w:style w:type="character" w:styleId="Emphasis">
    <w:name w:val="Emphasis"/>
    <w:basedOn w:val="DefaultParagraphFont"/>
    <w:uiPriority w:val="20"/>
    <w:qFormat/>
    <w:rsid w:val="00F80AF1"/>
    <w:rPr>
      <w:rFonts w:asciiTheme="minorHAnsi" w:hAnsiTheme="minorHAnsi"/>
      <w:b/>
      <w:iCs/>
      <w:sz w:val="22"/>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353B4F"/>
    <w:pPr>
      <w:numPr>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line="360" w:lineRule="auto"/>
      <w:contextualSpacing/>
    </w:pPr>
    <w:rPr>
      <w:sz w:val="24"/>
      <w:szCs w:val="24"/>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9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36"/>
    <w:locked/>
    <w:rsid w:val="00112A69"/>
    <w:pPr>
      <w:numPr>
        <w:numId w:val="4"/>
      </w:numPr>
      <w:contextualSpacing/>
    </w:pPr>
  </w:style>
  <w:style w:type="paragraph" w:styleId="ListBullet2">
    <w:name w:val="List Bullet 2"/>
    <w:basedOn w:val="Normal"/>
    <w:uiPriority w:val="36"/>
    <w:locked/>
    <w:rsid w:val="00112A69"/>
    <w:pPr>
      <w:numPr>
        <w:numId w:val="5"/>
      </w:numPr>
      <w:contextualSpacing/>
    </w:pPr>
  </w:style>
  <w:style w:type="paragraph" w:styleId="ListBullet3">
    <w:name w:val="List Bullet 3"/>
    <w:basedOn w:val="Normal"/>
    <w:uiPriority w:val="36"/>
    <w:locked/>
    <w:rsid w:val="00112A69"/>
    <w:pPr>
      <w:numPr>
        <w:numId w:val="6"/>
      </w:numPr>
      <w:contextualSpacing/>
    </w:pPr>
  </w:style>
  <w:style w:type="paragraph" w:styleId="ListBullet4">
    <w:name w:val="List Bullet 4"/>
    <w:basedOn w:val="Normal"/>
    <w:uiPriority w:val="36"/>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9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10"/>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10"/>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1"/>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TableGrid1">
    <w:name w:val="Table Grid1"/>
    <w:basedOn w:val="TableNormal"/>
    <w:next w:val="TableGrid"/>
    <w:uiPriority w:val="1"/>
    <w:rsid w:val="00C74606"/>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nhideWhenUsed/>
    <w:locked/>
    <w:rsid w:val="0079037F"/>
    <w:pPr>
      <w:spacing w:after="120" w:line="480" w:lineRule="auto"/>
    </w:pPr>
  </w:style>
  <w:style w:type="character" w:customStyle="1" w:styleId="BodyText2Char">
    <w:name w:val="Body Text 2 Char"/>
    <w:basedOn w:val="DefaultParagraphFont"/>
    <w:link w:val="BodyText2"/>
    <w:rsid w:val="0079037F"/>
  </w:style>
  <w:style w:type="paragraph" w:styleId="Subtitle">
    <w:name w:val="Subtitle"/>
    <w:basedOn w:val="Normal"/>
    <w:next w:val="Normal"/>
    <w:link w:val="SubtitleChar"/>
    <w:uiPriority w:val="11"/>
    <w:qFormat/>
    <w:locked/>
    <w:rsid w:val="0079037F"/>
    <w:pPr>
      <w:spacing w:before="200" w:after="1000" w:line="240" w:lineRule="auto"/>
    </w:pPr>
    <w:rPr>
      <w:rFonts w:eastAsiaTheme="minorEastAsia"/>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79037F"/>
    <w:rPr>
      <w:rFonts w:eastAsiaTheme="minorEastAsia"/>
      <w:caps/>
      <w:color w:val="595959" w:themeColor="text1" w:themeTint="A6"/>
      <w:spacing w:val="10"/>
      <w:sz w:val="24"/>
      <w:szCs w:val="24"/>
      <w:lang w:bidi="en-US"/>
    </w:rPr>
  </w:style>
  <w:style w:type="paragraph" w:styleId="BlockText">
    <w:name w:val="Block Text"/>
    <w:aliases w:val="Block Quote"/>
    <w:uiPriority w:val="40"/>
    <w:locked/>
    <w:rsid w:val="0079037F"/>
    <w:pPr>
      <w:pBdr>
        <w:top w:val="single" w:sz="2" w:space="10" w:color="4EC8FF" w:themeColor="accent1" w:themeTint="99"/>
        <w:bottom w:val="single" w:sz="24" w:space="10" w:color="4EC8FF" w:themeColor="accent1" w:themeTint="99"/>
      </w:pBdr>
      <w:spacing w:before="200"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uiPriority w:val="33"/>
    <w:qFormat/>
    <w:locked/>
    <w:rsid w:val="0079037F"/>
    <w:rPr>
      <w:b/>
      <w:bCs/>
      <w:i/>
      <w:iCs/>
      <w:spacing w:val="9"/>
    </w:rPr>
  </w:style>
  <w:style w:type="paragraph" w:styleId="IntenseQuote">
    <w:name w:val="Intense Quote"/>
    <w:basedOn w:val="Normal"/>
    <w:next w:val="Normal"/>
    <w:link w:val="IntenseQuoteChar"/>
    <w:uiPriority w:val="30"/>
    <w:qFormat/>
    <w:locked/>
    <w:rsid w:val="0079037F"/>
    <w:pPr>
      <w:pBdr>
        <w:top w:val="single" w:sz="4" w:space="10" w:color="0096D7" w:themeColor="accent1"/>
        <w:left w:val="single" w:sz="4" w:space="10" w:color="0096D7" w:themeColor="accent1"/>
      </w:pBdr>
      <w:spacing w:before="200" w:after="0" w:line="276" w:lineRule="auto"/>
      <w:ind w:left="1296" w:right="1152"/>
      <w:jc w:val="both"/>
    </w:pPr>
    <w:rPr>
      <w:rFonts w:eastAsiaTheme="minorEastAsia"/>
      <w:i/>
      <w:iCs/>
      <w:color w:val="0096D7" w:themeColor="accent1"/>
      <w:sz w:val="20"/>
      <w:szCs w:val="20"/>
      <w:lang w:bidi="en-US"/>
    </w:rPr>
  </w:style>
  <w:style w:type="character" w:customStyle="1" w:styleId="IntenseQuoteChar">
    <w:name w:val="Intense Quote Char"/>
    <w:basedOn w:val="DefaultParagraphFont"/>
    <w:link w:val="IntenseQuote"/>
    <w:uiPriority w:val="30"/>
    <w:rsid w:val="0079037F"/>
    <w:rPr>
      <w:rFonts w:eastAsiaTheme="minorEastAsia"/>
      <w:i/>
      <w:iCs/>
      <w:color w:val="0096D7" w:themeColor="accent1"/>
      <w:sz w:val="20"/>
      <w:szCs w:val="20"/>
      <w:lang w:bidi="en-US"/>
    </w:rPr>
  </w:style>
  <w:style w:type="paragraph" w:styleId="ListBullet5">
    <w:name w:val="List Bullet 5"/>
    <w:basedOn w:val="Normal"/>
    <w:uiPriority w:val="99"/>
    <w:unhideWhenUsed/>
    <w:locked/>
    <w:rsid w:val="0079037F"/>
    <w:pPr>
      <w:spacing w:before="200" w:after="0" w:line="276" w:lineRule="auto"/>
      <w:ind w:left="1800" w:hanging="360"/>
    </w:pPr>
    <w:rPr>
      <w:rFonts w:eastAsiaTheme="minorEastAsia"/>
      <w:sz w:val="20"/>
      <w:szCs w:val="20"/>
      <w:lang w:bidi="en-US"/>
    </w:rPr>
  </w:style>
  <w:style w:type="character" w:styleId="SubtleEmphasis">
    <w:name w:val="Subtle Emphasis"/>
    <w:uiPriority w:val="19"/>
    <w:qFormat/>
    <w:locked/>
    <w:rsid w:val="0079037F"/>
    <w:rPr>
      <w:i/>
      <w:iCs/>
      <w:color w:val="004A6B" w:themeColor="accent1" w:themeShade="7F"/>
    </w:rPr>
  </w:style>
  <w:style w:type="character" w:styleId="SubtleReference">
    <w:name w:val="Subtle Reference"/>
    <w:uiPriority w:val="31"/>
    <w:qFormat/>
    <w:locked/>
    <w:rsid w:val="0079037F"/>
    <w:rPr>
      <w:b/>
      <w:bCs/>
      <w:color w:val="0096D7" w:themeColor="accent1"/>
    </w:rPr>
  </w:style>
  <w:style w:type="character" w:customStyle="1" w:styleId="EndnoteTextChar">
    <w:name w:val="Endnote Text Char"/>
    <w:basedOn w:val="DefaultParagraphFont"/>
    <w:link w:val="EndnoteText"/>
    <w:uiPriority w:val="99"/>
    <w:semiHidden/>
    <w:rsid w:val="0079037F"/>
    <w:rPr>
      <w:rFonts w:eastAsiaTheme="minorEastAsia"/>
      <w:sz w:val="20"/>
      <w:szCs w:val="20"/>
      <w:lang w:bidi="en-US"/>
    </w:rPr>
  </w:style>
  <w:style w:type="paragraph" w:styleId="EndnoteText">
    <w:name w:val="endnote text"/>
    <w:basedOn w:val="Normal"/>
    <w:link w:val="EndnoteTextChar"/>
    <w:uiPriority w:val="99"/>
    <w:semiHidden/>
    <w:unhideWhenUsed/>
    <w:locked/>
    <w:rsid w:val="0079037F"/>
    <w:pPr>
      <w:spacing w:after="0" w:line="240" w:lineRule="auto"/>
    </w:pPr>
    <w:rPr>
      <w:rFonts w:eastAsiaTheme="minorEastAsia"/>
      <w:sz w:val="20"/>
      <w:szCs w:val="20"/>
      <w:lang w:bidi="en-US"/>
    </w:rPr>
  </w:style>
  <w:style w:type="paragraph" w:customStyle="1" w:styleId="TEXT0">
    <w:name w:val="TEXT"/>
    <w:basedOn w:val="Normal"/>
    <w:next w:val="Normal"/>
    <w:link w:val="TEXTChar"/>
    <w:autoRedefine/>
    <w:rsid w:val="00BF5764"/>
    <w:pPr>
      <w:spacing w:after="240" w:line="360" w:lineRule="auto"/>
    </w:pPr>
    <w:rPr>
      <w:rFonts w:eastAsia="Times New Roman" w:cs="Times New Roman"/>
      <w:szCs w:val="24"/>
    </w:rPr>
  </w:style>
  <w:style w:type="character" w:customStyle="1" w:styleId="TEXTChar">
    <w:name w:val="TEXT Char"/>
    <w:basedOn w:val="DefaultParagraphFont"/>
    <w:link w:val="TEXT0"/>
    <w:rsid w:val="00BF5764"/>
    <w:rPr>
      <w:rFonts w:eastAsia="Times New Roman" w:cs="Times New Roman"/>
      <w:szCs w:val="24"/>
    </w:rPr>
  </w:style>
  <w:style w:type="paragraph" w:styleId="CommentText">
    <w:name w:val="annotation text"/>
    <w:basedOn w:val="Normal"/>
    <w:link w:val="CommentTextChar"/>
    <w:uiPriority w:val="99"/>
    <w:unhideWhenUsed/>
    <w:locked/>
    <w:rsid w:val="0079037F"/>
    <w:pPr>
      <w:spacing w:before="200" w:line="240" w:lineRule="auto"/>
    </w:pPr>
    <w:rPr>
      <w:rFonts w:eastAsiaTheme="minorEastAsia"/>
      <w:sz w:val="20"/>
      <w:szCs w:val="20"/>
      <w:lang w:bidi="en-US"/>
    </w:rPr>
  </w:style>
  <w:style w:type="character" w:customStyle="1" w:styleId="CommentTextChar">
    <w:name w:val="Comment Text Char"/>
    <w:basedOn w:val="DefaultParagraphFont"/>
    <w:link w:val="CommentText"/>
    <w:uiPriority w:val="99"/>
    <w:rsid w:val="0079037F"/>
    <w:rPr>
      <w:rFonts w:eastAsiaTheme="minorEastAsia"/>
      <w:sz w:val="20"/>
      <w:szCs w:val="20"/>
      <w:lang w:bidi="en-US"/>
    </w:rPr>
  </w:style>
  <w:style w:type="character" w:customStyle="1" w:styleId="CommentSubjectChar">
    <w:name w:val="Comment Subject Char"/>
    <w:basedOn w:val="CommentTextChar"/>
    <w:link w:val="CommentSubject"/>
    <w:uiPriority w:val="99"/>
    <w:semiHidden/>
    <w:rsid w:val="0079037F"/>
    <w:rPr>
      <w:rFonts w:eastAsiaTheme="minorEastAsia"/>
      <w:b/>
      <w:bCs/>
      <w:sz w:val="20"/>
      <w:szCs w:val="20"/>
      <w:lang w:bidi="en-US"/>
    </w:rPr>
  </w:style>
  <w:style w:type="paragraph" w:styleId="CommentSubject">
    <w:name w:val="annotation subject"/>
    <w:basedOn w:val="CommentText"/>
    <w:next w:val="CommentText"/>
    <w:link w:val="CommentSubjectChar"/>
    <w:uiPriority w:val="99"/>
    <w:semiHidden/>
    <w:unhideWhenUsed/>
    <w:locked/>
    <w:rsid w:val="0079037F"/>
    <w:rPr>
      <w:b/>
      <w:bCs/>
    </w:rPr>
  </w:style>
  <w:style w:type="paragraph" w:customStyle="1" w:styleId="Default">
    <w:name w:val="Default"/>
    <w:rsid w:val="0079037F"/>
    <w:pPr>
      <w:autoSpaceDE w:val="0"/>
      <w:autoSpaceDN w:val="0"/>
      <w:adjustRightInd w:val="0"/>
      <w:spacing w:after="0"/>
    </w:pPr>
    <w:rPr>
      <w:rFonts w:ascii="Times New Roman" w:hAnsi="Times New Roman" w:cs="Times New Roman"/>
      <w:color w:val="000000"/>
      <w:sz w:val="24"/>
      <w:szCs w:val="24"/>
    </w:rPr>
  </w:style>
  <w:style w:type="table" w:customStyle="1" w:styleId="TableGrid2">
    <w:name w:val="Table Grid2"/>
    <w:basedOn w:val="TableNormal"/>
    <w:next w:val="TableGrid"/>
    <w:uiPriority w:val="1"/>
    <w:rsid w:val="00F93737"/>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1"/>
    <w:rsid w:val="004A0B1D"/>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1"/>
    <w:rsid w:val="001B0EC4"/>
    <w:pPr>
      <w:spacing w:before="200" w:after="0"/>
    </w:pPr>
    <w:rPr>
      <w:rFonts w:eastAsiaTheme="minorEastAsia" w:cstheme="min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locked/>
    <w:rsid w:val="007F2B30"/>
    <w:rPr>
      <w:sz w:val="16"/>
      <w:szCs w:val="16"/>
    </w:rPr>
  </w:style>
  <w:style w:type="paragraph" w:styleId="Revision">
    <w:name w:val="Revision"/>
    <w:hidden/>
    <w:uiPriority w:val="99"/>
    <w:semiHidden/>
    <w:rsid w:val="0013734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14962360">
      <w:bodyDiv w:val="1"/>
      <w:marLeft w:val="0"/>
      <w:marRight w:val="0"/>
      <w:marTop w:val="0"/>
      <w:marBottom w:val="0"/>
      <w:divBdr>
        <w:top w:val="none" w:sz="0" w:space="0" w:color="auto"/>
        <w:left w:val="none" w:sz="0" w:space="0" w:color="auto"/>
        <w:bottom w:val="none" w:sz="0" w:space="0" w:color="auto"/>
        <w:right w:val="none" w:sz="0" w:space="0" w:color="auto"/>
      </w:divBdr>
    </w:div>
    <w:div w:id="719666415">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55458500">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53888294">
      <w:bodyDiv w:val="1"/>
      <w:marLeft w:val="0"/>
      <w:marRight w:val="0"/>
      <w:marTop w:val="0"/>
      <w:marBottom w:val="0"/>
      <w:divBdr>
        <w:top w:val="none" w:sz="0" w:space="0" w:color="auto"/>
        <w:left w:val="none" w:sz="0" w:space="0" w:color="auto"/>
        <w:bottom w:val="none" w:sz="0" w:space="0" w:color="auto"/>
        <w:right w:val="none" w:sz="0" w:space="0" w:color="auto"/>
      </w:divBdr>
      <w:divsChild>
        <w:div w:id="441926463">
          <w:marLeft w:val="0"/>
          <w:marRight w:val="0"/>
          <w:marTop w:val="0"/>
          <w:marBottom w:val="0"/>
          <w:divBdr>
            <w:top w:val="none" w:sz="0" w:space="0" w:color="auto"/>
            <w:left w:val="none" w:sz="0" w:space="0" w:color="auto"/>
            <w:bottom w:val="none" w:sz="0" w:space="0" w:color="auto"/>
            <w:right w:val="none" w:sz="0" w:space="0" w:color="auto"/>
          </w:divBdr>
          <w:divsChild>
            <w:div w:id="1788424813">
              <w:marLeft w:val="0"/>
              <w:marRight w:val="0"/>
              <w:marTop w:val="0"/>
              <w:marBottom w:val="0"/>
              <w:divBdr>
                <w:top w:val="none" w:sz="0" w:space="0" w:color="auto"/>
                <w:left w:val="none" w:sz="0" w:space="0" w:color="auto"/>
                <w:bottom w:val="none" w:sz="0" w:space="0" w:color="auto"/>
                <w:right w:val="none" w:sz="0" w:space="0" w:color="auto"/>
              </w:divBdr>
              <w:divsChild>
                <w:div w:id="1109542816">
                  <w:marLeft w:val="0"/>
                  <w:marRight w:val="0"/>
                  <w:marTop w:val="0"/>
                  <w:marBottom w:val="0"/>
                  <w:divBdr>
                    <w:top w:val="none" w:sz="0" w:space="0" w:color="auto"/>
                    <w:left w:val="none" w:sz="0" w:space="0" w:color="auto"/>
                    <w:bottom w:val="none" w:sz="0" w:space="0" w:color="auto"/>
                    <w:right w:val="none" w:sz="0" w:space="0" w:color="auto"/>
                  </w:divBdr>
                  <w:divsChild>
                    <w:div w:id="1747149813">
                      <w:marLeft w:val="0"/>
                      <w:marRight w:val="0"/>
                      <w:marTop w:val="0"/>
                      <w:marBottom w:val="0"/>
                      <w:divBdr>
                        <w:top w:val="none" w:sz="0" w:space="0" w:color="auto"/>
                        <w:left w:val="none" w:sz="0" w:space="0" w:color="auto"/>
                        <w:bottom w:val="none" w:sz="0" w:space="0" w:color="auto"/>
                        <w:right w:val="none" w:sz="0" w:space="0" w:color="auto"/>
                      </w:divBdr>
                      <w:divsChild>
                        <w:div w:id="78908483">
                          <w:marLeft w:val="0"/>
                          <w:marRight w:val="0"/>
                          <w:marTop w:val="0"/>
                          <w:marBottom w:val="0"/>
                          <w:divBdr>
                            <w:top w:val="none" w:sz="0" w:space="0" w:color="auto"/>
                            <w:left w:val="none" w:sz="0" w:space="0" w:color="auto"/>
                            <w:bottom w:val="none" w:sz="0" w:space="0" w:color="auto"/>
                            <w:right w:val="none" w:sz="0" w:space="0" w:color="auto"/>
                          </w:divBdr>
                          <w:divsChild>
                            <w:div w:id="18058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1998728940">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www.eia.gov/petroleum/gasdiesel"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eia.gov/petroleum/weekly/"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eia.gov/surve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eia.gov/oil_gas/petroleum/data_publications/weekly_petroleum_status_report/wpsr.html"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eia.gov/petroleum/gasdiesel" TargetMode="External"/><Relationship Id="rId28" Type="http://schemas.openxmlformats.org/officeDocument/2006/relationships/hyperlink" Target="http://www.eia.gov/petroleum/weekly/"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hyperlink" Target="http://www.eia.gov/oil_gas/petroleum/data_publications/weekly_petroleum_status_report/wpsr.html" TargetMode="Externa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2" ma:contentTypeDescription="Create a new document." ma:contentTypeScope="" ma:versionID="1e863a9ae59de9625168b23b3086aa82">
  <xsd:schema xmlns:xsd="http://www.w3.org/2001/XMLSchema" xmlns:xs="http://www.w3.org/2001/XMLSchema" xmlns:p="http://schemas.microsoft.com/office/2006/metadata/properties" xmlns:ns2="fe387294-2a31-40de-b73a-855586cea4d4" targetNamespace="http://schemas.microsoft.com/office/2006/metadata/properties" ma:root="true" ma:fieldsID="e0923b439ef199c7b0fb53460bc09d69" ns2:_="">
    <xsd:import namespace="fe387294-2a31-40de-b73a-855586cea4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F0AF4A-AC45-4AD2-A325-AF52D5201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6D90F-4676-4315-B55A-30DB2C32FBFB}">
  <ds:schemaRefs>
    <ds:schemaRef ds:uri="http://schemas.microsoft.com/sharepoint/v3/contenttype/forms"/>
  </ds:schemaRefs>
</ds:datastoreItem>
</file>

<file path=customXml/itemProps4.xml><?xml version="1.0" encoding="utf-8"?>
<ds:datastoreItem xmlns:ds="http://schemas.openxmlformats.org/officeDocument/2006/customXml" ds:itemID="{EDF66912-E7B7-41AB-8D8C-0C7BC31A3960}">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fe387294-2a31-40de-b73a-855586cea4d4"/>
    <ds:schemaRef ds:uri="http://purl.org/dc/dcmitype/"/>
  </ds:schemaRefs>
</ds:datastoreItem>
</file>

<file path=customXml/itemProps5.xml><?xml version="1.0" encoding="utf-8"?>
<ds:datastoreItem xmlns:ds="http://schemas.openxmlformats.org/officeDocument/2006/customXml" ds:itemID="{85CE1CA7-E8FF-436F-8805-8C2ACF2E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7042</Words>
  <Characters>40146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Supporting Statement for Petroleum Marketing Program</vt:lpstr>
    </vt:vector>
  </TitlesOfParts>
  <Company/>
  <LinksUpToDate>false</LinksUpToDate>
  <CharactersWithSpaces>47094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Petroleum Marketing Program</dc:title>
  <dc:subject>Improving the Quality and Scope of EIA Data</dc:subject>
  <dc:creator>Stroud, Lawrence</dc:creator>
  <cp:keywords/>
  <dc:description/>
  <cp:lastModifiedBy>SYSTEM</cp:lastModifiedBy>
  <cp:revision>2</cp:revision>
  <cp:lastPrinted>2017-06-07T16:07:00Z</cp:lastPrinted>
  <dcterms:created xsi:type="dcterms:W3CDTF">2019-07-22T15:58:00Z</dcterms:created>
  <dcterms:modified xsi:type="dcterms:W3CDTF">2019-07-22T15:58:00Z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