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8387E" w:rsidR="0074127C" w:rsidP="00D14071" w:rsidRDefault="00D350A8" w14:paraId="4E75137F" w14:textId="4912E58F">
      <w:pPr>
        <w:tabs>
          <w:tab w:val="left" w:pos="3320"/>
        </w:tabs>
        <w:spacing w:after="0" w:line="240" w:lineRule="auto"/>
        <w:jc w:val="center"/>
        <w:rPr>
          <w:rFonts w:ascii="Times New Roman" w:hAnsi="Times New Roman" w:cs="Times New Roman"/>
          <w:sz w:val="26"/>
          <w:szCs w:val="26"/>
        </w:rPr>
      </w:pPr>
      <w:bookmarkStart w:name="_GoBack" w:id="0"/>
      <w:bookmarkEnd w:id="0"/>
      <w:r w:rsidRPr="00D772B7">
        <w:rPr>
          <w:rFonts w:ascii="Times New Roman" w:hAnsi="Times New Roman" w:cs="Times New Roman"/>
          <w:sz w:val="26"/>
          <w:szCs w:val="26"/>
        </w:rPr>
        <w:t>Supporting Statement for</w:t>
      </w:r>
    </w:p>
    <w:p w:rsidRPr="0028387E" w:rsidR="00D350A8" w:rsidP="00D14071" w:rsidRDefault="00D350A8" w14:paraId="3FC5EEEB" w14:textId="4A61452F">
      <w:pPr>
        <w:tabs>
          <w:tab w:val="left" w:pos="3320"/>
        </w:tabs>
        <w:spacing w:after="0" w:line="240" w:lineRule="auto"/>
        <w:jc w:val="center"/>
        <w:rPr>
          <w:rFonts w:ascii="Times New Roman" w:hAnsi="Times New Roman" w:cs="Times New Roman"/>
          <w:b/>
          <w:sz w:val="26"/>
          <w:szCs w:val="26"/>
        </w:rPr>
      </w:pPr>
      <w:r w:rsidRPr="0028387E">
        <w:rPr>
          <w:rFonts w:ascii="Times New Roman" w:hAnsi="Times New Roman" w:cs="Times New Roman"/>
          <w:b/>
          <w:sz w:val="26"/>
          <w:szCs w:val="26"/>
        </w:rPr>
        <w:t>FERC-725I, Mandatory Reliability Standards for the Northeast Power Coordinating Council</w:t>
      </w:r>
    </w:p>
    <w:p w:rsidRPr="0028387E" w:rsidR="00DC68EB" w:rsidP="00D14071" w:rsidRDefault="00DC68EB" w14:paraId="10A7EDAD" w14:textId="77777777">
      <w:pPr>
        <w:tabs>
          <w:tab w:val="left" w:pos="3320"/>
        </w:tabs>
        <w:spacing w:after="0" w:line="240" w:lineRule="auto"/>
        <w:jc w:val="center"/>
        <w:rPr>
          <w:rFonts w:ascii="Times New Roman" w:hAnsi="Times New Roman" w:cs="Times New Roman"/>
          <w:b/>
          <w:sz w:val="26"/>
          <w:szCs w:val="26"/>
        </w:rPr>
      </w:pPr>
    </w:p>
    <w:p w:rsidRPr="0028387E" w:rsidR="00C4205B" w:rsidP="00D14071" w:rsidRDefault="00D350A8" w14:paraId="58A35B48" w14:textId="1111366B">
      <w:pPr>
        <w:spacing w:line="240" w:lineRule="auto"/>
        <w:rPr>
          <w:rFonts w:ascii="Times New Roman" w:hAnsi="Times New Roman" w:cs="Times New Roman"/>
          <w:sz w:val="26"/>
          <w:szCs w:val="26"/>
        </w:rPr>
      </w:pPr>
      <w:r w:rsidRPr="0028387E">
        <w:rPr>
          <w:rFonts w:ascii="Times New Roman" w:hAnsi="Times New Roman" w:cs="Times New Roman"/>
          <w:sz w:val="26"/>
          <w:szCs w:val="26"/>
        </w:rPr>
        <w:t xml:space="preserve">The Federal Energy Regulatory Commission (Commission or FERC) requests that the Office of Management and Budget (OMB) review and approve FERC-725I, </w:t>
      </w:r>
      <w:r w:rsidRPr="0028387E" w:rsidR="00BB5762">
        <w:rPr>
          <w:rFonts w:ascii="Times New Roman" w:hAnsi="Times New Roman" w:cs="Times New Roman"/>
          <w:sz w:val="26"/>
          <w:szCs w:val="26"/>
        </w:rPr>
        <w:t>(</w:t>
      </w:r>
      <w:r w:rsidRPr="0028387E">
        <w:rPr>
          <w:rFonts w:ascii="Times New Roman" w:hAnsi="Times New Roman" w:cs="Times New Roman"/>
          <w:sz w:val="26"/>
          <w:szCs w:val="26"/>
        </w:rPr>
        <w:t>Mandatory Reliability Standards for the Northeast Power Coordinating Council</w:t>
      </w:r>
      <w:r w:rsidRPr="0028387E" w:rsidR="00BB5762">
        <w:rPr>
          <w:rFonts w:ascii="Times New Roman" w:hAnsi="Times New Roman" w:cs="Times New Roman"/>
          <w:sz w:val="26"/>
          <w:szCs w:val="26"/>
        </w:rPr>
        <w:t xml:space="preserve">; OMB Control No. 1902-0258) </w:t>
      </w:r>
      <w:r w:rsidRPr="0028387E">
        <w:rPr>
          <w:rFonts w:ascii="Times New Roman" w:hAnsi="Times New Roman" w:cs="Times New Roman"/>
          <w:sz w:val="26"/>
          <w:szCs w:val="26"/>
        </w:rPr>
        <w:t>for a three</w:t>
      </w:r>
      <w:r w:rsidRPr="0028387E" w:rsidR="00DC68EB">
        <w:rPr>
          <w:rFonts w:ascii="Times New Roman" w:hAnsi="Times New Roman" w:cs="Times New Roman"/>
          <w:sz w:val="26"/>
          <w:szCs w:val="26"/>
        </w:rPr>
        <w:t>-</w:t>
      </w:r>
      <w:r w:rsidRPr="0028387E">
        <w:rPr>
          <w:rFonts w:ascii="Times New Roman" w:hAnsi="Times New Roman" w:cs="Times New Roman"/>
          <w:sz w:val="26"/>
          <w:szCs w:val="26"/>
        </w:rPr>
        <w:t xml:space="preserve">year period. </w:t>
      </w:r>
      <w:r w:rsidRPr="0028387E" w:rsidR="00D215A2">
        <w:rPr>
          <w:rFonts w:ascii="Times New Roman" w:hAnsi="Times New Roman" w:cs="Times New Roman"/>
          <w:sz w:val="26"/>
          <w:szCs w:val="26"/>
        </w:rPr>
        <w:t xml:space="preserve"> </w:t>
      </w:r>
      <w:r w:rsidRPr="0028387E" w:rsidR="00DC68EB">
        <w:rPr>
          <w:rFonts w:ascii="Times New Roman" w:hAnsi="Times New Roman" w:cs="Times New Roman"/>
          <w:sz w:val="26"/>
          <w:szCs w:val="26"/>
        </w:rPr>
        <w:t>FERC-725I is an existing Commission data collection.</w:t>
      </w:r>
    </w:p>
    <w:p w:rsidRPr="0028387E" w:rsidR="00C4205B" w:rsidP="00D14071" w:rsidRDefault="00C4205B" w14:paraId="0DF1C787"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28387E">
        <w:rPr>
          <w:rFonts w:ascii="Times New Roman" w:hAnsi="Times New Roman" w:cs="Times New Roman"/>
          <w:b/>
          <w:bCs/>
          <w:sz w:val="26"/>
          <w:szCs w:val="26"/>
        </w:rPr>
        <w:t>CIRCUMSTANCES THAT MAKE THE COLLECTION OF INFORMATION NECESSARY</w:t>
      </w:r>
    </w:p>
    <w:p w:rsidRPr="0028387E" w:rsidR="00C4205B" w:rsidP="00D14071" w:rsidRDefault="00C4205B" w14:paraId="0F804EE0" w14:textId="77777777">
      <w:pPr>
        <w:widowControl w:val="0"/>
        <w:autoSpaceDE w:val="0"/>
        <w:autoSpaceDN w:val="0"/>
        <w:adjustRightInd w:val="0"/>
        <w:spacing w:after="0" w:line="240" w:lineRule="auto"/>
        <w:ind w:left="360"/>
        <w:rPr>
          <w:rFonts w:ascii="Times New Roman" w:hAnsi="Times New Roman" w:cs="Times New Roman"/>
          <w:b/>
          <w:bCs/>
          <w:sz w:val="26"/>
          <w:szCs w:val="26"/>
        </w:rPr>
      </w:pPr>
    </w:p>
    <w:p w:rsidRPr="0028387E" w:rsidR="00C4205B" w:rsidP="00D14071" w:rsidRDefault="00C4205B" w14:paraId="7397CA23" w14:textId="469FB514">
      <w:pPr>
        <w:spacing w:line="240" w:lineRule="auto"/>
        <w:rPr>
          <w:rFonts w:ascii="Times New Roman" w:hAnsi="Times New Roman" w:cs="Times New Roman"/>
          <w:sz w:val="26"/>
          <w:szCs w:val="26"/>
        </w:rPr>
      </w:pPr>
      <w:r w:rsidRPr="0028387E">
        <w:rPr>
          <w:rFonts w:ascii="Times New Roman" w:hAnsi="Times New Roman" w:cs="Times New Roman"/>
          <w:sz w:val="26"/>
          <w:szCs w:val="26"/>
        </w:rPr>
        <w:t>In the Energy Policy Act of 2005 (EPAct 2005), Congress entrusted the Commission with a major new responsibility to oversee mandatory, enforceable Reliability Standards for the Nation’s Bulk-Power System (excluding Alaska and Hawaii).  This authority is in section 215 of the Federal Power Act (FPA)</w:t>
      </w:r>
      <w:r w:rsidRPr="0028387E" w:rsidR="000A4C70">
        <w:rPr>
          <w:rFonts w:ascii="Times New Roman" w:hAnsi="Times New Roman" w:cs="Times New Roman"/>
          <w:sz w:val="26"/>
          <w:szCs w:val="26"/>
        </w:rPr>
        <w:t xml:space="preserve"> </w:t>
      </w:r>
      <w:r w:rsidRPr="0028387E" w:rsidR="005C6515">
        <w:rPr>
          <w:rFonts w:ascii="Times New Roman" w:hAnsi="Times New Roman" w:cs="Times New Roman"/>
          <w:sz w:val="26"/>
          <w:szCs w:val="26"/>
        </w:rPr>
        <w:t>(16 U.S.C. 824o)</w:t>
      </w:r>
      <w:r w:rsidRPr="0028387E">
        <w:rPr>
          <w:rFonts w:ascii="Times New Roman" w:hAnsi="Times New Roman" w:cs="Times New Roman"/>
          <w:sz w:val="26"/>
          <w:szCs w:val="26"/>
        </w:rPr>
        <w:t>.  Section 215 requires the Commission to select an Electric Reliability Organization (ERO) that is responsible for proposing, for Commission review and approval, Reliability Standards or modifications to existing Reliability Standards to help protect and improve the reliability of the Nation’s Bulk-Power System.  The Commission has certified the North American Electric Reliability Corporation (NERC) as the ERO.  The Reliability Standards apply to the users, owners and operators of the Bulk-Power System and become mandatory and enforceable in the United States only after Commission approval.  The ERO also is authorized to impose, after notice and opportunity for a hearing, penalties for violations of the Reliability Standards, subject to Commission review and approval.  The ERO may delegate certain responsibilities to Regional Entities, subject to Commission approval.</w:t>
      </w:r>
    </w:p>
    <w:p w:rsidRPr="0028387E" w:rsidR="00C4205B" w:rsidP="00D14071" w:rsidRDefault="00C4205B" w14:paraId="21328CFD" w14:textId="23C3A1FC">
      <w:pPr>
        <w:spacing w:line="240" w:lineRule="auto"/>
        <w:rPr>
          <w:rFonts w:ascii="Times New Roman" w:hAnsi="Times New Roman" w:cs="Times New Roman"/>
          <w:sz w:val="26"/>
          <w:szCs w:val="26"/>
        </w:rPr>
      </w:pPr>
      <w:r w:rsidRPr="0028387E">
        <w:rPr>
          <w:rFonts w:ascii="Times New Roman" w:hAnsi="Times New Roman" w:cs="Times New Roman"/>
          <w:sz w:val="26"/>
          <w:szCs w:val="26"/>
        </w:rPr>
        <w:t>The Commission may approve proposed Reliability Standards or modifications to previously approved standards if it finds them “just, reasonable, not unduly discriminatory or preferential, and in the public interest.”</w:t>
      </w:r>
      <w:r w:rsidRPr="00D772B7">
        <w:rPr>
          <w:rStyle w:val="FootnoteReference"/>
          <w:rFonts w:ascii="Times New Roman" w:hAnsi="Times New Roman" w:cs="Times New Roman"/>
          <w:sz w:val="26"/>
          <w:szCs w:val="26"/>
          <w:vertAlign w:val="superscript"/>
        </w:rPr>
        <w:footnoteReference w:id="1"/>
      </w:r>
      <w:r w:rsidRPr="0028387E">
        <w:rPr>
          <w:rFonts w:ascii="Times New Roman" w:hAnsi="Times New Roman" w:cs="Times New Roman"/>
          <w:sz w:val="26"/>
          <w:szCs w:val="26"/>
          <w:vertAlign w:val="superscript"/>
        </w:rPr>
        <w:t xml:space="preserve"> </w:t>
      </w:r>
      <w:r w:rsidRPr="0028387E">
        <w:rPr>
          <w:rFonts w:ascii="Times New Roman" w:hAnsi="Times New Roman" w:cs="Times New Roman"/>
          <w:sz w:val="26"/>
          <w:szCs w:val="26"/>
        </w:rPr>
        <w:t>The Commission itself does not have authority to modify proposed standards.  Rather, if the Commission disapproves of a proposed standard or modification, section 215 requires the Commission to remand it to the ERO for further consideration.  The Commission, upon its own motion or upon complaint, may direct the ERO to submit a proposed standard or modification on a specific matter but it does not have the authority to modify or author a standard and must depend upon the ERO to do so.</w:t>
      </w:r>
    </w:p>
    <w:p w:rsidRPr="00D772B7" w:rsidR="00C4205B" w:rsidP="00D14071" w:rsidRDefault="00C4205B" w14:paraId="2B578B85" w14:textId="145BA6F7">
      <w:pPr>
        <w:spacing w:line="240" w:lineRule="auto"/>
        <w:rPr>
          <w:rFonts w:ascii="Times New Roman" w:hAnsi="Times New Roman" w:cs="Times New Roman"/>
          <w:sz w:val="26"/>
          <w:szCs w:val="26"/>
        </w:rPr>
      </w:pPr>
      <w:r w:rsidRPr="0028387E">
        <w:rPr>
          <w:rFonts w:ascii="Times New Roman" w:hAnsi="Times New Roman" w:cs="Times New Roman"/>
          <w:sz w:val="26"/>
          <w:szCs w:val="26"/>
        </w:rPr>
        <w:t>Reliability Standards that the ERO proposes to the Commission may include Reliability Standards that are developed by a Regional Entity.</w:t>
      </w:r>
      <w:r w:rsidRPr="0028387E">
        <w:rPr>
          <w:rFonts w:ascii="Times New Roman" w:hAnsi="Times New Roman" w:cs="Times New Roman"/>
          <w:b/>
          <w:sz w:val="26"/>
          <w:szCs w:val="26"/>
          <w:vertAlign w:val="superscript"/>
        </w:rPr>
        <w:footnoteReference w:id="2"/>
      </w:r>
      <w:r w:rsidRPr="0028387E">
        <w:rPr>
          <w:rFonts w:ascii="Times New Roman" w:hAnsi="Times New Roman" w:cs="Times New Roman"/>
          <w:sz w:val="26"/>
          <w:szCs w:val="26"/>
        </w:rPr>
        <w:t xml:space="preserve">  On April 19, 2007, the Commission approved delegation agreements between NERC and eight Regional Entities, including </w:t>
      </w:r>
      <w:r w:rsidRPr="0028387E">
        <w:rPr>
          <w:rFonts w:ascii="Times New Roman" w:hAnsi="Times New Roman" w:cs="Times New Roman"/>
          <w:sz w:val="26"/>
          <w:szCs w:val="26"/>
        </w:rPr>
        <w:lastRenderedPageBreak/>
        <w:t>NPCC.</w:t>
      </w:r>
      <w:r w:rsidRPr="00D772B7">
        <w:rPr>
          <w:rFonts w:ascii="Times New Roman" w:hAnsi="Times New Roman" w:cs="Times New Roman"/>
          <w:b/>
          <w:sz w:val="26"/>
          <w:szCs w:val="26"/>
          <w:vertAlign w:val="superscript"/>
        </w:rPr>
        <w:footnoteReference w:id="3"/>
      </w:r>
      <w:r w:rsidRPr="00D772B7">
        <w:rPr>
          <w:rFonts w:ascii="Times New Roman" w:hAnsi="Times New Roman" w:cs="Times New Roman"/>
          <w:sz w:val="26"/>
          <w:szCs w:val="26"/>
        </w:rPr>
        <w:t xml:space="preserve">  In the Delegation Agreement Order, the Commission accepted NPCC as a Regional Entity and accepted NPCC’s Standards Development Manual, which sets forth the process for NPCC’s development of regional Reliability Standards.</w:t>
      </w:r>
      <w:r w:rsidRPr="00D772B7">
        <w:rPr>
          <w:rFonts w:ascii="Times New Roman" w:hAnsi="Times New Roman" w:cs="Times New Roman"/>
          <w:b/>
          <w:sz w:val="26"/>
          <w:szCs w:val="26"/>
          <w:vertAlign w:val="superscript"/>
        </w:rPr>
        <w:footnoteReference w:id="4"/>
      </w:r>
      <w:r w:rsidRPr="00D772B7">
        <w:rPr>
          <w:rFonts w:ascii="Times New Roman" w:hAnsi="Times New Roman" w:cs="Times New Roman"/>
          <w:sz w:val="26"/>
          <w:szCs w:val="26"/>
        </w:rPr>
        <w:t xml:space="preserve">  The NPCC region is a less than interconnection-wide region, and its standards apply only to that part of the Eastern Interconnection within the NPCC geographical footprint.</w:t>
      </w:r>
    </w:p>
    <w:p w:rsidRPr="00D772B7" w:rsidR="00C4205B" w:rsidP="00D14071" w:rsidRDefault="00C4205B" w14:paraId="58903D57" w14:textId="77777777">
      <w:pPr>
        <w:spacing w:line="240" w:lineRule="auto"/>
        <w:rPr>
          <w:rFonts w:ascii="Times New Roman" w:hAnsi="Times New Roman" w:cs="Times New Roman"/>
          <w:sz w:val="26"/>
          <w:szCs w:val="26"/>
        </w:rPr>
      </w:pPr>
      <w:r w:rsidRPr="00D772B7">
        <w:rPr>
          <w:rFonts w:ascii="Times New Roman" w:hAnsi="Times New Roman" w:cs="Times New Roman"/>
          <w:sz w:val="26"/>
          <w:szCs w:val="26"/>
        </w:rPr>
        <w:t>In Order No. 672, the Commission urged uniformity of Reliability Standards, but recognized a potential need for regional differences.</w:t>
      </w:r>
      <w:r w:rsidRPr="00D772B7">
        <w:rPr>
          <w:rFonts w:ascii="Times New Roman" w:hAnsi="Times New Roman" w:cs="Times New Roman"/>
          <w:b/>
          <w:sz w:val="26"/>
          <w:szCs w:val="26"/>
          <w:vertAlign w:val="superscript"/>
        </w:rPr>
        <w:footnoteReference w:id="5"/>
      </w:r>
      <w:r w:rsidRPr="00D772B7">
        <w:rPr>
          <w:rFonts w:ascii="Times New Roman" w:hAnsi="Times New Roman" w:cs="Times New Roman"/>
          <w:b/>
          <w:sz w:val="26"/>
          <w:szCs w:val="26"/>
          <w:vertAlign w:val="superscript"/>
        </w:rPr>
        <w:t xml:space="preserve"> </w:t>
      </w:r>
      <w:r w:rsidRPr="00D772B7">
        <w:rPr>
          <w:rFonts w:ascii="Times New Roman" w:hAnsi="Times New Roman" w:cs="Times New Roman"/>
          <w:sz w:val="26"/>
          <w:szCs w:val="26"/>
        </w:rPr>
        <w:t xml:space="preserve"> Accordingly, the Commission stated that:</w:t>
      </w:r>
    </w:p>
    <w:p w:rsidRPr="00D772B7" w:rsidR="00C4205B" w:rsidP="003C58AF" w:rsidRDefault="00C4205B" w14:paraId="5474C39A" w14:textId="436C3056">
      <w:pPr>
        <w:spacing w:line="240" w:lineRule="auto"/>
        <w:ind w:left="720"/>
        <w:rPr>
          <w:rFonts w:ascii="Times New Roman" w:hAnsi="Times New Roman" w:cs="Times New Roman"/>
          <w:sz w:val="26"/>
          <w:szCs w:val="26"/>
        </w:rPr>
      </w:pPr>
      <w:r w:rsidRPr="00D772B7">
        <w:rPr>
          <w:rFonts w:ascii="Times New Roman" w:hAnsi="Times New Roman" w:cs="Times New Roman"/>
          <w:sz w:val="26"/>
          <w:szCs w:val="26"/>
        </w:rPr>
        <w:t>As a general matter, we will accept the following two types of regional differences, provided they are otherwise just, reasonable, not unduly discriminatory or preferential and in the public interest, as required under the statute:  (1) a regional difference that is more stringent than the continent-wide Reliability Standard, including a regional difference that addresses matters that the continent-wide Reliability Standard does not; and (2) a regional Reliability Standard that is necessitated by a physical difference in the Bulk-Power System.</w:t>
      </w:r>
      <w:r w:rsidRPr="00D772B7">
        <w:rPr>
          <w:rFonts w:ascii="Times New Roman" w:hAnsi="Times New Roman" w:cs="Times New Roman"/>
          <w:b/>
          <w:sz w:val="26"/>
          <w:szCs w:val="26"/>
          <w:vertAlign w:val="superscript"/>
        </w:rPr>
        <w:footnoteReference w:id="6"/>
      </w:r>
    </w:p>
    <w:p w:rsidRPr="00D772B7" w:rsidR="007A6365" w:rsidP="00D14071" w:rsidRDefault="007A6365" w14:paraId="7A886764" w14:textId="796842A3">
      <w:pPr>
        <w:spacing w:line="240" w:lineRule="auto"/>
        <w:rPr>
          <w:rFonts w:ascii="Times New Roman" w:hAnsi="Times New Roman" w:cs="Times New Roman"/>
          <w:sz w:val="26"/>
          <w:szCs w:val="26"/>
        </w:rPr>
      </w:pPr>
      <w:r w:rsidRPr="00D772B7">
        <w:rPr>
          <w:rFonts w:ascii="Times New Roman" w:hAnsi="Times New Roman" w:cs="Times New Roman"/>
          <w:sz w:val="26"/>
          <w:szCs w:val="26"/>
        </w:rPr>
        <w:t>The Regional Reliability standard, PRC-006-NPCC-1 — Automatic Underfrequency Load Shedding</w:t>
      </w:r>
      <w:r w:rsidRPr="00D772B7" w:rsidR="005246F9">
        <w:rPr>
          <w:rFonts w:ascii="Times New Roman" w:hAnsi="Times New Roman" w:cs="Times New Roman"/>
          <w:sz w:val="26"/>
          <w:szCs w:val="26"/>
        </w:rPr>
        <w:t xml:space="preserve"> (UFLS)</w:t>
      </w:r>
      <w:r w:rsidRPr="00D772B7">
        <w:rPr>
          <w:rFonts w:ascii="Times New Roman" w:hAnsi="Times New Roman" w:cs="Times New Roman"/>
          <w:sz w:val="26"/>
          <w:szCs w:val="26"/>
        </w:rPr>
        <w:t>, provide</w:t>
      </w:r>
      <w:r w:rsidRPr="00D772B7" w:rsidR="00E80336">
        <w:rPr>
          <w:rFonts w:ascii="Times New Roman" w:hAnsi="Times New Roman" w:cs="Times New Roman"/>
          <w:sz w:val="26"/>
          <w:szCs w:val="26"/>
        </w:rPr>
        <w:t>s</w:t>
      </w:r>
      <w:r w:rsidRPr="00D772B7">
        <w:rPr>
          <w:rFonts w:ascii="Times New Roman" w:hAnsi="Times New Roman" w:cs="Times New Roman"/>
          <w:sz w:val="26"/>
          <w:szCs w:val="26"/>
        </w:rPr>
        <w:t xml:space="preserve"> regional requirements for Automatic </w:t>
      </w:r>
      <w:r w:rsidRPr="00D772B7" w:rsidR="00E80336">
        <w:rPr>
          <w:rFonts w:ascii="Times New Roman" w:hAnsi="Times New Roman" w:cs="Times New Roman"/>
          <w:sz w:val="26"/>
          <w:szCs w:val="26"/>
        </w:rPr>
        <w:t>UFLS</w:t>
      </w:r>
      <w:r w:rsidRPr="00D772B7">
        <w:rPr>
          <w:rFonts w:ascii="Times New Roman" w:hAnsi="Times New Roman" w:cs="Times New Roman"/>
          <w:sz w:val="26"/>
          <w:szCs w:val="26"/>
        </w:rPr>
        <w:t xml:space="preserve"> </w:t>
      </w:r>
      <w:r w:rsidRPr="00D772B7" w:rsidR="00E80336">
        <w:rPr>
          <w:rFonts w:ascii="Times New Roman" w:hAnsi="Times New Roman" w:cs="Times New Roman"/>
          <w:sz w:val="26"/>
          <w:szCs w:val="26"/>
        </w:rPr>
        <w:t>for</w:t>
      </w:r>
      <w:r w:rsidRPr="00D772B7">
        <w:rPr>
          <w:rFonts w:ascii="Times New Roman" w:hAnsi="Times New Roman" w:cs="Times New Roman"/>
          <w:sz w:val="26"/>
          <w:szCs w:val="26"/>
        </w:rPr>
        <w:t xml:space="preserve"> applicable entities in NPCC. UFLS requirements </w:t>
      </w:r>
      <w:r w:rsidRPr="00D772B7" w:rsidR="00E80336">
        <w:rPr>
          <w:rFonts w:ascii="Times New Roman" w:hAnsi="Times New Roman" w:cs="Times New Roman"/>
          <w:sz w:val="26"/>
          <w:szCs w:val="26"/>
        </w:rPr>
        <w:t>were</w:t>
      </w:r>
      <w:r w:rsidRPr="00D772B7">
        <w:rPr>
          <w:rFonts w:ascii="Times New Roman" w:hAnsi="Times New Roman" w:cs="Times New Roman"/>
          <w:sz w:val="26"/>
          <w:szCs w:val="26"/>
        </w:rPr>
        <w:t xml:space="preserve"> in place at a continent-wide level and within NPCC for many years prior to the implementation of federally mandated reliability standards in 2007. </w:t>
      </w:r>
      <w:r w:rsidRPr="00D772B7" w:rsidR="00F72A8A">
        <w:rPr>
          <w:rFonts w:ascii="Times New Roman" w:hAnsi="Times New Roman" w:cs="Times New Roman"/>
          <w:sz w:val="26"/>
          <w:szCs w:val="26"/>
        </w:rPr>
        <w:t xml:space="preserve"> </w:t>
      </w:r>
      <w:r w:rsidRPr="00D772B7">
        <w:rPr>
          <w:rFonts w:ascii="Times New Roman" w:hAnsi="Times New Roman" w:cs="Times New Roman"/>
          <w:sz w:val="26"/>
          <w:szCs w:val="26"/>
        </w:rPr>
        <w:t>NPCC and its members believe that a region-wide, fully coordinated single set of UFLS requirements is necessary to create an effective and efficient UFLS program, and their experience has supported that belief.</w:t>
      </w:r>
    </w:p>
    <w:p w:rsidRPr="00D772B7" w:rsidR="00C4205B" w:rsidP="00D14071" w:rsidRDefault="00C4205B" w14:paraId="4F714904"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D772B7">
        <w:rPr>
          <w:rFonts w:ascii="Times New Roman" w:hAnsi="Times New Roman" w:cs="Times New Roman"/>
          <w:b/>
          <w:bCs/>
          <w:sz w:val="26"/>
          <w:szCs w:val="26"/>
        </w:rPr>
        <w:t>HOW, BY WHOM, AND FOR WHAT PURPOSE THE INFORMATION IS TO BE USED AND THE CONSEQUENCES OF NOT COLLECTING THE INFORMATION</w:t>
      </w:r>
    </w:p>
    <w:p w:rsidRPr="00D772B7" w:rsidR="004A1428" w:rsidP="00D14071" w:rsidRDefault="004A1428" w14:paraId="480AF84B" w14:textId="77777777">
      <w:pPr>
        <w:widowControl w:val="0"/>
        <w:autoSpaceDE w:val="0"/>
        <w:autoSpaceDN w:val="0"/>
        <w:adjustRightInd w:val="0"/>
        <w:spacing w:after="0" w:line="240" w:lineRule="auto"/>
        <w:ind w:left="360"/>
        <w:rPr>
          <w:rFonts w:ascii="Times New Roman" w:hAnsi="Times New Roman" w:cs="Times New Roman"/>
          <w:b/>
          <w:bCs/>
          <w:sz w:val="26"/>
          <w:szCs w:val="26"/>
        </w:rPr>
      </w:pPr>
    </w:p>
    <w:p w:rsidRPr="00D772B7" w:rsidR="00C4205B" w:rsidP="00D14071" w:rsidRDefault="00C4205B" w14:paraId="67E426EA" w14:textId="292C7344">
      <w:pPr>
        <w:spacing w:line="240" w:lineRule="auto"/>
        <w:rPr>
          <w:rFonts w:ascii="Times New Roman" w:hAnsi="Times New Roman" w:cs="Times New Roman"/>
          <w:sz w:val="26"/>
          <w:szCs w:val="26"/>
        </w:rPr>
      </w:pPr>
      <w:r w:rsidRPr="00D772B7">
        <w:rPr>
          <w:rFonts w:ascii="Times New Roman" w:hAnsi="Times New Roman" w:cs="Times New Roman"/>
          <w:sz w:val="26"/>
          <w:szCs w:val="26"/>
        </w:rPr>
        <w:t>Prior to enactment of section 215 of the Federal Power Act</w:t>
      </w:r>
      <w:r w:rsidR="00D772B7">
        <w:rPr>
          <w:rFonts w:ascii="Times New Roman" w:hAnsi="Times New Roman" w:cs="Times New Roman"/>
          <w:sz w:val="26"/>
          <w:szCs w:val="26"/>
        </w:rPr>
        <w:t xml:space="preserve"> in 2005</w:t>
      </w:r>
      <w:r w:rsidRPr="00D772B7">
        <w:rPr>
          <w:rFonts w:ascii="Times New Roman" w:hAnsi="Times New Roman" w:cs="Times New Roman"/>
          <w:sz w:val="26"/>
          <w:szCs w:val="26"/>
        </w:rPr>
        <w:t xml:space="preserve">, FERC had acted primarily as an economic regulator of the wholesale power markets and the interstate transmission grid.  In this regard, the Commission acted to promote a more reliable electric </w:t>
      </w:r>
      <w:r w:rsidRPr="00D772B7">
        <w:rPr>
          <w:rFonts w:ascii="Times New Roman" w:hAnsi="Times New Roman" w:cs="Times New Roman"/>
          <w:sz w:val="26"/>
          <w:szCs w:val="26"/>
        </w:rPr>
        <w:lastRenderedPageBreak/>
        <w:t xml:space="preserve">system by promoting regional coordination and planning of the interstate grid through regional independent system operators (ISOs) and regional transmission organizations (RTOs). </w:t>
      </w:r>
    </w:p>
    <w:p w:rsidR="00C4205B" w:rsidP="00D14071" w:rsidRDefault="00C4205B" w14:paraId="36B5DEC3" w14:textId="56CC0EAF">
      <w:pPr>
        <w:spacing w:line="240" w:lineRule="auto"/>
        <w:rPr>
          <w:rFonts w:ascii="Times New Roman" w:hAnsi="Times New Roman" w:cs="Times New Roman"/>
          <w:sz w:val="26"/>
          <w:szCs w:val="26"/>
        </w:rPr>
      </w:pPr>
      <w:r w:rsidRPr="00D772B7">
        <w:rPr>
          <w:rFonts w:ascii="Times New Roman" w:hAnsi="Times New Roman" w:cs="Times New Roman"/>
          <w:sz w:val="26"/>
          <w:szCs w:val="26"/>
        </w:rPr>
        <w:t>The passage of the Energy Policy Act of 2005 added to the Commission’s efforts, by giving it the authority to strengthen the reliability of the interstate electric transmission grid through the grant of new authority pursuant to section 215 of the Federal Power Act which provides for a system of mandatory Reliability Standards developed by the ERO, established by FERC, and enforced by the ERO and Regional Entities.</w:t>
      </w:r>
      <w:r w:rsidRPr="00D772B7" w:rsidR="003C19D0">
        <w:rPr>
          <w:rFonts w:ascii="Times New Roman" w:hAnsi="Times New Roman" w:cs="Times New Roman"/>
          <w:sz w:val="26"/>
          <w:szCs w:val="26"/>
        </w:rPr>
        <w:t xml:space="preserve"> </w:t>
      </w:r>
      <w:r w:rsidRPr="00D772B7">
        <w:rPr>
          <w:rFonts w:ascii="Times New Roman" w:hAnsi="Times New Roman" w:cs="Times New Roman"/>
          <w:sz w:val="26"/>
          <w:szCs w:val="26"/>
        </w:rPr>
        <w:t xml:space="preserve"> As part of FERC’s efforts to promote electric transmission grid reliability, the Commission created the Office of Electric Reliability (OER) in 2007.  OER oversees the development and review of mandatory Reliability Standards.  OER also oversees compliance with the approved mandatory standards by users, owners, and operators of the Bulk Power System, and maintains a situational awareness monitoring tool to provide wide area visibility of the Bulk Power System.</w:t>
      </w:r>
    </w:p>
    <w:p w:rsidRPr="00D772B7" w:rsidR="00BE3F6B" w:rsidP="00D14071" w:rsidRDefault="00BE3F6B" w14:paraId="6D5C29B6" w14:textId="2111D852">
      <w:pPr>
        <w:spacing w:line="240" w:lineRule="auto"/>
        <w:rPr>
          <w:rFonts w:ascii="Times New Roman" w:hAnsi="Times New Roman" w:cs="Times New Roman"/>
          <w:sz w:val="26"/>
          <w:szCs w:val="26"/>
        </w:rPr>
      </w:pPr>
      <w:r w:rsidRPr="00C6687F">
        <w:rPr>
          <w:rFonts w:ascii="Times New Roman" w:hAnsi="Times New Roman" w:cs="Helvetica"/>
          <w:color w:val="333333"/>
          <w:sz w:val="26"/>
          <w:szCs w:val="26"/>
        </w:rPr>
        <w:t>This collection of information involves planning coordinators (PCs) and generator owners (GOs).  PCs must gather data, run studies, and analyze study results to design or update the UFLS programs.  GOs must set each underfrequency trip relay below the appropriate generator underfrequency trip protection settings threshold curve in regional Reliability Standard PRC-006-NPCC-1, and provide the generator underfrequency trip setting and time delay to its planning coordinator within 45 days of the planning coordinator's request.</w:t>
      </w:r>
      <w:r>
        <w:rPr>
          <w:rFonts w:ascii="Times New Roman" w:hAnsi="Times New Roman" w:cs="Helvetica"/>
          <w:color w:val="333333"/>
          <w:sz w:val="26"/>
          <w:szCs w:val="26"/>
        </w:rPr>
        <w:t xml:space="preserve">  The consequence of not collecting UFLS program information may impact the safety net</w:t>
      </w:r>
      <w:r w:rsidR="00A253BE">
        <w:rPr>
          <w:rFonts w:ascii="Times New Roman" w:hAnsi="Times New Roman" w:cs="Helvetica"/>
          <w:color w:val="333333"/>
          <w:sz w:val="26"/>
          <w:szCs w:val="26"/>
        </w:rPr>
        <w:t>s</w:t>
      </w:r>
      <w:r>
        <w:rPr>
          <w:rFonts w:ascii="Times New Roman" w:hAnsi="Times New Roman" w:cs="Helvetica"/>
          <w:color w:val="333333"/>
          <w:sz w:val="26"/>
          <w:szCs w:val="26"/>
        </w:rPr>
        <w:t xml:space="preserve"> used to </w:t>
      </w:r>
      <w:r w:rsidRPr="0027009D">
        <w:rPr>
          <w:rFonts w:ascii="Times New Roman" w:hAnsi="Times New Roman" w:cs="Helvetica"/>
          <w:color w:val="333333"/>
          <w:sz w:val="26"/>
          <w:szCs w:val="26"/>
        </w:rPr>
        <w:t>preserve the security and integrity of the Bulk-</w:t>
      </w:r>
      <w:r w:rsidR="00A253BE">
        <w:rPr>
          <w:rFonts w:ascii="Times New Roman" w:hAnsi="Times New Roman" w:cs="Helvetica"/>
          <w:color w:val="333333"/>
          <w:sz w:val="26"/>
          <w:szCs w:val="26"/>
        </w:rPr>
        <w:t xml:space="preserve">Electric </w:t>
      </w:r>
      <w:r w:rsidRPr="0027009D">
        <w:rPr>
          <w:rFonts w:ascii="Times New Roman" w:hAnsi="Times New Roman" w:cs="Helvetica"/>
          <w:color w:val="333333"/>
          <w:sz w:val="26"/>
          <w:szCs w:val="26"/>
        </w:rPr>
        <w:t>System</w:t>
      </w:r>
      <w:r>
        <w:rPr>
          <w:rFonts w:ascii="Times New Roman" w:hAnsi="Times New Roman" w:cs="Helvetica"/>
          <w:color w:val="333333"/>
          <w:sz w:val="26"/>
          <w:szCs w:val="26"/>
        </w:rPr>
        <w:t xml:space="preserve">, </w:t>
      </w:r>
      <w:r w:rsidR="00A253BE">
        <w:rPr>
          <w:rFonts w:ascii="Times New Roman" w:hAnsi="Times New Roman" w:cs="Helvetica"/>
          <w:color w:val="333333"/>
          <w:sz w:val="26"/>
          <w:szCs w:val="26"/>
        </w:rPr>
        <w:t>otherwise it might lead to instability, uncontrolled separation or Cascading.</w:t>
      </w:r>
    </w:p>
    <w:p w:rsidRPr="00D772B7" w:rsidR="00C4205B" w:rsidP="00D14071" w:rsidRDefault="00C4205B" w14:paraId="24C09582"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D772B7">
        <w:rPr>
          <w:rFonts w:ascii="Times New Roman" w:hAnsi="Times New Roman" w:cs="Times New Roman"/>
          <w:b/>
          <w:bCs/>
          <w:sz w:val="26"/>
          <w:szCs w:val="26"/>
        </w:rPr>
        <w:t>DESCRIBE ANY CONSIDERATION OF THE USE OF IMPROVED TECHNOLOGY TO REDUCE BURDEN AND TECHNICAL OR LEGAL OBSTACLES TO REDUCING BURDEN.</w:t>
      </w:r>
    </w:p>
    <w:p w:rsidRPr="00D772B7" w:rsidR="004A1428" w:rsidP="00D14071" w:rsidRDefault="004A1428" w14:paraId="0B345759" w14:textId="77777777">
      <w:pPr>
        <w:widowControl w:val="0"/>
        <w:autoSpaceDE w:val="0"/>
        <w:autoSpaceDN w:val="0"/>
        <w:adjustRightInd w:val="0"/>
        <w:spacing w:after="0" w:line="240" w:lineRule="auto"/>
        <w:ind w:left="360"/>
        <w:rPr>
          <w:rFonts w:ascii="Times New Roman" w:hAnsi="Times New Roman" w:cs="Times New Roman"/>
          <w:b/>
          <w:bCs/>
          <w:sz w:val="26"/>
          <w:szCs w:val="26"/>
        </w:rPr>
      </w:pPr>
    </w:p>
    <w:p w:rsidRPr="00D772B7" w:rsidR="00C4205B" w:rsidP="00D14071" w:rsidRDefault="00C4205B" w14:paraId="7207B0DE" w14:textId="773A08EC">
      <w:pPr>
        <w:spacing w:line="240" w:lineRule="auto"/>
        <w:rPr>
          <w:rFonts w:ascii="Times New Roman" w:hAnsi="Times New Roman" w:cs="Times New Roman"/>
          <w:sz w:val="26"/>
          <w:szCs w:val="26"/>
        </w:rPr>
      </w:pPr>
      <w:r w:rsidRPr="00D772B7">
        <w:rPr>
          <w:rFonts w:ascii="Times New Roman" w:hAnsi="Times New Roman" w:cs="Times New Roman"/>
          <w:sz w:val="26"/>
          <w:szCs w:val="26"/>
        </w:rPr>
        <w:t>The approved Reliability Standard</w:t>
      </w:r>
      <w:r w:rsidRPr="00D772B7" w:rsidR="00B52592">
        <w:rPr>
          <w:rFonts w:ascii="Times New Roman" w:hAnsi="Times New Roman" w:cs="Times New Roman"/>
          <w:sz w:val="26"/>
          <w:szCs w:val="26"/>
        </w:rPr>
        <w:t>s</w:t>
      </w:r>
      <w:r w:rsidRPr="00D772B7">
        <w:rPr>
          <w:rFonts w:ascii="Times New Roman" w:hAnsi="Times New Roman" w:cs="Times New Roman"/>
          <w:sz w:val="26"/>
          <w:szCs w:val="26"/>
        </w:rPr>
        <w:t xml:space="preserve"> do not require information to be filed with the Commission.  However, </w:t>
      </w:r>
      <w:r w:rsidRPr="00D772B7" w:rsidR="00B52592">
        <w:rPr>
          <w:rFonts w:ascii="Times New Roman" w:hAnsi="Times New Roman" w:cs="Times New Roman"/>
          <w:sz w:val="26"/>
          <w:szCs w:val="26"/>
        </w:rPr>
        <w:t>they do</w:t>
      </w:r>
      <w:r w:rsidRPr="00D772B7">
        <w:rPr>
          <w:rFonts w:ascii="Times New Roman" w:hAnsi="Times New Roman" w:cs="Times New Roman"/>
          <w:sz w:val="26"/>
          <w:szCs w:val="26"/>
        </w:rPr>
        <w:t xml:space="preserve"> contain disclosure and recordkeeping requirements, for which using current technology is an option that may reduce burden compared to not using current technology.</w:t>
      </w:r>
    </w:p>
    <w:p w:rsidRPr="00D772B7" w:rsidR="00C4205B" w:rsidP="00D14071" w:rsidRDefault="00C4205B" w14:paraId="2C19360D"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rsidRPr="00D772B7" w:rsidR="00BB5762" w:rsidP="00D14071" w:rsidRDefault="00BB5762" w14:paraId="61B6EB69" w14:textId="77777777">
      <w:pPr>
        <w:spacing w:line="240" w:lineRule="auto"/>
        <w:rPr>
          <w:rFonts w:ascii="Times New Roman" w:hAnsi="Times New Roman" w:cs="Times New Roman"/>
          <w:sz w:val="26"/>
          <w:szCs w:val="26"/>
        </w:rPr>
      </w:pPr>
    </w:p>
    <w:p w:rsidRPr="00D772B7" w:rsidR="00EF4AD6" w:rsidP="00D14071" w:rsidRDefault="007F1EC9" w14:paraId="06B300B3" w14:textId="1101EE55">
      <w:pPr>
        <w:spacing w:line="240" w:lineRule="auto"/>
        <w:rPr>
          <w:rFonts w:ascii="Times New Roman" w:hAnsi="Times New Roman" w:cs="Times New Roman"/>
          <w:sz w:val="26"/>
          <w:szCs w:val="26"/>
        </w:rPr>
      </w:pPr>
      <w:r w:rsidRPr="00D772B7">
        <w:rPr>
          <w:rFonts w:ascii="Times New Roman" w:hAnsi="Times New Roman" w:cs="Times New Roman"/>
          <w:sz w:val="26"/>
          <w:szCs w:val="26"/>
        </w:rPr>
        <w:t>The Commission periodically reviews filing requirements concurrent with OMB review or as the Commission deems necessary to eliminate duplicative filing and</w:t>
      </w:r>
      <w:r w:rsidRPr="00D772B7" w:rsidR="00EF4AD6">
        <w:rPr>
          <w:rFonts w:ascii="Times New Roman" w:hAnsi="Times New Roman" w:cs="Times New Roman"/>
          <w:sz w:val="26"/>
          <w:szCs w:val="26"/>
        </w:rPr>
        <w:t xml:space="preserve"> to minimize the </w:t>
      </w:r>
      <w:r w:rsidRPr="00D772B7" w:rsidR="00EF4AD6">
        <w:rPr>
          <w:rFonts w:ascii="Times New Roman" w:hAnsi="Times New Roman" w:cs="Times New Roman"/>
          <w:sz w:val="26"/>
          <w:szCs w:val="26"/>
        </w:rPr>
        <w:lastRenderedPageBreak/>
        <w:t>filing burden.</w:t>
      </w:r>
      <w:r w:rsidRPr="00D772B7" w:rsidR="00BB5762">
        <w:rPr>
          <w:rFonts w:ascii="Times New Roman" w:hAnsi="Times New Roman" w:cs="Times New Roman"/>
          <w:sz w:val="26"/>
          <w:szCs w:val="26"/>
        </w:rPr>
        <w:t xml:space="preserve">  </w:t>
      </w:r>
      <w:r w:rsidRPr="00D772B7">
        <w:rPr>
          <w:rFonts w:ascii="Times New Roman" w:hAnsi="Times New Roman" w:cs="Times New Roman"/>
          <w:sz w:val="26"/>
          <w:szCs w:val="26"/>
        </w:rPr>
        <w:t>Reliability Standards are developed by a collaborative process which requires industry participation.</w:t>
      </w:r>
      <w:r w:rsidRPr="00D772B7" w:rsidR="00EF4AD6">
        <w:rPr>
          <w:rFonts w:ascii="Times New Roman" w:hAnsi="Times New Roman" w:cs="Times New Roman"/>
          <w:sz w:val="26"/>
          <w:szCs w:val="26"/>
        </w:rPr>
        <w:t xml:space="preserve">  </w:t>
      </w:r>
      <w:r w:rsidRPr="00D772B7">
        <w:rPr>
          <w:rFonts w:ascii="Times New Roman" w:hAnsi="Times New Roman" w:cs="Times New Roman"/>
          <w:sz w:val="26"/>
          <w:szCs w:val="26"/>
        </w:rPr>
        <w:t xml:space="preserve">The Commission is unaware of any other source of information similar </w:t>
      </w:r>
      <w:r w:rsidRPr="00D772B7" w:rsidR="00EF4AD6">
        <w:rPr>
          <w:rFonts w:ascii="Times New Roman" w:hAnsi="Times New Roman" w:cs="Times New Roman"/>
          <w:sz w:val="26"/>
          <w:szCs w:val="26"/>
        </w:rPr>
        <w:t>to the additional requirements.</w:t>
      </w:r>
    </w:p>
    <w:p w:rsidRPr="00D772B7" w:rsidR="00C4205B" w:rsidP="00D14071" w:rsidRDefault="00C4205B" w14:paraId="1C2E96EA"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METHODS USED TO MINIMIZE BURDEN IN COLLECTION OF INFORMATION INVOLVING SMALL ENTITIES</w:t>
      </w:r>
    </w:p>
    <w:p w:rsidRPr="00D772B7" w:rsidR="00C4205B" w:rsidP="00D14071" w:rsidRDefault="00C4205B" w14:paraId="42605837" w14:textId="77777777">
      <w:pPr>
        <w:spacing w:line="240" w:lineRule="auto"/>
        <w:rPr>
          <w:rFonts w:ascii="Times New Roman" w:hAnsi="Times New Roman" w:cs="Times New Roman"/>
          <w:b/>
          <w:bCs/>
          <w:sz w:val="26"/>
          <w:szCs w:val="26"/>
        </w:rPr>
      </w:pPr>
    </w:p>
    <w:p w:rsidRPr="00D772B7" w:rsidR="00C4205B" w:rsidP="00D14071" w:rsidRDefault="00C4205B" w14:paraId="76C64086" w14:textId="2FD15224">
      <w:pPr>
        <w:spacing w:line="240" w:lineRule="auto"/>
        <w:rPr>
          <w:rFonts w:ascii="Times New Roman" w:hAnsi="Times New Roman" w:cs="Times New Roman"/>
          <w:bCs/>
          <w:sz w:val="26"/>
          <w:szCs w:val="26"/>
        </w:rPr>
      </w:pPr>
      <w:r w:rsidRPr="00D772B7">
        <w:rPr>
          <w:rFonts w:ascii="Times New Roman" w:hAnsi="Times New Roman" w:cs="Times New Roman"/>
          <w:bCs/>
          <w:sz w:val="26"/>
          <w:szCs w:val="26"/>
        </w:rPr>
        <w:t>This Reliability Standard</w:t>
      </w:r>
      <w:r w:rsidRPr="00D772B7" w:rsidR="00B52592">
        <w:rPr>
          <w:rFonts w:ascii="Times New Roman" w:hAnsi="Times New Roman" w:cs="Times New Roman"/>
          <w:bCs/>
          <w:sz w:val="26"/>
          <w:szCs w:val="26"/>
        </w:rPr>
        <w:t>s</w:t>
      </w:r>
      <w:r w:rsidRPr="00D772B7">
        <w:rPr>
          <w:rFonts w:ascii="Times New Roman" w:hAnsi="Times New Roman" w:cs="Times New Roman"/>
          <w:bCs/>
          <w:sz w:val="26"/>
          <w:szCs w:val="26"/>
        </w:rPr>
        <w:t xml:space="preserve"> do not contain provisions for minimizing the burden of the collection for small entities.  All the requirements in the Reliability Standard</w:t>
      </w:r>
      <w:r w:rsidRPr="00D772B7" w:rsidR="00B52592">
        <w:rPr>
          <w:rFonts w:ascii="Times New Roman" w:hAnsi="Times New Roman" w:cs="Times New Roman"/>
          <w:bCs/>
          <w:sz w:val="26"/>
          <w:szCs w:val="26"/>
        </w:rPr>
        <w:t>s</w:t>
      </w:r>
      <w:r w:rsidRPr="00D772B7">
        <w:rPr>
          <w:rFonts w:ascii="Times New Roman" w:hAnsi="Times New Roman" w:cs="Times New Roman"/>
          <w:bCs/>
          <w:sz w:val="26"/>
          <w:szCs w:val="26"/>
        </w:rPr>
        <w:t xml:space="preserve"> apply to every applicable entity</w:t>
      </w:r>
      <w:r w:rsidRPr="00D772B7" w:rsidR="00810BF9">
        <w:rPr>
          <w:rFonts w:ascii="Times New Roman" w:hAnsi="Times New Roman" w:cs="Times New Roman"/>
          <w:bCs/>
          <w:sz w:val="26"/>
          <w:szCs w:val="26"/>
        </w:rPr>
        <w:t xml:space="preserve">. However, </w:t>
      </w:r>
      <w:r w:rsidR="00EA28FC">
        <w:rPr>
          <w:rFonts w:ascii="Times New Roman" w:hAnsi="Times New Roman" w:cs="Times New Roman"/>
          <w:bCs/>
          <w:sz w:val="26"/>
          <w:szCs w:val="26"/>
        </w:rPr>
        <w:t>s</w:t>
      </w:r>
      <w:r w:rsidRPr="00D772B7" w:rsidR="00810BF9">
        <w:rPr>
          <w:rFonts w:ascii="Times New Roman" w:hAnsi="Times New Roman" w:cs="Times New Roman"/>
          <w:bCs/>
          <w:sz w:val="26"/>
          <w:szCs w:val="26"/>
        </w:rPr>
        <w:t>mall entities generally can reduce their burden by taking part in a joint registration organization or a coordinated function registration.</w:t>
      </w:r>
      <w:r w:rsidRPr="00E04F78" w:rsidR="00EA28FC">
        <w:rPr>
          <w:rStyle w:val="FootnoteReference"/>
          <w:rFonts w:ascii="Times New Roman" w:hAnsi="Times New Roman" w:cs="Times New Roman"/>
          <w:bCs/>
          <w:sz w:val="26"/>
          <w:szCs w:val="26"/>
          <w:vertAlign w:val="superscript"/>
        </w:rPr>
        <w:footnoteReference w:id="7"/>
      </w:r>
      <w:r w:rsidRPr="00E04F78" w:rsidR="00810BF9">
        <w:rPr>
          <w:rFonts w:ascii="Times New Roman" w:hAnsi="Times New Roman" w:cs="Times New Roman"/>
          <w:bCs/>
          <w:sz w:val="26"/>
          <w:szCs w:val="26"/>
          <w:vertAlign w:val="superscript"/>
        </w:rPr>
        <w:t xml:space="preserve">  </w:t>
      </w:r>
      <w:r w:rsidRPr="00D772B7" w:rsidR="00810BF9">
        <w:rPr>
          <w:rFonts w:ascii="Times New Roman" w:hAnsi="Times New Roman" w:cs="Times New Roman"/>
          <w:bCs/>
          <w:sz w:val="26"/>
          <w:szCs w:val="26"/>
        </w:rPr>
        <w:t>These options allow an entity the ability to share its compliance burden with other similar entities.  Detailed information regarding these options is available in NERC’s Rules of Procedure at sections 507 and 508.</w:t>
      </w:r>
      <w:r w:rsidRPr="00D772B7" w:rsidR="00810BF9">
        <w:rPr>
          <w:rFonts w:ascii="Times New Roman" w:hAnsi="Times New Roman" w:cs="Times New Roman"/>
          <w:bCs/>
          <w:sz w:val="26"/>
          <w:szCs w:val="26"/>
          <w:vertAlign w:val="superscript"/>
        </w:rPr>
        <w:footnoteReference w:id="8"/>
      </w:r>
    </w:p>
    <w:p w:rsidRPr="00D772B7" w:rsidR="00C4205B" w:rsidP="00D14071" w:rsidRDefault="00C4205B" w14:paraId="3B5E72F1"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sz w:val="26"/>
          <w:szCs w:val="26"/>
        </w:rPr>
        <w:t>CONSEQUENCE TO FEDERAL PROGRAM IF COLLECTION WERE CONDUCTED LESS FREQUENTLY</w:t>
      </w:r>
    </w:p>
    <w:p w:rsidRPr="00D772B7" w:rsidR="00C4205B" w:rsidP="00D14071" w:rsidRDefault="00C4205B" w14:paraId="316C5CAC" w14:textId="77777777">
      <w:pPr>
        <w:pStyle w:val="FERCparanumber"/>
        <w:widowControl/>
        <w:numPr>
          <w:ilvl w:val="0"/>
          <w:numId w:val="0"/>
        </w:numPr>
        <w:tabs>
          <w:tab w:val="left" w:pos="720"/>
        </w:tabs>
        <w:rPr>
          <w:rFonts w:ascii="Times New Roman" w:hAnsi="Times New Roman" w:cs="Times New Roman"/>
          <w:sz w:val="26"/>
          <w:szCs w:val="26"/>
        </w:rPr>
      </w:pPr>
    </w:p>
    <w:p w:rsidRPr="00D772B7" w:rsidR="00C4205B" w:rsidP="00D14071" w:rsidRDefault="00BB5762" w14:paraId="252BF326" w14:textId="621B3CC2">
      <w:pPr>
        <w:spacing w:line="240" w:lineRule="auto"/>
        <w:rPr>
          <w:rFonts w:ascii="Times New Roman" w:hAnsi="Times New Roman" w:cs="Times New Roman"/>
          <w:sz w:val="26"/>
          <w:szCs w:val="26"/>
        </w:rPr>
      </w:pPr>
      <w:r w:rsidRPr="00D772B7">
        <w:rPr>
          <w:rFonts w:ascii="Times New Roman" w:hAnsi="Times New Roman" w:cs="Times New Roman"/>
          <w:sz w:val="26"/>
          <w:szCs w:val="26"/>
        </w:rPr>
        <w:t>FERC-725I data collection is required for statutory purposes and c</w:t>
      </w:r>
      <w:r w:rsidR="006D3CB5">
        <w:rPr>
          <w:rFonts w:ascii="Times New Roman" w:hAnsi="Times New Roman" w:cs="Times New Roman"/>
          <w:sz w:val="26"/>
          <w:szCs w:val="26"/>
        </w:rPr>
        <w:t>a</w:t>
      </w:r>
      <w:r w:rsidRPr="00D772B7">
        <w:rPr>
          <w:rFonts w:ascii="Times New Roman" w:hAnsi="Times New Roman" w:cs="Times New Roman"/>
          <w:sz w:val="26"/>
          <w:szCs w:val="26"/>
        </w:rPr>
        <w:t xml:space="preserve">nnot be discontinued or collected less frequently. </w:t>
      </w:r>
      <w:r w:rsidRPr="00D772B7" w:rsidR="00C4205B">
        <w:rPr>
          <w:rFonts w:ascii="Times New Roman" w:hAnsi="Times New Roman" w:cs="Times New Roman"/>
          <w:sz w:val="26"/>
          <w:szCs w:val="26"/>
        </w:rPr>
        <w:t>In the event that an entity experiences a disturbance to their system, failure to provide recording capability that is planned for, approved, tested, and documented could result in non-compliance with the Reliability Standard, leaving the bulk-power system more prone to cascading outages.</w:t>
      </w:r>
    </w:p>
    <w:p w:rsidRPr="00D772B7" w:rsidR="00C4205B" w:rsidP="0008281E" w:rsidRDefault="00C4205B" w14:paraId="1F0585C8"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EXPLAIN ANY SPECIAL CIRCUMSTANCES RELATING TO THE INFORMATION COLLECTION</w:t>
      </w:r>
    </w:p>
    <w:p w:rsidRPr="00D772B7" w:rsidR="00DC68EB" w:rsidP="0008281E" w:rsidRDefault="00DC68EB" w14:paraId="1EDC7EA4" w14:textId="77777777">
      <w:pPr>
        <w:spacing w:line="240" w:lineRule="auto"/>
        <w:rPr>
          <w:rFonts w:ascii="Times New Roman" w:hAnsi="Times New Roman" w:cs="Times New Roman"/>
          <w:sz w:val="26"/>
          <w:szCs w:val="26"/>
        </w:rPr>
      </w:pPr>
    </w:p>
    <w:p w:rsidRPr="00D772B7" w:rsidR="00C4205B" w:rsidP="0008281E" w:rsidRDefault="00C4205B" w14:paraId="0D628149" w14:textId="65600840">
      <w:pPr>
        <w:spacing w:line="240" w:lineRule="auto"/>
        <w:rPr>
          <w:rFonts w:ascii="Times New Roman" w:hAnsi="Times New Roman" w:cs="Times New Roman"/>
          <w:sz w:val="26"/>
          <w:szCs w:val="26"/>
        </w:rPr>
      </w:pPr>
      <w:r w:rsidRPr="00D772B7">
        <w:rPr>
          <w:rFonts w:ascii="Times New Roman" w:hAnsi="Times New Roman" w:cs="Times New Roman"/>
          <w:sz w:val="26"/>
          <w:szCs w:val="26"/>
        </w:rPr>
        <w:t>There are no special circumstances as described in 5 CFR 1320.5(d)(2) relating to this information collection.</w:t>
      </w:r>
    </w:p>
    <w:p w:rsidRPr="00E04F78" w:rsidR="00C4205B" w:rsidP="00D14071" w:rsidRDefault="00C4205B" w14:paraId="17067875"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E04F78">
        <w:rPr>
          <w:rFonts w:ascii="Times New Roman" w:hAnsi="Times New Roman" w:cs="Times New Roman"/>
          <w:b/>
          <w:bCs/>
          <w:sz w:val="26"/>
          <w:szCs w:val="26"/>
        </w:rPr>
        <w:t>DESCRIBE EFFORTS TO CONSULT OUTSIDE THE AGENCY: SUMMARIZE PUBLIC COMMENTS AND THE AGENCY'S RESPONSE TO THESE COMMENTS</w:t>
      </w:r>
    </w:p>
    <w:p w:rsidR="00E04F78" w:rsidP="00D14071" w:rsidRDefault="00E04F78" w14:paraId="5C42848D" w14:textId="77777777">
      <w:pPr>
        <w:spacing w:line="240" w:lineRule="auto"/>
        <w:rPr>
          <w:rFonts w:ascii="Times New Roman" w:hAnsi="Times New Roman" w:cs="Times New Roman"/>
          <w:bCs/>
          <w:sz w:val="26"/>
          <w:szCs w:val="26"/>
        </w:rPr>
      </w:pPr>
    </w:p>
    <w:p w:rsidRPr="00E04F78" w:rsidR="00C4205B" w:rsidP="00D14071" w:rsidRDefault="00C4205B" w14:paraId="5511F08D" w14:textId="02178B2A">
      <w:pPr>
        <w:spacing w:line="240" w:lineRule="auto"/>
        <w:rPr>
          <w:rFonts w:ascii="Times New Roman" w:hAnsi="Times New Roman" w:cs="Times New Roman"/>
          <w:bCs/>
          <w:sz w:val="26"/>
          <w:szCs w:val="26"/>
        </w:rPr>
      </w:pPr>
      <w:r w:rsidRPr="00E04F78">
        <w:rPr>
          <w:rFonts w:ascii="Times New Roman" w:hAnsi="Times New Roman" w:cs="Times New Roman"/>
          <w:bCs/>
          <w:sz w:val="26"/>
          <w:szCs w:val="26"/>
        </w:rPr>
        <w:lastRenderedPageBreak/>
        <w:t xml:space="preserve">The ERO process to establish Reliability Standards is a collaborative process with the ERO, Regional Entities and others developing and reviewing drafts, and providing comments, </w:t>
      </w:r>
      <w:r w:rsidRPr="00E04F78" w:rsidR="00FF701F">
        <w:rPr>
          <w:rFonts w:ascii="Times New Roman" w:hAnsi="Times New Roman" w:cs="Times New Roman"/>
          <w:bCs/>
          <w:sz w:val="26"/>
          <w:szCs w:val="26"/>
        </w:rPr>
        <w:t xml:space="preserve">and voting, </w:t>
      </w:r>
      <w:r w:rsidRPr="00E04F78">
        <w:rPr>
          <w:rFonts w:ascii="Times New Roman" w:hAnsi="Times New Roman" w:cs="Times New Roman"/>
          <w:bCs/>
          <w:sz w:val="26"/>
          <w:szCs w:val="26"/>
        </w:rPr>
        <w:t>with the final proposed standard submitted to the FERC for review and approval.</w:t>
      </w:r>
      <w:r w:rsidRPr="00E04F78">
        <w:rPr>
          <w:rFonts w:ascii="Times New Roman" w:hAnsi="Times New Roman" w:cs="Times New Roman"/>
          <w:bCs/>
          <w:sz w:val="26"/>
          <w:szCs w:val="26"/>
          <w:vertAlign w:val="superscript"/>
        </w:rPr>
        <w:footnoteReference w:id="9"/>
      </w:r>
      <w:r w:rsidRPr="00E04F78">
        <w:rPr>
          <w:rFonts w:ascii="Times New Roman" w:hAnsi="Times New Roman" w:cs="Times New Roman"/>
          <w:bCs/>
          <w:sz w:val="26"/>
          <w:szCs w:val="26"/>
        </w:rPr>
        <w:t xml:space="preserve">  </w:t>
      </w:r>
    </w:p>
    <w:p w:rsidRPr="00E04F78" w:rsidR="00C4205B" w:rsidP="00D14071" w:rsidRDefault="00C315D8" w14:paraId="2C46418B" w14:textId="1020893F">
      <w:pPr>
        <w:spacing w:line="240" w:lineRule="auto"/>
        <w:rPr>
          <w:rFonts w:ascii="Times New Roman" w:hAnsi="Times New Roman" w:cs="Times New Roman"/>
          <w:bCs/>
          <w:sz w:val="26"/>
          <w:szCs w:val="26"/>
        </w:rPr>
      </w:pPr>
      <w:r w:rsidRPr="00E04F78">
        <w:rPr>
          <w:rFonts w:ascii="Times New Roman" w:hAnsi="Times New Roman" w:cs="Times New Roman"/>
          <w:bCs/>
          <w:sz w:val="26"/>
          <w:szCs w:val="26"/>
        </w:rPr>
        <w:t>In accordance with OMB requirements, the Commission published a 60-day notice</w:t>
      </w:r>
      <w:r w:rsidRPr="00E04F78" w:rsidR="003E599C">
        <w:rPr>
          <w:rFonts w:ascii="Times New Roman" w:hAnsi="Times New Roman" w:cs="Times New Roman"/>
          <w:bCs/>
          <w:sz w:val="26"/>
          <w:szCs w:val="26"/>
        </w:rPr>
        <w:t xml:space="preserve"> on </w:t>
      </w:r>
      <w:r w:rsidRPr="00E04F78" w:rsidR="0008281E">
        <w:rPr>
          <w:rFonts w:ascii="Times New Roman" w:hAnsi="Times New Roman" w:cs="Times New Roman"/>
          <w:bCs/>
          <w:sz w:val="26"/>
          <w:szCs w:val="26"/>
        </w:rPr>
        <w:t>11</w:t>
      </w:r>
      <w:r w:rsidRPr="00E04F78" w:rsidR="00D34C8D">
        <w:rPr>
          <w:rFonts w:ascii="Times New Roman" w:hAnsi="Times New Roman" w:cs="Times New Roman"/>
          <w:bCs/>
          <w:sz w:val="26"/>
          <w:szCs w:val="26"/>
        </w:rPr>
        <w:t>/25/2019 in t</w:t>
      </w:r>
      <w:r w:rsidRPr="00E04F78" w:rsidR="003E599C">
        <w:rPr>
          <w:rFonts w:ascii="Times New Roman" w:hAnsi="Times New Roman" w:cs="Times New Roman"/>
          <w:bCs/>
          <w:sz w:val="26"/>
          <w:szCs w:val="26"/>
        </w:rPr>
        <w:t>he Federal Register</w:t>
      </w:r>
      <w:r w:rsidRPr="00E04F78" w:rsidR="00E454EA">
        <w:rPr>
          <w:rFonts w:ascii="Times New Roman" w:hAnsi="Times New Roman" w:cs="Times New Roman"/>
          <w:bCs/>
          <w:sz w:val="26"/>
          <w:szCs w:val="26"/>
        </w:rPr>
        <w:t xml:space="preserve"> (8</w:t>
      </w:r>
      <w:r w:rsidRPr="00E04F78" w:rsidR="00D34C8D">
        <w:rPr>
          <w:rFonts w:ascii="Times New Roman" w:hAnsi="Times New Roman" w:cs="Times New Roman"/>
          <w:bCs/>
          <w:sz w:val="26"/>
          <w:szCs w:val="26"/>
        </w:rPr>
        <w:t>4</w:t>
      </w:r>
      <w:r w:rsidRPr="00E04F78" w:rsidR="00E454EA">
        <w:rPr>
          <w:rFonts w:ascii="Times New Roman" w:hAnsi="Times New Roman" w:cs="Times New Roman"/>
          <w:bCs/>
          <w:sz w:val="26"/>
          <w:szCs w:val="26"/>
        </w:rPr>
        <w:t xml:space="preserve"> FR </w:t>
      </w:r>
      <w:r w:rsidRPr="00E04F78" w:rsidR="00D34C8D">
        <w:rPr>
          <w:rFonts w:ascii="Times New Roman" w:hAnsi="Times New Roman" w:cs="Times New Roman"/>
          <w:bCs/>
          <w:sz w:val="26"/>
          <w:szCs w:val="26"/>
        </w:rPr>
        <w:t>64885</w:t>
      </w:r>
      <w:r w:rsidRPr="00E04F78" w:rsidR="00E454EA">
        <w:rPr>
          <w:rFonts w:ascii="Times New Roman" w:hAnsi="Times New Roman" w:cs="Times New Roman"/>
          <w:bCs/>
          <w:sz w:val="26"/>
          <w:szCs w:val="26"/>
        </w:rPr>
        <w:t>)</w:t>
      </w:r>
      <w:r w:rsidRPr="00E04F78" w:rsidR="003E599C">
        <w:rPr>
          <w:rFonts w:ascii="Times New Roman" w:hAnsi="Times New Roman" w:cs="Times New Roman"/>
          <w:bCs/>
          <w:sz w:val="26"/>
          <w:szCs w:val="26"/>
        </w:rPr>
        <w:t>.</w:t>
      </w:r>
      <w:r w:rsidRPr="00E04F78" w:rsidR="003E599C">
        <w:rPr>
          <w:rFonts w:ascii="Times New Roman" w:hAnsi="Times New Roman" w:cs="Times New Roman"/>
          <w:bCs/>
          <w:sz w:val="26"/>
          <w:szCs w:val="26"/>
          <w:vertAlign w:val="superscript"/>
        </w:rPr>
        <w:t xml:space="preserve"> </w:t>
      </w:r>
      <w:r w:rsidRPr="00E04F78" w:rsidR="003E599C">
        <w:rPr>
          <w:rFonts w:ascii="Times New Roman" w:hAnsi="Times New Roman" w:cs="Times New Roman"/>
          <w:bCs/>
          <w:sz w:val="26"/>
          <w:szCs w:val="26"/>
        </w:rPr>
        <w:t xml:space="preserve"> </w:t>
      </w:r>
      <w:r w:rsidRPr="00E04F78">
        <w:rPr>
          <w:rFonts w:ascii="Times New Roman" w:hAnsi="Times New Roman" w:cs="Times New Roman"/>
          <w:bCs/>
          <w:sz w:val="26"/>
          <w:szCs w:val="26"/>
        </w:rPr>
        <w:t xml:space="preserve">Within the public notices, the Commission noted that it would be requesting a three-year extension of the public reporting burden.  The Commission received no comments </w:t>
      </w:r>
      <w:r w:rsidRPr="00E04F78" w:rsidR="00FF701F">
        <w:rPr>
          <w:rFonts w:ascii="Times New Roman" w:hAnsi="Times New Roman" w:cs="Times New Roman"/>
          <w:bCs/>
          <w:sz w:val="26"/>
          <w:szCs w:val="26"/>
        </w:rPr>
        <w:t xml:space="preserve">on the 60-day notice </w:t>
      </w:r>
      <w:r w:rsidRPr="00E04F78">
        <w:rPr>
          <w:rFonts w:ascii="Times New Roman" w:hAnsi="Times New Roman" w:cs="Times New Roman"/>
          <w:bCs/>
          <w:sz w:val="26"/>
          <w:szCs w:val="26"/>
        </w:rPr>
        <w:t>from the public regarding this information collection.</w:t>
      </w:r>
    </w:p>
    <w:p w:rsidRPr="00E04F78" w:rsidR="00D34C8D" w:rsidP="00D14071" w:rsidRDefault="00D34C8D" w14:paraId="19DF100C" w14:textId="75A66DA7">
      <w:pPr>
        <w:spacing w:line="240" w:lineRule="auto"/>
        <w:rPr>
          <w:rFonts w:ascii="Times New Roman" w:hAnsi="Times New Roman" w:cs="Times New Roman"/>
          <w:bCs/>
          <w:sz w:val="26"/>
          <w:szCs w:val="26"/>
        </w:rPr>
      </w:pPr>
      <w:r w:rsidRPr="00E04F78">
        <w:rPr>
          <w:rFonts w:ascii="Times New Roman" w:hAnsi="Times New Roman" w:cs="Times New Roman"/>
          <w:bCs/>
          <w:sz w:val="26"/>
          <w:szCs w:val="26"/>
        </w:rPr>
        <w:t>The Commission will publish a 30-day notice in the Federal Register</w:t>
      </w:r>
      <w:r w:rsidRPr="00E04F78" w:rsidR="0058610D">
        <w:rPr>
          <w:rFonts w:ascii="Times New Roman" w:hAnsi="Times New Roman" w:cs="Times New Roman"/>
          <w:bCs/>
          <w:sz w:val="26"/>
          <w:szCs w:val="26"/>
        </w:rPr>
        <w:t xml:space="preserve"> for public comments</w:t>
      </w:r>
      <w:r w:rsidRPr="00E04F78">
        <w:rPr>
          <w:rFonts w:ascii="Times New Roman" w:hAnsi="Times New Roman" w:cs="Times New Roman"/>
          <w:bCs/>
          <w:sz w:val="26"/>
          <w:szCs w:val="26"/>
        </w:rPr>
        <w:t>.</w:t>
      </w:r>
    </w:p>
    <w:p w:rsidRPr="00D772B7" w:rsidR="00C4205B" w:rsidP="00D14071" w:rsidRDefault="00C4205B" w14:paraId="1E4D2FB0"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EXPLAIN ANY PAYMENT OR GIFTS TO RESPONDENTS</w:t>
      </w:r>
    </w:p>
    <w:p w:rsidRPr="00D772B7" w:rsidR="00C4205B" w:rsidP="00D14071" w:rsidRDefault="00C4205B" w14:paraId="122B43A3" w14:textId="77777777">
      <w:pPr>
        <w:spacing w:line="240" w:lineRule="auto"/>
        <w:rPr>
          <w:rFonts w:ascii="Times New Roman" w:hAnsi="Times New Roman" w:cs="Times New Roman"/>
          <w:b/>
          <w:bCs/>
          <w:sz w:val="26"/>
          <w:szCs w:val="26"/>
        </w:rPr>
      </w:pPr>
    </w:p>
    <w:p w:rsidRPr="00D772B7" w:rsidR="0058610D" w:rsidP="00D14071" w:rsidRDefault="0058610D" w14:paraId="6CCCB475" w14:textId="25B5E9B1">
      <w:pPr>
        <w:autoSpaceDE w:val="0"/>
        <w:autoSpaceDN w:val="0"/>
        <w:adjustRightInd w:val="0"/>
        <w:spacing w:after="0" w:line="240" w:lineRule="auto"/>
        <w:rPr>
          <w:rFonts w:ascii="Times New Roman" w:hAnsi="Times New Roman" w:eastAsia="Times New Roman" w:cs="Times New Roman"/>
          <w:sz w:val="26"/>
          <w:szCs w:val="26"/>
        </w:rPr>
      </w:pPr>
      <w:r w:rsidRPr="00D772B7">
        <w:rPr>
          <w:rFonts w:ascii="Times New Roman" w:hAnsi="Times New Roman" w:eastAsia="Times New Roman" w:cs="Times New Roman"/>
          <w:sz w:val="26"/>
          <w:szCs w:val="26"/>
        </w:rPr>
        <w:t>There are no payments or gifts to respondents associated with the FERC-725I information collection.</w:t>
      </w:r>
    </w:p>
    <w:p w:rsidRPr="00D772B7" w:rsidR="00C4205B" w:rsidP="00D14071" w:rsidRDefault="00C4205B" w14:paraId="2F6D4976" w14:textId="77777777">
      <w:pPr>
        <w:spacing w:line="240" w:lineRule="auto"/>
        <w:ind w:firstLine="720"/>
        <w:rPr>
          <w:rFonts w:ascii="Times New Roman" w:hAnsi="Times New Roman" w:cs="Times New Roman"/>
          <w:sz w:val="26"/>
          <w:szCs w:val="26"/>
        </w:rPr>
      </w:pPr>
    </w:p>
    <w:p w:rsidRPr="00D772B7" w:rsidR="00C4205B" w:rsidP="00D14071" w:rsidRDefault="00C4205B" w14:paraId="0EA7FAC1"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DESCRIBE ANY ASSURANCE OF CONFIDENTIALITY PROVIDED TO RESPONDENTS</w:t>
      </w:r>
    </w:p>
    <w:p w:rsidRPr="00D772B7" w:rsidR="00C4205B" w:rsidP="00D14071" w:rsidRDefault="00C4205B" w14:paraId="5D4B6B25" w14:textId="77777777">
      <w:pPr>
        <w:spacing w:line="240" w:lineRule="auto"/>
        <w:rPr>
          <w:rFonts w:ascii="Times New Roman" w:hAnsi="Times New Roman" w:cs="Times New Roman"/>
          <w:b/>
          <w:bCs/>
          <w:sz w:val="26"/>
          <w:szCs w:val="26"/>
        </w:rPr>
      </w:pPr>
    </w:p>
    <w:p w:rsidRPr="00D772B7" w:rsidR="00F14924" w:rsidP="00D14071" w:rsidRDefault="00F14924" w14:paraId="315A4AA7" w14:textId="77777777">
      <w:pPr>
        <w:spacing w:line="240" w:lineRule="auto"/>
        <w:rPr>
          <w:rFonts w:ascii="Times New Roman" w:hAnsi="Times New Roman" w:cs="Times New Roman"/>
          <w:bCs/>
          <w:sz w:val="26"/>
          <w:szCs w:val="26"/>
        </w:rPr>
      </w:pPr>
      <w:r w:rsidRPr="00D772B7">
        <w:rPr>
          <w:rFonts w:ascii="Times New Roman" w:hAnsi="Times New Roman" w:cs="Times New Roman"/>
          <w:bCs/>
          <w:sz w:val="26"/>
          <w:szCs w:val="26"/>
        </w:rPr>
        <w:t>According to the NERC Rules of Procedure</w:t>
      </w:r>
      <w:r w:rsidRPr="00D772B7">
        <w:rPr>
          <w:rFonts w:ascii="Times New Roman" w:hAnsi="Times New Roman" w:cs="Times New Roman"/>
          <w:bCs/>
          <w:sz w:val="26"/>
          <w:szCs w:val="26"/>
          <w:vertAlign w:val="superscript"/>
        </w:rPr>
        <w:footnoteReference w:id="10"/>
      </w:r>
      <w:r w:rsidRPr="00D772B7">
        <w:rPr>
          <w:rFonts w:ascii="Times New Roman" w:hAnsi="Times New Roman" w:cs="Times New Roman"/>
          <w:bCs/>
          <w:sz w:val="26"/>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Pr="00D772B7" w:rsidR="00C4205B" w:rsidP="00E04F78" w:rsidRDefault="00F14924" w14:paraId="31367A1D" w14:textId="645325CE">
      <w:pPr>
        <w:spacing w:line="240" w:lineRule="auto"/>
        <w:rPr>
          <w:rFonts w:ascii="Times New Roman" w:hAnsi="Times New Roman" w:cs="Times New Roman"/>
          <w:sz w:val="26"/>
          <w:szCs w:val="26"/>
        </w:rPr>
      </w:pPr>
      <w:r w:rsidRPr="00D772B7">
        <w:rPr>
          <w:rFonts w:ascii="Times New Roman" w:hAnsi="Times New Roman" w:cs="Times New Roman"/>
          <w:bCs/>
          <w:sz w:val="26"/>
          <w:szCs w:val="26"/>
        </w:rPr>
        <w:t>Responding entities do not submit the information collected due to the Reliability Standards to FERC.  Rather, they submit the information to NERC, the region</w:t>
      </w:r>
      <w:r w:rsidRPr="00D772B7" w:rsidR="00522521">
        <w:rPr>
          <w:rFonts w:ascii="Times New Roman" w:hAnsi="Times New Roman" w:cs="Times New Roman"/>
          <w:bCs/>
          <w:sz w:val="26"/>
          <w:szCs w:val="26"/>
        </w:rPr>
        <w:t>al entitie</w:t>
      </w:r>
      <w:r w:rsidRPr="00D772B7">
        <w:rPr>
          <w:rFonts w:ascii="Times New Roman" w:hAnsi="Times New Roman" w:cs="Times New Roman"/>
          <w:bCs/>
          <w:sz w:val="26"/>
          <w:szCs w:val="26"/>
        </w:rPr>
        <w:t>s, or maintain it internally.  Since there are no submissions made to FERC, FERC provides no specific provisions in order to protect confidentiality.</w:t>
      </w:r>
    </w:p>
    <w:p w:rsidRPr="00D772B7" w:rsidR="00C4205B" w:rsidP="00D14071" w:rsidRDefault="00C4205B" w14:paraId="11F7723F" w14:textId="4B2E1B36">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PROVIDE ADDITIONAL JUSTIFICATION FOR ANY QUESTIONS OF A SENSITIVE NATURE</w:t>
      </w:r>
      <w:r w:rsidRPr="00D772B7" w:rsidR="00E0001D">
        <w:rPr>
          <w:rFonts w:ascii="Times New Roman" w:hAnsi="Times New Roman" w:cs="Times New Roman"/>
          <w:b/>
          <w:bCs/>
          <w:sz w:val="26"/>
          <w:szCs w:val="26"/>
        </w:rPr>
        <w:t>, SUCH AS SEXUAL BEHAVIOR AND ATTITUDES, RELIGIOUS BELIEFS, AND OTHER MATTERS THAT ARE COMMONLY CONSIDERED PRIVATE</w:t>
      </w:r>
    </w:p>
    <w:p w:rsidRPr="00D772B7" w:rsidR="00C4205B" w:rsidP="00E04F78" w:rsidRDefault="00C4205B" w14:paraId="5CE687D8" w14:textId="77777777">
      <w:pPr>
        <w:spacing w:after="0" w:line="240" w:lineRule="auto"/>
        <w:rPr>
          <w:rFonts w:ascii="Times New Roman" w:hAnsi="Times New Roman" w:cs="Times New Roman"/>
          <w:b/>
          <w:bCs/>
          <w:sz w:val="26"/>
          <w:szCs w:val="26"/>
        </w:rPr>
      </w:pPr>
    </w:p>
    <w:p w:rsidR="0058610D" w:rsidP="00D14071" w:rsidRDefault="0058610D" w14:paraId="41C89FFC" w14:textId="1013D4A8">
      <w:pPr>
        <w:autoSpaceDE w:val="0"/>
        <w:autoSpaceDN w:val="0"/>
        <w:adjustRightInd w:val="0"/>
        <w:spacing w:after="0" w:line="240" w:lineRule="auto"/>
        <w:rPr>
          <w:rFonts w:ascii="Times New Roman" w:hAnsi="Times New Roman" w:eastAsia="Times New Roman" w:cs="Times New Roman"/>
          <w:sz w:val="26"/>
          <w:szCs w:val="26"/>
        </w:rPr>
      </w:pPr>
      <w:r w:rsidRPr="00D772B7">
        <w:rPr>
          <w:rFonts w:ascii="Times New Roman" w:hAnsi="Times New Roman" w:eastAsia="Times New Roman" w:cs="Times New Roman"/>
          <w:sz w:val="26"/>
          <w:szCs w:val="26"/>
        </w:rPr>
        <w:t>There are no questions of a sensitive nature in the reporting or recordkeeping requirements of the FERC-7</w:t>
      </w:r>
      <w:r w:rsidR="006D3CB5">
        <w:rPr>
          <w:rFonts w:ascii="Times New Roman" w:hAnsi="Times New Roman" w:eastAsia="Times New Roman" w:cs="Times New Roman"/>
          <w:sz w:val="26"/>
          <w:szCs w:val="26"/>
        </w:rPr>
        <w:t>2</w:t>
      </w:r>
      <w:r w:rsidRPr="00D772B7">
        <w:rPr>
          <w:rFonts w:ascii="Times New Roman" w:hAnsi="Times New Roman" w:eastAsia="Times New Roman" w:cs="Times New Roman"/>
          <w:sz w:val="26"/>
          <w:szCs w:val="26"/>
        </w:rPr>
        <w:t>5I information collection</w:t>
      </w:r>
      <w:r w:rsidR="007C66FC">
        <w:rPr>
          <w:rFonts w:ascii="Times New Roman" w:hAnsi="Times New Roman" w:eastAsia="Times New Roman" w:cs="Times New Roman"/>
          <w:sz w:val="26"/>
          <w:szCs w:val="26"/>
        </w:rPr>
        <w:t>.</w:t>
      </w:r>
    </w:p>
    <w:p w:rsidRPr="00D772B7" w:rsidR="007C66FC" w:rsidP="00D14071" w:rsidRDefault="007C66FC" w14:paraId="506D81C7" w14:textId="77777777">
      <w:pPr>
        <w:autoSpaceDE w:val="0"/>
        <w:autoSpaceDN w:val="0"/>
        <w:adjustRightInd w:val="0"/>
        <w:spacing w:after="0" w:line="240" w:lineRule="auto"/>
        <w:rPr>
          <w:rFonts w:ascii="Times New Roman" w:hAnsi="Times New Roman" w:eastAsia="Times New Roman" w:cs="Times New Roman"/>
          <w:sz w:val="26"/>
          <w:szCs w:val="26"/>
        </w:rPr>
      </w:pPr>
    </w:p>
    <w:p w:rsidRPr="00D772B7" w:rsidR="00C4205B" w:rsidP="00D14071" w:rsidRDefault="00C4205B" w14:paraId="0C6A0069"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ESTIMATED BURDEN OF COLLECTION OF INFORMATION</w:t>
      </w:r>
    </w:p>
    <w:p w:rsidRPr="00D772B7" w:rsidR="00D34C8D" w:rsidP="00D14071" w:rsidRDefault="00D34C8D" w14:paraId="76C7189C" w14:textId="5E1D5EB6">
      <w:pPr>
        <w:pStyle w:val="FERCparanumber"/>
        <w:widowControl/>
        <w:numPr>
          <w:ilvl w:val="0"/>
          <w:numId w:val="0"/>
        </w:numPr>
        <w:rPr>
          <w:rFonts w:ascii="Times New Roman" w:hAnsi="Times New Roman" w:cs="Times New Roman"/>
          <w:sz w:val="26"/>
          <w:szCs w:val="26"/>
        </w:rPr>
      </w:pPr>
    </w:p>
    <w:p w:rsidR="00FA2E68" w:rsidP="00204082" w:rsidRDefault="00204082" w14:paraId="0D9AB4EB" w14:textId="665061E9">
      <w:pPr>
        <w:widowControl w:val="0"/>
        <w:autoSpaceDE w:val="0"/>
        <w:autoSpaceDN w:val="0"/>
        <w:adjustRightInd w:val="0"/>
        <w:spacing w:after="0" w:line="240" w:lineRule="auto"/>
        <w:rPr>
          <w:rFonts w:ascii="Times New Roman" w:hAnsi="Times New Roman"/>
          <w:sz w:val="26"/>
          <w:szCs w:val="26"/>
        </w:rPr>
      </w:pPr>
      <w:r>
        <w:rPr>
          <w:rFonts w:ascii="Times New Roman" w:hAnsi="Times New Roman" w:eastAsia="Times New Roman" w:cs="Times New Roman"/>
          <w:sz w:val="26"/>
          <w:szCs w:val="26"/>
        </w:rPr>
        <w:t>As shown in the following table, t</w:t>
      </w:r>
      <w:r w:rsidRPr="00D772B7" w:rsidR="0058610D">
        <w:rPr>
          <w:rFonts w:ascii="Times New Roman" w:hAnsi="Times New Roman" w:eastAsia="Times New Roman" w:cs="Times New Roman"/>
          <w:sz w:val="26"/>
          <w:szCs w:val="26"/>
        </w:rPr>
        <w:t xml:space="preserve">he Commission estimates the </w:t>
      </w:r>
      <w:r w:rsidR="00C527F5">
        <w:rPr>
          <w:rFonts w:ascii="Times New Roman" w:hAnsi="Times New Roman" w:eastAsia="Times New Roman" w:cs="Times New Roman"/>
          <w:sz w:val="26"/>
          <w:szCs w:val="26"/>
        </w:rPr>
        <w:t xml:space="preserve">following </w:t>
      </w:r>
      <w:r w:rsidRPr="00D772B7" w:rsidR="0058610D">
        <w:rPr>
          <w:rFonts w:ascii="Times New Roman" w:hAnsi="Times New Roman" w:eastAsia="Times New Roman" w:cs="Times New Roman"/>
          <w:sz w:val="26"/>
          <w:szCs w:val="26"/>
        </w:rPr>
        <w:t>annual burden</w:t>
      </w:r>
      <w:r w:rsidRPr="00D772B7" w:rsidR="0058610D">
        <w:rPr>
          <w:rFonts w:ascii="Times New Roman" w:hAnsi="Times New Roman" w:eastAsia="Times New Roman" w:cs="Times New Roman"/>
          <w:sz w:val="26"/>
          <w:szCs w:val="26"/>
          <w:vertAlign w:val="superscript"/>
        </w:rPr>
        <w:footnoteReference w:id="11"/>
      </w:r>
      <w:r w:rsidRPr="00D772B7" w:rsidR="0058610D">
        <w:rPr>
          <w:rFonts w:ascii="Times New Roman" w:hAnsi="Times New Roman" w:eastAsia="Times New Roman" w:cs="Times New Roman"/>
          <w:sz w:val="26"/>
          <w:szCs w:val="26"/>
          <w:vertAlign w:val="superscript"/>
        </w:rPr>
        <w:t xml:space="preserve"> </w:t>
      </w:r>
      <w:r w:rsidRPr="00D772B7" w:rsidR="0058610D">
        <w:rPr>
          <w:rFonts w:ascii="Times New Roman" w:hAnsi="Times New Roman" w:eastAsia="Times New Roman" w:cs="Times New Roman"/>
          <w:sz w:val="26"/>
          <w:szCs w:val="26"/>
        </w:rPr>
        <w:t>and cost</w:t>
      </w:r>
      <w:r w:rsidRPr="00D772B7" w:rsidR="0058610D">
        <w:rPr>
          <w:rFonts w:ascii="Times New Roman" w:hAnsi="Times New Roman" w:eastAsia="Times New Roman" w:cs="Times New Roman"/>
          <w:sz w:val="26"/>
          <w:szCs w:val="26"/>
          <w:vertAlign w:val="superscript"/>
        </w:rPr>
        <w:footnoteReference w:id="12"/>
      </w:r>
      <w:r w:rsidRPr="00D772B7" w:rsidR="0058610D">
        <w:rPr>
          <w:rFonts w:ascii="Times New Roman" w:hAnsi="Times New Roman" w:eastAsia="Times New Roman" w:cs="Times New Roman"/>
          <w:sz w:val="26"/>
          <w:szCs w:val="26"/>
          <w:vertAlign w:val="superscript"/>
        </w:rPr>
        <w:t xml:space="preserve"> </w:t>
      </w:r>
      <w:r w:rsidRPr="00D772B7" w:rsidR="0058610D">
        <w:rPr>
          <w:rFonts w:ascii="Times New Roman" w:hAnsi="Times New Roman" w:eastAsia="Times New Roman" w:cs="Times New Roman"/>
          <w:sz w:val="26"/>
          <w:szCs w:val="26"/>
        </w:rPr>
        <w:t>for this information collection</w:t>
      </w:r>
      <w:r w:rsidR="00C527F5">
        <w:rPr>
          <w:rFonts w:ascii="Times New Roman" w:hAnsi="Times New Roman" w:eastAsia="Times New Roman" w:cs="Times New Roman"/>
          <w:sz w:val="26"/>
          <w:szCs w:val="26"/>
        </w:rPr>
        <w:t>:</w:t>
      </w:r>
      <w:r>
        <w:rPr>
          <w:rFonts w:ascii="Times New Roman" w:hAnsi="Times New Roman" w:eastAsia="Times New Roman" w:cs="Times New Roman"/>
          <w:sz w:val="26"/>
          <w:szCs w:val="26"/>
        </w:rPr>
        <w:t xml:space="preserve">  </w:t>
      </w:r>
      <w:r w:rsidR="00D56225">
        <w:rPr>
          <w:rFonts w:ascii="Times New Roman" w:hAnsi="Times New Roman"/>
          <w:sz w:val="26"/>
          <w:szCs w:val="26"/>
        </w:rPr>
        <w:t>254</w:t>
      </w:r>
      <w:r w:rsidR="00E04F78">
        <w:rPr>
          <w:rFonts w:ascii="Times New Roman" w:hAnsi="Times New Roman"/>
          <w:sz w:val="26"/>
          <w:szCs w:val="26"/>
        </w:rPr>
        <w:t xml:space="preserve"> re</w:t>
      </w:r>
      <w:r w:rsidRPr="00E04F78" w:rsidR="00CB13A8">
        <w:rPr>
          <w:rFonts w:ascii="Times New Roman" w:hAnsi="Times New Roman"/>
          <w:sz w:val="26"/>
          <w:szCs w:val="26"/>
        </w:rPr>
        <w:t>sponses</w:t>
      </w:r>
      <w:r w:rsidRPr="00E04F78" w:rsidR="007C66FC">
        <w:rPr>
          <w:rFonts w:ascii="Times New Roman" w:hAnsi="Times New Roman"/>
          <w:sz w:val="26"/>
          <w:szCs w:val="26"/>
        </w:rPr>
        <w:t xml:space="preserve">, </w:t>
      </w:r>
      <w:r w:rsidRPr="00E04F78" w:rsidR="00DB734A">
        <w:rPr>
          <w:rFonts w:ascii="Times New Roman" w:hAnsi="Times New Roman"/>
          <w:sz w:val="26"/>
          <w:szCs w:val="26"/>
        </w:rPr>
        <w:t>2,</w:t>
      </w:r>
      <w:r w:rsidR="001816FF">
        <w:rPr>
          <w:rFonts w:ascii="Times New Roman" w:hAnsi="Times New Roman"/>
          <w:sz w:val="26"/>
          <w:szCs w:val="26"/>
        </w:rPr>
        <w:t>548</w:t>
      </w:r>
      <w:r w:rsidRPr="00E04F78" w:rsidR="00DB734A">
        <w:rPr>
          <w:rFonts w:ascii="Times New Roman" w:hAnsi="Times New Roman"/>
          <w:sz w:val="26"/>
          <w:szCs w:val="26"/>
        </w:rPr>
        <w:t xml:space="preserve"> h</w:t>
      </w:r>
      <w:r w:rsidRPr="00E04F78" w:rsidR="00CB13A8">
        <w:rPr>
          <w:rFonts w:ascii="Times New Roman" w:hAnsi="Times New Roman"/>
          <w:sz w:val="26"/>
          <w:szCs w:val="26"/>
        </w:rPr>
        <w:t>ours</w:t>
      </w:r>
      <w:r w:rsidRPr="00E04F78" w:rsidR="007C66FC">
        <w:rPr>
          <w:rFonts w:ascii="Times New Roman" w:hAnsi="Times New Roman"/>
          <w:sz w:val="26"/>
          <w:szCs w:val="26"/>
        </w:rPr>
        <w:t>,</w:t>
      </w:r>
      <w:r w:rsidRPr="00E04F78" w:rsidR="00DB734A">
        <w:rPr>
          <w:rFonts w:ascii="Times New Roman" w:hAnsi="Times New Roman"/>
          <w:sz w:val="26"/>
          <w:szCs w:val="26"/>
        </w:rPr>
        <w:t xml:space="preserve"> and</w:t>
      </w:r>
      <w:r w:rsidRPr="00E04F78" w:rsidR="007C66FC">
        <w:rPr>
          <w:rFonts w:ascii="Times New Roman" w:hAnsi="Times New Roman"/>
          <w:sz w:val="26"/>
          <w:szCs w:val="26"/>
        </w:rPr>
        <w:t xml:space="preserve"> </w:t>
      </w:r>
      <w:r w:rsidRPr="00E04F78" w:rsidR="00DB734A">
        <w:rPr>
          <w:rFonts w:ascii="Times New Roman" w:hAnsi="Times New Roman"/>
          <w:sz w:val="26"/>
          <w:szCs w:val="26"/>
        </w:rPr>
        <w:t>$</w:t>
      </w:r>
      <w:r w:rsidR="001816FF">
        <w:rPr>
          <w:rFonts w:ascii="Times New Roman" w:hAnsi="Times New Roman"/>
          <w:sz w:val="26"/>
          <w:szCs w:val="26"/>
        </w:rPr>
        <w:t>203,840</w:t>
      </w:r>
      <w:r w:rsidRPr="00E04F78" w:rsidR="00DB734A">
        <w:rPr>
          <w:rFonts w:ascii="Times New Roman" w:hAnsi="Times New Roman"/>
          <w:sz w:val="26"/>
          <w:szCs w:val="26"/>
        </w:rPr>
        <w:t xml:space="preserve"> in hour-related cost.</w:t>
      </w:r>
    </w:p>
    <w:p w:rsidR="00204082" w:rsidP="00D56225" w:rsidRDefault="00204082" w14:paraId="20F0322F" w14:textId="39C1EECF">
      <w:pPr>
        <w:pStyle w:val="ListParagraph"/>
        <w:spacing w:after="0" w:line="240" w:lineRule="auto"/>
        <w:ind w:left="0"/>
        <w:rPr>
          <w:rFonts w:ascii="Times New Roman" w:hAnsi="Times New Roman"/>
          <w:sz w:val="26"/>
          <w:szCs w:val="26"/>
        </w:rPr>
      </w:pPr>
    </w:p>
    <w:tbl>
      <w:tblPr>
        <w:tblW w:w="53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84"/>
        <w:gridCol w:w="1438"/>
        <w:gridCol w:w="1617"/>
        <w:gridCol w:w="1407"/>
        <w:gridCol w:w="1309"/>
        <w:gridCol w:w="1315"/>
        <w:gridCol w:w="1235"/>
      </w:tblGrid>
      <w:tr w:rsidR="00204082" w:rsidTr="00204082" w14:paraId="733414B4"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204082" w:rsidR="00204082" w:rsidRDefault="00204082" w14:paraId="185AEC9D" w14:textId="77777777">
            <w:pPr>
              <w:spacing w:line="256" w:lineRule="auto"/>
              <w:jc w:val="center"/>
              <w:rPr>
                <w:rFonts w:ascii="Times New Roman" w:hAnsi="Times New Roman" w:eastAsia="Calibri"/>
                <w:b/>
                <w:sz w:val="24"/>
                <w:szCs w:val="26"/>
              </w:rPr>
            </w:pPr>
            <w:r w:rsidRPr="00204082">
              <w:rPr>
                <w:rFonts w:ascii="Times New Roman" w:hAnsi="Times New Roman" w:eastAsia="Calibri"/>
                <w:b/>
                <w:sz w:val="24"/>
                <w:szCs w:val="26"/>
              </w:rPr>
              <w:t>FERC-725I (Mandatory Reliability Standards for the Northeast Power Coordinating Council)</w:t>
            </w:r>
          </w:p>
        </w:tc>
      </w:tr>
      <w:tr w:rsidR="00204082" w:rsidTr="00E62766" w14:paraId="21D962AE" w14:textId="77777777">
        <w:trPr>
          <w:cantSplit/>
        </w:trPr>
        <w:tc>
          <w:tcPr>
            <w:tcW w:w="842"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6D3CB5" w:rsidR="00204082" w:rsidP="006D3CB5" w:rsidRDefault="00204082" w14:paraId="300B3D25" w14:textId="0D22B51F">
            <w:pPr>
              <w:spacing w:line="256" w:lineRule="auto"/>
              <w:jc w:val="center"/>
              <w:rPr>
                <w:rFonts w:ascii="Times New Roman" w:hAnsi="Times New Roman" w:eastAsia="Calibri"/>
                <w:b/>
                <w:sz w:val="24"/>
                <w:szCs w:val="24"/>
              </w:rPr>
            </w:pPr>
            <w:r w:rsidRPr="006D3CB5">
              <w:rPr>
                <w:rFonts w:ascii="Times New Roman" w:hAnsi="Times New Roman" w:eastAsia="Calibri"/>
                <w:b/>
                <w:sz w:val="24"/>
                <w:szCs w:val="24"/>
              </w:rPr>
              <w:t>Information Collection Requirements</w:t>
            </w:r>
          </w:p>
        </w:tc>
        <w:tc>
          <w:tcPr>
            <w:tcW w:w="719"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6D3CB5" w:rsidR="00204082" w:rsidRDefault="00204082" w14:paraId="3A3582BE" w14:textId="77777777">
            <w:pPr>
              <w:spacing w:line="256" w:lineRule="auto"/>
              <w:jc w:val="center"/>
              <w:rPr>
                <w:rFonts w:ascii="Times New Roman" w:hAnsi="Times New Roman" w:eastAsia="Calibri"/>
                <w:b/>
                <w:sz w:val="24"/>
                <w:szCs w:val="24"/>
              </w:rPr>
            </w:pPr>
            <w:r w:rsidRPr="006D3CB5">
              <w:rPr>
                <w:rFonts w:ascii="Times New Roman" w:hAnsi="Times New Roman" w:eastAsia="Calibri"/>
                <w:b/>
                <w:sz w:val="24"/>
                <w:szCs w:val="24"/>
              </w:rPr>
              <w:t>Number of Respondents</w:t>
            </w:r>
            <w:r w:rsidRPr="006D3CB5">
              <w:rPr>
                <w:rFonts w:ascii="Times New Roman" w:hAnsi="Times New Roman" w:eastAsia="Calibri"/>
                <w:b/>
                <w:sz w:val="24"/>
                <w:szCs w:val="24"/>
              </w:rPr>
              <w:br/>
              <w:t>(1)</w:t>
            </w:r>
          </w:p>
        </w:tc>
        <w:tc>
          <w:tcPr>
            <w:tcW w:w="808"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6D3CB5" w:rsidR="00204082" w:rsidRDefault="00204082" w14:paraId="31E585BF" w14:textId="77777777">
            <w:pPr>
              <w:spacing w:line="256" w:lineRule="auto"/>
              <w:jc w:val="center"/>
              <w:rPr>
                <w:rFonts w:ascii="Times New Roman" w:hAnsi="Times New Roman" w:eastAsia="Calibri"/>
                <w:b/>
                <w:sz w:val="24"/>
                <w:szCs w:val="24"/>
              </w:rPr>
            </w:pPr>
            <w:r w:rsidRPr="006D3CB5">
              <w:rPr>
                <w:rFonts w:ascii="Times New Roman" w:hAnsi="Times New Roman" w:eastAsia="Calibri"/>
                <w:b/>
                <w:sz w:val="24"/>
                <w:szCs w:val="24"/>
              </w:rPr>
              <w:t>Annual Number of Responses per Respondent</w:t>
            </w:r>
          </w:p>
          <w:p w:rsidRPr="001E7B76" w:rsidR="00204082" w:rsidRDefault="00204082" w14:paraId="4D48B83E" w14:textId="77777777">
            <w:pPr>
              <w:spacing w:line="256" w:lineRule="auto"/>
              <w:jc w:val="center"/>
              <w:rPr>
                <w:rFonts w:ascii="Times New Roman" w:hAnsi="Times New Roman" w:eastAsia="Calibri"/>
                <w:b/>
                <w:sz w:val="24"/>
                <w:szCs w:val="24"/>
              </w:rPr>
            </w:pPr>
            <w:r w:rsidRPr="001E7B76">
              <w:rPr>
                <w:rFonts w:ascii="Times New Roman" w:hAnsi="Times New Roman" w:eastAsia="Calibri"/>
                <w:b/>
                <w:sz w:val="24"/>
                <w:szCs w:val="24"/>
              </w:rPr>
              <w:t>(2)</w:t>
            </w:r>
          </w:p>
        </w:tc>
        <w:tc>
          <w:tcPr>
            <w:tcW w:w="703"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131E36" w:rsidR="00204082" w:rsidRDefault="00204082" w14:paraId="79D103C7" w14:textId="77777777">
            <w:pPr>
              <w:spacing w:line="256" w:lineRule="auto"/>
              <w:jc w:val="center"/>
              <w:rPr>
                <w:rFonts w:ascii="Times New Roman" w:hAnsi="Times New Roman" w:eastAsia="Calibri"/>
                <w:b/>
                <w:sz w:val="24"/>
                <w:szCs w:val="24"/>
              </w:rPr>
            </w:pPr>
            <w:r w:rsidRPr="0041178A">
              <w:rPr>
                <w:rFonts w:ascii="Times New Roman" w:hAnsi="Times New Roman" w:eastAsia="Calibri"/>
                <w:b/>
                <w:sz w:val="24"/>
                <w:szCs w:val="24"/>
              </w:rPr>
              <w:t xml:space="preserve">Total Number of Responses </w:t>
            </w:r>
            <w:r w:rsidRPr="00131E36">
              <w:rPr>
                <w:rFonts w:ascii="Times New Roman" w:hAnsi="Times New Roman" w:eastAsia="Calibri"/>
                <w:b/>
                <w:sz w:val="24"/>
                <w:szCs w:val="24"/>
              </w:rPr>
              <w:t>(1)*(2)=(3)</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187375" w:rsidR="00204082" w:rsidRDefault="00204082" w14:paraId="1F97B55D" w14:textId="3BAB2F22">
            <w:pPr>
              <w:spacing w:line="256" w:lineRule="auto"/>
              <w:jc w:val="center"/>
              <w:rPr>
                <w:rFonts w:ascii="Times New Roman" w:hAnsi="Times New Roman" w:eastAsia="Calibri"/>
                <w:b/>
                <w:sz w:val="24"/>
                <w:szCs w:val="24"/>
              </w:rPr>
            </w:pPr>
            <w:r w:rsidRPr="00131E36">
              <w:rPr>
                <w:rFonts w:ascii="Times New Roman" w:hAnsi="Times New Roman" w:eastAsia="Calibri"/>
                <w:b/>
                <w:sz w:val="24"/>
                <w:szCs w:val="24"/>
              </w:rPr>
              <w:t>Average Burden Hours &amp; Cost</w:t>
            </w:r>
            <w:r w:rsidRPr="00187375">
              <w:rPr>
                <w:rFonts w:ascii="Times New Roman" w:hAnsi="Times New Roman" w:eastAsia="Calibri"/>
                <w:b/>
                <w:sz w:val="24"/>
                <w:szCs w:val="24"/>
              </w:rPr>
              <w:t>Per Response</w:t>
            </w:r>
          </w:p>
          <w:p w:rsidRPr="00187375" w:rsidR="00204082" w:rsidRDefault="00204082" w14:paraId="1A15750C" w14:textId="77777777">
            <w:pPr>
              <w:spacing w:line="256" w:lineRule="auto"/>
              <w:jc w:val="center"/>
              <w:rPr>
                <w:rFonts w:ascii="Times New Roman" w:hAnsi="Times New Roman" w:eastAsia="Calibri"/>
                <w:b/>
                <w:sz w:val="24"/>
                <w:szCs w:val="24"/>
              </w:rPr>
            </w:pPr>
            <w:r w:rsidRPr="00187375">
              <w:rPr>
                <w:rFonts w:ascii="Times New Roman" w:hAnsi="Times New Roman" w:eastAsia="Calibri"/>
                <w:b/>
                <w:sz w:val="24"/>
                <w:szCs w:val="24"/>
              </w:rPr>
              <w:t>(4)</w:t>
            </w:r>
          </w:p>
        </w:tc>
        <w:tc>
          <w:tcPr>
            <w:tcW w:w="657"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187375" w:rsidR="00204082" w:rsidRDefault="00204082" w14:paraId="4438130B" w14:textId="60E915BC">
            <w:pPr>
              <w:spacing w:line="256" w:lineRule="auto"/>
              <w:jc w:val="center"/>
              <w:rPr>
                <w:rFonts w:ascii="Times New Roman" w:hAnsi="Times New Roman" w:eastAsia="Calibri"/>
                <w:b/>
                <w:sz w:val="24"/>
                <w:szCs w:val="24"/>
              </w:rPr>
            </w:pPr>
            <w:r w:rsidRPr="00187375">
              <w:rPr>
                <w:rFonts w:ascii="Times New Roman" w:hAnsi="Times New Roman" w:eastAsia="Calibri"/>
                <w:b/>
                <w:sz w:val="24"/>
                <w:szCs w:val="24"/>
              </w:rPr>
              <w:t>Total Annual Burden Hours &amp; Total Annual Cost</w:t>
            </w:r>
          </w:p>
          <w:p w:rsidRPr="00187375" w:rsidR="00204082" w:rsidRDefault="00204082" w14:paraId="38EBB654" w14:textId="63FF58BC">
            <w:pPr>
              <w:spacing w:line="256" w:lineRule="auto"/>
              <w:jc w:val="center"/>
              <w:rPr>
                <w:rFonts w:ascii="Times New Roman" w:hAnsi="Times New Roman" w:eastAsia="Calibri"/>
                <w:b/>
                <w:sz w:val="24"/>
                <w:szCs w:val="24"/>
              </w:rPr>
            </w:pPr>
            <w:r w:rsidRPr="00187375">
              <w:rPr>
                <w:rFonts w:ascii="Times New Roman" w:hAnsi="Times New Roman" w:eastAsia="Calibri"/>
                <w:b/>
                <w:sz w:val="24"/>
                <w:szCs w:val="24"/>
              </w:rPr>
              <w:t>3)*(4)=(5)</w:t>
            </w:r>
          </w:p>
        </w:tc>
        <w:tc>
          <w:tcPr>
            <w:tcW w:w="617"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187375" w:rsidR="00204082" w:rsidRDefault="00204082" w14:paraId="45BE910D" w14:textId="77777777">
            <w:pPr>
              <w:spacing w:line="256" w:lineRule="auto"/>
              <w:jc w:val="center"/>
              <w:rPr>
                <w:rFonts w:ascii="Times New Roman" w:hAnsi="Times New Roman" w:eastAsia="Calibri"/>
                <w:b/>
                <w:sz w:val="24"/>
                <w:szCs w:val="24"/>
              </w:rPr>
            </w:pPr>
            <w:r w:rsidRPr="00187375">
              <w:rPr>
                <w:rFonts w:ascii="Times New Roman" w:hAnsi="Times New Roman" w:eastAsia="Calibri"/>
                <w:b/>
                <w:sz w:val="24"/>
                <w:szCs w:val="24"/>
              </w:rPr>
              <w:t>Cost per Respondent</w:t>
            </w:r>
          </w:p>
          <w:p w:rsidRPr="00E62766" w:rsidR="00204082" w:rsidRDefault="00204082" w14:paraId="46576563" w14:textId="77777777">
            <w:pPr>
              <w:spacing w:line="256" w:lineRule="auto"/>
              <w:jc w:val="center"/>
              <w:rPr>
                <w:rFonts w:ascii="Times New Roman" w:hAnsi="Times New Roman" w:eastAsia="Calibri"/>
                <w:b/>
                <w:sz w:val="24"/>
                <w:szCs w:val="24"/>
              </w:rPr>
            </w:pPr>
            <w:r w:rsidRPr="00E62766">
              <w:rPr>
                <w:rFonts w:ascii="Times New Roman" w:hAnsi="Times New Roman" w:eastAsia="Calibri"/>
                <w:b/>
                <w:sz w:val="24"/>
                <w:szCs w:val="24"/>
              </w:rPr>
              <w:t>(5)÷(1)</w:t>
            </w:r>
          </w:p>
        </w:tc>
      </w:tr>
      <w:tr w:rsidR="00204082" w:rsidTr="00E62766" w14:paraId="647716C9" w14:textId="77777777">
        <w:trPr>
          <w:cantSplit/>
        </w:trPr>
        <w:tc>
          <w:tcPr>
            <w:tcW w:w="842" w:type="pct"/>
            <w:tcBorders>
              <w:top w:val="single" w:color="auto" w:sz="4" w:space="0"/>
              <w:left w:val="single" w:color="auto" w:sz="4" w:space="0"/>
              <w:bottom w:val="single" w:color="auto" w:sz="4" w:space="0"/>
              <w:right w:val="single" w:color="auto" w:sz="4" w:space="0"/>
            </w:tcBorders>
            <w:hideMark/>
          </w:tcPr>
          <w:p w:rsidRPr="006D3CB5" w:rsidR="00204082" w:rsidRDefault="00204082" w14:paraId="2BAB6D47" w14:textId="77777777">
            <w:pPr>
              <w:spacing w:line="256" w:lineRule="auto"/>
              <w:rPr>
                <w:rFonts w:ascii="Times New Roman" w:hAnsi="Times New Roman" w:eastAsia="Calibri"/>
                <w:sz w:val="24"/>
                <w:szCs w:val="24"/>
              </w:rPr>
            </w:pPr>
            <w:r w:rsidRPr="006D3CB5">
              <w:rPr>
                <w:rFonts w:ascii="Times New Roman" w:hAnsi="Times New Roman" w:eastAsia="Calibri"/>
                <w:sz w:val="24"/>
                <w:szCs w:val="24"/>
              </w:rPr>
              <w:t>PCs Design and document automatic UFLS program</w:t>
            </w:r>
          </w:p>
        </w:tc>
        <w:tc>
          <w:tcPr>
            <w:tcW w:w="719" w:type="pct"/>
            <w:tcBorders>
              <w:top w:val="single" w:color="auto" w:sz="4" w:space="0"/>
              <w:left w:val="single" w:color="auto" w:sz="4" w:space="0"/>
              <w:bottom w:val="single" w:color="auto" w:sz="4" w:space="0"/>
              <w:right w:val="single" w:color="auto" w:sz="4" w:space="0"/>
            </w:tcBorders>
            <w:vAlign w:val="center"/>
            <w:hideMark/>
          </w:tcPr>
          <w:p w:rsidRPr="006D3CB5" w:rsidR="00204082" w:rsidP="006D3CB5" w:rsidRDefault="00204082" w14:paraId="6A8BFBE1" w14:textId="77777777">
            <w:pPr>
              <w:spacing w:line="256" w:lineRule="auto"/>
              <w:jc w:val="right"/>
              <w:rPr>
                <w:rFonts w:ascii="Times New Roman" w:hAnsi="Times New Roman" w:eastAsia="Calibri"/>
                <w:sz w:val="24"/>
                <w:szCs w:val="24"/>
              </w:rPr>
            </w:pPr>
            <w:r w:rsidRPr="006D3CB5">
              <w:rPr>
                <w:rFonts w:ascii="Times New Roman" w:hAnsi="Times New Roman" w:eastAsia="Calibri"/>
                <w:sz w:val="24"/>
                <w:szCs w:val="24"/>
              </w:rPr>
              <w:t>2</w:t>
            </w:r>
          </w:p>
        </w:tc>
        <w:tc>
          <w:tcPr>
            <w:tcW w:w="808" w:type="pct"/>
            <w:tcBorders>
              <w:top w:val="single" w:color="auto" w:sz="4" w:space="0"/>
              <w:left w:val="single" w:color="auto" w:sz="4" w:space="0"/>
              <w:bottom w:val="single" w:color="auto" w:sz="4" w:space="0"/>
              <w:right w:val="single" w:color="auto" w:sz="4" w:space="0"/>
            </w:tcBorders>
            <w:vAlign w:val="center"/>
            <w:hideMark/>
          </w:tcPr>
          <w:p w:rsidRPr="006D3CB5" w:rsidR="00204082" w:rsidP="006D3CB5" w:rsidRDefault="00204082" w14:paraId="174AE4B2" w14:textId="77777777">
            <w:pPr>
              <w:spacing w:line="256" w:lineRule="auto"/>
              <w:jc w:val="right"/>
              <w:rPr>
                <w:rFonts w:ascii="Times New Roman" w:hAnsi="Times New Roman" w:eastAsia="Calibri"/>
                <w:sz w:val="24"/>
                <w:szCs w:val="24"/>
              </w:rPr>
            </w:pPr>
            <w:r w:rsidRPr="006D3CB5">
              <w:rPr>
                <w:rFonts w:ascii="Times New Roman" w:hAnsi="Times New Roman" w:eastAsia="Calibri"/>
                <w:sz w:val="24"/>
                <w:szCs w:val="24"/>
              </w:rPr>
              <w:t>1</w:t>
            </w:r>
          </w:p>
        </w:tc>
        <w:tc>
          <w:tcPr>
            <w:tcW w:w="703" w:type="pct"/>
            <w:tcBorders>
              <w:top w:val="single" w:color="auto" w:sz="4" w:space="0"/>
              <w:left w:val="single" w:color="auto" w:sz="4" w:space="0"/>
              <w:bottom w:val="single" w:color="auto" w:sz="4" w:space="0"/>
              <w:right w:val="single" w:color="auto" w:sz="4" w:space="0"/>
            </w:tcBorders>
            <w:vAlign w:val="center"/>
            <w:hideMark/>
          </w:tcPr>
          <w:p w:rsidRPr="001E7B76" w:rsidR="00204082" w:rsidRDefault="00204082" w14:paraId="2F34411B" w14:textId="77777777">
            <w:pPr>
              <w:spacing w:line="256" w:lineRule="auto"/>
              <w:jc w:val="right"/>
              <w:rPr>
                <w:rFonts w:ascii="Times New Roman" w:hAnsi="Times New Roman" w:eastAsia="Calibri"/>
                <w:sz w:val="24"/>
                <w:szCs w:val="24"/>
              </w:rPr>
            </w:pPr>
            <w:r w:rsidRPr="001E7B76">
              <w:rPr>
                <w:rFonts w:ascii="Times New Roman" w:hAnsi="Times New Roman" w:eastAsia="Calibri"/>
                <w:sz w:val="24"/>
                <w:szCs w:val="24"/>
              </w:rPr>
              <w:t>2</w:t>
            </w:r>
          </w:p>
        </w:tc>
        <w:tc>
          <w:tcPr>
            <w:tcW w:w="654" w:type="pct"/>
            <w:tcBorders>
              <w:top w:val="single" w:color="auto" w:sz="4" w:space="0"/>
              <w:left w:val="single" w:color="auto" w:sz="4" w:space="0"/>
              <w:bottom w:val="single" w:color="auto" w:sz="4" w:space="0"/>
              <w:right w:val="single" w:color="auto" w:sz="4" w:space="0"/>
            </w:tcBorders>
            <w:vAlign w:val="center"/>
            <w:hideMark/>
          </w:tcPr>
          <w:p w:rsidRPr="0041178A" w:rsidR="00204082" w:rsidRDefault="00204082" w14:paraId="02B26461" w14:textId="77777777">
            <w:pPr>
              <w:spacing w:line="256" w:lineRule="auto"/>
              <w:jc w:val="right"/>
              <w:rPr>
                <w:rFonts w:ascii="Times New Roman" w:hAnsi="Times New Roman" w:eastAsia="Calibri"/>
                <w:sz w:val="24"/>
                <w:szCs w:val="24"/>
              </w:rPr>
            </w:pPr>
            <w:r w:rsidRPr="0041178A">
              <w:rPr>
                <w:rFonts w:ascii="Times New Roman" w:hAnsi="Times New Roman" w:eastAsia="Calibri"/>
                <w:sz w:val="24"/>
                <w:szCs w:val="24"/>
              </w:rPr>
              <w:t>8 hrs.;</w:t>
            </w:r>
          </w:p>
          <w:p w:rsidRPr="00131E36" w:rsidR="00204082" w:rsidRDefault="00204082" w14:paraId="10C1A03A" w14:textId="77777777">
            <w:pPr>
              <w:spacing w:line="256" w:lineRule="auto"/>
              <w:jc w:val="right"/>
              <w:rPr>
                <w:rFonts w:ascii="Times New Roman" w:hAnsi="Times New Roman" w:eastAsia="Calibri"/>
                <w:sz w:val="24"/>
                <w:szCs w:val="24"/>
              </w:rPr>
            </w:pPr>
            <w:r w:rsidRPr="00131E36">
              <w:rPr>
                <w:rFonts w:ascii="Times New Roman" w:hAnsi="Times New Roman" w:eastAsia="Calibri"/>
                <w:sz w:val="24"/>
                <w:szCs w:val="24"/>
              </w:rPr>
              <w:t>$640</w:t>
            </w:r>
          </w:p>
        </w:tc>
        <w:tc>
          <w:tcPr>
            <w:tcW w:w="657" w:type="pct"/>
            <w:tcBorders>
              <w:top w:val="single" w:color="auto" w:sz="4" w:space="0"/>
              <w:left w:val="single" w:color="auto" w:sz="4" w:space="0"/>
              <w:bottom w:val="single" w:color="auto" w:sz="4" w:space="0"/>
              <w:right w:val="single" w:color="auto" w:sz="4" w:space="0"/>
            </w:tcBorders>
            <w:vAlign w:val="center"/>
            <w:hideMark/>
          </w:tcPr>
          <w:p w:rsidRPr="00131E36" w:rsidR="00204082" w:rsidRDefault="00204082" w14:paraId="6F2C9362" w14:textId="77777777">
            <w:pPr>
              <w:spacing w:line="256" w:lineRule="auto"/>
              <w:jc w:val="right"/>
              <w:rPr>
                <w:rFonts w:ascii="Times New Roman" w:hAnsi="Times New Roman" w:eastAsia="Calibri"/>
                <w:sz w:val="24"/>
                <w:szCs w:val="24"/>
              </w:rPr>
            </w:pPr>
            <w:r w:rsidRPr="00131E36">
              <w:rPr>
                <w:rFonts w:ascii="Times New Roman" w:hAnsi="Times New Roman" w:eastAsia="Calibri"/>
                <w:sz w:val="24"/>
                <w:szCs w:val="24"/>
              </w:rPr>
              <w:t xml:space="preserve"> 16 hrs.;</w:t>
            </w:r>
          </w:p>
          <w:p w:rsidRPr="00187375" w:rsidR="00204082" w:rsidRDefault="00204082" w14:paraId="1C1EFDEE" w14:textId="77777777">
            <w:pPr>
              <w:spacing w:line="256" w:lineRule="auto"/>
              <w:jc w:val="right"/>
              <w:rPr>
                <w:rFonts w:ascii="Times New Roman" w:hAnsi="Times New Roman" w:eastAsia="Calibri"/>
                <w:sz w:val="24"/>
                <w:szCs w:val="24"/>
              </w:rPr>
            </w:pPr>
            <w:r w:rsidRPr="00187375">
              <w:rPr>
                <w:rFonts w:ascii="Times New Roman" w:hAnsi="Times New Roman" w:eastAsia="Calibri"/>
                <w:sz w:val="24"/>
                <w:szCs w:val="24"/>
              </w:rPr>
              <w:t xml:space="preserve">$1,280 </w:t>
            </w:r>
          </w:p>
        </w:tc>
        <w:tc>
          <w:tcPr>
            <w:tcW w:w="617" w:type="pct"/>
            <w:tcBorders>
              <w:top w:val="single" w:color="auto" w:sz="4" w:space="0"/>
              <w:left w:val="single" w:color="auto" w:sz="4" w:space="0"/>
              <w:bottom w:val="single" w:color="auto" w:sz="4" w:space="0"/>
              <w:right w:val="single" w:color="auto" w:sz="4" w:space="0"/>
            </w:tcBorders>
            <w:vAlign w:val="center"/>
            <w:hideMark/>
          </w:tcPr>
          <w:p w:rsidRPr="00187375" w:rsidR="00204082" w:rsidRDefault="00204082" w14:paraId="6C005984" w14:textId="77777777">
            <w:pPr>
              <w:spacing w:line="256" w:lineRule="auto"/>
              <w:jc w:val="right"/>
              <w:rPr>
                <w:rFonts w:ascii="Times New Roman" w:hAnsi="Times New Roman" w:eastAsia="Calibri"/>
                <w:sz w:val="24"/>
                <w:szCs w:val="24"/>
              </w:rPr>
            </w:pPr>
            <w:r w:rsidRPr="00187375">
              <w:rPr>
                <w:rFonts w:ascii="Times New Roman" w:hAnsi="Times New Roman" w:eastAsia="Calibri"/>
                <w:sz w:val="24"/>
                <w:szCs w:val="24"/>
              </w:rPr>
              <w:t xml:space="preserve">$640 </w:t>
            </w:r>
          </w:p>
        </w:tc>
      </w:tr>
      <w:tr w:rsidR="00204082" w:rsidTr="00E62766" w14:paraId="3BDCAD90" w14:textId="77777777">
        <w:trPr>
          <w:cantSplit/>
        </w:trPr>
        <w:tc>
          <w:tcPr>
            <w:tcW w:w="842" w:type="pct"/>
            <w:tcBorders>
              <w:top w:val="single" w:color="auto" w:sz="4" w:space="0"/>
              <w:left w:val="single" w:color="auto" w:sz="4" w:space="0"/>
              <w:bottom w:val="single" w:color="auto" w:sz="4" w:space="0"/>
              <w:right w:val="single" w:color="auto" w:sz="4" w:space="0"/>
            </w:tcBorders>
            <w:hideMark/>
          </w:tcPr>
          <w:p w:rsidRPr="006D3CB5" w:rsidR="00204082" w:rsidRDefault="00204082" w14:paraId="47B20458" w14:textId="77777777">
            <w:pPr>
              <w:spacing w:line="256" w:lineRule="auto"/>
              <w:rPr>
                <w:rFonts w:ascii="Times New Roman" w:hAnsi="Times New Roman" w:eastAsia="Calibri"/>
                <w:sz w:val="24"/>
                <w:szCs w:val="24"/>
              </w:rPr>
            </w:pPr>
            <w:r w:rsidRPr="006D3CB5">
              <w:rPr>
                <w:rFonts w:ascii="Times New Roman" w:hAnsi="Times New Roman" w:eastAsia="Calibri"/>
                <w:sz w:val="24"/>
                <w:szCs w:val="24"/>
              </w:rPr>
              <w:t>PCs update and maintain UFLS program database</w:t>
            </w:r>
          </w:p>
        </w:tc>
        <w:tc>
          <w:tcPr>
            <w:tcW w:w="719" w:type="pct"/>
            <w:tcBorders>
              <w:top w:val="single" w:color="auto" w:sz="4" w:space="0"/>
              <w:left w:val="single" w:color="auto" w:sz="4" w:space="0"/>
              <w:bottom w:val="single" w:color="auto" w:sz="4" w:space="0"/>
              <w:right w:val="single" w:color="auto" w:sz="4" w:space="0"/>
            </w:tcBorders>
            <w:vAlign w:val="center"/>
            <w:hideMark/>
          </w:tcPr>
          <w:p w:rsidRPr="006D3CB5" w:rsidR="00204082" w:rsidP="006D3CB5" w:rsidRDefault="00204082" w14:paraId="135D9051" w14:textId="77777777">
            <w:pPr>
              <w:spacing w:line="256" w:lineRule="auto"/>
              <w:jc w:val="right"/>
              <w:rPr>
                <w:rFonts w:ascii="Times New Roman" w:hAnsi="Times New Roman" w:eastAsia="Calibri"/>
                <w:sz w:val="24"/>
                <w:szCs w:val="24"/>
              </w:rPr>
            </w:pPr>
            <w:r w:rsidRPr="006D3CB5">
              <w:rPr>
                <w:rFonts w:ascii="Times New Roman" w:hAnsi="Times New Roman" w:eastAsia="Calibri"/>
                <w:sz w:val="24"/>
                <w:szCs w:val="24"/>
              </w:rPr>
              <w:t>2</w:t>
            </w:r>
          </w:p>
        </w:tc>
        <w:tc>
          <w:tcPr>
            <w:tcW w:w="808" w:type="pct"/>
            <w:tcBorders>
              <w:top w:val="single" w:color="auto" w:sz="4" w:space="0"/>
              <w:left w:val="single" w:color="auto" w:sz="4" w:space="0"/>
              <w:bottom w:val="single" w:color="auto" w:sz="4" w:space="0"/>
              <w:right w:val="single" w:color="auto" w:sz="4" w:space="0"/>
            </w:tcBorders>
            <w:vAlign w:val="center"/>
            <w:hideMark/>
          </w:tcPr>
          <w:p w:rsidRPr="001E7B76" w:rsidR="00204082" w:rsidRDefault="00204082" w14:paraId="07763FEE" w14:textId="77777777">
            <w:pPr>
              <w:spacing w:line="256" w:lineRule="auto"/>
              <w:jc w:val="right"/>
              <w:rPr>
                <w:rFonts w:ascii="Times New Roman" w:hAnsi="Times New Roman" w:eastAsia="Calibri"/>
                <w:sz w:val="24"/>
                <w:szCs w:val="24"/>
              </w:rPr>
            </w:pPr>
            <w:r w:rsidRPr="001E7B76">
              <w:rPr>
                <w:rFonts w:ascii="Times New Roman" w:hAnsi="Times New Roman" w:eastAsia="Calibri"/>
                <w:sz w:val="24"/>
                <w:szCs w:val="24"/>
              </w:rPr>
              <w:t>1</w:t>
            </w:r>
          </w:p>
        </w:tc>
        <w:tc>
          <w:tcPr>
            <w:tcW w:w="703" w:type="pct"/>
            <w:tcBorders>
              <w:top w:val="single" w:color="auto" w:sz="4" w:space="0"/>
              <w:left w:val="single" w:color="auto" w:sz="4" w:space="0"/>
              <w:bottom w:val="single" w:color="auto" w:sz="4" w:space="0"/>
              <w:right w:val="single" w:color="auto" w:sz="4" w:space="0"/>
            </w:tcBorders>
            <w:vAlign w:val="center"/>
            <w:hideMark/>
          </w:tcPr>
          <w:p w:rsidRPr="0041178A" w:rsidR="00204082" w:rsidRDefault="00204082" w14:paraId="5E7F5265" w14:textId="77777777">
            <w:pPr>
              <w:spacing w:line="256" w:lineRule="auto"/>
              <w:jc w:val="right"/>
              <w:rPr>
                <w:rFonts w:ascii="Times New Roman" w:hAnsi="Times New Roman" w:eastAsia="Calibri"/>
                <w:sz w:val="24"/>
                <w:szCs w:val="24"/>
              </w:rPr>
            </w:pPr>
            <w:r w:rsidRPr="0041178A">
              <w:rPr>
                <w:rFonts w:ascii="Times New Roman" w:hAnsi="Times New Roman" w:eastAsia="Calibri"/>
                <w:sz w:val="24"/>
                <w:szCs w:val="24"/>
              </w:rPr>
              <w:t>2</w:t>
            </w:r>
          </w:p>
        </w:tc>
        <w:tc>
          <w:tcPr>
            <w:tcW w:w="654" w:type="pct"/>
            <w:tcBorders>
              <w:top w:val="single" w:color="auto" w:sz="4" w:space="0"/>
              <w:left w:val="single" w:color="auto" w:sz="4" w:space="0"/>
              <w:bottom w:val="single" w:color="auto" w:sz="4" w:space="0"/>
              <w:right w:val="single" w:color="auto" w:sz="4" w:space="0"/>
            </w:tcBorders>
            <w:vAlign w:val="center"/>
            <w:hideMark/>
          </w:tcPr>
          <w:p w:rsidRPr="00131E36" w:rsidR="00204082" w:rsidRDefault="00204082" w14:paraId="5588CABA" w14:textId="77777777">
            <w:pPr>
              <w:spacing w:line="256" w:lineRule="auto"/>
              <w:jc w:val="right"/>
              <w:rPr>
                <w:rFonts w:ascii="Times New Roman" w:hAnsi="Times New Roman" w:eastAsia="Calibri"/>
                <w:sz w:val="24"/>
                <w:szCs w:val="24"/>
              </w:rPr>
            </w:pPr>
            <w:r w:rsidRPr="00131E36">
              <w:rPr>
                <w:rFonts w:ascii="Times New Roman" w:hAnsi="Times New Roman" w:eastAsia="Calibri"/>
                <w:sz w:val="24"/>
                <w:szCs w:val="24"/>
              </w:rPr>
              <w:t>16 hrs.;</w:t>
            </w:r>
          </w:p>
          <w:p w:rsidRPr="00131E36" w:rsidR="00204082" w:rsidRDefault="00204082" w14:paraId="7BD619D5" w14:textId="77777777">
            <w:pPr>
              <w:spacing w:line="256" w:lineRule="auto"/>
              <w:jc w:val="right"/>
              <w:rPr>
                <w:rFonts w:ascii="Times New Roman" w:hAnsi="Times New Roman" w:eastAsia="Calibri"/>
                <w:sz w:val="24"/>
                <w:szCs w:val="24"/>
              </w:rPr>
            </w:pPr>
            <w:r w:rsidRPr="00131E36">
              <w:rPr>
                <w:rFonts w:ascii="Times New Roman" w:hAnsi="Times New Roman" w:eastAsia="Calibri"/>
                <w:sz w:val="24"/>
                <w:szCs w:val="24"/>
              </w:rPr>
              <w:t>$1,280</w:t>
            </w:r>
          </w:p>
        </w:tc>
        <w:tc>
          <w:tcPr>
            <w:tcW w:w="657" w:type="pct"/>
            <w:tcBorders>
              <w:top w:val="single" w:color="auto" w:sz="4" w:space="0"/>
              <w:left w:val="single" w:color="auto" w:sz="4" w:space="0"/>
              <w:bottom w:val="single" w:color="auto" w:sz="4" w:space="0"/>
              <w:right w:val="single" w:color="auto" w:sz="4" w:space="0"/>
            </w:tcBorders>
            <w:vAlign w:val="center"/>
            <w:hideMark/>
          </w:tcPr>
          <w:p w:rsidRPr="00187375" w:rsidR="00204082" w:rsidRDefault="00204082" w14:paraId="5FA9FF88" w14:textId="77777777">
            <w:pPr>
              <w:spacing w:line="256" w:lineRule="auto"/>
              <w:jc w:val="right"/>
              <w:rPr>
                <w:rFonts w:ascii="Times New Roman" w:hAnsi="Times New Roman" w:eastAsia="Calibri"/>
                <w:sz w:val="24"/>
                <w:szCs w:val="24"/>
              </w:rPr>
            </w:pPr>
            <w:r w:rsidRPr="00187375">
              <w:rPr>
                <w:rFonts w:ascii="Times New Roman" w:hAnsi="Times New Roman" w:eastAsia="Calibri"/>
                <w:sz w:val="24"/>
                <w:szCs w:val="24"/>
              </w:rPr>
              <w:t>32 hrs.;</w:t>
            </w:r>
          </w:p>
          <w:p w:rsidRPr="00187375" w:rsidR="00204082" w:rsidRDefault="00204082" w14:paraId="17BCE7B0" w14:textId="77777777">
            <w:pPr>
              <w:spacing w:line="256" w:lineRule="auto"/>
              <w:jc w:val="right"/>
              <w:rPr>
                <w:rFonts w:ascii="Times New Roman" w:hAnsi="Times New Roman" w:eastAsia="Calibri"/>
                <w:sz w:val="24"/>
                <w:szCs w:val="24"/>
              </w:rPr>
            </w:pPr>
            <w:r w:rsidRPr="00187375">
              <w:rPr>
                <w:rFonts w:ascii="Times New Roman" w:hAnsi="Times New Roman" w:eastAsia="Calibri"/>
                <w:sz w:val="24"/>
                <w:szCs w:val="24"/>
              </w:rPr>
              <w:t>$2,560</w:t>
            </w:r>
          </w:p>
        </w:tc>
        <w:tc>
          <w:tcPr>
            <w:tcW w:w="617" w:type="pct"/>
            <w:tcBorders>
              <w:top w:val="single" w:color="auto" w:sz="4" w:space="0"/>
              <w:left w:val="single" w:color="auto" w:sz="4" w:space="0"/>
              <w:bottom w:val="single" w:color="auto" w:sz="4" w:space="0"/>
              <w:right w:val="single" w:color="auto" w:sz="4" w:space="0"/>
            </w:tcBorders>
            <w:vAlign w:val="center"/>
            <w:hideMark/>
          </w:tcPr>
          <w:p w:rsidRPr="00187375" w:rsidR="00204082" w:rsidRDefault="00204082" w14:paraId="45111843" w14:textId="77777777">
            <w:pPr>
              <w:spacing w:line="256" w:lineRule="auto"/>
              <w:jc w:val="right"/>
              <w:rPr>
                <w:rFonts w:ascii="Times New Roman" w:hAnsi="Times New Roman" w:eastAsia="Calibri"/>
                <w:sz w:val="24"/>
                <w:szCs w:val="24"/>
              </w:rPr>
            </w:pPr>
            <w:r w:rsidRPr="00187375">
              <w:rPr>
                <w:rFonts w:ascii="Times New Roman" w:hAnsi="Times New Roman" w:eastAsia="Calibri"/>
                <w:sz w:val="24"/>
                <w:szCs w:val="24"/>
              </w:rPr>
              <w:t>$1,280</w:t>
            </w:r>
          </w:p>
        </w:tc>
      </w:tr>
      <w:tr w:rsidR="00204082" w:rsidTr="00E62766" w14:paraId="7637AD20" w14:textId="77777777">
        <w:trPr>
          <w:cantSplit/>
        </w:trPr>
        <w:tc>
          <w:tcPr>
            <w:tcW w:w="842" w:type="pct"/>
            <w:tcBorders>
              <w:top w:val="single" w:color="auto" w:sz="4" w:space="0"/>
              <w:left w:val="single" w:color="auto" w:sz="4" w:space="0"/>
              <w:bottom w:val="single" w:color="auto" w:sz="4" w:space="0"/>
              <w:right w:val="single" w:color="auto" w:sz="4" w:space="0"/>
            </w:tcBorders>
            <w:hideMark/>
          </w:tcPr>
          <w:p w:rsidRPr="006D3CB5" w:rsidR="00204082" w:rsidRDefault="00204082" w14:paraId="1BFB4462" w14:textId="77777777">
            <w:pPr>
              <w:spacing w:line="256" w:lineRule="auto"/>
              <w:rPr>
                <w:rFonts w:ascii="Times New Roman" w:hAnsi="Times New Roman" w:eastAsia="Calibri"/>
                <w:sz w:val="24"/>
                <w:szCs w:val="24"/>
              </w:rPr>
            </w:pPr>
            <w:r w:rsidRPr="006D3CB5">
              <w:rPr>
                <w:rFonts w:ascii="Times New Roman" w:hAnsi="Times New Roman" w:eastAsia="Calibri"/>
                <w:sz w:val="24"/>
                <w:szCs w:val="24"/>
              </w:rPr>
              <w:lastRenderedPageBreak/>
              <w:t>GOs provide documentation and data to the planning coordinator</w:t>
            </w:r>
          </w:p>
        </w:tc>
        <w:tc>
          <w:tcPr>
            <w:tcW w:w="719" w:type="pct"/>
            <w:tcBorders>
              <w:top w:val="single" w:color="auto" w:sz="4" w:space="0"/>
              <w:left w:val="single" w:color="auto" w:sz="4" w:space="0"/>
              <w:bottom w:val="single" w:color="auto" w:sz="4" w:space="0"/>
              <w:right w:val="single" w:color="auto" w:sz="4" w:space="0"/>
            </w:tcBorders>
            <w:vAlign w:val="center"/>
            <w:hideMark/>
          </w:tcPr>
          <w:p w:rsidRPr="006D3CB5" w:rsidR="00204082" w:rsidP="006D3CB5" w:rsidRDefault="00204082" w14:paraId="117B19A1" w14:textId="77777777">
            <w:pPr>
              <w:spacing w:line="256" w:lineRule="auto"/>
              <w:jc w:val="right"/>
              <w:rPr>
                <w:rFonts w:ascii="Times New Roman" w:hAnsi="Times New Roman" w:eastAsia="Calibri"/>
                <w:sz w:val="24"/>
                <w:szCs w:val="24"/>
              </w:rPr>
            </w:pPr>
            <w:r w:rsidRPr="006D3CB5">
              <w:rPr>
                <w:rFonts w:ascii="Times New Roman" w:hAnsi="Times New Roman" w:eastAsia="Calibri"/>
                <w:sz w:val="24"/>
                <w:szCs w:val="24"/>
              </w:rPr>
              <w:t>125</w:t>
            </w:r>
          </w:p>
        </w:tc>
        <w:tc>
          <w:tcPr>
            <w:tcW w:w="808" w:type="pct"/>
            <w:tcBorders>
              <w:top w:val="single" w:color="auto" w:sz="4" w:space="0"/>
              <w:left w:val="single" w:color="auto" w:sz="4" w:space="0"/>
              <w:bottom w:val="single" w:color="auto" w:sz="4" w:space="0"/>
              <w:right w:val="single" w:color="auto" w:sz="4" w:space="0"/>
            </w:tcBorders>
            <w:vAlign w:val="center"/>
            <w:hideMark/>
          </w:tcPr>
          <w:p w:rsidRPr="006D3CB5" w:rsidR="00204082" w:rsidP="006D3CB5" w:rsidRDefault="00204082" w14:paraId="3A92E78B" w14:textId="77777777">
            <w:pPr>
              <w:spacing w:line="256" w:lineRule="auto"/>
              <w:jc w:val="right"/>
              <w:rPr>
                <w:rFonts w:ascii="Times New Roman" w:hAnsi="Times New Roman" w:eastAsia="Calibri"/>
                <w:sz w:val="24"/>
                <w:szCs w:val="24"/>
              </w:rPr>
            </w:pPr>
            <w:r w:rsidRPr="006D3CB5">
              <w:rPr>
                <w:rFonts w:ascii="Times New Roman" w:hAnsi="Times New Roman" w:eastAsia="Calibri"/>
                <w:sz w:val="24"/>
                <w:szCs w:val="24"/>
              </w:rPr>
              <w:t>1</w:t>
            </w:r>
          </w:p>
        </w:tc>
        <w:tc>
          <w:tcPr>
            <w:tcW w:w="703" w:type="pct"/>
            <w:tcBorders>
              <w:top w:val="single" w:color="auto" w:sz="4" w:space="0"/>
              <w:left w:val="single" w:color="auto" w:sz="4" w:space="0"/>
              <w:bottom w:val="single" w:color="auto" w:sz="4" w:space="0"/>
              <w:right w:val="single" w:color="auto" w:sz="4" w:space="0"/>
            </w:tcBorders>
            <w:vAlign w:val="center"/>
            <w:hideMark/>
          </w:tcPr>
          <w:p w:rsidRPr="001E7B76" w:rsidR="00204082" w:rsidRDefault="00204082" w14:paraId="30C97FDC" w14:textId="77777777">
            <w:pPr>
              <w:spacing w:line="256" w:lineRule="auto"/>
              <w:jc w:val="right"/>
              <w:rPr>
                <w:rFonts w:ascii="Times New Roman" w:hAnsi="Times New Roman" w:eastAsia="Calibri"/>
                <w:sz w:val="24"/>
                <w:szCs w:val="24"/>
              </w:rPr>
            </w:pPr>
            <w:r w:rsidRPr="001E7B76">
              <w:rPr>
                <w:rFonts w:ascii="Times New Roman" w:hAnsi="Times New Roman" w:eastAsia="Calibri"/>
                <w:sz w:val="24"/>
                <w:szCs w:val="24"/>
              </w:rPr>
              <w:t>125</w:t>
            </w:r>
          </w:p>
        </w:tc>
        <w:tc>
          <w:tcPr>
            <w:tcW w:w="654" w:type="pct"/>
            <w:tcBorders>
              <w:top w:val="single" w:color="auto" w:sz="4" w:space="0"/>
              <w:left w:val="single" w:color="auto" w:sz="4" w:space="0"/>
              <w:bottom w:val="single" w:color="auto" w:sz="4" w:space="0"/>
              <w:right w:val="single" w:color="auto" w:sz="4" w:space="0"/>
            </w:tcBorders>
            <w:vAlign w:val="center"/>
            <w:hideMark/>
          </w:tcPr>
          <w:p w:rsidRPr="0041178A" w:rsidR="00204082" w:rsidRDefault="00204082" w14:paraId="3D3AF5E3" w14:textId="77777777">
            <w:pPr>
              <w:spacing w:line="256" w:lineRule="auto"/>
              <w:jc w:val="right"/>
              <w:rPr>
                <w:rFonts w:ascii="Times New Roman" w:hAnsi="Times New Roman" w:eastAsia="Calibri"/>
                <w:sz w:val="24"/>
                <w:szCs w:val="24"/>
              </w:rPr>
            </w:pPr>
            <w:r w:rsidRPr="0041178A">
              <w:rPr>
                <w:rFonts w:ascii="Times New Roman" w:hAnsi="Times New Roman" w:eastAsia="Calibri"/>
                <w:sz w:val="24"/>
                <w:szCs w:val="24"/>
              </w:rPr>
              <w:t>16 hrs.;</w:t>
            </w:r>
          </w:p>
          <w:p w:rsidRPr="00131E36" w:rsidR="00204082" w:rsidRDefault="00204082" w14:paraId="19F7CC93" w14:textId="77777777">
            <w:pPr>
              <w:spacing w:line="256" w:lineRule="auto"/>
              <w:jc w:val="right"/>
              <w:rPr>
                <w:rFonts w:ascii="Times New Roman" w:hAnsi="Times New Roman" w:eastAsia="Calibri"/>
                <w:sz w:val="24"/>
                <w:szCs w:val="24"/>
              </w:rPr>
            </w:pPr>
            <w:r w:rsidRPr="00131E36">
              <w:rPr>
                <w:rFonts w:ascii="Times New Roman" w:hAnsi="Times New Roman" w:eastAsia="Calibri"/>
                <w:sz w:val="24"/>
                <w:szCs w:val="24"/>
              </w:rPr>
              <w:t>$1,280</w:t>
            </w:r>
          </w:p>
        </w:tc>
        <w:tc>
          <w:tcPr>
            <w:tcW w:w="657" w:type="pct"/>
            <w:tcBorders>
              <w:top w:val="single" w:color="auto" w:sz="4" w:space="0"/>
              <w:left w:val="single" w:color="auto" w:sz="4" w:space="0"/>
              <w:bottom w:val="single" w:color="auto" w:sz="4" w:space="0"/>
              <w:right w:val="single" w:color="auto" w:sz="4" w:space="0"/>
            </w:tcBorders>
            <w:vAlign w:val="center"/>
            <w:hideMark/>
          </w:tcPr>
          <w:p w:rsidRPr="00131E36" w:rsidR="00204082" w:rsidRDefault="00204082" w14:paraId="526FE557" w14:textId="77777777">
            <w:pPr>
              <w:spacing w:line="256" w:lineRule="auto"/>
              <w:jc w:val="right"/>
              <w:rPr>
                <w:rFonts w:ascii="Times New Roman" w:hAnsi="Times New Roman" w:eastAsia="Calibri"/>
                <w:sz w:val="24"/>
                <w:szCs w:val="24"/>
              </w:rPr>
            </w:pPr>
            <w:r w:rsidRPr="00131E36">
              <w:rPr>
                <w:rFonts w:ascii="Times New Roman" w:hAnsi="Times New Roman" w:eastAsia="Calibri"/>
                <w:sz w:val="24"/>
                <w:szCs w:val="24"/>
              </w:rPr>
              <w:t>2,000 hrs.;</w:t>
            </w:r>
          </w:p>
          <w:p w:rsidRPr="00187375" w:rsidR="00204082" w:rsidRDefault="00204082" w14:paraId="29BE0E74" w14:textId="77777777">
            <w:pPr>
              <w:spacing w:line="256" w:lineRule="auto"/>
              <w:jc w:val="right"/>
              <w:rPr>
                <w:rFonts w:ascii="Times New Roman" w:hAnsi="Times New Roman" w:eastAsia="Calibri"/>
                <w:sz w:val="24"/>
                <w:szCs w:val="24"/>
              </w:rPr>
            </w:pPr>
            <w:r w:rsidRPr="00187375">
              <w:rPr>
                <w:rFonts w:ascii="Times New Roman" w:hAnsi="Times New Roman" w:eastAsia="Calibri"/>
                <w:sz w:val="24"/>
                <w:szCs w:val="24"/>
              </w:rPr>
              <w:t>$160,000</w:t>
            </w:r>
          </w:p>
        </w:tc>
        <w:tc>
          <w:tcPr>
            <w:tcW w:w="617" w:type="pct"/>
            <w:tcBorders>
              <w:top w:val="single" w:color="auto" w:sz="4" w:space="0"/>
              <w:left w:val="single" w:color="auto" w:sz="4" w:space="0"/>
              <w:bottom w:val="single" w:color="auto" w:sz="4" w:space="0"/>
              <w:right w:val="single" w:color="auto" w:sz="4" w:space="0"/>
            </w:tcBorders>
            <w:vAlign w:val="center"/>
            <w:hideMark/>
          </w:tcPr>
          <w:p w:rsidRPr="00187375" w:rsidR="00204082" w:rsidRDefault="00204082" w14:paraId="7B3D356E" w14:textId="77777777">
            <w:pPr>
              <w:spacing w:line="256" w:lineRule="auto"/>
              <w:jc w:val="right"/>
              <w:rPr>
                <w:rFonts w:ascii="Times New Roman" w:hAnsi="Times New Roman" w:eastAsia="Calibri"/>
                <w:sz w:val="24"/>
                <w:szCs w:val="24"/>
              </w:rPr>
            </w:pPr>
            <w:r w:rsidRPr="00187375">
              <w:rPr>
                <w:rFonts w:ascii="Times New Roman" w:hAnsi="Times New Roman" w:eastAsia="Calibri"/>
                <w:sz w:val="24"/>
                <w:szCs w:val="24"/>
              </w:rPr>
              <w:t>$1,280</w:t>
            </w:r>
          </w:p>
        </w:tc>
      </w:tr>
      <w:tr w:rsidR="00204082" w:rsidTr="00E62766" w14:paraId="13975A3A" w14:textId="77777777">
        <w:trPr>
          <w:cantSplit/>
        </w:trPr>
        <w:tc>
          <w:tcPr>
            <w:tcW w:w="842" w:type="pct"/>
            <w:tcBorders>
              <w:top w:val="single" w:color="auto" w:sz="4" w:space="0"/>
              <w:left w:val="single" w:color="auto" w:sz="4" w:space="0"/>
              <w:bottom w:val="single" w:color="auto" w:sz="4" w:space="0"/>
              <w:right w:val="single" w:color="auto" w:sz="4" w:space="0"/>
            </w:tcBorders>
            <w:hideMark/>
          </w:tcPr>
          <w:p w:rsidRPr="006D3CB5" w:rsidR="00204082" w:rsidRDefault="00204082" w14:paraId="50F9A1AE" w14:textId="77777777">
            <w:pPr>
              <w:spacing w:line="256" w:lineRule="auto"/>
              <w:rPr>
                <w:rFonts w:ascii="Times New Roman" w:hAnsi="Times New Roman" w:eastAsia="Calibri"/>
                <w:sz w:val="24"/>
                <w:szCs w:val="24"/>
              </w:rPr>
            </w:pPr>
            <w:r w:rsidRPr="006D3CB5">
              <w:rPr>
                <w:rFonts w:ascii="Times New Roman" w:hAnsi="Times New Roman" w:eastAsia="Calibri"/>
                <w:sz w:val="24"/>
                <w:szCs w:val="24"/>
              </w:rPr>
              <w:t>GOs: record retention</w:t>
            </w:r>
          </w:p>
        </w:tc>
        <w:tc>
          <w:tcPr>
            <w:tcW w:w="719" w:type="pct"/>
            <w:tcBorders>
              <w:top w:val="single" w:color="auto" w:sz="4" w:space="0"/>
              <w:left w:val="single" w:color="auto" w:sz="4" w:space="0"/>
              <w:bottom w:val="single" w:color="auto" w:sz="4" w:space="0"/>
              <w:right w:val="single" w:color="auto" w:sz="4" w:space="0"/>
            </w:tcBorders>
            <w:vAlign w:val="center"/>
            <w:hideMark/>
          </w:tcPr>
          <w:p w:rsidRPr="006D3CB5" w:rsidR="00204082" w:rsidP="006D3CB5" w:rsidRDefault="00204082" w14:paraId="13BC7032" w14:textId="77777777">
            <w:pPr>
              <w:spacing w:line="256" w:lineRule="auto"/>
              <w:jc w:val="right"/>
              <w:rPr>
                <w:rFonts w:ascii="Times New Roman" w:hAnsi="Times New Roman" w:eastAsia="Calibri"/>
                <w:sz w:val="24"/>
                <w:szCs w:val="24"/>
              </w:rPr>
            </w:pPr>
            <w:r w:rsidRPr="006D3CB5">
              <w:rPr>
                <w:rFonts w:ascii="Times New Roman" w:hAnsi="Times New Roman" w:eastAsia="Calibri"/>
                <w:sz w:val="24"/>
                <w:szCs w:val="24"/>
              </w:rPr>
              <w:t>125</w:t>
            </w:r>
          </w:p>
        </w:tc>
        <w:tc>
          <w:tcPr>
            <w:tcW w:w="808" w:type="pct"/>
            <w:tcBorders>
              <w:top w:val="single" w:color="auto" w:sz="4" w:space="0"/>
              <w:left w:val="single" w:color="auto" w:sz="4" w:space="0"/>
              <w:bottom w:val="single" w:color="auto" w:sz="4" w:space="0"/>
              <w:right w:val="single" w:color="auto" w:sz="4" w:space="0"/>
            </w:tcBorders>
            <w:vAlign w:val="center"/>
            <w:hideMark/>
          </w:tcPr>
          <w:p w:rsidRPr="006D3CB5" w:rsidR="00204082" w:rsidP="006D3CB5" w:rsidRDefault="00204082" w14:paraId="3F28FBCA" w14:textId="77777777">
            <w:pPr>
              <w:spacing w:line="256" w:lineRule="auto"/>
              <w:jc w:val="right"/>
              <w:rPr>
                <w:rFonts w:ascii="Times New Roman" w:hAnsi="Times New Roman" w:eastAsia="Calibri"/>
                <w:sz w:val="24"/>
                <w:szCs w:val="24"/>
              </w:rPr>
            </w:pPr>
            <w:r w:rsidRPr="006D3CB5">
              <w:rPr>
                <w:rFonts w:ascii="Times New Roman" w:hAnsi="Times New Roman" w:eastAsia="Calibri"/>
                <w:sz w:val="24"/>
                <w:szCs w:val="24"/>
              </w:rPr>
              <w:t>1</w:t>
            </w:r>
          </w:p>
        </w:tc>
        <w:tc>
          <w:tcPr>
            <w:tcW w:w="703" w:type="pct"/>
            <w:tcBorders>
              <w:top w:val="single" w:color="auto" w:sz="4" w:space="0"/>
              <w:left w:val="single" w:color="auto" w:sz="4" w:space="0"/>
              <w:bottom w:val="single" w:color="auto" w:sz="4" w:space="0"/>
              <w:right w:val="single" w:color="auto" w:sz="4" w:space="0"/>
            </w:tcBorders>
            <w:vAlign w:val="center"/>
            <w:hideMark/>
          </w:tcPr>
          <w:p w:rsidRPr="001E7B76" w:rsidR="00204082" w:rsidRDefault="00204082" w14:paraId="2250551E" w14:textId="77777777">
            <w:pPr>
              <w:spacing w:line="256" w:lineRule="auto"/>
              <w:jc w:val="right"/>
              <w:rPr>
                <w:rFonts w:ascii="Times New Roman" w:hAnsi="Times New Roman" w:eastAsia="Calibri"/>
                <w:sz w:val="24"/>
                <w:szCs w:val="24"/>
              </w:rPr>
            </w:pPr>
            <w:r w:rsidRPr="001E7B76">
              <w:rPr>
                <w:rFonts w:ascii="Times New Roman" w:hAnsi="Times New Roman" w:eastAsia="Calibri"/>
                <w:sz w:val="24"/>
                <w:szCs w:val="24"/>
              </w:rPr>
              <w:t>125</w:t>
            </w:r>
          </w:p>
        </w:tc>
        <w:tc>
          <w:tcPr>
            <w:tcW w:w="654" w:type="pct"/>
            <w:tcBorders>
              <w:top w:val="single" w:color="auto" w:sz="4" w:space="0"/>
              <w:left w:val="single" w:color="auto" w:sz="4" w:space="0"/>
              <w:bottom w:val="single" w:color="auto" w:sz="4" w:space="0"/>
              <w:right w:val="single" w:color="auto" w:sz="4" w:space="0"/>
            </w:tcBorders>
            <w:vAlign w:val="center"/>
            <w:hideMark/>
          </w:tcPr>
          <w:p w:rsidRPr="0041178A" w:rsidR="00204082" w:rsidRDefault="00204082" w14:paraId="7EDE267A" w14:textId="77777777">
            <w:pPr>
              <w:spacing w:line="256" w:lineRule="auto"/>
              <w:jc w:val="right"/>
              <w:rPr>
                <w:rFonts w:ascii="Times New Roman" w:hAnsi="Times New Roman" w:eastAsia="Calibri"/>
                <w:sz w:val="24"/>
                <w:szCs w:val="24"/>
              </w:rPr>
            </w:pPr>
            <w:r w:rsidRPr="0041178A">
              <w:rPr>
                <w:rFonts w:ascii="Times New Roman" w:hAnsi="Times New Roman" w:eastAsia="Calibri"/>
                <w:sz w:val="24"/>
                <w:szCs w:val="24"/>
              </w:rPr>
              <w:t>4 hrs.;</w:t>
            </w:r>
          </w:p>
          <w:p w:rsidRPr="00131E36" w:rsidR="00204082" w:rsidRDefault="00204082" w14:paraId="2B771A92" w14:textId="77777777">
            <w:pPr>
              <w:spacing w:line="256" w:lineRule="auto"/>
              <w:jc w:val="right"/>
              <w:rPr>
                <w:rFonts w:ascii="Times New Roman" w:hAnsi="Times New Roman" w:eastAsia="Calibri"/>
                <w:sz w:val="24"/>
                <w:szCs w:val="24"/>
              </w:rPr>
            </w:pPr>
            <w:r w:rsidRPr="00131E36">
              <w:rPr>
                <w:rFonts w:ascii="Times New Roman" w:hAnsi="Times New Roman" w:eastAsia="Calibri"/>
                <w:sz w:val="24"/>
                <w:szCs w:val="24"/>
              </w:rPr>
              <w:t>$320</w:t>
            </w:r>
          </w:p>
        </w:tc>
        <w:tc>
          <w:tcPr>
            <w:tcW w:w="657" w:type="pct"/>
            <w:tcBorders>
              <w:top w:val="single" w:color="auto" w:sz="4" w:space="0"/>
              <w:left w:val="single" w:color="auto" w:sz="4" w:space="0"/>
              <w:bottom w:val="single" w:color="auto" w:sz="4" w:space="0"/>
              <w:right w:val="single" w:color="auto" w:sz="4" w:space="0"/>
            </w:tcBorders>
            <w:vAlign w:val="center"/>
            <w:hideMark/>
          </w:tcPr>
          <w:p w:rsidRPr="00131E36" w:rsidR="00204082" w:rsidRDefault="00204082" w14:paraId="13431D72" w14:textId="77777777">
            <w:pPr>
              <w:spacing w:line="256" w:lineRule="auto"/>
              <w:jc w:val="right"/>
              <w:rPr>
                <w:rFonts w:ascii="Times New Roman" w:hAnsi="Times New Roman" w:eastAsia="Calibri"/>
                <w:sz w:val="24"/>
                <w:szCs w:val="24"/>
              </w:rPr>
            </w:pPr>
            <w:r w:rsidRPr="00131E36">
              <w:rPr>
                <w:rFonts w:ascii="Times New Roman" w:hAnsi="Times New Roman" w:eastAsia="Calibri"/>
                <w:sz w:val="24"/>
                <w:szCs w:val="24"/>
              </w:rPr>
              <w:t>500 hrs.;</w:t>
            </w:r>
          </w:p>
          <w:p w:rsidRPr="00187375" w:rsidR="00204082" w:rsidRDefault="00204082" w14:paraId="10CD600E" w14:textId="77777777">
            <w:pPr>
              <w:spacing w:line="256" w:lineRule="auto"/>
              <w:jc w:val="right"/>
              <w:rPr>
                <w:rFonts w:ascii="Times New Roman" w:hAnsi="Times New Roman" w:eastAsia="Calibri"/>
                <w:sz w:val="24"/>
                <w:szCs w:val="24"/>
              </w:rPr>
            </w:pPr>
            <w:r w:rsidRPr="00187375">
              <w:rPr>
                <w:rFonts w:ascii="Times New Roman" w:hAnsi="Times New Roman" w:eastAsia="Calibri"/>
                <w:sz w:val="24"/>
                <w:szCs w:val="24"/>
              </w:rPr>
              <w:t>$40,000</w:t>
            </w:r>
          </w:p>
        </w:tc>
        <w:tc>
          <w:tcPr>
            <w:tcW w:w="617" w:type="pct"/>
            <w:tcBorders>
              <w:top w:val="single" w:color="auto" w:sz="4" w:space="0"/>
              <w:left w:val="single" w:color="auto" w:sz="4" w:space="0"/>
              <w:bottom w:val="single" w:color="auto" w:sz="4" w:space="0"/>
              <w:right w:val="single" w:color="auto" w:sz="4" w:space="0"/>
            </w:tcBorders>
            <w:vAlign w:val="center"/>
            <w:hideMark/>
          </w:tcPr>
          <w:p w:rsidRPr="00187375" w:rsidR="00204082" w:rsidRDefault="00204082" w14:paraId="31EAB10F" w14:textId="77777777">
            <w:pPr>
              <w:spacing w:line="256" w:lineRule="auto"/>
              <w:jc w:val="right"/>
              <w:rPr>
                <w:rFonts w:ascii="Times New Roman" w:hAnsi="Times New Roman" w:eastAsia="Calibri"/>
                <w:sz w:val="24"/>
                <w:szCs w:val="24"/>
              </w:rPr>
            </w:pPr>
            <w:r w:rsidRPr="00187375">
              <w:rPr>
                <w:rFonts w:ascii="Times New Roman" w:hAnsi="Times New Roman" w:eastAsia="Calibri"/>
                <w:sz w:val="24"/>
                <w:szCs w:val="24"/>
              </w:rPr>
              <w:t>$320</w:t>
            </w:r>
          </w:p>
        </w:tc>
      </w:tr>
      <w:tr w:rsidR="00204082" w:rsidTr="00E62766" w14:paraId="31DE0384" w14:textId="77777777">
        <w:trPr>
          <w:cantSplit/>
          <w:trHeight w:val="485"/>
        </w:trPr>
        <w:tc>
          <w:tcPr>
            <w:tcW w:w="842" w:type="pct"/>
            <w:tcBorders>
              <w:top w:val="single" w:color="auto" w:sz="4" w:space="0"/>
              <w:left w:val="single" w:color="auto" w:sz="4" w:space="0"/>
              <w:bottom w:val="single" w:color="auto" w:sz="4" w:space="0"/>
              <w:right w:val="single" w:color="auto" w:sz="4" w:space="0"/>
            </w:tcBorders>
            <w:hideMark/>
          </w:tcPr>
          <w:p w:rsidRPr="006D3CB5" w:rsidR="00204082" w:rsidRDefault="00204082" w14:paraId="306D2B61" w14:textId="77777777">
            <w:pPr>
              <w:spacing w:line="256" w:lineRule="auto"/>
              <w:rPr>
                <w:rFonts w:ascii="Times New Roman" w:hAnsi="Times New Roman" w:eastAsia="Calibri"/>
                <w:b/>
                <w:sz w:val="24"/>
                <w:szCs w:val="24"/>
              </w:rPr>
            </w:pPr>
            <w:r w:rsidRPr="006D3CB5">
              <w:rPr>
                <w:rFonts w:ascii="Times New Roman" w:hAnsi="Times New Roman" w:eastAsia="Calibri"/>
                <w:b/>
                <w:sz w:val="24"/>
                <w:szCs w:val="24"/>
              </w:rPr>
              <w:t>TOTAL</w:t>
            </w:r>
          </w:p>
        </w:tc>
        <w:tc>
          <w:tcPr>
            <w:tcW w:w="1527" w:type="pct"/>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6D3CB5" w:rsidR="00204082" w:rsidP="006D3CB5" w:rsidRDefault="00204082" w14:paraId="6725E694" w14:textId="77777777">
            <w:pPr>
              <w:spacing w:line="256" w:lineRule="auto"/>
              <w:jc w:val="right"/>
              <w:rPr>
                <w:rFonts w:ascii="Times New Roman" w:hAnsi="Times New Roman" w:eastAsia="Calibri"/>
                <w:sz w:val="24"/>
                <w:szCs w:val="24"/>
              </w:rPr>
            </w:pPr>
          </w:p>
        </w:tc>
        <w:tc>
          <w:tcPr>
            <w:tcW w:w="703" w:type="pct"/>
            <w:tcBorders>
              <w:top w:val="single" w:color="auto" w:sz="4" w:space="0"/>
              <w:left w:val="single" w:color="auto" w:sz="4" w:space="0"/>
              <w:bottom w:val="single" w:color="auto" w:sz="4" w:space="0"/>
              <w:right w:val="single" w:color="auto" w:sz="4" w:space="0"/>
            </w:tcBorders>
            <w:vAlign w:val="center"/>
            <w:hideMark/>
          </w:tcPr>
          <w:p w:rsidRPr="006D3CB5" w:rsidR="00204082" w:rsidP="006D3CB5" w:rsidRDefault="00204082" w14:paraId="340B9A67" w14:textId="77777777">
            <w:pPr>
              <w:spacing w:line="256" w:lineRule="auto"/>
              <w:jc w:val="right"/>
              <w:rPr>
                <w:rFonts w:ascii="Times New Roman" w:hAnsi="Times New Roman" w:eastAsia="Calibri"/>
                <w:b/>
                <w:sz w:val="24"/>
                <w:szCs w:val="24"/>
              </w:rPr>
            </w:pPr>
            <w:r w:rsidRPr="006D3CB5">
              <w:rPr>
                <w:rFonts w:ascii="Times New Roman" w:hAnsi="Times New Roman" w:eastAsia="Calibri"/>
                <w:b/>
                <w:sz w:val="24"/>
                <w:szCs w:val="24"/>
              </w:rPr>
              <w:t>254</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center"/>
          </w:tcPr>
          <w:p w:rsidRPr="001E7B76" w:rsidR="00204082" w:rsidRDefault="00204082" w14:paraId="3C2F24B4" w14:textId="77777777">
            <w:pPr>
              <w:spacing w:line="256" w:lineRule="auto"/>
              <w:jc w:val="right"/>
              <w:rPr>
                <w:rFonts w:ascii="Times New Roman" w:hAnsi="Times New Roman" w:eastAsia="Calibri"/>
                <w:sz w:val="24"/>
                <w:szCs w:val="24"/>
              </w:rPr>
            </w:pPr>
          </w:p>
        </w:tc>
        <w:tc>
          <w:tcPr>
            <w:tcW w:w="657" w:type="pct"/>
            <w:tcBorders>
              <w:top w:val="single" w:color="auto" w:sz="4" w:space="0"/>
              <w:left w:val="single" w:color="auto" w:sz="4" w:space="0"/>
              <w:bottom w:val="single" w:color="auto" w:sz="4" w:space="0"/>
              <w:right w:val="single" w:color="auto" w:sz="4" w:space="0"/>
            </w:tcBorders>
            <w:vAlign w:val="center"/>
            <w:hideMark/>
          </w:tcPr>
          <w:p w:rsidRPr="0041178A" w:rsidR="00204082" w:rsidRDefault="00204082" w14:paraId="779FEB93" w14:textId="77777777">
            <w:pPr>
              <w:spacing w:line="256" w:lineRule="auto"/>
              <w:jc w:val="right"/>
              <w:rPr>
                <w:rFonts w:ascii="Times New Roman" w:hAnsi="Times New Roman" w:eastAsia="Calibri"/>
                <w:b/>
                <w:sz w:val="24"/>
                <w:szCs w:val="24"/>
              </w:rPr>
            </w:pPr>
            <w:r w:rsidRPr="0041178A">
              <w:rPr>
                <w:rFonts w:ascii="Times New Roman" w:hAnsi="Times New Roman" w:eastAsia="Calibri"/>
                <w:b/>
                <w:sz w:val="24"/>
                <w:szCs w:val="24"/>
              </w:rPr>
              <w:t>2,548 hrs.;</w:t>
            </w:r>
          </w:p>
          <w:p w:rsidRPr="00131E36" w:rsidR="00204082" w:rsidRDefault="00204082" w14:paraId="4D1D4C9B" w14:textId="77777777">
            <w:pPr>
              <w:spacing w:line="256" w:lineRule="auto"/>
              <w:jc w:val="right"/>
              <w:rPr>
                <w:rFonts w:ascii="Times New Roman" w:hAnsi="Times New Roman" w:eastAsia="Calibri"/>
                <w:b/>
                <w:sz w:val="24"/>
                <w:szCs w:val="24"/>
              </w:rPr>
            </w:pPr>
            <w:r w:rsidRPr="00131E36">
              <w:rPr>
                <w:rFonts w:ascii="Times New Roman" w:hAnsi="Times New Roman" w:eastAsia="Calibri"/>
                <w:b/>
                <w:sz w:val="24"/>
                <w:szCs w:val="24"/>
              </w:rPr>
              <w:t>$203,840</w:t>
            </w:r>
          </w:p>
        </w:tc>
        <w:tc>
          <w:tcPr>
            <w:tcW w:w="617" w:type="pct"/>
            <w:tcBorders>
              <w:top w:val="single" w:color="auto" w:sz="4" w:space="0"/>
              <w:left w:val="single" w:color="auto" w:sz="4" w:space="0"/>
              <w:bottom w:val="single" w:color="auto" w:sz="4" w:space="0"/>
              <w:right w:val="single" w:color="auto" w:sz="4" w:space="0"/>
            </w:tcBorders>
            <w:shd w:val="clear" w:color="auto" w:fill="D9D9D9"/>
            <w:vAlign w:val="center"/>
          </w:tcPr>
          <w:p w:rsidRPr="00131E36" w:rsidR="00204082" w:rsidRDefault="00204082" w14:paraId="7810A6DA" w14:textId="77777777">
            <w:pPr>
              <w:spacing w:line="256" w:lineRule="auto"/>
              <w:jc w:val="right"/>
              <w:rPr>
                <w:rFonts w:ascii="Times New Roman" w:hAnsi="Times New Roman" w:eastAsia="Calibri"/>
                <w:b/>
                <w:sz w:val="24"/>
                <w:szCs w:val="24"/>
              </w:rPr>
            </w:pPr>
          </w:p>
        </w:tc>
      </w:tr>
    </w:tbl>
    <w:p w:rsidRPr="00E04F78" w:rsidR="00204082" w:rsidP="00D56225" w:rsidRDefault="00204082" w14:paraId="5FF34018" w14:textId="77777777">
      <w:pPr>
        <w:pStyle w:val="ListParagraph"/>
        <w:spacing w:after="0" w:line="240" w:lineRule="auto"/>
        <w:ind w:left="0"/>
        <w:rPr>
          <w:rFonts w:eastAsia="Calibri"/>
          <w:b/>
        </w:rPr>
      </w:pPr>
    </w:p>
    <w:p w:rsidR="00E04F78" w:rsidP="00E04F78" w:rsidRDefault="00E04F78" w14:paraId="630DE893" w14:textId="27A02F03">
      <w:pPr>
        <w:spacing w:after="0" w:line="240" w:lineRule="auto"/>
        <w:rPr>
          <w:rFonts w:eastAsia="Calibri"/>
          <w:b/>
        </w:rPr>
      </w:pPr>
    </w:p>
    <w:p w:rsidRPr="00D772B7" w:rsidR="00D56225" w:rsidP="00D56225" w:rsidRDefault="00D56225" w14:paraId="2D019C22"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ESTIMATE OF THE TOTAL ANNUAL COST BURDEN TO RESPONDENTS</w:t>
      </w:r>
    </w:p>
    <w:p w:rsidRPr="00D772B7" w:rsidR="00D56225" w:rsidP="00D56225" w:rsidRDefault="00D56225" w14:paraId="31CF92A7" w14:textId="77777777">
      <w:pPr>
        <w:spacing w:after="0" w:line="240" w:lineRule="auto"/>
        <w:rPr>
          <w:rFonts w:ascii="Times New Roman" w:hAnsi="Times New Roman" w:cs="Times New Roman"/>
          <w:b/>
          <w:bCs/>
          <w:sz w:val="26"/>
          <w:szCs w:val="26"/>
        </w:rPr>
      </w:pPr>
    </w:p>
    <w:p w:rsidRPr="00D772B7" w:rsidR="00D56225" w:rsidP="00D56225" w:rsidRDefault="00D56225" w14:paraId="0339E365" w14:textId="77777777">
      <w:pPr>
        <w:pStyle w:val="LegalFormat"/>
        <w:tabs>
          <w:tab w:val="clear" w:pos="360"/>
        </w:tabs>
        <w:spacing w:after="0"/>
        <w:ind w:left="0"/>
      </w:pPr>
      <w:r w:rsidRPr="00D772B7">
        <w:t>There are no start-up or other non-labor costs associated with the information collection.</w:t>
      </w:r>
    </w:p>
    <w:p w:rsidRPr="00D772B7" w:rsidR="00D56225" w:rsidP="00D56225" w:rsidRDefault="00D56225" w14:paraId="5ED53B2F" w14:textId="77777777">
      <w:pPr>
        <w:spacing w:after="0" w:line="240" w:lineRule="auto"/>
        <w:rPr>
          <w:rFonts w:ascii="Times New Roman" w:hAnsi="Times New Roman" w:cs="Times New Roman"/>
          <w:sz w:val="26"/>
          <w:szCs w:val="26"/>
        </w:rPr>
      </w:pPr>
      <w:r w:rsidRPr="00D772B7">
        <w:rPr>
          <w:rFonts w:ascii="Times New Roman" w:hAnsi="Times New Roman" w:cs="Times New Roman"/>
          <w:sz w:val="26"/>
          <w:szCs w:val="26"/>
        </w:rPr>
        <w:t>All other costs are related to burden hours and are discussed in Question 12 and Question 15.</w:t>
      </w:r>
    </w:p>
    <w:p w:rsidR="00E04F78" w:rsidP="00E04F78" w:rsidRDefault="00E04F78" w14:paraId="4738573D" w14:textId="77777777">
      <w:pPr>
        <w:spacing w:after="0" w:line="240" w:lineRule="auto"/>
      </w:pPr>
    </w:p>
    <w:p w:rsidRPr="00E04F78" w:rsidR="007C66FC" w:rsidP="00E04F78" w:rsidRDefault="007C66FC" w14:paraId="32ED4BA2" w14:textId="77777777">
      <w:pPr>
        <w:spacing w:after="0" w:line="240" w:lineRule="auto"/>
        <w:rPr>
          <w:rFonts w:ascii="Times New Roman" w:hAnsi="Times New Roman"/>
          <w:sz w:val="24"/>
        </w:rPr>
      </w:pPr>
    </w:p>
    <w:p w:rsidRPr="00D772B7" w:rsidR="00C4205B" w:rsidP="00E04F78" w:rsidRDefault="00C4205B" w14:paraId="7E6F00DA" w14:textId="77777777">
      <w:pPr>
        <w:widowControl w:val="0"/>
        <w:numPr>
          <w:ilvl w:val="0"/>
          <w:numId w:val="6"/>
        </w:numPr>
        <w:tabs>
          <w:tab w:val="num" w:pos="108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ESTIMATED ANNUALIZED COST TO FEDERAL GOVERNMENT</w:t>
      </w:r>
    </w:p>
    <w:p w:rsidRPr="00D772B7" w:rsidR="00C4205B" w:rsidP="00D14071" w:rsidRDefault="00C4205B" w14:paraId="0380AC60" w14:textId="77777777">
      <w:pPr>
        <w:spacing w:line="240" w:lineRule="auto"/>
        <w:rPr>
          <w:rFonts w:ascii="Times New Roman" w:hAnsi="Times New Roman" w:cs="Times New Roman"/>
          <w:b/>
          <w:bCs/>
          <w:sz w:val="26"/>
          <w:szCs w:val="26"/>
        </w:rPr>
      </w:pPr>
    </w:p>
    <w:p w:rsidRPr="00D772B7" w:rsidR="007D29A0" w:rsidP="00D14071" w:rsidRDefault="0015640F" w14:paraId="5081F837" w14:textId="77777777">
      <w:pPr>
        <w:tabs>
          <w:tab w:val="left" w:pos="-1440"/>
        </w:tabs>
        <w:spacing w:line="240" w:lineRule="auto"/>
        <w:rPr>
          <w:rFonts w:ascii="Times New Roman" w:hAnsi="Times New Roman" w:cs="Times New Roman"/>
          <w:sz w:val="26"/>
          <w:szCs w:val="26"/>
        </w:rPr>
      </w:pPr>
      <w:r w:rsidRPr="00D772B7">
        <w:rPr>
          <w:rFonts w:ascii="Times New Roman" w:hAnsi="Times New Roman" w:cs="Times New Roman"/>
          <w:sz w:val="26"/>
          <w:szCs w:val="26"/>
        </w:rPr>
        <w:t xml:space="preserve">The Regional Entities and NERC do most of the data processing, monitoring and compliance work for Reliability Standards.  </w:t>
      </w:r>
      <w:r w:rsidRPr="00D772B7" w:rsidR="007D29A0">
        <w:rPr>
          <w:rFonts w:ascii="Times New Roman" w:hAnsi="Times New Roman" w:cs="Times New Roman"/>
          <w:sz w:val="26"/>
          <w:szCs w:val="26"/>
        </w:rPr>
        <w:t xml:space="preserve">(Those burdens are included in FERC-725, OMB Control No. 1902-0225.)  </w:t>
      </w:r>
    </w:p>
    <w:p w:rsidRPr="00D772B7" w:rsidR="0015640F" w:rsidP="00D14071" w:rsidRDefault="0015640F" w14:paraId="7A61980B" w14:textId="251C25EE">
      <w:pPr>
        <w:tabs>
          <w:tab w:val="left" w:pos="-1440"/>
        </w:tabs>
        <w:spacing w:line="240" w:lineRule="auto"/>
        <w:rPr>
          <w:rFonts w:ascii="Times New Roman" w:hAnsi="Times New Roman" w:cs="Times New Roman"/>
          <w:sz w:val="26"/>
          <w:szCs w:val="26"/>
        </w:rPr>
      </w:pPr>
      <w:r w:rsidRPr="00D772B7">
        <w:rPr>
          <w:rFonts w:ascii="Times New Roman" w:hAnsi="Times New Roman" w:cs="Times New Roman"/>
          <w:sz w:val="26"/>
          <w:szCs w:val="26"/>
        </w:rPr>
        <w:t xml:space="preserve">Any involvement by the Commission is covered under the FERC-725 collection (OMB Control No. 1902-0225) and is not part of this request or package.  </w:t>
      </w:r>
    </w:p>
    <w:p w:rsidRPr="00D772B7" w:rsidR="00C4205B" w:rsidP="00DE2323" w:rsidRDefault="0015640F" w14:paraId="1B46EEC1" w14:textId="42B74CF2">
      <w:pPr>
        <w:tabs>
          <w:tab w:val="left" w:pos="-1440"/>
        </w:tabs>
        <w:spacing w:line="240" w:lineRule="auto"/>
        <w:rPr>
          <w:rFonts w:ascii="Times New Roman" w:hAnsi="Times New Roman" w:cs="Times New Roman"/>
          <w:sz w:val="26"/>
          <w:szCs w:val="26"/>
        </w:rPr>
      </w:pPr>
      <w:r w:rsidRPr="00D772B7">
        <w:rPr>
          <w:rFonts w:ascii="Times New Roman" w:hAnsi="Times New Roman" w:cs="Times New Roman"/>
          <w:sz w:val="26"/>
          <w:szCs w:val="26"/>
        </w:rPr>
        <w:t>The Commission does incur the costs associated with obtaining OMB clearance under the Paperwork Reduction Act for this collection.  FERC estimates $</w:t>
      </w:r>
      <w:r w:rsidRPr="00D772B7" w:rsidR="0011429D">
        <w:rPr>
          <w:rFonts w:ascii="Times New Roman" w:hAnsi="Times New Roman" w:cs="Times New Roman"/>
          <w:sz w:val="26"/>
          <w:szCs w:val="26"/>
        </w:rPr>
        <w:t>4</w:t>
      </w:r>
      <w:r w:rsidRPr="00D772B7">
        <w:rPr>
          <w:rFonts w:ascii="Times New Roman" w:hAnsi="Times New Roman" w:cs="Times New Roman"/>
          <w:sz w:val="26"/>
          <w:szCs w:val="26"/>
        </w:rPr>
        <w:t>,</w:t>
      </w:r>
      <w:r w:rsidRPr="00D772B7" w:rsidR="0011429D">
        <w:rPr>
          <w:rFonts w:ascii="Times New Roman" w:hAnsi="Times New Roman" w:cs="Times New Roman"/>
          <w:sz w:val="26"/>
          <w:szCs w:val="26"/>
        </w:rPr>
        <w:t>832</w:t>
      </w:r>
      <w:r w:rsidRPr="00D772B7">
        <w:rPr>
          <w:rFonts w:ascii="Times New Roman" w:hAnsi="Times New Roman" w:cs="Times New Roman"/>
          <w:sz w:val="26"/>
          <w:szCs w:val="26"/>
        </w:rPr>
        <w:t xml:space="preserve"> as the annual cost for each collection.</w:t>
      </w:r>
      <w:r w:rsidRPr="00D772B7" w:rsidR="00C4205B">
        <w:rPr>
          <w:rFonts w:ascii="Times New Roman" w:hAnsi="Times New Roman" w:cs="Times New Roman"/>
          <w:sz w:val="26"/>
          <w:szCs w:val="26"/>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4"/>
        <w:gridCol w:w="3042"/>
        <w:gridCol w:w="3024"/>
      </w:tblGrid>
      <w:tr w:rsidRPr="00CF2F38" w:rsidR="001058F0" w:rsidTr="00F607E2" w14:paraId="4A59A988" w14:textId="77777777">
        <w:tc>
          <w:tcPr>
            <w:tcW w:w="1756" w:type="pct"/>
            <w:shd w:val="clear" w:color="auto" w:fill="D9D9D9"/>
            <w:vAlign w:val="center"/>
          </w:tcPr>
          <w:p w:rsidRPr="00D772B7" w:rsidR="001058F0" w:rsidP="00F607E2" w:rsidRDefault="001058F0" w14:paraId="3BB21654" w14:textId="5795DB77">
            <w:pPr>
              <w:pStyle w:val="ListParagraph"/>
              <w:spacing w:after="0" w:line="240" w:lineRule="auto"/>
              <w:ind w:left="0"/>
              <w:rPr>
                <w:rFonts w:ascii="Times New Roman" w:hAnsi="Times New Roman"/>
                <w:b/>
                <w:sz w:val="26"/>
                <w:szCs w:val="26"/>
              </w:rPr>
            </w:pPr>
            <w:r w:rsidRPr="00D772B7">
              <w:rPr>
                <w:rFonts w:ascii="Times New Roman" w:hAnsi="Times New Roman"/>
                <w:b/>
                <w:sz w:val="26"/>
                <w:szCs w:val="26"/>
              </w:rPr>
              <w:t>FERC-</w:t>
            </w:r>
            <w:r w:rsidRPr="00D772B7" w:rsidR="00377C4E">
              <w:rPr>
                <w:rFonts w:ascii="Times New Roman" w:hAnsi="Times New Roman"/>
                <w:b/>
                <w:sz w:val="26"/>
                <w:szCs w:val="26"/>
              </w:rPr>
              <w:t>725I</w:t>
            </w:r>
          </w:p>
        </w:tc>
        <w:tc>
          <w:tcPr>
            <w:tcW w:w="1627" w:type="pct"/>
            <w:shd w:val="clear" w:color="auto" w:fill="D9D9D9"/>
            <w:vAlign w:val="center"/>
          </w:tcPr>
          <w:p w:rsidRPr="00D772B7" w:rsidR="001058F0" w:rsidP="00F607E2" w:rsidRDefault="001058F0" w14:paraId="3A0F5B06" w14:textId="77777777">
            <w:pPr>
              <w:pStyle w:val="ListParagraph"/>
              <w:spacing w:after="0" w:line="240" w:lineRule="auto"/>
              <w:ind w:left="0"/>
              <w:jc w:val="center"/>
              <w:rPr>
                <w:rFonts w:ascii="Times New Roman" w:hAnsi="Times New Roman"/>
                <w:b/>
                <w:sz w:val="26"/>
                <w:szCs w:val="26"/>
              </w:rPr>
            </w:pPr>
            <w:r w:rsidRPr="00D772B7">
              <w:rPr>
                <w:rFonts w:ascii="Times New Roman" w:hAnsi="Times New Roman"/>
                <w:b/>
                <w:sz w:val="26"/>
                <w:szCs w:val="26"/>
              </w:rPr>
              <w:t>Number of Employees (FTE)</w:t>
            </w:r>
          </w:p>
        </w:tc>
        <w:tc>
          <w:tcPr>
            <w:tcW w:w="1617" w:type="pct"/>
            <w:shd w:val="clear" w:color="auto" w:fill="D9D9D9"/>
            <w:vAlign w:val="center"/>
          </w:tcPr>
          <w:p w:rsidRPr="00D772B7" w:rsidR="001058F0" w:rsidP="00F607E2" w:rsidRDefault="001058F0" w14:paraId="7A23CC18" w14:textId="77777777">
            <w:pPr>
              <w:pStyle w:val="ListParagraph"/>
              <w:spacing w:after="0" w:line="240" w:lineRule="auto"/>
              <w:ind w:left="0"/>
              <w:jc w:val="center"/>
              <w:rPr>
                <w:rFonts w:ascii="Times New Roman" w:hAnsi="Times New Roman"/>
                <w:b/>
                <w:sz w:val="26"/>
                <w:szCs w:val="26"/>
              </w:rPr>
            </w:pPr>
            <w:r w:rsidRPr="00D772B7">
              <w:rPr>
                <w:rFonts w:ascii="Times New Roman" w:hAnsi="Times New Roman"/>
                <w:b/>
                <w:sz w:val="26"/>
                <w:szCs w:val="26"/>
              </w:rPr>
              <w:t>Estimated Annual Federal Cost</w:t>
            </w:r>
          </w:p>
        </w:tc>
      </w:tr>
      <w:tr w:rsidRPr="00CF2F38" w:rsidR="001058F0" w:rsidTr="00F607E2" w14:paraId="32AE273A" w14:textId="77777777">
        <w:tc>
          <w:tcPr>
            <w:tcW w:w="1756" w:type="pct"/>
            <w:shd w:val="clear" w:color="auto" w:fill="auto"/>
            <w:vAlign w:val="center"/>
          </w:tcPr>
          <w:p w:rsidRPr="00D772B7" w:rsidR="001058F0" w:rsidP="00F607E2" w:rsidRDefault="001058F0" w14:paraId="6CC9A723" w14:textId="5CC8FD80">
            <w:pPr>
              <w:pStyle w:val="ListParagraph"/>
              <w:spacing w:after="0" w:line="240" w:lineRule="auto"/>
              <w:ind w:left="0"/>
              <w:rPr>
                <w:rFonts w:ascii="Times New Roman" w:hAnsi="Times New Roman"/>
                <w:sz w:val="26"/>
                <w:szCs w:val="26"/>
              </w:rPr>
            </w:pPr>
            <w:r w:rsidRPr="00D772B7">
              <w:rPr>
                <w:rFonts w:ascii="Times New Roman" w:hAnsi="Times New Roman"/>
                <w:sz w:val="26"/>
                <w:szCs w:val="26"/>
              </w:rPr>
              <w:t>Analysis and Processing of Filings</w:t>
            </w:r>
          </w:p>
        </w:tc>
        <w:tc>
          <w:tcPr>
            <w:tcW w:w="1627" w:type="pct"/>
            <w:shd w:val="clear" w:color="auto" w:fill="auto"/>
            <w:vAlign w:val="center"/>
          </w:tcPr>
          <w:p w:rsidRPr="00D772B7" w:rsidR="001058F0" w:rsidP="00F607E2" w:rsidRDefault="001058F0" w14:paraId="0F1DD6AA" w14:textId="38C34E6A">
            <w:pPr>
              <w:pStyle w:val="ListParagraph"/>
              <w:spacing w:after="0" w:line="240" w:lineRule="auto"/>
              <w:ind w:left="0"/>
              <w:jc w:val="right"/>
              <w:rPr>
                <w:rFonts w:ascii="Times New Roman" w:hAnsi="Times New Roman"/>
                <w:sz w:val="26"/>
                <w:szCs w:val="26"/>
              </w:rPr>
            </w:pPr>
          </w:p>
        </w:tc>
        <w:tc>
          <w:tcPr>
            <w:tcW w:w="1617" w:type="pct"/>
            <w:shd w:val="clear" w:color="auto" w:fill="auto"/>
            <w:vAlign w:val="center"/>
          </w:tcPr>
          <w:p w:rsidRPr="00D772B7" w:rsidR="001058F0" w:rsidP="00F607E2" w:rsidRDefault="001058F0" w14:paraId="06C0EF6F" w14:textId="37A3FF51">
            <w:pPr>
              <w:pStyle w:val="ListParagraph"/>
              <w:spacing w:after="0" w:line="240" w:lineRule="auto"/>
              <w:ind w:left="0"/>
              <w:jc w:val="right"/>
              <w:rPr>
                <w:rFonts w:ascii="Times New Roman" w:hAnsi="Times New Roman"/>
                <w:sz w:val="26"/>
                <w:szCs w:val="26"/>
              </w:rPr>
            </w:pPr>
            <w:r w:rsidRPr="00D772B7">
              <w:rPr>
                <w:rFonts w:ascii="Times New Roman" w:hAnsi="Times New Roman"/>
                <w:sz w:val="26"/>
                <w:szCs w:val="26"/>
              </w:rPr>
              <w:t>0</w:t>
            </w:r>
          </w:p>
        </w:tc>
      </w:tr>
      <w:tr w:rsidRPr="00CF2F38" w:rsidR="001058F0" w:rsidTr="00F607E2" w14:paraId="3FDC6E50" w14:textId="77777777">
        <w:tc>
          <w:tcPr>
            <w:tcW w:w="1756" w:type="pct"/>
            <w:shd w:val="clear" w:color="auto" w:fill="auto"/>
            <w:vAlign w:val="center"/>
          </w:tcPr>
          <w:p w:rsidRPr="00D772B7" w:rsidR="001058F0" w:rsidP="00F607E2" w:rsidRDefault="001058F0" w14:paraId="5E23B4DC" w14:textId="77777777">
            <w:pPr>
              <w:pStyle w:val="ListParagraph"/>
              <w:spacing w:after="0" w:line="240" w:lineRule="auto"/>
              <w:ind w:left="0"/>
              <w:rPr>
                <w:rFonts w:ascii="Times New Roman" w:hAnsi="Times New Roman"/>
                <w:sz w:val="26"/>
                <w:szCs w:val="26"/>
              </w:rPr>
            </w:pPr>
            <w:r w:rsidRPr="00D772B7">
              <w:rPr>
                <w:rFonts w:ascii="Times New Roman" w:hAnsi="Times New Roman"/>
                <w:sz w:val="26"/>
                <w:szCs w:val="26"/>
              </w:rPr>
              <w:t>PRA</w:t>
            </w:r>
            <w:r w:rsidRPr="00D772B7">
              <w:rPr>
                <w:rStyle w:val="FootnoteReference"/>
                <w:rFonts w:ascii="Times New Roman" w:hAnsi="Times New Roman"/>
                <w:sz w:val="26"/>
                <w:szCs w:val="26"/>
                <w:vertAlign w:val="superscript"/>
              </w:rPr>
              <w:footnoteReference w:id="13"/>
            </w:r>
            <w:r w:rsidRPr="00D772B7">
              <w:rPr>
                <w:rFonts w:ascii="Times New Roman" w:hAnsi="Times New Roman"/>
                <w:sz w:val="26"/>
                <w:szCs w:val="26"/>
              </w:rPr>
              <w:t xml:space="preserve"> Administrative Cost</w:t>
            </w:r>
            <w:r w:rsidRPr="00D772B7">
              <w:rPr>
                <w:rStyle w:val="FootnoteReference"/>
                <w:rFonts w:ascii="Times New Roman" w:hAnsi="Times New Roman"/>
                <w:sz w:val="26"/>
                <w:szCs w:val="26"/>
                <w:vertAlign w:val="superscript"/>
              </w:rPr>
              <w:footnoteReference w:id="14"/>
            </w:r>
          </w:p>
        </w:tc>
        <w:tc>
          <w:tcPr>
            <w:tcW w:w="1627" w:type="pct"/>
            <w:shd w:val="clear" w:color="auto" w:fill="D9D9D9"/>
            <w:vAlign w:val="center"/>
          </w:tcPr>
          <w:p w:rsidRPr="00D772B7" w:rsidR="001058F0" w:rsidP="00F607E2" w:rsidRDefault="001058F0" w14:paraId="1ADE3F21"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Pr="00D772B7" w:rsidR="001058F0" w:rsidP="00F607E2" w:rsidRDefault="001058F0" w14:paraId="5B289B58" w14:textId="0001933E">
            <w:pPr>
              <w:pStyle w:val="ListParagraph"/>
              <w:spacing w:after="0" w:line="240" w:lineRule="auto"/>
              <w:ind w:left="0"/>
              <w:jc w:val="right"/>
              <w:rPr>
                <w:rFonts w:ascii="Times New Roman" w:hAnsi="Times New Roman"/>
                <w:sz w:val="26"/>
                <w:szCs w:val="26"/>
              </w:rPr>
            </w:pPr>
            <w:r w:rsidRPr="00D772B7">
              <w:rPr>
                <w:rFonts w:ascii="Times New Roman" w:hAnsi="Times New Roman"/>
                <w:sz w:val="26"/>
                <w:szCs w:val="26"/>
              </w:rPr>
              <w:t>$4,832</w:t>
            </w:r>
          </w:p>
        </w:tc>
      </w:tr>
      <w:tr w:rsidRPr="00CF2F38" w:rsidR="001058F0" w:rsidTr="00F607E2" w14:paraId="42A58B99" w14:textId="77777777">
        <w:tc>
          <w:tcPr>
            <w:tcW w:w="1756" w:type="pct"/>
            <w:shd w:val="clear" w:color="auto" w:fill="auto"/>
            <w:vAlign w:val="center"/>
          </w:tcPr>
          <w:p w:rsidRPr="00D772B7" w:rsidR="001058F0" w:rsidP="00F607E2" w:rsidRDefault="001058F0" w14:paraId="0680C9C2" w14:textId="77777777">
            <w:pPr>
              <w:pStyle w:val="ListParagraph"/>
              <w:spacing w:after="0" w:line="240" w:lineRule="auto"/>
              <w:ind w:left="0"/>
              <w:rPr>
                <w:rFonts w:ascii="Times New Roman" w:hAnsi="Times New Roman"/>
                <w:sz w:val="26"/>
                <w:szCs w:val="26"/>
              </w:rPr>
            </w:pPr>
            <w:r w:rsidRPr="00D772B7">
              <w:rPr>
                <w:rFonts w:ascii="Times New Roman" w:hAnsi="Times New Roman"/>
                <w:sz w:val="26"/>
                <w:szCs w:val="26"/>
              </w:rPr>
              <w:lastRenderedPageBreak/>
              <w:t>FERC Total</w:t>
            </w:r>
          </w:p>
        </w:tc>
        <w:tc>
          <w:tcPr>
            <w:tcW w:w="1627" w:type="pct"/>
            <w:shd w:val="clear" w:color="auto" w:fill="D9D9D9"/>
            <w:vAlign w:val="center"/>
          </w:tcPr>
          <w:p w:rsidRPr="00D772B7" w:rsidR="001058F0" w:rsidP="00F607E2" w:rsidRDefault="001058F0" w14:paraId="15C8D106"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Pr="00D772B7" w:rsidR="001058F0" w:rsidP="00F607E2" w:rsidRDefault="001058F0" w14:paraId="540799D6" w14:textId="3AE20A0E">
            <w:pPr>
              <w:pStyle w:val="ListParagraph"/>
              <w:spacing w:after="0" w:line="240" w:lineRule="auto"/>
              <w:ind w:left="0"/>
              <w:jc w:val="right"/>
              <w:rPr>
                <w:rFonts w:ascii="Times New Roman" w:hAnsi="Times New Roman"/>
                <w:sz w:val="26"/>
                <w:szCs w:val="26"/>
              </w:rPr>
            </w:pPr>
            <w:r w:rsidRPr="00D772B7">
              <w:rPr>
                <w:rFonts w:ascii="Times New Roman" w:hAnsi="Times New Roman"/>
                <w:sz w:val="26"/>
                <w:szCs w:val="26"/>
              </w:rPr>
              <w:t>$4,832</w:t>
            </w:r>
          </w:p>
        </w:tc>
      </w:tr>
    </w:tbl>
    <w:p w:rsidRPr="00D772B7" w:rsidR="001058F0" w:rsidP="00DE2323" w:rsidRDefault="001058F0" w14:paraId="0D0FA766" w14:textId="77777777">
      <w:pPr>
        <w:tabs>
          <w:tab w:val="left" w:pos="-1440"/>
        </w:tabs>
        <w:spacing w:line="240" w:lineRule="auto"/>
        <w:rPr>
          <w:rFonts w:ascii="Times New Roman" w:hAnsi="Times New Roman" w:cs="Times New Roman"/>
          <w:sz w:val="26"/>
          <w:szCs w:val="26"/>
        </w:rPr>
      </w:pPr>
    </w:p>
    <w:p w:rsidRPr="00D772B7" w:rsidR="008F6CF1" w:rsidP="00E04F78" w:rsidRDefault="00C4205B" w14:paraId="5265369E" w14:textId="5ED5E160">
      <w:pPr>
        <w:widowControl w:val="0"/>
        <w:numPr>
          <w:ilvl w:val="0"/>
          <w:numId w:val="6"/>
        </w:numPr>
        <w:tabs>
          <w:tab w:val="num" w:pos="108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REASONS FOR CHANGES IN BURDEN INCLUDING THE NEED FOR ANY INCREASE</w:t>
      </w:r>
    </w:p>
    <w:p w:rsidRPr="00D772B7" w:rsidR="008F6CF1" w:rsidP="00D14071" w:rsidRDefault="008F6CF1" w14:paraId="651FBBEA" w14:textId="7E69340B">
      <w:pPr>
        <w:spacing w:line="240" w:lineRule="auto"/>
        <w:rPr>
          <w:rFonts w:ascii="Times New Roman" w:hAnsi="Times New Roman" w:cs="Times New Roman"/>
          <w:b/>
          <w:bCs/>
          <w:sz w:val="26"/>
          <w:szCs w:val="26"/>
          <w:highlight w:val="yellow"/>
        </w:rPr>
      </w:pPr>
      <w:r w:rsidRPr="00D772B7">
        <w:rPr>
          <w:rFonts w:ascii="Times New Roman" w:hAnsi="Times New Roman" w:cs="Times New Roman"/>
          <w:sz w:val="26"/>
          <w:szCs w:val="26"/>
        </w:rPr>
        <w:t>The following table shows the total burden of the collection of information.  The format, labels, and definitions of the table follow the ROCIS submission system’s “Information Collection Request Summary of Burden” for the metadata.</w:t>
      </w:r>
    </w:p>
    <w:tbl>
      <w:tblPr>
        <w:tblW w:w="99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2"/>
        <w:gridCol w:w="1779"/>
        <w:gridCol w:w="1959"/>
        <w:gridCol w:w="1683"/>
        <w:gridCol w:w="1777"/>
      </w:tblGrid>
      <w:tr w:rsidRPr="00CF2F38" w:rsidR="00B52592" w:rsidTr="001058F0" w14:paraId="28EFB261" w14:textId="77777777">
        <w:trPr>
          <w:trHeight w:val="870"/>
        </w:trPr>
        <w:tc>
          <w:tcPr>
            <w:tcW w:w="2702" w:type="dxa"/>
            <w:shd w:val="clear" w:color="auto" w:fill="D9D9D9"/>
            <w:vAlign w:val="bottom"/>
          </w:tcPr>
          <w:p w:rsidRPr="00D772B7" w:rsidR="00B52592" w:rsidP="00D14071" w:rsidRDefault="00B52592" w14:paraId="6A6F0124" w14:textId="01DA0822">
            <w:pPr>
              <w:spacing w:after="0" w:line="240" w:lineRule="auto"/>
              <w:rPr>
                <w:rFonts w:ascii="Times New Roman" w:hAnsi="Times New Roman" w:cs="Times New Roman"/>
                <w:b/>
                <w:sz w:val="26"/>
                <w:szCs w:val="26"/>
              </w:rPr>
            </w:pPr>
            <w:r w:rsidRPr="00D772B7">
              <w:rPr>
                <w:rFonts w:ascii="Times New Roman" w:hAnsi="Times New Roman" w:cs="Times New Roman"/>
                <w:b/>
                <w:sz w:val="26"/>
                <w:szCs w:val="26"/>
              </w:rPr>
              <w:t>FERC-725I</w:t>
            </w:r>
          </w:p>
        </w:tc>
        <w:tc>
          <w:tcPr>
            <w:tcW w:w="1779" w:type="dxa"/>
            <w:shd w:val="clear" w:color="auto" w:fill="D9D9D9"/>
            <w:vAlign w:val="bottom"/>
          </w:tcPr>
          <w:p w:rsidRPr="00D772B7" w:rsidR="00B52592" w:rsidP="00D14071" w:rsidRDefault="00B52592" w14:paraId="3F8BBBC3" w14:textId="77777777">
            <w:pPr>
              <w:spacing w:after="0" w:line="240" w:lineRule="auto"/>
              <w:rPr>
                <w:rFonts w:ascii="Times New Roman" w:hAnsi="Times New Roman" w:cs="Times New Roman"/>
                <w:b/>
                <w:sz w:val="26"/>
                <w:szCs w:val="26"/>
              </w:rPr>
            </w:pPr>
            <w:r w:rsidRPr="00D772B7">
              <w:rPr>
                <w:rFonts w:ascii="Times New Roman" w:hAnsi="Times New Roman" w:cs="Times New Roman"/>
                <w:b/>
                <w:sz w:val="26"/>
                <w:szCs w:val="26"/>
              </w:rPr>
              <w:t>Total Request</w:t>
            </w:r>
          </w:p>
        </w:tc>
        <w:tc>
          <w:tcPr>
            <w:tcW w:w="1959" w:type="dxa"/>
            <w:shd w:val="clear" w:color="auto" w:fill="D9D9D9"/>
            <w:vAlign w:val="bottom"/>
          </w:tcPr>
          <w:p w:rsidRPr="00D772B7" w:rsidR="00B52592" w:rsidP="00D14071" w:rsidRDefault="00B52592" w14:paraId="6EAF0114" w14:textId="77777777">
            <w:pPr>
              <w:spacing w:after="0" w:line="240" w:lineRule="auto"/>
              <w:rPr>
                <w:rFonts w:ascii="Times New Roman" w:hAnsi="Times New Roman" w:cs="Times New Roman"/>
                <w:b/>
                <w:sz w:val="26"/>
                <w:szCs w:val="26"/>
              </w:rPr>
            </w:pPr>
            <w:r w:rsidRPr="00D772B7">
              <w:rPr>
                <w:rFonts w:ascii="Times New Roman" w:hAnsi="Times New Roman" w:cs="Times New Roman"/>
                <w:b/>
                <w:sz w:val="26"/>
                <w:szCs w:val="26"/>
              </w:rPr>
              <w:t>Previously Approved</w:t>
            </w:r>
          </w:p>
        </w:tc>
        <w:tc>
          <w:tcPr>
            <w:tcW w:w="1683" w:type="dxa"/>
            <w:shd w:val="clear" w:color="auto" w:fill="D9D9D9"/>
            <w:vAlign w:val="bottom"/>
          </w:tcPr>
          <w:p w:rsidRPr="00D772B7" w:rsidR="00B52592" w:rsidP="00D14071" w:rsidRDefault="00B52592" w14:paraId="4AC942EB" w14:textId="77777777">
            <w:pPr>
              <w:spacing w:after="0" w:line="240" w:lineRule="auto"/>
              <w:rPr>
                <w:rFonts w:ascii="Times New Roman" w:hAnsi="Times New Roman" w:cs="Times New Roman"/>
                <w:b/>
                <w:sz w:val="26"/>
                <w:szCs w:val="26"/>
              </w:rPr>
            </w:pPr>
            <w:r w:rsidRPr="00D772B7">
              <w:rPr>
                <w:rFonts w:ascii="Times New Roman" w:hAnsi="Times New Roman" w:cs="Times New Roman"/>
                <w:b/>
                <w:sz w:val="26"/>
                <w:szCs w:val="26"/>
              </w:rPr>
              <w:t>Change due to Adjustment in Estimate</w:t>
            </w:r>
          </w:p>
        </w:tc>
        <w:tc>
          <w:tcPr>
            <w:tcW w:w="1777" w:type="dxa"/>
            <w:shd w:val="clear" w:color="auto" w:fill="D9D9D9"/>
            <w:vAlign w:val="bottom"/>
          </w:tcPr>
          <w:p w:rsidRPr="00D772B7" w:rsidR="00B52592" w:rsidP="00D14071" w:rsidRDefault="00B52592" w14:paraId="2619055E" w14:textId="77777777">
            <w:pPr>
              <w:spacing w:after="0" w:line="240" w:lineRule="auto"/>
              <w:rPr>
                <w:rFonts w:ascii="Times New Roman" w:hAnsi="Times New Roman" w:cs="Times New Roman"/>
                <w:b/>
                <w:sz w:val="26"/>
                <w:szCs w:val="26"/>
              </w:rPr>
            </w:pPr>
            <w:r w:rsidRPr="00D772B7">
              <w:rPr>
                <w:rFonts w:ascii="Times New Roman" w:hAnsi="Times New Roman" w:cs="Times New Roman"/>
                <w:b/>
                <w:sz w:val="26"/>
                <w:szCs w:val="26"/>
              </w:rPr>
              <w:t>Change Due to Agency Discretion</w:t>
            </w:r>
          </w:p>
        </w:tc>
      </w:tr>
      <w:tr w:rsidRPr="00CF2F38" w:rsidR="00B52592" w:rsidTr="001058F0" w14:paraId="16AD12D6" w14:textId="77777777">
        <w:trPr>
          <w:trHeight w:val="591"/>
        </w:trPr>
        <w:tc>
          <w:tcPr>
            <w:tcW w:w="2702" w:type="dxa"/>
          </w:tcPr>
          <w:p w:rsidRPr="00D772B7" w:rsidR="00B52592" w:rsidP="00D14071" w:rsidRDefault="00B52592" w14:paraId="0E9AF4CE" w14:textId="77777777">
            <w:pPr>
              <w:spacing w:after="0" w:line="240" w:lineRule="auto"/>
              <w:rPr>
                <w:rFonts w:ascii="Times New Roman" w:hAnsi="Times New Roman" w:cs="Times New Roman"/>
                <w:sz w:val="26"/>
                <w:szCs w:val="26"/>
              </w:rPr>
            </w:pPr>
            <w:r w:rsidRPr="00D772B7">
              <w:rPr>
                <w:rFonts w:ascii="Times New Roman" w:hAnsi="Times New Roman" w:cs="Times New Roman"/>
                <w:sz w:val="26"/>
                <w:szCs w:val="26"/>
              </w:rPr>
              <w:t>Annual Number of Responses</w:t>
            </w:r>
          </w:p>
        </w:tc>
        <w:tc>
          <w:tcPr>
            <w:tcW w:w="1779" w:type="dxa"/>
            <w:vAlign w:val="center"/>
          </w:tcPr>
          <w:p w:rsidRPr="00D772B7" w:rsidR="00B52592" w:rsidP="00D14071" w:rsidRDefault="00554CE4" w14:paraId="69AE33D6" w14:textId="274D8241">
            <w:pPr>
              <w:spacing w:after="0" w:line="240" w:lineRule="auto"/>
              <w:jc w:val="right"/>
              <w:rPr>
                <w:rFonts w:ascii="Times New Roman" w:hAnsi="Times New Roman" w:cs="Times New Roman"/>
                <w:sz w:val="26"/>
                <w:szCs w:val="26"/>
              </w:rPr>
            </w:pPr>
            <w:r w:rsidRPr="00D772B7">
              <w:rPr>
                <w:rFonts w:ascii="Times New Roman" w:hAnsi="Times New Roman" w:cs="Times New Roman"/>
                <w:sz w:val="26"/>
                <w:szCs w:val="26"/>
              </w:rPr>
              <w:t>254</w:t>
            </w:r>
          </w:p>
        </w:tc>
        <w:tc>
          <w:tcPr>
            <w:tcW w:w="1959" w:type="dxa"/>
            <w:vAlign w:val="center"/>
          </w:tcPr>
          <w:p w:rsidRPr="00D772B7" w:rsidR="00B52592" w:rsidP="00D14071" w:rsidRDefault="00423A60" w14:paraId="5B079100" w14:textId="3C0706AC">
            <w:pPr>
              <w:spacing w:after="0" w:line="240" w:lineRule="auto"/>
              <w:jc w:val="right"/>
              <w:rPr>
                <w:rFonts w:ascii="Times New Roman" w:hAnsi="Times New Roman" w:cs="Times New Roman"/>
                <w:sz w:val="26"/>
                <w:szCs w:val="26"/>
              </w:rPr>
            </w:pPr>
            <w:r w:rsidRPr="00D772B7">
              <w:rPr>
                <w:rFonts w:ascii="Times New Roman" w:hAnsi="Times New Roman" w:cs="Times New Roman"/>
                <w:sz w:val="26"/>
                <w:szCs w:val="26"/>
              </w:rPr>
              <w:t>302</w:t>
            </w:r>
          </w:p>
        </w:tc>
        <w:tc>
          <w:tcPr>
            <w:tcW w:w="1683" w:type="dxa"/>
            <w:vAlign w:val="center"/>
          </w:tcPr>
          <w:p w:rsidRPr="00D772B7" w:rsidR="00B52592" w:rsidP="00D14071" w:rsidRDefault="00362529" w14:paraId="4C529B4B" w14:textId="3E73E656">
            <w:pPr>
              <w:spacing w:after="0" w:line="240" w:lineRule="auto"/>
              <w:jc w:val="right"/>
              <w:rPr>
                <w:rFonts w:ascii="Times New Roman" w:hAnsi="Times New Roman" w:cs="Times New Roman"/>
                <w:sz w:val="26"/>
                <w:szCs w:val="26"/>
              </w:rPr>
            </w:pPr>
            <w:r w:rsidRPr="00D772B7">
              <w:rPr>
                <w:rFonts w:ascii="Times New Roman" w:hAnsi="Times New Roman" w:cs="Times New Roman"/>
                <w:sz w:val="26"/>
                <w:szCs w:val="26"/>
              </w:rPr>
              <w:t>-48</w:t>
            </w:r>
          </w:p>
        </w:tc>
        <w:tc>
          <w:tcPr>
            <w:tcW w:w="1777" w:type="dxa"/>
            <w:vAlign w:val="center"/>
          </w:tcPr>
          <w:p w:rsidRPr="00D772B7" w:rsidR="00B52592" w:rsidP="00D14071" w:rsidRDefault="000027B8" w14:paraId="181C7479" w14:textId="33AF5AFA">
            <w:pPr>
              <w:spacing w:after="0" w:line="240" w:lineRule="auto"/>
              <w:jc w:val="right"/>
              <w:rPr>
                <w:rFonts w:ascii="Times New Roman" w:hAnsi="Times New Roman" w:cs="Times New Roman"/>
                <w:sz w:val="26"/>
                <w:szCs w:val="26"/>
              </w:rPr>
            </w:pPr>
            <w:r w:rsidRPr="00D772B7">
              <w:rPr>
                <w:rFonts w:ascii="Times New Roman" w:hAnsi="Times New Roman" w:cs="Times New Roman"/>
                <w:sz w:val="26"/>
                <w:szCs w:val="26"/>
              </w:rPr>
              <w:t>0</w:t>
            </w:r>
          </w:p>
        </w:tc>
      </w:tr>
      <w:tr w:rsidRPr="00CF2F38" w:rsidR="00B52592" w:rsidTr="001058F0" w14:paraId="74870872" w14:textId="77777777">
        <w:trPr>
          <w:trHeight w:val="575"/>
        </w:trPr>
        <w:tc>
          <w:tcPr>
            <w:tcW w:w="2702" w:type="dxa"/>
          </w:tcPr>
          <w:p w:rsidRPr="00D772B7" w:rsidR="00B52592" w:rsidP="00D14071" w:rsidRDefault="00B52592" w14:paraId="08B85D29" w14:textId="77777777">
            <w:pPr>
              <w:spacing w:after="0" w:line="240" w:lineRule="auto"/>
              <w:rPr>
                <w:rFonts w:ascii="Times New Roman" w:hAnsi="Times New Roman" w:cs="Times New Roman"/>
                <w:sz w:val="26"/>
                <w:szCs w:val="26"/>
              </w:rPr>
            </w:pPr>
            <w:r w:rsidRPr="00D772B7">
              <w:rPr>
                <w:rFonts w:ascii="Times New Roman" w:hAnsi="Times New Roman" w:cs="Times New Roman"/>
                <w:sz w:val="26"/>
                <w:szCs w:val="26"/>
              </w:rPr>
              <w:t>Annual Time Burden (Hr)</w:t>
            </w:r>
          </w:p>
        </w:tc>
        <w:tc>
          <w:tcPr>
            <w:tcW w:w="1779" w:type="dxa"/>
            <w:vAlign w:val="center"/>
          </w:tcPr>
          <w:p w:rsidRPr="00D772B7" w:rsidR="00B52592" w:rsidP="00D14071" w:rsidRDefault="00423A60" w14:paraId="23DA90F7" w14:textId="2E5BA0AA">
            <w:pPr>
              <w:spacing w:after="0" w:line="240" w:lineRule="auto"/>
              <w:jc w:val="right"/>
              <w:rPr>
                <w:rFonts w:ascii="Times New Roman" w:hAnsi="Times New Roman" w:cs="Times New Roman"/>
                <w:sz w:val="26"/>
                <w:szCs w:val="26"/>
              </w:rPr>
            </w:pPr>
            <w:r w:rsidRPr="00D772B7">
              <w:rPr>
                <w:rFonts w:ascii="Times New Roman" w:hAnsi="Times New Roman" w:cs="Times New Roman"/>
                <w:sz w:val="26"/>
                <w:szCs w:val="26"/>
              </w:rPr>
              <w:t>2,</w:t>
            </w:r>
            <w:r w:rsidR="00841318">
              <w:rPr>
                <w:rFonts w:ascii="Times New Roman" w:hAnsi="Times New Roman" w:cs="Times New Roman"/>
                <w:sz w:val="26"/>
                <w:szCs w:val="26"/>
              </w:rPr>
              <w:t>548</w:t>
            </w:r>
          </w:p>
        </w:tc>
        <w:tc>
          <w:tcPr>
            <w:tcW w:w="1959" w:type="dxa"/>
            <w:vAlign w:val="center"/>
          </w:tcPr>
          <w:p w:rsidRPr="00D772B7" w:rsidR="00B52592" w:rsidP="00D14071" w:rsidRDefault="00423A60" w14:paraId="12F80782" w14:textId="6889EDDF">
            <w:pPr>
              <w:spacing w:after="0" w:line="240" w:lineRule="auto"/>
              <w:jc w:val="right"/>
              <w:rPr>
                <w:rFonts w:ascii="Times New Roman" w:hAnsi="Times New Roman" w:cs="Times New Roman"/>
                <w:sz w:val="26"/>
                <w:szCs w:val="26"/>
              </w:rPr>
            </w:pPr>
            <w:r w:rsidRPr="00D772B7">
              <w:rPr>
                <w:rFonts w:ascii="Times New Roman" w:hAnsi="Times New Roman" w:cs="Times New Roman"/>
                <w:sz w:val="26"/>
                <w:szCs w:val="26"/>
              </w:rPr>
              <w:t>3,044</w:t>
            </w:r>
          </w:p>
        </w:tc>
        <w:tc>
          <w:tcPr>
            <w:tcW w:w="1683" w:type="dxa"/>
            <w:vAlign w:val="center"/>
          </w:tcPr>
          <w:p w:rsidRPr="00D772B7" w:rsidR="00B52592" w:rsidP="00D14071" w:rsidRDefault="00423A60" w14:paraId="5044CD68" w14:textId="572FCCFD">
            <w:pPr>
              <w:spacing w:after="0" w:line="240" w:lineRule="auto"/>
              <w:jc w:val="right"/>
              <w:rPr>
                <w:rFonts w:ascii="Times New Roman" w:hAnsi="Times New Roman" w:cs="Times New Roman"/>
                <w:sz w:val="26"/>
                <w:szCs w:val="26"/>
              </w:rPr>
            </w:pPr>
            <w:r w:rsidRPr="00D772B7">
              <w:rPr>
                <w:rFonts w:ascii="Times New Roman" w:hAnsi="Times New Roman" w:cs="Times New Roman"/>
                <w:sz w:val="26"/>
                <w:szCs w:val="26"/>
              </w:rPr>
              <w:t>-</w:t>
            </w:r>
            <w:r w:rsidR="00841318">
              <w:rPr>
                <w:rFonts w:ascii="Times New Roman" w:hAnsi="Times New Roman" w:cs="Times New Roman"/>
                <w:sz w:val="26"/>
                <w:szCs w:val="26"/>
              </w:rPr>
              <w:t>496</w:t>
            </w:r>
          </w:p>
        </w:tc>
        <w:tc>
          <w:tcPr>
            <w:tcW w:w="1777" w:type="dxa"/>
            <w:vAlign w:val="center"/>
          </w:tcPr>
          <w:p w:rsidRPr="00D772B7" w:rsidR="00B52592" w:rsidP="00D14071" w:rsidRDefault="000027B8" w14:paraId="7A88FE0C" w14:textId="6941FE63">
            <w:pPr>
              <w:spacing w:after="0" w:line="240" w:lineRule="auto"/>
              <w:jc w:val="right"/>
              <w:rPr>
                <w:rFonts w:ascii="Times New Roman" w:hAnsi="Times New Roman" w:cs="Times New Roman"/>
                <w:sz w:val="26"/>
                <w:szCs w:val="26"/>
              </w:rPr>
            </w:pPr>
            <w:r w:rsidRPr="00D772B7">
              <w:rPr>
                <w:rFonts w:ascii="Times New Roman" w:hAnsi="Times New Roman" w:cs="Times New Roman"/>
                <w:sz w:val="26"/>
                <w:szCs w:val="26"/>
              </w:rPr>
              <w:t>0</w:t>
            </w:r>
          </w:p>
        </w:tc>
      </w:tr>
      <w:tr w:rsidRPr="00CF2F38" w:rsidR="00B52592" w:rsidTr="001058F0" w14:paraId="52E4AB07" w14:textId="77777777">
        <w:trPr>
          <w:trHeight w:val="295"/>
        </w:trPr>
        <w:tc>
          <w:tcPr>
            <w:tcW w:w="2702" w:type="dxa"/>
          </w:tcPr>
          <w:p w:rsidRPr="00D772B7" w:rsidR="00B52592" w:rsidP="00D14071" w:rsidRDefault="00B52592" w14:paraId="7B5BE171" w14:textId="77777777">
            <w:pPr>
              <w:spacing w:after="0" w:line="240" w:lineRule="auto"/>
              <w:rPr>
                <w:rFonts w:ascii="Times New Roman" w:hAnsi="Times New Roman" w:cs="Times New Roman"/>
                <w:sz w:val="26"/>
                <w:szCs w:val="26"/>
              </w:rPr>
            </w:pPr>
            <w:r w:rsidRPr="00D772B7">
              <w:rPr>
                <w:rFonts w:ascii="Times New Roman" w:hAnsi="Times New Roman" w:cs="Times New Roman"/>
                <w:sz w:val="26"/>
                <w:szCs w:val="26"/>
              </w:rPr>
              <w:t>Annual Cost Burden ($)</w:t>
            </w:r>
          </w:p>
        </w:tc>
        <w:tc>
          <w:tcPr>
            <w:tcW w:w="1779" w:type="dxa"/>
            <w:vAlign w:val="center"/>
          </w:tcPr>
          <w:p w:rsidRPr="00D772B7" w:rsidR="00B52592" w:rsidP="00D14071" w:rsidRDefault="00B52592" w14:paraId="0EE498C6" w14:textId="77777777">
            <w:pPr>
              <w:spacing w:after="0" w:line="240" w:lineRule="auto"/>
              <w:jc w:val="right"/>
              <w:rPr>
                <w:rFonts w:ascii="Times New Roman" w:hAnsi="Times New Roman" w:cs="Times New Roman"/>
                <w:sz w:val="26"/>
                <w:szCs w:val="26"/>
              </w:rPr>
            </w:pPr>
            <w:r w:rsidRPr="00D772B7">
              <w:rPr>
                <w:rFonts w:ascii="Times New Roman" w:hAnsi="Times New Roman" w:cs="Times New Roman"/>
                <w:sz w:val="26"/>
                <w:szCs w:val="26"/>
              </w:rPr>
              <w:t>0</w:t>
            </w:r>
          </w:p>
        </w:tc>
        <w:tc>
          <w:tcPr>
            <w:tcW w:w="1959" w:type="dxa"/>
            <w:vAlign w:val="center"/>
          </w:tcPr>
          <w:p w:rsidRPr="00D772B7" w:rsidR="00B52592" w:rsidP="00D14071" w:rsidRDefault="000027B8" w14:paraId="72C5ACFB" w14:textId="39F1B43E">
            <w:pPr>
              <w:spacing w:after="0" w:line="240" w:lineRule="auto"/>
              <w:jc w:val="right"/>
              <w:rPr>
                <w:rFonts w:ascii="Times New Roman" w:hAnsi="Times New Roman" w:cs="Times New Roman"/>
                <w:sz w:val="26"/>
                <w:szCs w:val="26"/>
              </w:rPr>
            </w:pPr>
            <w:r w:rsidRPr="00D772B7">
              <w:rPr>
                <w:rFonts w:ascii="Times New Roman" w:hAnsi="Times New Roman" w:cs="Times New Roman"/>
                <w:sz w:val="26"/>
                <w:szCs w:val="26"/>
              </w:rPr>
              <w:t>$</w:t>
            </w:r>
            <w:r w:rsidRPr="00D772B7" w:rsidR="00423A60">
              <w:rPr>
                <w:rFonts w:ascii="Times New Roman" w:hAnsi="Times New Roman" w:cs="Times New Roman"/>
                <w:sz w:val="26"/>
                <w:szCs w:val="26"/>
              </w:rPr>
              <w:t>0</w:t>
            </w:r>
          </w:p>
        </w:tc>
        <w:tc>
          <w:tcPr>
            <w:tcW w:w="1683" w:type="dxa"/>
            <w:vAlign w:val="center"/>
          </w:tcPr>
          <w:p w:rsidRPr="00D772B7" w:rsidR="00B52592" w:rsidP="00D14071" w:rsidRDefault="00423A60" w14:paraId="248A1D36" w14:textId="097523E7">
            <w:pPr>
              <w:spacing w:after="0" w:line="240" w:lineRule="auto"/>
              <w:jc w:val="right"/>
              <w:rPr>
                <w:rFonts w:ascii="Times New Roman" w:hAnsi="Times New Roman" w:cs="Times New Roman"/>
                <w:sz w:val="26"/>
                <w:szCs w:val="26"/>
              </w:rPr>
            </w:pPr>
            <w:r w:rsidRPr="00D772B7">
              <w:rPr>
                <w:rFonts w:ascii="Times New Roman" w:hAnsi="Times New Roman" w:cs="Times New Roman"/>
                <w:sz w:val="26"/>
                <w:szCs w:val="26"/>
              </w:rPr>
              <w:t>0</w:t>
            </w:r>
          </w:p>
        </w:tc>
        <w:tc>
          <w:tcPr>
            <w:tcW w:w="1777" w:type="dxa"/>
            <w:vAlign w:val="center"/>
          </w:tcPr>
          <w:p w:rsidRPr="00D772B7" w:rsidR="00B52592" w:rsidP="00D14071" w:rsidRDefault="00B52592" w14:paraId="618F560A" w14:textId="77777777">
            <w:pPr>
              <w:spacing w:after="0" w:line="240" w:lineRule="auto"/>
              <w:jc w:val="right"/>
              <w:rPr>
                <w:rFonts w:ascii="Times New Roman" w:hAnsi="Times New Roman" w:cs="Times New Roman"/>
                <w:sz w:val="26"/>
                <w:szCs w:val="26"/>
              </w:rPr>
            </w:pPr>
            <w:r w:rsidRPr="00D772B7">
              <w:rPr>
                <w:rFonts w:ascii="Times New Roman" w:hAnsi="Times New Roman" w:cs="Times New Roman"/>
                <w:sz w:val="26"/>
                <w:szCs w:val="26"/>
              </w:rPr>
              <w:t>0</w:t>
            </w:r>
          </w:p>
        </w:tc>
      </w:tr>
    </w:tbl>
    <w:p w:rsidRPr="00D772B7" w:rsidR="00B52592" w:rsidP="00D14071" w:rsidRDefault="00B52592" w14:paraId="1006A830" w14:textId="77777777">
      <w:pPr>
        <w:spacing w:line="240" w:lineRule="auto"/>
        <w:rPr>
          <w:rFonts w:ascii="Times New Roman" w:hAnsi="Times New Roman" w:cs="Times New Roman"/>
          <w:b/>
          <w:bCs/>
          <w:sz w:val="26"/>
          <w:szCs w:val="26"/>
          <w:highlight w:val="yellow"/>
        </w:rPr>
      </w:pPr>
    </w:p>
    <w:p w:rsidRPr="00D772B7" w:rsidR="00C4205B" w:rsidP="00D14071" w:rsidRDefault="00D51DDF" w14:paraId="1C61E66A" w14:textId="3E2752DB">
      <w:pPr>
        <w:spacing w:line="240" w:lineRule="auto"/>
        <w:rPr>
          <w:rFonts w:ascii="Times New Roman" w:hAnsi="Times New Roman" w:cs="Times New Roman"/>
          <w:bCs/>
          <w:sz w:val="26"/>
          <w:szCs w:val="26"/>
        </w:rPr>
      </w:pPr>
      <w:r w:rsidRPr="00D772B7">
        <w:rPr>
          <w:rFonts w:ascii="Times New Roman" w:hAnsi="Times New Roman" w:cs="Times New Roman"/>
          <w:bCs/>
          <w:sz w:val="26"/>
          <w:szCs w:val="26"/>
        </w:rPr>
        <w:t xml:space="preserve">The </w:t>
      </w:r>
      <w:r w:rsidRPr="00D772B7" w:rsidR="00423A60">
        <w:rPr>
          <w:rFonts w:ascii="Times New Roman" w:hAnsi="Times New Roman" w:cs="Times New Roman"/>
          <w:bCs/>
          <w:sz w:val="26"/>
          <w:szCs w:val="26"/>
        </w:rPr>
        <w:t>decrease</w:t>
      </w:r>
      <w:r w:rsidRPr="00D772B7">
        <w:rPr>
          <w:rFonts w:ascii="Times New Roman" w:hAnsi="Times New Roman" w:cs="Times New Roman"/>
          <w:bCs/>
          <w:sz w:val="26"/>
          <w:szCs w:val="26"/>
        </w:rPr>
        <w:t xml:space="preserve"> in the number of response</w:t>
      </w:r>
      <w:r w:rsidR="00B5030A">
        <w:rPr>
          <w:rFonts w:ascii="Times New Roman" w:hAnsi="Times New Roman" w:cs="Times New Roman"/>
          <w:bCs/>
          <w:sz w:val="26"/>
          <w:szCs w:val="26"/>
        </w:rPr>
        <w:t>s and hours, and the removal of one of the previously approved IC activities, are</w:t>
      </w:r>
      <w:r w:rsidRPr="00D772B7" w:rsidR="008F42D9">
        <w:rPr>
          <w:rFonts w:ascii="Times New Roman" w:hAnsi="Times New Roman" w:cs="Times New Roman"/>
          <w:bCs/>
          <w:sz w:val="26"/>
          <w:szCs w:val="26"/>
        </w:rPr>
        <w:t xml:space="preserve"> reflective of the recent NERC January 2020 entity registration information for US only entities (the previous update included Canadian entities as respondents).</w:t>
      </w:r>
    </w:p>
    <w:p w:rsidRPr="00D772B7" w:rsidR="00C4205B" w:rsidP="00E04F78" w:rsidRDefault="00C4205B" w14:paraId="34C26282" w14:textId="77777777">
      <w:pPr>
        <w:widowControl w:val="0"/>
        <w:numPr>
          <w:ilvl w:val="0"/>
          <w:numId w:val="6"/>
        </w:numPr>
        <w:tabs>
          <w:tab w:val="num" w:pos="1080"/>
        </w:tabs>
        <w:autoSpaceDE w:val="0"/>
        <w:autoSpaceDN w:val="0"/>
        <w:adjustRightInd w:val="0"/>
        <w:spacing w:after="0" w:line="240" w:lineRule="auto"/>
        <w:ind w:left="360"/>
        <w:rPr>
          <w:rFonts w:ascii="Times New Roman" w:hAnsi="Times New Roman" w:cs="Times New Roman"/>
          <w:b/>
          <w:bCs/>
          <w:sz w:val="26"/>
          <w:szCs w:val="26"/>
        </w:rPr>
      </w:pPr>
      <w:r w:rsidRPr="00D772B7">
        <w:rPr>
          <w:rFonts w:ascii="Times New Roman" w:hAnsi="Times New Roman" w:cs="Times New Roman"/>
          <w:b/>
          <w:bCs/>
          <w:sz w:val="26"/>
          <w:szCs w:val="26"/>
        </w:rPr>
        <w:t>TIME SCHEDULE FOR THE PUBLICATION OF DATA</w:t>
      </w:r>
    </w:p>
    <w:p w:rsidRPr="00D772B7" w:rsidR="009D7E5F" w:rsidP="009D7E5F" w:rsidRDefault="009D7E5F" w14:paraId="39088CDA" w14:textId="77777777">
      <w:pPr>
        <w:spacing w:line="240" w:lineRule="auto"/>
        <w:rPr>
          <w:rFonts w:ascii="Times New Roman" w:hAnsi="Times New Roman" w:cs="Times New Roman"/>
          <w:bCs/>
          <w:sz w:val="26"/>
          <w:szCs w:val="26"/>
        </w:rPr>
      </w:pPr>
    </w:p>
    <w:p w:rsidRPr="00D772B7" w:rsidR="00C4205B" w:rsidP="009D7E5F" w:rsidRDefault="00C4205B" w14:paraId="2049F476" w14:textId="60911612">
      <w:pPr>
        <w:spacing w:line="240" w:lineRule="auto"/>
        <w:rPr>
          <w:rFonts w:ascii="Times New Roman" w:hAnsi="Times New Roman" w:cs="Times New Roman"/>
          <w:bCs/>
          <w:sz w:val="26"/>
          <w:szCs w:val="26"/>
        </w:rPr>
      </w:pPr>
      <w:r w:rsidRPr="00D772B7">
        <w:rPr>
          <w:rFonts w:ascii="Times New Roman" w:hAnsi="Times New Roman" w:cs="Times New Roman"/>
          <w:bCs/>
          <w:sz w:val="26"/>
          <w:szCs w:val="26"/>
        </w:rPr>
        <w:t xml:space="preserve">There </w:t>
      </w:r>
      <w:r w:rsidRPr="00D772B7" w:rsidR="008F6CF1">
        <w:rPr>
          <w:rFonts w:ascii="Times New Roman" w:hAnsi="Times New Roman" w:cs="Times New Roman"/>
          <w:bCs/>
          <w:sz w:val="26"/>
          <w:szCs w:val="26"/>
        </w:rPr>
        <w:t>are no publications of the information.</w:t>
      </w:r>
    </w:p>
    <w:p w:rsidRPr="00D772B7" w:rsidR="00C4205B" w:rsidP="00E04F78" w:rsidRDefault="00C4205B" w14:paraId="7BDD9659" w14:textId="77777777">
      <w:pPr>
        <w:widowControl w:val="0"/>
        <w:numPr>
          <w:ilvl w:val="0"/>
          <w:numId w:val="6"/>
        </w:numPr>
        <w:tabs>
          <w:tab w:val="num" w:pos="108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DISPLAY OF THE EXPIRATION DATE</w:t>
      </w:r>
    </w:p>
    <w:p w:rsidRPr="00D772B7" w:rsidR="00C4205B" w:rsidP="00D14071" w:rsidRDefault="00C4205B" w14:paraId="7EDDBD87" w14:textId="77777777">
      <w:pPr>
        <w:spacing w:line="240" w:lineRule="auto"/>
        <w:rPr>
          <w:rFonts w:ascii="Times New Roman" w:hAnsi="Times New Roman" w:cs="Times New Roman"/>
          <w:b/>
          <w:bCs/>
          <w:sz w:val="26"/>
          <w:szCs w:val="26"/>
        </w:rPr>
      </w:pPr>
    </w:p>
    <w:p w:rsidRPr="00D772B7" w:rsidR="008D20D4" w:rsidP="00D14071" w:rsidRDefault="008D20D4" w14:paraId="1BBCE526" w14:textId="31631849">
      <w:pPr>
        <w:spacing w:line="240" w:lineRule="auto"/>
        <w:rPr>
          <w:rFonts w:ascii="Times New Roman" w:hAnsi="Times New Roman" w:cs="Times New Roman"/>
          <w:sz w:val="26"/>
          <w:szCs w:val="26"/>
        </w:rPr>
      </w:pPr>
      <w:r w:rsidRPr="00D772B7">
        <w:rPr>
          <w:rFonts w:ascii="Times New Roman" w:hAnsi="Times New Roman" w:cs="Times New Roman"/>
          <w:sz w:val="26"/>
          <w:szCs w:val="26"/>
        </w:rPr>
        <w:t xml:space="preserve">The </w:t>
      </w:r>
      <w:r w:rsidRPr="00D772B7" w:rsidR="008F6CF1">
        <w:rPr>
          <w:rFonts w:ascii="Times New Roman" w:hAnsi="Times New Roman" w:cs="Times New Roman"/>
          <w:sz w:val="26"/>
          <w:szCs w:val="26"/>
        </w:rPr>
        <w:t xml:space="preserve">OMB </w:t>
      </w:r>
      <w:r w:rsidRPr="00D772B7">
        <w:rPr>
          <w:rFonts w:ascii="Times New Roman" w:hAnsi="Times New Roman" w:cs="Times New Roman"/>
          <w:sz w:val="26"/>
          <w:szCs w:val="26"/>
        </w:rPr>
        <w:t>expiration date</w:t>
      </w:r>
      <w:r w:rsidRPr="00D772B7" w:rsidR="008F6CF1">
        <w:rPr>
          <w:rFonts w:ascii="Times New Roman" w:hAnsi="Times New Roman" w:cs="Times New Roman"/>
          <w:sz w:val="26"/>
          <w:szCs w:val="26"/>
        </w:rPr>
        <w:t xml:space="preserve">s are </w:t>
      </w:r>
      <w:r w:rsidRPr="00D772B7">
        <w:rPr>
          <w:rFonts w:ascii="Times New Roman" w:hAnsi="Times New Roman" w:cs="Times New Roman"/>
          <w:sz w:val="26"/>
          <w:szCs w:val="26"/>
        </w:rPr>
        <w:t xml:space="preserve">posted on ferc.gov at </w:t>
      </w:r>
      <w:hyperlink w:history="1" r:id="rId13">
        <w:r w:rsidRPr="00D772B7">
          <w:rPr>
            <w:rStyle w:val="Hyperlink"/>
            <w:rFonts w:ascii="Times New Roman" w:hAnsi="Times New Roman" w:cs="Times New Roman"/>
            <w:sz w:val="26"/>
            <w:szCs w:val="26"/>
          </w:rPr>
          <w:t>http://www.ferc.gov/docs-filing/info-collections.asp</w:t>
        </w:r>
      </w:hyperlink>
      <w:r w:rsidRPr="00D772B7">
        <w:rPr>
          <w:rFonts w:ascii="Times New Roman" w:hAnsi="Times New Roman" w:cs="Times New Roman"/>
          <w:sz w:val="26"/>
          <w:szCs w:val="26"/>
        </w:rPr>
        <w:t>.</w:t>
      </w:r>
    </w:p>
    <w:p w:rsidRPr="00D772B7" w:rsidR="00C4205B" w:rsidP="00D14071" w:rsidRDefault="00C4205B" w14:paraId="38AF9515" w14:textId="77777777">
      <w:pPr>
        <w:spacing w:line="240" w:lineRule="auto"/>
        <w:rPr>
          <w:rFonts w:ascii="Times New Roman" w:hAnsi="Times New Roman" w:cs="Times New Roman"/>
          <w:sz w:val="26"/>
          <w:szCs w:val="26"/>
        </w:rPr>
      </w:pPr>
    </w:p>
    <w:p w:rsidRPr="00D772B7" w:rsidR="00C4205B" w:rsidP="00E04F78" w:rsidRDefault="00C4205B" w14:paraId="42F71BE6" w14:textId="77777777">
      <w:pPr>
        <w:widowControl w:val="0"/>
        <w:numPr>
          <w:ilvl w:val="0"/>
          <w:numId w:val="6"/>
        </w:numPr>
        <w:tabs>
          <w:tab w:val="num" w:pos="1080"/>
        </w:tabs>
        <w:autoSpaceDE w:val="0"/>
        <w:autoSpaceDN w:val="0"/>
        <w:adjustRightInd w:val="0"/>
        <w:spacing w:after="0" w:line="240" w:lineRule="auto"/>
        <w:ind w:left="360"/>
        <w:rPr>
          <w:rFonts w:ascii="Times New Roman" w:hAnsi="Times New Roman" w:cs="Times New Roman"/>
          <w:sz w:val="26"/>
          <w:szCs w:val="26"/>
        </w:rPr>
      </w:pPr>
      <w:r w:rsidRPr="00D772B7">
        <w:rPr>
          <w:rFonts w:ascii="Times New Roman" w:hAnsi="Times New Roman" w:cs="Times New Roman"/>
          <w:b/>
          <w:bCs/>
          <w:sz w:val="26"/>
          <w:szCs w:val="26"/>
        </w:rPr>
        <w:t>EXCEPTIONS TO THE CERTIFICATION STATEMENT</w:t>
      </w:r>
    </w:p>
    <w:p w:rsidRPr="00D772B7" w:rsidR="00C4205B" w:rsidP="00D14071" w:rsidRDefault="00C4205B" w14:paraId="1CF61528" w14:textId="77777777">
      <w:pPr>
        <w:spacing w:line="240" w:lineRule="auto"/>
        <w:rPr>
          <w:rFonts w:ascii="Times New Roman" w:hAnsi="Times New Roman" w:cs="Times New Roman"/>
          <w:sz w:val="26"/>
          <w:szCs w:val="26"/>
        </w:rPr>
      </w:pPr>
    </w:p>
    <w:p w:rsidRPr="00D772B7" w:rsidR="00423A60" w:rsidP="00D14071" w:rsidRDefault="008F6CF1" w14:paraId="6B8AB376" w14:textId="064DFA55">
      <w:pPr>
        <w:spacing w:line="240" w:lineRule="auto"/>
        <w:rPr>
          <w:rFonts w:ascii="Times New Roman" w:hAnsi="Times New Roman" w:cs="Times New Roman"/>
          <w:sz w:val="26"/>
          <w:szCs w:val="26"/>
        </w:rPr>
      </w:pPr>
      <w:r w:rsidRPr="00D772B7">
        <w:rPr>
          <w:rFonts w:ascii="Times New Roman" w:hAnsi="Times New Roman" w:cs="Times New Roman"/>
          <w:sz w:val="26"/>
          <w:szCs w:val="26"/>
        </w:rPr>
        <w:lastRenderedPageBreak/>
        <w:t>There are no exceptions.</w:t>
      </w:r>
    </w:p>
    <w:p w:rsidRPr="00D772B7" w:rsidR="008F6CF1" w:rsidP="00D14071" w:rsidRDefault="008F6CF1" w14:paraId="7889468C" w14:textId="77777777">
      <w:pPr>
        <w:spacing w:line="240" w:lineRule="auto"/>
        <w:rPr>
          <w:rFonts w:ascii="Times New Roman" w:hAnsi="Times New Roman" w:cs="Times New Roman"/>
          <w:b/>
          <w:sz w:val="26"/>
          <w:szCs w:val="26"/>
        </w:rPr>
      </w:pPr>
    </w:p>
    <w:sectPr w:rsidRPr="00D772B7" w:rsidR="008F6CF1" w:rsidSect="00E6276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A0873" w14:textId="77777777" w:rsidR="00372C8F" w:rsidRDefault="00372C8F" w:rsidP="00D350A8">
      <w:pPr>
        <w:spacing w:after="0" w:line="240" w:lineRule="auto"/>
      </w:pPr>
      <w:r>
        <w:separator/>
      </w:r>
    </w:p>
  </w:endnote>
  <w:endnote w:type="continuationSeparator" w:id="0">
    <w:p w14:paraId="3CA846F7" w14:textId="77777777" w:rsidR="00372C8F" w:rsidRDefault="00372C8F" w:rsidP="00D3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5F65" w14:textId="77777777" w:rsidR="004A6053" w:rsidRDefault="004A6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793893"/>
      <w:docPartObj>
        <w:docPartGallery w:val="Page Numbers (Bottom of Page)"/>
        <w:docPartUnique/>
      </w:docPartObj>
    </w:sdtPr>
    <w:sdtEndPr>
      <w:rPr>
        <w:noProof/>
      </w:rPr>
    </w:sdtEndPr>
    <w:sdtContent>
      <w:p w14:paraId="27601837" w14:textId="013BDDF8" w:rsidR="007A6365" w:rsidRDefault="007A6365">
        <w:pPr>
          <w:pStyle w:val="Footer"/>
          <w:jc w:val="right"/>
        </w:pPr>
        <w:r>
          <w:fldChar w:fldCharType="begin"/>
        </w:r>
        <w:r>
          <w:instrText xml:space="preserve"> PAGE   \* MERGEFORMAT </w:instrText>
        </w:r>
        <w:r>
          <w:fldChar w:fldCharType="separate"/>
        </w:r>
        <w:r w:rsidR="002748EA">
          <w:rPr>
            <w:noProof/>
          </w:rPr>
          <w:t>8</w:t>
        </w:r>
        <w:r>
          <w:rPr>
            <w:noProof/>
          </w:rPr>
          <w:fldChar w:fldCharType="end"/>
        </w:r>
      </w:p>
    </w:sdtContent>
  </w:sdt>
  <w:p w14:paraId="157F03A9" w14:textId="77777777" w:rsidR="007A6365" w:rsidRDefault="007A6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1335" w14:textId="77777777" w:rsidR="004A6053" w:rsidRDefault="004A6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DA92F" w14:textId="77777777" w:rsidR="00372C8F" w:rsidRDefault="00372C8F" w:rsidP="00D350A8">
      <w:pPr>
        <w:spacing w:after="0" w:line="240" w:lineRule="auto"/>
      </w:pPr>
      <w:r>
        <w:separator/>
      </w:r>
    </w:p>
  </w:footnote>
  <w:footnote w:type="continuationSeparator" w:id="0">
    <w:p w14:paraId="07C5094F" w14:textId="77777777" w:rsidR="00372C8F" w:rsidRDefault="00372C8F" w:rsidP="00D350A8">
      <w:pPr>
        <w:spacing w:after="0" w:line="240" w:lineRule="auto"/>
      </w:pPr>
      <w:r>
        <w:continuationSeparator/>
      </w:r>
    </w:p>
  </w:footnote>
  <w:footnote w:id="1">
    <w:p w14:paraId="36874A58" w14:textId="77777777" w:rsidR="00C4205B" w:rsidRPr="00DC68EB" w:rsidRDefault="00C4205B" w:rsidP="00C4205B">
      <w:pPr>
        <w:pStyle w:val="FootnoteText"/>
        <w:rPr>
          <w:sz w:val="26"/>
          <w:szCs w:val="26"/>
        </w:rPr>
      </w:pPr>
      <w:r w:rsidRPr="00DC68EB">
        <w:rPr>
          <w:rStyle w:val="FootnoteReference"/>
          <w:sz w:val="26"/>
          <w:szCs w:val="26"/>
          <w:vertAlign w:val="superscript"/>
        </w:rPr>
        <w:footnoteRef/>
      </w:r>
      <w:r w:rsidRPr="00DC68EB">
        <w:rPr>
          <w:sz w:val="26"/>
          <w:szCs w:val="26"/>
          <w:vertAlign w:val="superscript"/>
        </w:rPr>
        <w:t xml:space="preserve"> </w:t>
      </w:r>
      <w:r w:rsidRPr="00DC68EB">
        <w:rPr>
          <w:sz w:val="26"/>
          <w:szCs w:val="26"/>
        </w:rPr>
        <w:t>16 U.S.C. 824o(d)(3).</w:t>
      </w:r>
    </w:p>
  </w:footnote>
  <w:footnote w:id="2">
    <w:p w14:paraId="7F3BE5E3" w14:textId="77777777" w:rsidR="00C4205B" w:rsidRPr="00423A60" w:rsidRDefault="00C4205B" w:rsidP="00C4205B">
      <w:pPr>
        <w:pStyle w:val="FootnoteText"/>
        <w:rPr>
          <w:sz w:val="26"/>
          <w:szCs w:val="26"/>
        </w:rPr>
      </w:pPr>
      <w:r w:rsidRPr="00423A60">
        <w:rPr>
          <w:sz w:val="26"/>
          <w:szCs w:val="26"/>
          <w:vertAlign w:val="superscript"/>
        </w:rPr>
        <w:footnoteRef/>
      </w:r>
      <w:r w:rsidRPr="00423A60">
        <w:rPr>
          <w:sz w:val="26"/>
          <w:szCs w:val="26"/>
        </w:rPr>
        <w:t xml:space="preserve"> </w:t>
      </w:r>
      <w:r w:rsidRPr="00423A60">
        <w:rPr>
          <w:i/>
          <w:sz w:val="26"/>
          <w:szCs w:val="26"/>
        </w:rPr>
        <w:t>Id.</w:t>
      </w:r>
      <w:r w:rsidRPr="00423A60">
        <w:rPr>
          <w:sz w:val="26"/>
          <w:szCs w:val="26"/>
        </w:rPr>
        <w:t xml:space="preserve"> § 824o(e)(4).</w:t>
      </w:r>
    </w:p>
  </w:footnote>
  <w:footnote w:id="3">
    <w:p w14:paraId="37EF2017" w14:textId="77777777" w:rsidR="00C4205B" w:rsidRPr="00423A60" w:rsidRDefault="00C4205B" w:rsidP="00C4205B">
      <w:pPr>
        <w:pStyle w:val="FootnoteText"/>
        <w:rPr>
          <w:sz w:val="26"/>
          <w:szCs w:val="26"/>
        </w:rPr>
      </w:pPr>
      <w:r w:rsidRPr="00423A60">
        <w:rPr>
          <w:sz w:val="26"/>
          <w:szCs w:val="26"/>
          <w:vertAlign w:val="superscript"/>
        </w:rPr>
        <w:footnoteRef/>
      </w:r>
      <w:r w:rsidRPr="00423A60">
        <w:rPr>
          <w:sz w:val="26"/>
          <w:szCs w:val="26"/>
          <w:vertAlign w:val="superscript"/>
        </w:rPr>
        <w:t xml:space="preserve"> </w:t>
      </w:r>
      <w:r w:rsidRPr="00423A60">
        <w:rPr>
          <w:i/>
          <w:sz w:val="26"/>
          <w:szCs w:val="26"/>
        </w:rPr>
        <w:t>See North American Electric Reliability Corp.</w:t>
      </w:r>
      <w:r w:rsidRPr="00423A60">
        <w:rPr>
          <w:sz w:val="26"/>
          <w:szCs w:val="26"/>
        </w:rPr>
        <w:t xml:space="preserve">, 119 FERC ¶ 61,060, at P 316-350 (Delegation Agreement Order), </w:t>
      </w:r>
      <w:r w:rsidRPr="00423A60">
        <w:rPr>
          <w:i/>
          <w:sz w:val="26"/>
          <w:szCs w:val="26"/>
        </w:rPr>
        <w:t>order on reh’g</w:t>
      </w:r>
      <w:r w:rsidRPr="00423A60">
        <w:rPr>
          <w:sz w:val="26"/>
          <w:szCs w:val="26"/>
        </w:rPr>
        <w:t xml:space="preserve">, 120 FERC ¶ 61,260 (2007). </w:t>
      </w:r>
    </w:p>
  </w:footnote>
  <w:footnote w:id="4">
    <w:p w14:paraId="6BAED81D" w14:textId="77777777" w:rsidR="00C4205B" w:rsidRPr="00423A60" w:rsidRDefault="00C4205B" w:rsidP="00C4205B">
      <w:pPr>
        <w:pStyle w:val="FootnoteText"/>
        <w:rPr>
          <w:sz w:val="26"/>
          <w:szCs w:val="26"/>
        </w:rPr>
      </w:pPr>
      <w:r w:rsidRPr="00423A60">
        <w:rPr>
          <w:sz w:val="26"/>
          <w:szCs w:val="26"/>
          <w:vertAlign w:val="superscript"/>
        </w:rPr>
        <w:footnoteRef/>
      </w:r>
      <w:r w:rsidRPr="00423A60">
        <w:rPr>
          <w:sz w:val="26"/>
          <w:szCs w:val="26"/>
          <w:vertAlign w:val="superscript"/>
        </w:rPr>
        <w:t xml:space="preserve"> </w:t>
      </w:r>
      <w:r w:rsidRPr="00423A60">
        <w:rPr>
          <w:i/>
          <w:sz w:val="26"/>
          <w:szCs w:val="26"/>
        </w:rPr>
        <w:t>Id.</w:t>
      </w:r>
      <w:r w:rsidRPr="00423A60">
        <w:rPr>
          <w:sz w:val="26"/>
          <w:szCs w:val="26"/>
        </w:rPr>
        <w:t xml:space="preserve"> P 302.</w:t>
      </w:r>
    </w:p>
  </w:footnote>
  <w:footnote w:id="5">
    <w:p w14:paraId="2DA5AE7F" w14:textId="77777777" w:rsidR="00C4205B" w:rsidRPr="00423A60" w:rsidRDefault="00C4205B" w:rsidP="00C4205B">
      <w:pPr>
        <w:pStyle w:val="FootnoteText"/>
        <w:rPr>
          <w:sz w:val="26"/>
          <w:szCs w:val="26"/>
        </w:rPr>
      </w:pPr>
      <w:r w:rsidRPr="00423A60">
        <w:rPr>
          <w:sz w:val="26"/>
          <w:szCs w:val="26"/>
          <w:vertAlign w:val="superscript"/>
        </w:rPr>
        <w:footnoteRef/>
      </w:r>
      <w:r w:rsidRPr="00423A60">
        <w:rPr>
          <w:sz w:val="26"/>
          <w:szCs w:val="26"/>
        </w:rPr>
        <w:t xml:space="preserve"> </w:t>
      </w:r>
      <w:r w:rsidRPr="00423A60">
        <w:rPr>
          <w:i/>
          <w:sz w:val="26"/>
          <w:szCs w:val="26"/>
        </w:rPr>
        <w:t>Rules Concerning Certification of the Electric Reliability Organization; Procedures for the Establishment, Approval, and Enforcement of Electric Reliability Standards</w:t>
      </w:r>
      <w:r w:rsidRPr="00423A60">
        <w:rPr>
          <w:sz w:val="26"/>
          <w:szCs w:val="26"/>
        </w:rPr>
        <w:t xml:space="preserve">, Order No. 672, FERC Stats. &amp; Regs. ¶ 31,204, at P 290, </w:t>
      </w:r>
      <w:r w:rsidRPr="00423A60">
        <w:rPr>
          <w:i/>
          <w:sz w:val="26"/>
          <w:szCs w:val="26"/>
        </w:rPr>
        <w:t>order on reh’g</w:t>
      </w:r>
      <w:r w:rsidRPr="00423A60">
        <w:rPr>
          <w:sz w:val="26"/>
          <w:szCs w:val="26"/>
        </w:rPr>
        <w:t xml:space="preserve">, Order No. 672-A, FERC Stats. &amp; Regs. ¶ 31,212 (2006). </w:t>
      </w:r>
    </w:p>
  </w:footnote>
  <w:footnote w:id="6">
    <w:p w14:paraId="48240F6F" w14:textId="77777777" w:rsidR="00C4205B" w:rsidRPr="00423A60" w:rsidRDefault="00C4205B" w:rsidP="00C4205B">
      <w:pPr>
        <w:pStyle w:val="FootnoteText"/>
        <w:rPr>
          <w:sz w:val="26"/>
          <w:szCs w:val="26"/>
        </w:rPr>
      </w:pPr>
      <w:r w:rsidRPr="00423A60">
        <w:rPr>
          <w:rStyle w:val="FootnoteReference"/>
          <w:sz w:val="26"/>
          <w:szCs w:val="26"/>
          <w:vertAlign w:val="superscript"/>
        </w:rPr>
        <w:footnoteRef/>
      </w:r>
      <w:r w:rsidRPr="00423A60">
        <w:rPr>
          <w:sz w:val="26"/>
          <w:szCs w:val="26"/>
        </w:rPr>
        <w:t xml:space="preserve"> Order No. 672, FERC Stats. &amp; Regs. ¶ 31,204 at P 291.</w:t>
      </w:r>
    </w:p>
  </w:footnote>
  <w:footnote w:id="7">
    <w:p w14:paraId="54254A38" w14:textId="2D1F420E" w:rsidR="00382140" w:rsidRPr="00E04F78" w:rsidRDefault="00EA28FC" w:rsidP="00E04F78">
      <w:pPr>
        <w:pStyle w:val="NormalWeb"/>
        <w:shd w:val="clear" w:color="auto" w:fill="FFFFFF"/>
        <w:rPr>
          <w:rFonts w:cs="Calibri"/>
          <w:color w:val="000000"/>
        </w:rPr>
      </w:pPr>
      <w:r w:rsidRPr="00E04F78">
        <w:rPr>
          <w:rStyle w:val="FootnoteReference"/>
          <w:vertAlign w:val="superscript"/>
        </w:rPr>
        <w:footnoteRef/>
      </w:r>
      <w:r w:rsidRPr="00E04F78">
        <w:rPr>
          <w:vertAlign w:val="superscript"/>
        </w:rPr>
        <w:t xml:space="preserve"> </w:t>
      </w:r>
      <w:r w:rsidR="008B529E">
        <w:rPr>
          <w:vertAlign w:val="superscript"/>
        </w:rPr>
        <w:t xml:space="preserve"> </w:t>
      </w:r>
      <w:r w:rsidR="008B529E">
        <w:rPr>
          <w:rFonts w:cs="Calibri"/>
          <w:color w:val="000000"/>
        </w:rPr>
        <w:t xml:space="preserve">  </w:t>
      </w:r>
      <w:r w:rsidR="00E92395" w:rsidRPr="00E04F78">
        <w:rPr>
          <w:rFonts w:cs="Calibri"/>
          <w:color w:val="000000"/>
        </w:rPr>
        <w:t>I</w:t>
      </w:r>
      <w:r w:rsidR="00E92395" w:rsidRPr="00E04F78">
        <w:rPr>
          <w:szCs w:val="23"/>
        </w:rPr>
        <w:t>n accordance with the NERC Rules of Procedure, NERC register</w:t>
      </w:r>
      <w:r w:rsidR="001E0AE1" w:rsidRPr="00E04F78">
        <w:rPr>
          <w:szCs w:val="23"/>
        </w:rPr>
        <w:t>s</w:t>
      </w:r>
      <w:r w:rsidR="00E92395" w:rsidRPr="00E04F78">
        <w:rPr>
          <w:szCs w:val="23"/>
        </w:rPr>
        <w:t xml:space="preserve"> the organizations responsible for complying with Reliability Standards.  </w:t>
      </w:r>
      <w:r w:rsidR="00382140" w:rsidRPr="00E04F78">
        <w:rPr>
          <w:rFonts w:cs="Calibri"/>
        </w:rPr>
        <w:t>The Commission’s regulations at 18 CFR 39.2 require each owner, operator, and user of the Bulk Power System to be registered with NERC and to comply with approved Reliability Standards.</w:t>
      </w:r>
    </w:p>
  </w:footnote>
  <w:footnote w:id="8">
    <w:p w14:paraId="4A09CAA1" w14:textId="2C9BE64E" w:rsidR="00810BF9" w:rsidRPr="0058610D" w:rsidRDefault="00810BF9" w:rsidP="00810BF9">
      <w:pPr>
        <w:pStyle w:val="FootnoteText"/>
        <w:rPr>
          <w:sz w:val="26"/>
          <w:szCs w:val="26"/>
        </w:rPr>
      </w:pPr>
      <w:r w:rsidRPr="0058610D">
        <w:rPr>
          <w:rStyle w:val="FootnoteReference"/>
          <w:sz w:val="26"/>
          <w:szCs w:val="26"/>
          <w:vertAlign w:val="superscript"/>
        </w:rPr>
        <w:footnoteRef/>
      </w:r>
      <w:r w:rsidRPr="0058610D">
        <w:rPr>
          <w:sz w:val="26"/>
          <w:szCs w:val="26"/>
          <w:vertAlign w:val="superscript"/>
        </w:rPr>
        <w:t xml:space="preserve"> </w:t>
      </w:r>
      <w:r w:rsidR="007A6365" w:rsidRPr="0058610D">
        <w:rPr>
          <w:sz w:val="26"/>
          <w:szCs w:val="26"/>
        </w:rPr>
        <w:t>Available at</w:t>
      </w:r>
      <w:r w:rsidR="004C510E" w:rsidRPr="0058610D">
        <w:rPr>
          <w:sz w:val="26"/>
          <w:szCs w:val="26"/>
        </w:rPr>
        <w:t xml:space="preserve"> </w:t>
      </w:r>
      <w:r w:rsidR="007A6365" w:rsidRPr="0058610D">
        <w:rPr>
          <w:sz w:val="26"/>
          <w:szCs w:val="26"/>
        </w:rPr>
        <w:t>http://www.nerc.com/FilingsOrders/us/RuleOfProcedureDL/NERC_ROP_Effective_20140701_updated_20140602.pdf.</w:t>
      </w:r>
    </w:p>
  </w:footnote>
  <w:footnote w:id="9">
    <w:p w14:paraId="74AF4C5D" w14:textId="41A774B9" w:rsidR="00C4205B" w:rsidRPr="00794A5A" w:rsidRDefault="00C4205B" w:rsidP="00C4205B">
      <w:pPr>
        <w:pStyle w:val="FootnoteText"/>
        <w:spacing w:after="120"/>
      </w:pPr>
      <w:r w:rsidRPr="0058610D">
        <w:rPr>
          <w:rStyle w:val="FootnoteReference"/>
          <w:sz w:val="26"/>
          <w:szCs w:val="26"/>
          <w:vertAlign w:val="superscript"/>
        </w:rPr>
        <w:footnoteRef/>
      </w:r>
      <w:r w:rsidRPr="0058610D">
        <w:rPr>
          <w:sz w:val="26"/>
          <w:szCs w:val="26"/>
        </w:rPr>
        <w:t xml:space="preserve"> Details of the ERO standards development process are available on the NERC website at </w:t>
      </w:r>
      <w:hyperlink r:id="rId1" w:history="1">
        <w:r w:rsidRPr="0058610D">
          <w:rPr>
            <w:rStyle w:val="Hyperlink"/>
            <w:sz w:val="26"/>
            <w:szCs w:val="26"/>
          </w:rPr>
          <w:t>http://www.nerc.com/docs/standards/sc/Standard_Processes_Manual_Approved_May_2010.pdf</w:t>
        </w:r>
      </w:hyperlink>
      <w:r w:rsidRPr="00794A5A">
        <w:rPr>
          <w:szCs w:val="26"/>
        </w:rPr>
        <w:t>.</w:t>
      </w:r>
    </w:p>
  </w:footnote>
  <w:footnote w:id="10">
    <w:p w14:paraId="687BCDEC" w14:textId="77777777" w:rsidR="00F14924" w:rsidRPr="0058610D" w:rsidRDefault="00F14924" w:rsidP="00F14924">
      <w:pPr>
        <w:pStyle w:val="FootnoteText"/>
        <w:rPr>
          <w:sz w:val="26"/>
          <w:szCs w:val="26"/>
        </w:rPr>
      </w:pPr>
      <w:r w:rsidRPr="0058610D">
        <w:rPr>
          <w:rStyle w:val="FootnoteReference"/>
          <w:sz w:val="26"/>
          <w:szCs w:val="26"/>
          <w:vertAlign w:val="superscript"/>
        </w:rPr>
        <w:footnoteRef/>
      </w:r>
      <w:r w:rsidRPr="0058610D">
        <w:rPr>
          <w:sz w:val="26"/>
          <w:szCs w:val="26"/>
          <w:vertAlign w:val="superscript"/>
        </w:rPr>
        <w:t xml:space="preserve"> </w:t>
      </w:r>
      <w:r w:rsidRPr="0058610D">
        <w:rPr>
          <w:sz w:val="26"/>
          <w:szCs w:val="26"/>
        </w:rPr>
        <w:t>Section 1502, Paragraph 2, available at NERCs website</w:t>
      </w:r>
    </w:p>
  </w:footnote>
  <w:footnote w:id="11">
    <w:p w14:paraId="36939141" w14:textId="77777777" w:rsidR="0058610D" w:rsidRPr="00A33003" w:rsidRDefault="0058610D" w:rsidP="0058610D">
      <w:pPr>
        <w:pStyle w:val="FootnoteText"/>
        <w:rPr>
          <w:sz w:val="26"/>
          <w:szCs w:val="26"/>
        </w:rPr>
      </w:pPr>
      <w:r w:rsidRPr="003076DE">
        <w:rPr>
          <w:rStyle w:val="FootnoteReference"/>
          <w:sz w:val="26"/>
          <w:szCs w:val="26"/>
          <w:vertAlign w:val="superscript"/>
        </w:rPr>
        <w:footnoteRef/>
      </w:r>
      <w:r w:rsidRPr="003076DE">
        <w:rPr>
          <w:sz w:val="26"/>
          <w:szCs w:val="26"/>
          <w:vertAlign w:val="superscript"/>
        </w:rPr>
        <w:t xml:space="preserve"> </w:t>
      </w:r>
      <w:r w:rsidRPr="009C5703">
        <w:rPr>
          <w:rFonts w:eastAsia="Calibri"/>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12">
    <w:p w14:paraId="47D7C59D" w14:textId="0F15B0DF" w:rsidR="0058610D" w:rsidRPr="009C5703" w:rsidRDefault="0058610D" w:rsidP="008F6CF1">
      <w:pPr>
        <w:pStyle w:val="FootnoteText"/>
        <w:rPr>
          <w:rFonts w:eastAsia="Calibri"/>
          <w:sz w:val="26"/>
          <w:szCs w:val="26"/>
        </w:rPr>
      </w:pPr>
      <w:r w:rsidRPr="003076DE">
        <w:rPr>
          <w:rStyle w:val="FootnoteReference"/>
          <w:sz w:val="26"/>
          <w:szCs w:val="26"/>
          <w:vertAlign w:val="superscript"/>
        </w:rPr>
        <w:footnoteRef/>
      </w:r>
      <w:r w:rsidR="002748EA">
        <w:rPr>
          <w:sz w:val="26"/>
          <w:szCs w:val="26"/>
        </w:rPr>
        <w:t xml:space="preserve"> </w:t>
      </w:r>
      <w:r w:rsidR="008F6CF1" w:rsidRPr="008F6CF1">
        <w:rPr>
          <w:sz w:val="26"/>
          <w:szCs w:val="26"/>
        </w:rPr>
        <w:t xml:space="preserve">Commission staff estimates that the industry’s skill set and cost (for wages and benefits) for FERC-725I are approximately the same as the Commission’s average cost.  The FERC 2019 average salary plus benefits for one FERC full-time equivalent (FTE) is $167,091/year (or $80.00/hour).  </w:t>
      </w:r>
      <w:r w:rsidRPr="00A33003">
        <w:rPr>
          <w:sz w:val="26"/>
          <w:szCs w:val="26"/>
        </w:rPr>
        <w:t xml:space="preserve"> </w:t>
      </w:r>
    </w:p>
    <w:p w14:paraId="3BC4F818" w14:textId="77777777" w:rsidR="0058610D" w:rsidRPr="00A33003" w:rsidRDefault="0058610D" w:rsidP="0058610D">
      <w:pPr>
        <w:pStyle w:val="FootnoteText"/>
        <w:rPr>
          <w:sz w:val="26"/>
          <w:szCs w:val="26"/>
        </w:rPr>
      </w:pPr>
    </w:p>
  </w:footnote>
  <w:footnote w:id="13">
    <w:p w14:paraId="044E50CB" w14:textId="77777777" w:rsidR="001058F0" w:rsidRPr="001058F0" w:rsidRDefault="001058F0" w:rsidP="001058F0">
      <w:pPr>
        <w:pStyle w:val="FootnoteText"/>
        <w:rPr>
          <w:sz w:val="26"/>
          <w:szCs w:val="26"/>
        </w:rPr>
      </w:pPr>
      <w:r w:rsidRPr="00F1670E">
        <w:rPr>
          <w:rStyle w:val="FootnoteReference"/>
          <w:b/>
          <w:vertAlign w:val="superscript"/>
        </w:rPr>
        <w:footnoteRef/>
      </w:r>
      <w:r w:rsidRPr="00E138E1">
        <w:rPr>
          <w:vertAlign w:val="superscript"/>
        </w:rPr>
        <w:t xml:space="preserve"> </w:t>
      </w:r>
      <w:r w:rsidRPr="001058F0">
        <w:rPr>
          <w:sz w:val="26"/>
          <w:szCs w:val="26"/>
        </w:rPr>
        <w:t>Paperwork Reduction Act of 1995 (PRA).</w:t>
      </w:r>
    </w:p>
  </w:footnote>
  <w:footnote w:id="14">
    <w:p w14:paraId="4B7E3451" w14:textId="77777777" w:rsidR="001058F0" w:rsidRPr="001058F0" w:rsidRDefault="001058F0" w:rsidP="001058F0">
      <w:pPr>
        <w:pStyle w:val="FootnoteText"/>
        <w:rPr>
          <w:sz w:val="26"/>
          <w:szCs w:val="26"/>
        </w:rPr>
      </w:pPr>
      <w:r w:rsidRPr="001058F0">
        <w:rPr>
          <w:rStyle w:val="FootnoteReference"/>
          <w:b/>
          <w:sz w:val="26"/>
          <w:szCs w:val="26"/>
          <w:vertAlign w:val="superscript"/>
        </w:rPr>
        <w:footnoteRef/>
      </w:r>
      <w:r w:rsidRPr="001058F0">
        <w:rPr>
          <w:sz w:val="26"/>
          <w:szCs w:val="26"/>
          <w:vertAlign w:val="superscript"/>
        </w:rPr>
        <w:t xml:space="preserve"> </w:t>
      </w:r>
      <w:r w:rsidRPr="001058F0">
        <w:rPr>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8E09F" w14:textId="77777777" w:rsidR="004A6053" w:rsidRDefault="004A6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60F63" w14:textId="330BD9A5" w:rsidR="00D350A8" w:rsidRDefault="006A675F" w:rsidP="006A675F">
    <w:pPr>
      <w:pStyle w:val="Head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0" allowOverlap="1" wp14:anchorId="68A95BE4" wp14:editId="1A669A88">
              <wp:simplePos x="0" y="0"/>
              <wp:positionH relativeFrom="page">
                <wp:posOffset>0</wp:posOffset>
              </wp:positionH>
              <wp:positionV relativeFrom="page">
                <wp:posOffset>190500</wp:posOffset>
              </wp:positionV>
              <wp:extent cx="7772400" cy="266700"/>
              <wp:effectExtent l="0" t="0" r="0" b="0"/>
              <wp:wrapNone/>
              <wp:docPr id="1" name="MSIPCM130f4f3aa6edcab34e0759ac"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1C54B7" w14:textId="2B4AB708" w:rsidR="006A675F" w:rsidRPr="006A675F" w:rsidRDefault="006A675F" w:rsidP="00996F39">
                          <w:pPr>
                            <w:spacing w:after="0"/>
                            <w:rPr>
                              <w:rFonts w:ascii="Times New Roman" w:hAnsi="Times New Roman" w:cs="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8A95BE4" id="_x0000_t202" coordsize="21600,21600" o:spt="202" path="m,l,21600r21600,l21600,xe">
              <v:stroke joinstyle="miter"/>
              <v:path gradientshapeok="t" o:connecttype="rect"/>
            </v:shapetype>
            <v:shape id="MSIPCM130f4f3aa6edcab34e0759ac" o:spid="_x0000_s1026" type="#_x0000_t202" alt="{&quot;HashCode&quot;:-175139966,&quot;Height&quot;:792.0,&quot;Width&quot;:612.0,&quot;Placement&quot;:&quot;Header&quot;,&quot;Index&quot;:&quot;Primary&quot;,&quot;Section&quot;:1,&quot;Top&quot;:0.0,&quot;Left&quot;:0.0}" style="position:absolute;margin-left:0;margin-top:15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" o:allowincell="f" filled="f" stroked="f" strokeweight=".5pt">
              <v:textbox inset=",0,,0">
                <w:txbxContent>
                  <w:p w14:paraId="131C54B7" w14:textId="2B4AB708" w:rsidR="006A675F" w:rsidRPr="006A675F" w:rsidRDefault="006A675F" w:rsidP="00996F39">
                    <w:pPr>
                      <w:spacing w:after="0"/>
                      <w:rPr>
                        <w:rFonts w:ascii="Times New Roman" w:hAnsi="Times New Roman" w:cs="Times New Roman"/>
                        <w:color w:val="A80000"/>
                        <w:sz w:val="26"/>
                      </w:rPr>
                    </w:pPr>
                  </w:p>
                </w:txbxContent>
              </v:textbox>
              <w10:wrap anchorx="page" anchory="page"/>
            </v:shape>
          </w:pict>
        </mc:Fallback>
      </mc:AlternateContent>
    </w:r>
    <w:r w:rsidRPr="006A675F">
      <w:rPr>
        <w:rFonts w:ascii="Times New Roman" w:hAnsi="Times New Roman" w:cs="Times New Roman"/>
        <w:sz w:val="26"/>
        <w:szCs w:val="26"/>
      </w:rPr>
      <w:t>FERC-725I (OMB Control No. 1902-0258)</w:t>
    </w:r>
  </w:p>
  <w:p w14:paraId="6B27649C" w14:textId="77777777" w:rsidR="006A675F" w:rsidRPr="006A675F" w:rsidRDefault="006A675F" w:rsidP="006A675F">
    <w:pPr>
      <w:pStyle w:val="Header"/>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7EE63" w14:textId="77777777" w:rsidR="004A6053" w:rsidRDefault="004A6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61F65"/>
    <w:multiLevelType w:val="hybridMultilevel"/>
    <w:tmpl w:val="A52636F0"/>
    <w:lvl w:ilvl="0" w:tplc="90BC2A68">
      <w:start w:val="1"/>
      <w:numFmt w:val="decimal"/>
      <w:lvlText w:val="%1."/>
      <w:lvlJc w:val="left"/>
      <w:pPr>
        <w:tabs>
          <w:tab w:val="num" w:pos="1080"/>
        </w:tabs>
        <w:ind w:left="1080" w:hanging="360"/>
      </w:pPr>
      <w:rPr>
        <w:b w:val="0"/>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0B125FD2"/>
    <w:multiLevelType w:val="hybridMultilevel"/>
    <w:tmpl w:val="1CBCB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B7986"/>
    <w:multiLevelType w:val="hybridMultilevel"/>
    <w:tmpl w:val="BFF2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27C5C"/>
    <w:multiLevelType w:val="hybridMultilevel"/>
    <w:tmpl w:val="B3A42EF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85CA0"/>
    <w:multiLevelType w:val="hybridMultilevel"/>
    <w:tmpl w:val="49BC22A2"/>
    <w:lvl w:ilvl="0" w:tplc="CE9CF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D24C9"/>
    <w:multiLevelType w:val="hybridMultilevel"/>
    <w:tmpl w:val="B366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C53CD"/>
    <w:multiLevelType w:val="hybridMultilevel"/>
    <w:tmpl w:val="7AF45F64"/>
    <w:lvl w:ilvl="0" w:tplc="BE008128">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E61445C"/>
    <w:multiLevelType w:val="hybridMultilevel"/>
    <w:tmpl w:val="C008A292"/>
    <w:lvl w:ilvl="0" w:tplc="18CA6AAC">
      <w:start w:val="254"/>
      <w:numFmt w:val="decimal"/>
      <w:lvlText w:val="%1"/>
      <w:lvlJc w:val="left"/>
      <w:pPr>
        <w:ind w:left="765" w:hanging="405"/>
      </w:pPr>
      <w:rPr>
        <w:rFonts w:ascii="Times New Roman" w:eastAsiaTheme="minorHAnsi" w:hAnsi="Times New Roman"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0"/>
  </w:num>
  <w:num w:numId="6">
    <w:abstractNumId w:val="3"/>
  </w:num>
  <w:num w:numId="7">
    <w:abstractNumId w:val="2"/>
  </w:num>
  <w:num w:numId="8">
    <w:abstractNumId w:val="1"/>
  </w:num>
  <w:num w:numId="9">
    <w:abstractNumId w:val="5"/>
  </w:num>
  <w:num w:numId="10">
    <w:abstractNumId w:val="4"/>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A8"/>
    <w:rsid w:val="000027B8"/>
    <w:rsid w:val="0000288B"/>
    <w:rsid w:val="000151A0"/>
    <w:rsid w:val="0001730E"/>
    <w:rsid w:val="00021A56"/>
    <w:rsid w:val="000302F1"/>
    <w:rsid w:val="000314BE"/>
    <w:rsid w:val="0004133D"/>
    <w:rsid w:val="00055683"/>
    <w:rsid w:val="00055BE2"/>
    <w:rsid w:val="000659F9"/>
    <w:rsid w:val="0007532E"/>
    <w:rsid w:val="0007589B"/>
    <w:rsid w:val="0008281E"/>
    <w:rsid w:val="000A21AD"/>
    <w:rsid w:val="000A4C70"/>
    <w:rsid w:val="000B4042"/>
    <w:rsid w:val="000E5E73"/>
    <w:rsid w:val="00100229"/>
    <w:rsid w:val="001005FE"/>
    <w:rsid w:val="00100D18"/>
    <w:rsid w:val="0010134B"/>
    <w:rsid w:val="00102F1A"/>
    <w:rsid w:val="001058F0"/>
    <w:rsid w:val="001062F8"/>
    <w:rsid w:val="0011429D"/>
    <w:rsid w:val="00131E36"/>
    <w:rsid w:val="00154CD5"/>
    <w:rsid w:val="0015640F"/>
    <w:rsid w:val="0015736F"/>
    <w:rsid w:val="001756BA"/>
    <w:rsid w:val="001816FF"/>
    <w:rsid w:val="0018434D"/>
    <w:rsid w:val="00187375"/>
    <w:rsid w:val="001967A9"/>
    <w:rsid w:val="001D641B"/>
    <w:rsid w:val="001E0AE1"/>
    <w:rsid w:val="001E5158"/>
    <w:rsid w:val="001E7B76"/>
    <w:rsid w:val="001F1D83"/>
    <w:rsid w:val="00204082"/>
    <w:rsid w:val="0021481B"/>
    <w:rsid w:val="00220C6D"/>
    <w:rsid w:val="00237A0D"/>
    <w:rsid w:val="0024309E"/>
    <w:rsid w:val="00257FBE"/>
    <w:rsid w:val="0027009D"/>
    <w:rsid w:val="002748EA"/>
    <w:rsid w:val="0028387E"/>
    <w:rsid w:val="00290ACC"/>
    <w:rsid w:val="002A45D0"/>
    <w:rsid w:val="002D4CD4"/>
    <w:rsid w:val="00314EBE"/>
    <w:rsid w:val="00343794"/>
    <w:rsid w:val="003542FD"/>
    <w:rsid w:val="00362529"/>
    <w:rsid w:val="00372C8F"/>
    <w:rsid w:val="003745F7"/>
    <w:rsid w:val="00377C4E"/>
    <w:rsid w:val="00382140"/>
    <w:rsid w:val="003A536E"/>
    <w:rsid w:val="003B59B3"/>
    <w:rsid w:val="003C19D0"/>
    <w:rsid w:val="003C58AF"/>
    <w:rsid w:val="003D09FB"/>
    <w:rsid w:val="003E599C"/>
    <w:rsid w:val="003F77BD"/>
    <w:rsid w:val="0040637D"/>
    <w:rsid w:val="0041178A"/>
    <w:rsid w:val="004137F1"/>
    <w:rsid w:val="00423A60"/>
    <w:rsid w:val="00452265"/>
    <w:rsid w:val="00486C0B"/>
    <w:rsid w:val="004A1428"/>
    <w:rsid w:val="004A6053"/>
    <w:rsid w:val="004A70CA"/>
    <w:rsid w:val="004B0E0B"/>
    <w:rsid w:val="004C0981"/>
    <w:rsid w:val="004C139E"/>
    <w:rsid w:val="004C4F3C"/>
    <w:rsid w:val="004C510E"/>
    <w:rsid w:val="00501F21"/>
    <w:rsid w:val="00511A94"/>
    <w:rsid w:val="00522521"/>
    <w:rsid w:val="005246F9"/>
    <w:rsid w:val="00526F2F"/>
    <w:rsid w:val="00527AE1"/>
    <w:rsid w:val="00554CE4"/>
    <w:rsid w:val="005558F8"/>
    <w:rsid w:val="0058610D"/>
    <w:rsid w:val="00597658"/>
    <w:rsid w:val="005A7D8F"/>
    <w:rsid w:val="005B3351"/>
    <w:rsid w:val="005C0FD7"/>
    <w:rsid w:val="005C28A8"/>
    <w:rsid w:val="005C6515"/>
    <w:rsid w:val="005D017F"/>
    <w:rsid w:val="005D054F"/>
    <w:rsid w:val="005D4947"/>
    <w:rsid w:val="005E689B"/>
    <w:rsid w:val="005F07AA"/>
    <w:rsid w:val="005F447E"/>
    <w:rsid w:val="006041A6"/>
    <w:rsid w:val="0065307A"/>
    <w:rsid w:val="00684FC0"/>
    <w:rsid w:val="006A4E51"/>
    <w:rsid w:val="006A675F"/>
    <w:rsid w:val="006A7418"/>
    <w:rsid w:val="006B0E50"/>
    <w:rsid w:val="006D3CB5"/>
    <w:rsid w:val="006E5DA2"/>
    <w:rsid w:val="00703213"/>
    <w:rsid w:val="007126F0"/>
    <w:rsid w:val="00737581"/>
    <w:rsid w:val="0074127C"/>
    <w:rsid w:val="007825C8"/>
    <w:rsid w:val="0078329B"/>
    <w:rsid w:val="00794A5A"/>
    <w:rsid w:val="007A36F6"/>
    <w:rsid w:val="007A6365"/>
    <w:rsid w:val="007C66FC"/>
    <w:rsid w:val="007D29A0"/>
    <w:rsid w:val="007E39CF"/>
    <w:rsid w:val="007E67E9"/>
    <w:rsid w:val="007E757F"/>
    <w:rsid w:val="007F1EC9"/>
    <w:rsid w:val="00800E3F"/>
    <w:rsid w:val="008020B6"/>
    <w:rsid w:val="008047ED"/>
    <w:rsid w:val="00810BF9"/>
    <w:rsid w:val="00812652"/>
    <w:rsid w:val="00841318"/>
    <w:rsid w:val="00846994"/>
    <w:rsid w:val="008622FE"/>
    <w:rsid w:val="008738D6"/>
    <w:rsid w:val="008815BC"/>
    <w:rsid w:val="00886301"/>
    <w:rsid w:val="008939F7"/>
    <w:rsid w:val="008A1478"/>
    <w:rsid w:val="008A41A7"/>
    <w:rsid w:val="008B529E"/>
    <w:rsid w:val="008D20D4"/>
    <w:rsid w:val="008D6AED"/>
    <w:rsid w:val="008F42D9"/>
    <w:rsid w:val="008F6CF1"/>
    <w:rsid w:val="00900C36"/>
    <w:rsid w:val="00905C29"/>
    <w:rsid w:val="00907AB7"/>
    <w:rsid w:val="00915E75"/>
    <w:rsid w:val="009305EF"/>
    <w:rsid w:val="0093400C"/>
    <w:rsid w:val="00960411"/>
    <w:rsid w:val="00970428"/>
    <w:rsid w:val="00996F39"/>
    <w:rsid w:val="009A4580"/>
    <w:rsid w:val="009C1020"/>
    <w:rsid w:val="009C2A3E"/>
    <w:rsid w:val="009D7E5F"/>
    <w:rsid w:val="009E4A19"/>
    <w:rsid w:val="009F0B95"/>
    <w:rsid w:val="009F229E"/>
    <w:rsid w:val="009F2B25"/>
    <w:rsid w:val="00A21CB4"/>
    <w:rsid w:val="00A253BE"/>
    <w:rsid w:val="00A2591A"/>
    <w:rsid w:val="00A32106"/>
    <w:rsid w:val="00A7099E"/>
    <w:rsid w:val="00A7121F"/>
    <w:rsid w:val="00A858C8"/>
    <w:rsid w:val="00AC06FC"/>
    <w:rsid w:val="00AC5526"/>
    <w:rsid w:val="00AF5319"/>
    <w:rsid w:val="00B065DF"/>
    <w:rsid w:val="00B231D4"/>
    <w:rsid w:val="00B46310"/>
    <w:rsid w:val="00B5030A"/>
    <w:rsid w:val="00B52592"/>
    <w:rsid w:val="00B53FEB"/>
    <w:rsid w:val="00B63850"/>
    <w:rsid w:val="00B647F4"/>
    <w:rsid w:val="00B713B2"/>
    <w:rsid w:val="00B820C3"/>
    <w:rsid w:val="00B85D31"/>
    <w:rsid w:val="00B9217D"/>
    <w:rsid w:val="00B96B00"/>
    <w:rsid w:val="00BB5762"/>
    <w:rsid w:val="00BC132D"/>
    <w:rsid w:val="00BC4817"/>
    <w:rsid w:val="00BE0F87"/>
    <w:rsid w:val="00BE1A68"/>
    <w:rsid w:val="00BE3F6B"/>
    <w:rsid w:val="00BF0D70"/>
    <w:rsid w:val="00C30545"/>
    <w:rsid w:val="00C315D8"/>
    <w:rsid w:val="00C360B7"/>
    <w:rsid w:val="00C4205B"/>
    <w:rsid w:val="00C453FF"/>
    <w:rsid w:val="00C527F5"/>
    <w:rsid w:val="00C6687F"/>
    <w:rsid w:val="00CB13A8"/>
    <w:rsid w:val="00CC2775"/>
    <w:rsid w:val="00CC7764"/>
    <w:rsid w:val="00CF2F38"/>
    <w:rsid w:val="00D04FB0"/>
    <w:rsid w:val="00D1124F"/>
    <w:rsid w:val="00D14071"/>
    <w:rsid w:val="00D215A2"/>
    <w:rsid w:val="00D27D95"/>
    <w:rsid w:val="00D31EFC"/>
    <w:rsid w:val="00D34C8D"/>
    <w:rsid w:val="00D350A8"/>
    <w:rsid w:val="00D400ED"/>
    <w:rsid w:val="00D51DDF"/>
    <w:rsid w:val="00D56225"/>
    <w:rsid w:val="00D6422E"/>
    <w:rsid w:val="00D65AD9"/>
    <w:rsid w:val="00D65CE2"/>
    <w:rsid w:val="00D70591"/>
    <w:rsid w:val="00D772B7"/>
    <w:rsid w:val="00D90B5A"/>
    <w:rsid w:val="00DA12D2"/>
    <w:rsid w:val="00DB734A"/>
    <w:rsid w:val="00DC57E7"/>
    <w:rsid w:val="00DC68EB"/>
    <w:rsid w:val="00DD749B"/>
    <w:rsid w:val="00DE2323"/>
    <w:rsid w:val="00E0001D"/>
    <w:rsid w:val="00E0271B"/>
    <w:rsid w:val="00E04F78"/>
    <w:rsid w:val="00E06A4B"/>
    <w:rsid w:val="00E14C63"/>
    <w:rsid w:val="00E454EA"/>
    <w:rsid w:val="00E50B50"/>
    <w:rsid w:val="00E62766"/>
    <w:rsid w:val="00E80336"/>
    <w:rsid w:val="00E92395"/>
    <w:rsid w:val="00EA28FC"/>
    <w:rsid w:val="00EA3968"/>
    <w:rsid w:val="00EC7882"/>
    <w:rsid w:val="00EE1D2C"/>
    <w:rsid w:val="00EE4195"/>
    <w:rsid w:val="00EF4AD6"/>
    <w:rsid w:val="00EF7139"/>
    <w:rsid w:val="00F0308E"/>
    <w:rsid w:val="00F14924"/>
    <w:rsid w:val="00F266DE"/>
    <w:rsid w:val="00F27864"/>
    <w:rsid w:val="00F473FF"/>
    <w:rsid w:val="00F72A8A"/>
    <w:rsid w:val="00F839F8"/>
    <w:rsid w:val="00F97E14"/>
    <w:rsid w:val="00FA2E68"/>
    <w:rsid w:val="00FA3070"/>
    <w:rsid w:val="00FD4EE2"/>
    <w:rsid w:val="00FF701F"/>
    <w:rsid w:val="00FF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BA9CA7"/>
  <w15:docId w15:val="{12B634F0-6165-4113-908D-05D6AB10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 Char"/>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qFormat/>
    <w:rsid w:val="001058F0"/>
    <w:pPr>
      <w:ind w:left="720"/>
      <w:contextualSpacing/>
    </w:pPr>
    <w:rPr>
      <w:rFonts w:ascii="Calibri" w:eastAsia="Times New Roman" w:hAnsi="Calibri" w:cs="Times New Roman"/>
    </w:rPr>
  </w:style>
  <w:style w:type="paragraph" w:styleId="NormalWeb">
    <w:name w:val="Normal (Web)"/>
    <w:basedOn w:val="Normal"/>
    <w:uiPriority w:val="99"/>
    <w:unhideWhenUsed/>
    <w:rsid w:val="00EA28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28FC"/>
    <w:rPr>
      <w:b/>
      <w:bCs/>
    </w:rPr>
  </w:style>
  <w:style w:type="table" w:styleId="TableGrid">
    <w:name w:val="Table Grid"/>
    <w:basedOn w:val="TableNormal"/>
    <w:uiPriority w:val="59"/>
    <w:rsid w:val="00FA2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506664">
      <w:bodyDiv w:val="1"/>
      <w:marLeft w:val="0"/>
      <w:marRight w:val="0"/>
      <w:marTop w:val="0"/>
      <w:marBottom w:val="0"/>
      <w:divBdr>
        <w:top w:val="none" w:sz="0" w:space="0" w:color="auto"/>
        <w:left w:val="none" w:sz="0" w:space="0" w:color="auto"/>
        <w:bottom w:val="none" w:sz="0" w:space="0" w:color="auto"/>
        <w:right w:val="none" w:sz="0" w:space="0" w:color="auto"/>
      </w:divBdr>
    </w:div>
    <w:div w:id="533927305">
      <w:bodyDiv w:val="1"/>
      <w:marLeft w:val="0"/>
      <w:marRight w:val="0"/>
      <w:marTop w:val="0"/>
      <w:marBottom w:val="0"/>
      <w:divBdr>
        <w:top w:val="none" w:sz="0" w:space="0" w:color="auto"/>
        <w:left w:val="none" w:sz="0" w:space="0" w:color="auto"/>
        <w:bottom w:val="none" w:sz="0" w:space="0" w:color="auto"/>
        <w:right w:val="none" w:sz="0" w:space="0" w:color="auto"/>
      </w:divBdr>
      <w:divsChild>
        <w:div w:id="1981226257">
          <w:marLeft w:val="0"/>
          <w:marRight w:val="0"/>
          <w:marTop w:val="0"/>
          <w:marBottom w:val="0"/>
          <w:divBdr>
            <w:top w:val="none" w:sz="0" w:space="0" w:color="auto"/>
            <w:left w:val="none" w:sz="0" w:space="0" w:color="auto"/>
            <w:bottom w:val="none" w:sz="0" w:space="0" w:color="auto"/>
            <w:right w:val="none" w:sz="0" w:space="0" w:color="auto"/>
          </w:divBdr>
          <w:divsChild>
            <w:div w:id="1602491700">
              <w:marLeft w:val="0"/>
              <w:marRight w:val="0"/>
              <w:marTop w:val="0"/>
              <w:marBottom w:val="0"/>
              <w:divBdr>
                <w:top w:val="none" w:sz="0" w:space="0" w:color="auto"/>
                <w:left w:val="none" w:sz="0" w:space="0" w:color="auto"/>
                <w:bottom w:val="none" w:sz="0" w:space="0" w:color="auto"/>
                <w:right w:val="none" w:sz="0" w:space="0" w:color="auto"/>
              </w:divBdr>
              <w:divsChild>
                <w:div w:id="2015376427">
                  <w:marLeft w:val="0"/>
                  <w:marRight w:val="0"/>
                  <w:marTop w:val="0"/>
                  <w:marBottom w:val="0"/>
                  <w:divBdr>
                    <w:top w:val="none" w:sz="0" w:space="0" w:color="auto"/>
                    <w:left w:val="none" w:sz="0" w:space="0" w:color="auto"/>
                    <w:bottom w:val="none" w:sz="0" w:space="0" w:color="auto"/>
                    <w:right w:val="none" w:sz="0" w:space="0" w:color="auto"/>
                  </w:divBdr>
                  <w:divsChild>
                    <w:div w:id="1991787294">
                      <w:marLeft w:val="1440"/>
                      <w:marRight w:val="1440"/>
                      <w:marTop w:val="0"/>
                      <w:marBottom w:val="480"/>
                      <w:divBdr>
                        <w:top w:val="none" w:sz="0" w:space="0" w:color="auto"/>
                        <w:left w:val="none" w:sz="0" w:space="0" w:color="auto"/>
                        <w:bottom w:val="none" w:sz="0" w:space="0" w:color="auto"/>
                        <w:right w:val="none" w:sz="0" w:space="0" w:color="auto"/>
                      </w:divBdr>
                      <w:divsChild>
                        <w:div w:id="2122022640">
                          <w:marLeft w:val="0"/>
                          <w:marRight w:val="0"/>
                          <w:marTop w:val="0"/>
                          <w:marBottom w:val="0"/>
                          <w:divBdr>
                            <w:top w:val="none" w:sz="0" w:space="0" w:color="auto"/>
                            <w:left w:val="none" w:sz="0" w:space="0" w:color="auto"/>
                            <w:bottom w:val="none" w:sz="0" w:space="0" w:color="auto"/>
                            <w:right w:val="none" w:sz="0" w:space="0" w:color="auto"/>
                          </w:divBdr>
                          <w:divsChild>
                            <w:div w:id="756900844">
                              <w:marLeft w:val="4650"/>
                              <w:marRight w:val="0"/>
                              <w:marTop w:val="0"/>
                              <w:marBottom w:val="0"/>
                              <w:divBdr>
                                <w:top w:val="none" w:sz="0" w:space="0" w:color="auto"/>
                                <w:left w:val="none" w:sz="0" w:space="0" w:color="auto"/>
                                <w:bottom w:val="none" w:sz="0" w:space="0" w:color="auto"/>
                                <w:right w:val="none" w:sz="0" w:space="0" w:color="auto"/>
                              </w:divBdr>
                              <w:divsChild>
                                <w:div w:id="1629431525">
                                  <w:marLeft w:val="0"/>
                                  <w:marRight w:val="0"/>
                                  <w:marTop w:val="0"/>
                                  <w:marBottom w:val="0"/>
                                  <w:divBdr>
                                    <w:top w:val="none" w:sz="0" w:space="0" w:color="auto"/>
                                    <w:left w:val="none" w:sz="0" w:space="0" w:color="auto"/>
                                    <w:bottom w:val="none" w:sz="0" w:space="0" w:color="auto"/>
                                    <w:right w:val="none" w:sz="0" w:space="0" w:color="auto"/>
                                  </w:divBdr>
                                  <w:divsChild>
                                    <w:div w:id="1337417093">
                                      <w:marLeft w:val="0"/>
                                      <w:marRight w:val="0"/>
                                      <w:marTop w:val="0"/>
                                      <w:marBottom w:val="0"/>
                                      <w:divBdr>
                                        <w:top w:val="none" w:sz="0" w:space="0" w:color="auto"/>
                                        <w:left w:val="none" w:sz="0" w:space="0" w:color="auto"/>
                                        <w:bottom w:val="none" w:sz="0" w:space="0" w:color="auto"/>
                                        <w:right w:val="none" w:sz="0" w:space="0" w:color="auto"/>
                                      </w:divBdr>
                                      <w:divsChild>
                                        <w:div w:id="1924752116">
                                          <w:marLeft w:val="0"/>
                                          <w:marRight w:val="0"/>
                                          <w:marTop w:val="0"/>
                                          <w:marBottom w:val="0"/>
                                          <w:divBdr>
                                            <w:top w:val="none" w:sz="0" w:space="0" w:color="auto"/>
                                            <w:left w:val="none" w:sz="0" w:space="0" w:color="auto"/>
                                            <w:bottom w:val="none" w:sz="0" w:space="0" w:color="auto"/>
                                            <w:right w:val="none" w:sz="0" w:space="0" w:color="auto"/>
                                          </w:divBdr>
                                          <w:divsChild>
                                            <w:div w:id="887572178">
                                              <w:marLeft w:val="1"/>
                                              <w:marRight w:val="1"/>
                                              <w:marTop w:val="0"/>
                                              <w:marBottom w:val="0"/>
                                              <w:divBdr>
                                                <w:top w:val="none" w:sz="0" w:space="0" w:color="auto"/>
                                                <w:left w:val="none" w:sz="0" w:space="0" w:color="auto"/>
                                                <w:bottom w:val="none" w:sz="0" w:space="0" w:color="auto"/>
                                                <w:right w:val="none" w:sz="0" w:space="0" w:color="auto"/>
                                              </w:divBdr>
                                              <w:divsChild>
                                                <w:div w:id="956526001">
                                                  <w:marLeft w:val="0"/>
                                                  <w:marRight w:val="1"/>
                                                  <w:marTop w:val="0"/>
                                                  <w:marBottom w:val="0"/>
                                                  <w:divBdr>
                                                    <w:top w:val="single" w:sz="2" w:space="1" w:color="808080"/>
                                                    <w:left w:val="single" w:sz="2" w:space="1" w:color="808080"/>
                                                    <w:bottom w:val="single" w:sz="2" w:space="1" w:color="808080"/>
                                                    <w:right w:val="single" w:sz="2" w:space="1" w:color="808080"/>
                                                  </w:divBdr>
                                                  <w:divsChild>
                                                    <w:div w:id="24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3098892">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64823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erc.com/docs/standards/sc/Standard_Processes_Manual_Approved_May_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725I</_x0031__x002e__x0020_Collection_x0020_Number>
    <Date xmlns="d6eefc7d-9817-4fa6-84d5-3bc009be21b8">2020-05-18T04:00:00.000Z</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IC20-4</_x0031__x002e__x0020_Docket_x0020_Number>
    <_x0033__x002e__x0020_Collection_x0020_Number xmlns="d6eefc7d-9817-4fa6-84d5-3bc009be21b8" xsi:nil="true"/>
  </documentManagement>
</p:properti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2.xml><?xml version="1.0" encoding="utf-8"?>
<ds:datastoreItem xmlns:ds="http://schemas.openxmlformats.org/officeDocument/2006/customXml" ds:itemID="{22514170-ECC1-4916-A55D-7868DCC82103}">
  <ds:schemaRefs>
    <ds:schemaRef ds:uri="Microsoft.SharePoint.Taxonomy.ContentTypeSync"/>
  </ds:schemaRefs>
</ds:datastoreItem>
</file>

<file path=customXml/itemProps3.xml><?xml version="1.0" encoding="utf-8"?>
<ds:datastoreItem xmlns:ds="http://schemas.openxmlformats.org/officeDocument/2006/customXml" ds:itemID="{05E70F4A-87E6-4221-8D2C-3B3AA38C812D}">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6eefc7d-9817-4fa6-84d5-3bc009be21b8"/>
    <ds:schemaRef ds:uri="http://purl.org/dc/terms/"/>
    <ds:schemaRef ds:uri="http://www.w3.org/XML/1998/namespace"/>
  </ds:schemaRefs>
</ds:datastoreItem>
</file>

<file path=customXml/itemProps4.xml><?xml version="1.0" encoding="utf-8"?>
<ds:datastoreItem xmlns:ds="http://schemas.openxmlformats.org/officeDocument/2006/customXml" ds:itemID="{562778DC-D9CD-464F-A120-77D832A345D6}">
  <ds:schemaRefs>
    <ds:schemaRef ds:uri="http://schemas.microsoft.com/office/2006/metadata/customXsn"/>
  </ds:schemaRefs>
</ds:datastoreItem>
</file>

<file path=customXml/itemProps5.xml><?xml version="1.0" encoding="utf-8"?>
<ds:datastoreItem xmlns:ds="http://schemas.openxmlformats.org/officeDocument/2006/customXml" ds:itemID="{49933795-56CB-40FC-B12B-D397010B3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B92220-0CEF-41C4-86A0-855BE84F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Mandatory Reliability Standards for the Northeast Power Coordinating Council</vt:lpstr>
    </vt:vector>
  </TitlesOfParts>
  <Company>Federal Energy Regulatory Commission</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Reliability Standards for the Northeast Power Coordinating Council</dc:title>
  <dc:subject/>
  <dc:creator>Camilla Nader</dc:creator>
  <cp:keywords/>
  <dc:description/>
  <cp:lastModifiedBy>Michele Chambers</cp:lastModifiedBy>
  <cp:revision>2</cp:revision>
  <cp:lastPrinted>2020-01-08T16:33:00Z</cp:lastPrinted>
  <dcterms:created xsi:type="dcterms:W3CDTF">2020-05-18T17:11:00Z</dcterms:created>
  <dcterms:modified xsi:type="dcterms:W3CDTF">2020-05-18T17:11:00Z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e120c11f-7d21-4fdf-9d04-b34a9c1c3979_Enabled">
    <vt:lpwstr>False</vt:lpwstr>
  </property>
  <property fmtid="{D5CDD505-2E9C-101B-9397-08002B2CF9AE}" pid="4" name="MSIP_Label_e120c11f-7d21-4fdf-9d04-b34a9c1c3979_SiteId">
    <vt:lpwstr>19caa9e9-04ff-43fa-885f-d77fac387903</vt:lpwstr>
  </property>
  <property fmtid="{D5CDD505-2E9C-101B-9397-08002B2CF9AE}" pid="5" name="MSIP_Label_e120c11f-7d21-4fdf-9d04-b34a9c1c3979_Owner">
    <vt:lpwstr>David.OConnor@ferc.gov</vt:lpwstr>
  </property>
  <property fmtid="{D5CDD505-2E9C-101B-9397-08002B2CF9AE}" pid="6" name="MSIP_Label_e120c11f-7d21-4fdf-9d04-b34a9c1c3979_SetDate">
    <vt:lpwstr>2020-05-18T17:11:16.6178909Z</vt:lpwstr>
  </property>
  <property fmtid="{D5CDD505-2E9C-101B-9397-08002B2CF9AE}" pid="7" name="MSIP_Label_e120c11f-7d21-4fdf-9d04-b34a9c1c3979_Name">
    <vt:lpwstr>CUI</vt:lpwstr>
  </property>
  <property fmtid="{D5CDD505-2E9C-101B-9397-08002B2CF9AE}" pid="8" name="MSIP_Label_e120c11f-7d21-4fdf-9d04-b34a9c1c3979_Application">
    <vt:lpwstr>Microsoft Azure Information Protection</vt:lpwstr>
  </property>
  <property fmtid="{D5CDD505-2E9C-101B-9397-08002B2CF9AE}" pid="9" name="MSIP_Label_e120c11f-7d21-4fdf-9d04-b34a9c1c3979_ActionId">
    <vt:lpwstr>042e1757-5685-4f90-92ad-495423b196f6</vt:lpwstr>
  </property>
  <property fmtid="{D5CDD505-2E9C-101B-9397-08002B2CF9AE}" pid="10" name="MSIP_Label_e120c11f-7d21-4fdf-9d04-b34a9c1c3979_Extended_MSFT_Method">
    <vt:lpwstr>Manual</vt:lpwstr>
  </property>
</Properties>
</file>