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242" w:rsidRPr="001C5242" w:rsidRDefault="001C5242" w:rsidP="001C5242">
      <w:pPr>
        <w:spacing w:after="0" w:line="240" w:lineRule="auto"/>
        <w:rPr>
          <w:rFonts w:ascii="Arial" w:eastAsia="Times New Roman" w:hAnsi="Arial" w:cs="Arial"/>
          <w:color w:val="32434F"/>
        </w:rPr>
      </w:pPr>
      <w:bookmarkStart w:id="0" w:name="hl1"/>
      <w:bookmarkStart w:id="1" w:name="_GoBack"/>
      <w:bookmarkEnd w:id="1"/>
      <w:r w:rsidRPr="001C5242">
        <w:rPr>
          <w:rFonts w:ascii="Arial" w:eastAsia="Times New Roman" w:hAnsi="Arial" w:cs="Arial"/>
          <w:b/>
          <w:bCs/>
          <w:color w:val="000000"/>
          <w:shd w:val="clear" w:color="auto" w:fill="FFFF00"/>
        </w:rPr>
        <w:t>15 USC</w:t>
      </w:r>
      <w:bookmarkEnd w:id="0"/>
      <w:r w:rsidRPr="001C5242">
        <w:rPr>
          <w:rFonts w:ascii="Arial" w:eastAsia="Times New Roman" w:hAnsi="Arial" w:cs="Arial"/>
          <w:b/>
          <w:bCs/>
          <w:color w:val="32434F"/>
        </w:rPr>
        <w:t xml:space="preserve"> 717u: Jurisdiction of offenses; enforcement of liabilities and duties</w:t>
      </w:r>
      <w:r w:rsidRPr="001C5242">
        <w:rPr>
          <w:rFonts w:ascii="Arial" w:eastAsia="Times New Roman" w:hAnsi="Arial" w:cs="Arial"/>
          <w:color w:val="32434F"/>
        </w:rPr>
        <w:t xml:space="preserve"> Text contains those laws in effect on January 13, 2020 </w:t>
      </w:r>
    </w:p>
    <w:p w:rsidR="001C5242" w:rsidRPr="001C5242" w:rsidRDefault="001C5242" w:rsidP="001C5242">
      <w:pPr>
        <w:spacing w:after="0" w:line="240" w:lineRule="auto"/>
        <w:rPr>
          <w:rFonts w:ascii="Arial" w:eastAsia="Times New Roman" w:hAnsi="Arial" w:cs="Arial"/>
          <w:color w:val="32434F"/>
        </w:rPr>
      </w:pPr>
      <w:r w:rsidRPr="001C5242">
        <w:rPr>
          <w:rFonts w:ascii="Arial" w:eastAsia="Times New Roman" w:hAnsi="Arial" w:cs="Arial"/>
          <w:b/>
          <w:bCs/>
          <w:color w:val="000000"/>
        </w:rPr>
        <w:t xml:space="preserve">From Title </w:t>
      </w:r>
      <w:bookmarkStart w:id="2" w:name="hl2"/>
      <w:r w:rsidRPr="001C5242">
        <w:rPr>
          <w:rFonts w:ascii="Arial" w:eastAsia="Times New Roman" w:hAnsi="Arial" w:cs="Arial"/>
          <w:b/>
          <w:bCs/>
          <w:color w:val="000000"/>
          <w:shd w:val="clear" w:color="auto" w:fill="FFFF00"/>
        </w:rPr>
        <w:t>15</w:t>
      </w:r>
      <w:bookmarkEnd w:id="2"/>
      <w:r w:rsidRPr="001C5242">
        <w:rPr>
          <w:rFonts w:ascii="Arial" w:eastAsia="Times New Roman" w:hAnsi="Arial" w:cs="Arial"/>
          <w:b/>
          <w:bCs/>
          <w:color w:val="000000"/>
        </w:rPr>
        <w:t>-COMMERCE AND TRADE</w:t>
      </w:r>
      <w:r w:rsidRPr="001C5242">
        <w:rPr>
          <w:rFonts w:ascii="Arial" w:eastAsia="Times New Roman" w:hAnsi="Arial" w:cs="Arial"/>
          <w:color w:val="000000"/>
        </w:rPr>
        <w:t>CHAPTER 15B-NATURAL GAS</w:t>
      </w:r>
      <w:r w:rsidRPr="001C5242">
        <w:rPr>
          <w:rFonts w:ascii="Arial" w:eastAsia="Times New Roman" w:hAnsi="Arial" w:cs="Arial"/>
          <w:color w:val="32434F"/>
        </w:rPr>
        <w:t xml:space="preserve"> </w:t>
      </w:r>
    </w:p>
    <w:p w:rsidR="001C5242" w:rsidRPr="001C5242" w:rsidRDefault="001C5242" w:rsidP="001C5242">
      <w:pPr>
        <w:spacing w:after="0" w:line="240" w:lineRule="auto"/>
        <w:rPr>
          <w:rFonts w:ascii="Arial" w:eastAsia="Times New Roman" w:hAnsi="Arial" w:cs="Arial"/>
          <w:color w:val="32434F"/>
        </w:rPr>
      </w:pPr>
      <w:r w:rsidRPr="001C5242">
        <w:rPr>
          <w:rFonts w:ascii="Arial" w:eastAsia="Times New Roman" w:hAnsi="Arial" w:cs="Arial"/>
          <w:b/>
          <w:bCs/>
          <w:color w:val="000000"/>
        </w:rPr>
        <w:t xml:space="preserve">Jump To: </w:t>
      </w:r>
      <w:hyperlink r:id="rId7" w:anchor="sourcecredit" w:history="1">
        <w:r w:rsidRPr="001C5242">
          <w:rPr>
            <w:rFonts w:ascii="Arial" w:eastAsia="Times New Roman" w:hAnsi="Arial" w:cs="Arial"/>
            <w:color w:val="6F0B0B"/>
            <w:u w:val="single"/>
          </w:rPr>
          <w:t>Source Credit</w:t>
        </w:r>
      </w:hyperlink>
      <w:hyperlink r:id="rId8" w:anchor="codification-note" w:history="1">
        <w:r w:rsidRPr="001C5242">
          <w:rPr>
            <w:rFonts w:ascii="Arial" w:eastAsia="Times New Roman" w:hAnsi="Arial" w:cs="Arial"/>
            <w:color w:val="6F0B0B"/>
            <w:u w:val="single"/>
          </w:rPr>
          <w:t>Codification</w:t>
        </w:r>
      </w:hyperlink>
      <w:hyperlink r:id="rId9" w:anchor="priorprovisions-note" w:history="1">
        <w:r w:rsidRPr="001C5242">
          <w:rPr>
            <w:rFonts w:ascii="Arial" w:eastAsia="Times New Roman" w:hAnsi="Arial" w:cs="Arial"/>
            <w:color w:val="6F0B0B"/>
            <w:u w:val="single"/>
          </w:rPr>
          <w:t>Prior Provisions</w:t>
        </w:r>
      </w:hyperlink>
      <w:r w:rsidRPr="001C5242">
        <w:rPr>
          <w:rFonts w:ascii="Arial" w:eastAsia="Times New Roman" w:hAnsi="Arial" w:cs="Arial"/>
          <w:color w:val="32434F"/>
        </w:rPr>
        <w:t xml:space="preserve"> </w:t>
      </w:r>
    </w:p>
    <w:p w:rsidR="001C5242" w:rsidRPr="001C5242" w:rsidRDefault="001C5242" w:rsidP="001C5242">
      <w:pPr>
        <w:spacing w:before="150" w:after="45" w:line="240" w:lineRule="auto"/>
        <w:ind w:hanging="480"/>
        <w:outlineLvl w:val="2"/>
        <w:rPr>
          <w:rFonts w:ascii="Arial" w:eastAsia="Times New Roman" w:hAnsi="Arial" w:cs="Arial"/>
          <w:b/>
          <w:bCs/>
          <w:color w:val="32434F"/>
          <w:sz w:val="27"/>
          <w:szCs w:val="27"/>
        </w:rPr>
      </w:pPr>
      <w:r w:rsidRPr="001C5242">
        <w:rPr>
          <w:rFonts w:ascii="Arial" w:eastAsia="Times New Roman" w:hAnsi="Arial" w:cs="Arial"/>
          <w:b/>
          <w:bCs/>
          <w:color w:val="32434F"/>
          <w:sz w:val="27"/>
          <w:szCs w:val="27"/>
        </w:rPr>
        <w:t>§717u. Jurisdiction of offenses; enforcement of liabilities and duties</w:t>
      </w:r>
    </w:p>
    <w:p w:rsidR="001C5242" w:rsidRPr="001C5242" w:rsidRDefault="001C5242" w:rsidP="001C5242">
      <w:pPr>
        <w:spacing w:after="0" w:line="240" w:lineRule="auto"/>
        <w:ind w:firstLine="240"/>
        <w:rPr>
          <w:rFonts w:ascii="Arial" w:eastAsia="Times New Roman" w:hAnsi="Arial" w:cs="Arial"/>
        </w:rPr>
      </w:pPr>
      <w:r w:rsidRPr="001C5242">
        <w:rPr>
          <w:rFonts w:ascii="Arial" w:eastAsia="Times New Roman" w:hAnsi="Arial" w:cs="Arial"/>
        </w:rPr>
        <w:t xml:space="preserve">The District Courts of the United States and the United States courts of any Territory or other place subject to the jurisdiction of the United States shall have exclusive jurisdiction of violations of this chapter or the rules, regulations, and orders thereunder, and of all suits in equity and actions at law brought to enforce any liability or duty created by, or to enjoin any violation of, this chapter or any rule, regulation, or order thereunder. Any criminal proceeding shall be brought in the district wherein any act or transaction constituting the violation occurred. Any suit or action to enforce any liability or duty created by, or to enjoin any violation of, this chapter or any rule, regulation, or order thereunder may be brought in any such district or in the district wherein the defendant is an inhabitant, and process in such cases may be served wherever the defendant may be found. Judgments and decrees so rendered shall be subject to review as provided in </w:t>
      </w:r>
      <w:r w:rsidRPr="001C5242">
        <w:rPr>
          <w:rFonts w:ascii="Arial" w:eastAsia="Times New Roman" w:hAnsi="Arial" w:cs="Arial"/>
          <w:color w:val="0F0D61"/>
        </w:rPr>
        <w:t>sections 1254, 1291, and 1292 of title 28</w:t>
      </w:r>
      <w:r w:rsidRPr="001C5242">
        <w:rPr>
          <w:rFonts w:ascii="Arial" w:eastAsia="Times New Roman" w:hAnsi="Arial" w:cs="Arial"/>
        </w:rPr>
        <w:t>. No costs shall be assessed against the Commission in any judicial proceeding by or against the Commission under this chapter.</w:t>
      </w:r>
    </w:p>
    <w:p w:rsidR="001C5242" w:rsidRPr="001C5242" w:rsidRDefault="001C5242" w:rsidP="001C5242">
      <w:pPr>
        <w:spacing w:before="75" w:after="0" w:line="240" w:lineRule="auto"/>
        <w:rPr>
          <w:rFonts w:ascii="Arial" w:eastAsia="Times New Roman" w:hAnsi="Arial" w:cs="Arial"/>
        </w:rPr>
      </w:pPr>
      <w:bookmarkStart w:id="3" w:name="sourcecredit"/>
      <w:bookmarkEnd w:id="3"/>
      <w:r w:rsidRPr="001C5242">
        <w:rPr>
          <w:rFonts w:ascii="Arial" w:eastAsia="Times New Roman" w:hAnsi="Arial" w:cs="Arial"/>
        </w:rPr>
        <w:t>(</w:t>
      </w:r>
      <w:hyperlink r:id="rId10" w:tgtFrame="_blank" w:history="1">
        <w:r w:rsidRPr="001C5242">
          <w:rPr>
            <w:rFonts w:ascii="Arial" w:eastAsia="Times New Roman" w:hAnsi="Arial" w:cs="Arial"/>
            <w:color w:val="0F0D61"/>
          </w:rPr>
          <w:t xml:space="preserve">June 21, 1938, ch. 556, §24, formerly §22, 52 Stat. 833 </w:t>
        </w:r>
      </w:hyperlink>
      <w:r w:rsidRPr="001C5242">
        <w:rPr>
          <w:rFonts w:ascii="Arial" w:eastAsia="Times New Roman" w:hAnsi="Arial" w:cs="Arial"/>
        </w:rPr>
        <w:t xml:space="preserve">; </w:t>
      </w:r>
      <w:hyperlink r:id="rId11" w:tgtFrame="_blank" w:history="1">
        <w:r w:rsidRPr="001C5242">
          <w:rPr>
            <w:rFonts w:ascii="Arial" w:eastAsia="Times New Roman" w:hAnsi="Arial" w:cs="Arial"/>
            <w:color w:val="0F0D61"/>
          </w:rPr>
          <w:t xml:space="preserve">June 25, 1948, ch. 646, §1, 62 Stat. 875 </w:t>
        </w:r>
      </w:hyperlink>
      <w:r w:rsidRPr="001C5242">
        <w:rPr>
          <w:rFonts w:ascii="Arial" w:eastAsia="Times New Roman" w:hAnsi="Arial" w:cs="Arial"/>
        </w:rPr>
        <w:t xml:space="preserve">, </w:t>
      </w:r>
      <w:hyperlink r:id="rId12" w:tgtFrame="_blank" w:history="1">
        <w:r w:rsidRPr="001C5242">
          <w:rPr>
            <w:rFonts w:ascii="Arial" w:eastAsia="Times New Roman" w:hAnsi="Arial" w:cs="Arial"/>
            <w:color w:val="0F0D61"/>
          </w:rPr>
          <w:t>895</w:t>
        </w:r>
      </w:hyperlink>
      <w:r w:rsidRPr="001C5242">
        <w:rPr>
          <w:rFonts w:ascii="Arial" w:eastAsia="Times New Roman" w:hAnsi="Arial" w:cs="Arial"/>
        </w:rPr>
        <w:t xml:space="preserve">; renumbered §24, </w:t>
      </w:r>
      <w:hyperlink r:id="rId13" w:tgtFrame="_blank" w:history="1">
        <w:r w:rsidRPr="001C5242">
          <w:rPr>
            <w:rFonts w:ascii="Arial" w:eastAsia="Times New Roman" w:hAnsi="Arial" w:cs="Arial"/>
            <w:color w:val="0F0D61"/>
          </w:rPr>
          <w:t xml:space="preserve">Pub. L. 109–58, title III, §314(b)(1)(A), Aug. 8, 2005, 119 Stat. 690 </w:t>
        </w:r>
      </w:hyperlink>
      <w:r w:rsidRPr="001C5242">
        <w:rPr>
          <w:rFonts w:ascii="Arial" w:eastAsia="Times New Roman" w:hAnsi="Arial" w:cs="Arial"/>
        </w:rPr>
        <w:t>.)</w:t>
      </w:r>
    </w:p>
    <w:p w:rsidR="001C5242" w:rsidRPr="001C5242" w:rsidRDefault="001C5242" w:rsidP="001C5242">
      <w:pPr>
        <w:spacing w:before="168" w:after="45" w:line="240" w:lineRule="auto"/>
        <w:ind w:hanging="480"/>
        <w:jc w:val="center"/>
        <w:outlineLvl w:val="3"/>
        <w:rPr>
          <w:rFonts w:ascii="Arial" w:eastAsia="Times New Roman" w:hAnsi="Arial" w:cs="Arial"/>
          <w:b/>
          <w:bCs/>
          <w:smallCaps/>
        </w:rPr>
      </w:pPr>
      <w:bookmarkStart w:id="4" w:name="codification-note"/>
      <w:bookmarkEnd w:id="4"/>
      <w:r w:rsidRPr="001C5242">
        <w:rPr>
          <w:rFonts w:ascii="Arial" w:eastAsia="Times New Roman" w:hAnsi="Arial" w:cs="Arial"/>
          <w:b/>
          <w:bCs/>
          <w:smallCaps/>
        </w:rPr>
        <w:t>Codification</w:t>
      </w:r>
    </w:p>
    <w:p w:rsidR="001C5242" w:rsidRPr="001C5242" w:rsidRDefault="001C5242" w:rsidP="001C5242">
      <w:pPr>
        <w:spacing w:after="168" w:line="240" w:lineRule="auto"/>
        <w:ind w:firstLine="240"/>
        <w:rPr>
          <w:rFonts w:ascii="Arial" w:eastAsia="Times New Roman" w:hAnsi="Arial" w:cs="Arial"/>
        </w:rPr>
      </w:pPr>
      <w:r w:rsidRPr="001C5242">
        <w:rPr>
          <w:rFonts w:ascii="Arial" w:eastAsia="Times New Roman" w:hAnsi="Arial" w:cs="Arial"/>
        </w:rPr>
        <w:t xml:space="preserve">The words "the District Court of the United States for the District of Columbia" following "The District Courts of the United States" omitted as superfluous in view of </w:t>
      </w:r>
      <w:r w:rsidRPr="001C5242">
        <w:rPr>
          <w:rFonts w:ascii="Arial" w:eastAsia="Times New Roman" w:hAnsi="Arial" w:cs="Arial"/>
          <w:color w:val="0F0D61"/>
        </w:rPr>
        <w:t>section 132(a) of Title 28</w:t>
      </w:r>
      <w:r w:rsidRPr="001C5242">
        <w:rPr>
          <w:rFonts w:ascii="Arial" w:eastAsia="Times New Roman" w:hAnsi="Arial" w:cs="Arial"/>
        </w:rPr>
        <w:t xml:space="preserve">, Judiciary and Judicial Procedure, which states that "There shall be in each judicial district a district court which shall be a court of record known as the United States District Court for the district" and </w:t>
      </w:r>
      <w:r w:rsidRPr="001C5242">
        <w:rPr>
          <w:rFonts w:ascii="Arial" w:eastAsia="Times New Roman" w:hAnsi="Arial" w:cs="Arial"/>
          <w:color w:val="0F0D61"/>
        </w:rPr>
        <w:t>section 88 of title 28</w:t>
      </w:r>
      <w:r w:rsidRPr="001C5242">
        <w:rPr>
          <w:rFonts w:ascii="Arial" w:eastAsia="Times New Roman" w:hAnsi="Arial" w:cs="Arial"/>
        </w:rPr>
        <w:t xml:space="preserve"> which states that "The District of Columbia constitutes one judicial district".</w:t>
      </w:r>
    </w:p>
    <w:p w:rsidR="001C5242" w:rsidRPr="001C5242" w:rsidRDefault="001C5242" w:rsidP="001C5242">
      <w:pPr>
        <w:spacing w:after="168" w:line="240" w:lineRule="auto"/>
        <w:ind w:firstLine="240"/>
        <w:rPr>
          <w:rFonts w:ascii="Arial" w:eastAsia="Times New Roman" w:hAnsi="Arial" w:cs="Arial"/>
        </w:rPr>
      </w:pPr>
      <w:r w:rsidRPr="001C5242">
        <w:rPr>
          <w:rFonts w:ascii="Arial" w:eastAsia="Times New Roman" w:hAnsi="Arial" w:cs="Arial"/>
        </w:rPr>
        <w:t>"</w:t>
      </w:r>
      <w:r w:rsidRPr="001C5242">
        <w:rPr>
          <w:rFonts w:ascii="Arial" w:eastAsia="Times New Roman" w:hAnsi="Arial" w:cs="Arial"/>
          <w:color w:val="0F0D61"/>
        </w:rPr>
        <w:t>Sections 1254, 1291, and 1292 of title 28</w:t>
      </w:r>
      <w:r w:rsidRPr="001C5242">
        <w:rPr>
          <w:rFonts w:ascii="Arial" w:eastAsia="Times New Roman" w:hAnsi="Arial" w:cs="Arial"/>
        </w:rPr>
        <w:t>" substituted in text for "sections 128 and 240 of the Judicial Code, as amended [</w:t>
      </w:r>
      <w:r w:rsidRPr="001C5242">
        <w:rPr>
          <w:rFonts w:ascii="Arial" w:eastAsia="Times New Roman" w:hAnsi="Arial" w:cs="Arial"/>
          <w:color w:val="0F0D61"/>
        </w:rPr>
        <w:t>28 U.S.C. 225 and 347</w:t>
      </w:r>
      <w:r w:rsidRPr="001C5242">
        <w:rPr>
          <w:rFonts w:ascii="Arial" w:eastAsia="Times New Roman" w:hAnsi="Arial" w:cs="Arial"/>
        </w:rPr>
        <w:t xml:space="preserve">]" on authority of act </w:t>
      </w:r>
      <w:hyperlink r:id="rId14" w:tgtFrame="_blank" w:history="1">
        <w:r w:rsidRPr="001C5242">
          <w:rPr>
            <w:rFonts w:ascii="Arial" w:eastAsia="Times New Roman" w:hAnsi="Arial" w:cs="Arial"/>
            <w:color w:val="0F0D61"/>
          </w:rPr>
          <w:t xml:space="preserve">June 25, 1948, ch. 646, 62 Stat. 869 </w:t>
        </w:r>
      </w:hyperlink>
      <w:r w:rsidRPr="001C5242">
        <w:rPr>
          <w:rFonts w:ascii="Arial" w:eastAsia="Times New Roman" w:hAnsi="Arial" w:cs="Arial"/>
        </w:rPr>
        <w:t>, the first section of which enacted Title 28.</w:t>
      </w:r>
    </w:p>
    <w:p w:rsidR="001C5242" w:rsidRPr="001C5242" w:rsidRDefault="001C5242" w:rsidP="001C5242">
      <w:pPr>
        <w:spacing w:before="168" w:after="45" w:line="240" w:lineRule="auto"/>
        <w:ind w:hanging="480"/>
        <w:jc w:val="center"/>
        <w:outlineLvl w:val="3"/>
        <w:rPr>
          <w:rFonts w:ascii="Arial" w:eastAsia="Times New Roman" w:hAnsi="Arial" w:cs="Arial"/>
          <w:b/>
          <w:bCs/>
          <w:smallCaps/>
        </w:rPr>
      </w:pPr>
      <w:bookmarkStart w:id="5" w:name="priorprovisions-note"/>
      <w:bookmarkEnd w:id="5"/>
      <w:r w:rsidRPr="001C5242">
        <w:rPr>
          <w:rFonts w:ascii="Arial" w:eastAsia="Times New Roman" w:hAnsi="Arial" w:cs="Arial"/>
          <w:b/>
          <w:bCs/>
          <w:smallCaps/>
        </w:rPr>
        <w:t>Prior Provisions</w:t>
      </w:r>
    </w:p>
    <w:p w:rsidR="001C5242" w:rsidRDefault="001C5242" w:rsidP="001C5242">
      <w:pPr>
        <w:spacing w:after="168" w:line="240" w:lineRule="auto"/>
        <w:ind w:firstLine="240"/>
        <w:rPr>
          <w:rFonts w:ascii="Arial" w:eastAsia="Times New Roman" w:hAnsi="Arial" w:cs="Arial"/>
        </w:rPr>
      </w:pPr>
      <w:r w:rsidRPr="001C5242">
        <w:rPr>
          <w:rFonts w:ascii="Arial" w:eastAsia="Times New Roman" w:hAnsi="Arial" w:cs="Arial"/>
        </w:rPr>
        <w:t xml:space="preserve">A prior section 24 of act June 21, 1938, was renumbered section 26 and is classified to </w:t>
      </w:r>
      <w:r w:rsidRPr="001C5242">
        <w:rPr>
          <w:rFonts w:ascii="Arial" w:eastAsia="Times New Roman" w:hAnsi="Arial" w:cs="Arial"/>
          <w:color w:val="0F0D61"/>
        </w:rPr>
        <w:t xml:space="preserve">section </w:t>
      </w:r>
      <w:bookmarkStart w:id="6" w:name="hl3"/>
      <w:r w:rsidRPr="001C5242">
        <w:rPr>
          <w:rFonts w:ascii="Arial" w:eastAsia="Times New Roman" w:hAnsi="Arial" w:cs="Arial"/>
          <w:color w:val="000000"/>
          <w:shd w:val="clear" w:color="auto" w:fill="FFFF00"/>
        </w:rPr>
        <w:t>717w</w:t>
      </w:r>
      <w:bookmarkEnd w:id="6"/>
      <w:r w:rsidRPr="001C5242">
        <w:rPr>
          <w:rFonts w:ascii="Arial" w:eastAsia="Times New Roman" w:hAnsi="Arial" w:cs="Arial"/>
          <w:color w:val="0F0D61"/>
        </w:rPr>
        <w:t xml:space="preserve"> of this title</w:t>
      </w:r>
      <w:r w:rsidRPr="001C5242">
        <w:rPr>
          <w:rFonts w:ascii="Arial" w:eastAsia="Times New Roman" w:hAnsi="Arial" w:cs="Arial"/>
        </w:rPr>
        <w:t>.</w:t>
      </w:r>
    </w:p>
    <w:p w:rsidR="001C5242" w:rsidRDefault="001C5242" w:rsidP="001C5242">
      <w:pPr>
        <w:spacing w:after="168" w:line="240" w:lineRule="auto"/>
        <w:ind w:firstLine="240"/>
        <w:rPr>
          <w:rFonts w:ascii="Arial" w:eastAsia="Times New Roman" w:hAnsi="Arial" w:cs="Arial"/>
        </w:rPr>
      </w:pPr>
    </w:p>
    <w:p w:rsidR="001C5242" w:rsidRPr="001C5242" w:rsidRDefault="001C5242" w:rsidP="001C5242">
      <w:pPr>
        <w:spacing w:after="0" w:line="240" w:lineRule="auto"/>
        <w:rPr>
          <w:rFonts w:ascii="Arial" w:eastAsia="Times New Roman" w:hAnsi="Arial" w:cs="Arial"/>
          <w:color w:val="32434F"/>
        </w:rPr>
      </w:pPr>
      <w:r w:rsidRPr="001C5242">
        <w:rPr>
          <w:rFonts w:ascii="Arial" w:eastAsia="Times New Roman" w:hAnsi="Arial" w:cs="Arial"/>
          <w:b/>
          <w:bCs/>
          <w:color w:val="000000"/>
          <w:shd w:val="clear" w:color="auto" w:fill="FFFF00"/>
        </w:rPr>
        <w:t>15 USC 717w</w:t>
      </w:r>
      <w:r w:rsidRPr="001C5242">
        <w:rPr>
          <w:rFonts w:ascii="Arial" w:eastAsia="Times New Roman" w:hAnsi="Arial" w:cs="Arial"/>
          <w:b/>
          <w:bCs/>
          <w:color w:val="32434F"/>
        </w:rPr>
        <w:t xml:space="preserve"> : Short title</w:t>
      </w:r>
      <w:r w:rsidRPr="001C5242">
        <w:rPr>
          <w:rFonts w:ascii="Arial" w:eastAsia="Times New Roman" w:hAnsi="Arial" w:cs="Arial"/>
          <w:color w:val="32434F"/>
        </w:rPr>
        <w:t xml:space="preserve"> Text contains those laws in effect on January 13, 2020 </w:t>
      </w:r>
    </w:p>
    <w:p w:rsidR="001C5242" w:rsidRPr="001C5242" w:rsidRDefault="001C5242" w:rsidP="001C5242">
      <w:pPr>
        <w:spacing w:after="0" w:line="240" w:lineRule="auto"/>
        <w:rPr>
          <w:rFonts w:ascii="Arial" w:eastAsia="Times New Roman" w:hAnsi="Arial" w:cs="Arial"/>
          <w:color w:val="32434F"/>
        </w:rPr>
      </w:pPr>
      <w:r w:rsidRPr="001C5242">
        <w:rPr>
          <w:rFonts w:ascii="Arial" w:eastAsia="Times New Roman" w:hAnsi="Arial" w:cs="Arial"/>
          <w:b/>
          <w:bCs/>
          <w:color w:val="000000"/>
        </w:rPr>
        <w:t xml:space="preserve">From Title </w:t>
      </w:r>
      <w:r w:rsidRPr="001C5242">
        <w:rPr>
          <w:rFonts w:ascii="Arial" w:eastAsia="Times New Roman" w:hAnsi="Arial" w:cs="Arial"/>
          <w:b/>
          <w:bCs/>
          <w:color w:val="000000"/>
          <w:shd w:val="clear" w:color="auto" w:fill="FFFF00"/>
        </w:rPr>
        <w:t>15</w:t>
      </w:r>
      <w:r w:rsidRPr="001C5242">
        <w:rPr>
          <w:rFonts w:ascii="Arial" w:eastAsia="Times New Roman" w:hAnsi="Arial" w:cs="Arial"/>
          <w:b/>
          <w:bCs/>
          <w:color w:val="000000"/>
        </w:rPr>
        <w:t>-COMMERCE AND TRADE</w:t>
      </w:r>
      <w:r w:rsidRPr="001C5242">
        <w:rPr>
          <w:rFonts w:ascii="Arial" w:eastAsia="Times New Roman" w:hAnsi="Arial" w:cs="Arial"/>
          <w:color w:val="000000"/>
        </w:rPr>
        <w:t>CHAPTER 15B-NATURAL GAS</w:t>
      </w:r>
      <w:r w:rsidRPr="001C5242">
        <w:rPr>
          <w:rFonts w:ascii="Arial" w:eastAsia="Times New Roman" w:hAnsi="Arial" w:cs="Arial"/>
          <w:color w:val="32434F"/>
        </w:rPr>
        <w:t xml:space="preserve"> </w:t>
      </w:r>
    </w:p>
    <w:p w:rsidR="001C5242" w:rsidRPr="001C5242" w:rsidRDefault="001C5242" w:rsidP="001C5242">
      <w:pPr>
        <w:spacing w:after="0" w:line="240" w:lineRule="auto"/>
        <w:rPr>
          <w:rFonts w:ascii="Arial" w:eastAsia="Times New Roman" w:hAnsi="Arial" w:cs="Arial"/>
          <w:color w:val="32434F"/>
        </w:rPr>
      </w:pPr>
      <w:r w:rsidRPr="001C5242">
        <w:rPr>
          <w:rFonts w:ascii="Arial" w:eastAsia="Times New Roman" w:hAnsi="Arial" w:cs="Arial"/>
          <w:b/>
          <w:bCs/>
          <w:color w:val="000000"/>
        </w:rPr>
        <w:t xml:space="preserve">Jump To: </w:t>
      </w:r>
      <w:hyperlink r:id="rId15" w:anchor="sourcecredit" w:history="1">
        <w:r w:rsidRPr="001C5242">
          <w:rPr>
            <w:rFonts w:ascii="Arial" w:eastAsia="Times New Roman" w:hAnsi="Arial" w:cs="Arial"/>
            <w:color w:val="6F0B0B"/>
            <w:u w:val="single"/>
          </w:rPr>
          <w:t>Source Credit</w:t>
        </w:r>
      </w:hyperlink>
      <w:hyperlink r:id="rId16" w:anchor="shorttitle-amendment-note" w:history="1">
        <w:r w:rsidRPr="001C5242">
          <w:rPr>
            <w:rFonts w:ascii="Arial" w:eastAsia="Times New Roman" w:hAnsi="Arial" w:cs="Arial"/>
            <w:color w:val="6F0B0B"/>
            <w:u w:val="single"/>
          </w:rPr>
          <w:t>Short Title</w:t>
        </w:r>
      </w:hyperlink>
      <w:r w:rsidRPr="001C5242">
        <w:rPr>
          <w:rFonts w:ascii="Arial" w:eastAsia="Times New Roman" w:hAnsi="Arial" w:cs="Arial"/>
          <w:color w:val="32434F"/>
        </w:rPr>
        <w:t xml:space="preserve"> </w:t>
      </w:r>
    </w:p>
    <w:p w:rsidR="001C5242" w:rsidRPr="001C5242" w:rsidRDefault="001C5242" w:rsidP="001C5242">
      <w:pPr>
        <w:spacing w:before="150" w:after="45" w:line="240" w:lineRule="auto"/>
        <w:ind w:hanging="480"/>
        <w:outlineLvl w:val="2"/>
        <w:rPr>
          <w:rFonts w:ascii="Arial" w:eastAsia="Times New Roman" w:hAnsi="Arial" w:cs="Arial"/>
          <w:b/>
          <w:bCs/>
          <w:color w:val="32434F"/>
          <w:sz w:val="27"/>
          <w:szCs w:val="27"/>
        </w:rPr>
      </w:pPr>
      <w:r w:rsidRPr="001C5242">
        <w:rPr>
          <w:rFonts w:ascii="Arial" w:eastAsia="Times New Roman" w:hAnsi="Arial" w:cs="Arial"/>
          <w:b/>
          <w:bCs/>
          <w:color w:val="32434F"/>
          <w:sz w:val="27"/>
          <w:szCs w:val="27"/>
        </w:rPr>
        <w:t>§</w:t>
      </w:r>
      <w:bookmarkStart w:id="7" w:name="hl4"/>
      <w:r w:rsidRPr="001C5242">
        <w:rPr>
          <w:rFonts w:ascii="Arial" w:eastAsia="Times New Roman" w:hAnsi="Arial" w:cs="Arial"/>
          <w:b/>
          <w:bCs/>
          <w:color w:val="000000"/>
          <w:sz w:val="27"/>
          <w:szCs w:val="27"/>
          <w:shd w:val="clear" w:color="auto" w:fill="FFFF00"/>
        </w:rPr>
        <w:t>717w</w:t>
      </w:r>
      <w:bookmarkEnd w:id="7"/>
      <w:r w:rsidRPr="001C5242">
        <w:rPr>
          <w:rFonts w:ascii="Arial" w:eastAsia="Times New Roman" w:hAnsi="Arial" w:cs="Arial"/>
          <w:b/>
          <w:bCs/>
          <w:color w:val="32434F"/>
          <w:sz w:val="27"/>
          <w:szCs w:val="27"/>
        </w:rPr>
        <w:t>. Short title</w:t>
      </w:r>
    </w:p>
    <w:p w:rsidR="001C5242" w:rsidRPr="001C5242" w:rsidRDefault="001C5242" w:rsidP="001C5242">
      <w:pPr>
        <w:spacing w:after="0" w:line="240" w:lineRule="auto"/>
        <w:ind w:firstLine="240"/>
        <w:rPr>
          <w:rFonts w:ascii="Arial" w:eastAsia="Times New Roman" w:hAnsi="Arial" w:cs="Arial"/>
        </w:rPr>
      </w:pPr>
      <w:r w:rsidRPr="001C5242">
        <w:rPr>
          <w:rFonts w:ascii="Arial" w:eastAsia="Times New Roman" w:hAnsi="Arial" w:cs="Arial"/>
        </w:rPr>
        <w:t>This chapter may be cited as the "Natural Gas Act."</w:t>
      </w:r>
    </w:p>
    <w:p w:rsidR="001C5242" w:rsidRPr="001C5242" w:rsidRDefault="001C5242" w:rsidP="001C5242">
      <w:pPr>
        <w:spacing w:before="75" w:after="0" w:line="240" w:lineRule="auto"/>
        <w:rPr>
          <w:rFonts w:ascii="Arial" w:eastAsia="Times New Roman" w:hAnsi="Arial" w:cs="Arial"/>
        </w:rPr>
      </w:pPr>
      <w:r w:rsidRPr="001C5242">
        <w:rPr>
          <w:rFonts w:ascii="Arial" w:eastAsia="Times New Roman" w:hAnsi="Arial" w:cs="Arial"/>
        </w:rPr>
        <w:t>(</w:t>
      </w:r>
      <w:hyperlink r:id="rId17" w:tgtFrame="_blank" w:history="1">
        <w:r w:rsidRPr="001C5242">
          <w:rPr>
            <w:rFonts w:ascii="Arial" w:eastAsia="Times New Roman" w:hAnsi="Arial" w:cs="Arial"/>
            <w:color w:val="0F0D61"/>
          </w:rPr>
          <w:t xml:space="preserve">June 21, 1938, ch. 556, §26, formerly §24, 52 Stat. 833 </w:t>
        </w:r>
      </w:hyperlink>
      <w:r w:rsidRPr="001C5242">
        <w:rPr>
          <w:rFonts w:ascii="Arial" w:eastAsia="Times New Roman" w:hAnsi="Arial" w:cs="Arial"/>
        </w:rPr>
        <w:t xml:space="preserve">; renumbered §26, </w:t>
      </w:r>
      <w:hyperlink r:id="rId18" w:tgtFrame="_blank" w:history="1">
        <w:r w:rsidRPr="001C5242">
          <w:rPr>
            <w:rFonts w:ascii="Arial" w:eastAsia="Times New Roman" w:hAnsi="Arial" w:cs="Arial"/>
            <w:color w:val="0F0D61"/>
          </w:rPr>
          <w:t xml:space="preserve">Pub. L. 109–58, title III, §314(b)(1)(A), Aug. 8, 2005, 119 Stat. 690 </w:t>
        </w:r>
      </w:hyperlink>
      <w:r w:rsidRPr="001C5242">
        <w:rPr>
          <w:rFonts w:ascii="Arial" w:eastAsia="Times New Roman" w:hAnsi="Arial" w:cs="Arial"/>
        </w:rPr>
        <w:t>.)</w:t>
      </w:r>
    </w:p>
    <w:p w:rsidR="001C5242" w:rsidRPr="001C5242" w:rsidRDefault="001C5242" w:rsidP="001C5242">
      <w:pPr>
        <w:spacing w:before="168" w:after="45" w:line="240" w:lineRule="auto"/>
        <w:ind w:hanging="480"/>
        <w:jc w:val="center"/>
        <w:outlineLvl w:val="3"/>
        <w:rPr>
          <w:rFonts w:ascii="Arial" w:eastAsia="Times New Roman" w:hAnsi="Arial" w:cs="Arial"/>
          <w:b/>
          <w:bCs/>
          <w:smallCaps/>
        </w:rPr>
      </w:pPr>
      <w:bookmarkStart w:id="8" w:name="shorttitle-amendment-note"/>
      <w:bookmarkEnd w:id="8"/>
      <w:r w:rsidRPr="001C5242">
        <w:rPr>
          <w:rFonts w:ascii="Arial" w:eastAsia="Times New Roman" w:hAnsi="Arial" w:cs="Arial"/>
          <w:b/>
          <w:bCs/>
          <w:smallCaps/>
        </w:rPr>
        <w:t>Short Title of 1988 Amendment</w:t>
      </w:r>
    </w:p>
    <w:p w:rsidR="001C5242" w:rsidRPr="001C5242" w:rsidRDefault="00147713" w:rsidP="001C5242">
      <w:pPr>
        <w:spacing w:after="168" w:line="240" w:lineRule="auto"/>
        <w:ind w:firstLine="240"/>
        <w:rPr>
          <w:rFonts w:ascii="Arial" w:eastAsia="Times New Roman" w:hAnsi="Arial" w:cs="Arial"/>
        </w:rPr>
      </w:pPr>
      <w:hyperlink r:id="rId19" w:tgtFrame="_blank" w:history="1">
        <w:r w:rsidR="001C5242" w:rsidRPr="001C5242">
          <w:rPr>
            <w:rFonts w:ascii="Arial" w:eastAsia="Times New Roman" w:hAnsi="Arial" w:cs="Arial"/>
            <w:color w:val="0F0D61"/>
          </w:rPr>
          <w:t xml:space="preserve">Pub. L. 100–474, §1, Oct. 6, 1988, 102 Stat. 2302 </w:t>
        </w:r>
      </w:hyperlink>
      <w:r w:rsidR="001C5242" w:rsidRPr="001C5242">
        <w:rPr>
          <w:rFonts w:ascii="Arial" w:eastAsia="Times New Roman" w:hAnsi="Arial" w:cs="Arial"/>
        </w:rPr>
        <w:t xml:space="preserve">, provided that: "This Act [amending </w:t>
      </w:r>
      <w:r w:rsidR="001C5242" w:rsidRPr="001C5242">
        <w:rPr>
          <w:rFonts w:ascii="Arial" w:eastAsia="Times New Roman" w:hAnsi="Arial" w:cs="Arial"/>
          <w:color w:val="0F0D61"/>
        </w:rPr>
        <w:t>section 717f of this title</w:t>
      </w:r>
      <w:r w:rsidR="001C5242" w:rsidRPr="001C5242">
        <w:rPr>
          <w:rFonts w:ascii="Arial" w:eastAsia="Times New Roman" w:hAnsi="Arial" w:cs="Arial"/>
        </w:rPr>
        <w:t xml:space="preserve"> and enacting provisions set out as a note under </w:t>
      </w:r>
      <w:r w:rsidR="001C5242" w:rsidRPr="001C5242">
        <w:rPr>
          <w:rFonts w:ascii="Arial" w:eastAsia="Times New Roman" w:hAnsi="Arial" w:cs="Arial"/>
          <w:color w:val="0F0D61"/>
        </w:rPr>
        <w:t>section 717f of this title</w:t>
      </w:r>
      <w:r w:rsidR="001C5242" w:rsidRPr="001C5242">
        <w:rPr>
          <w:rFonts w:ascii="Arial" w:eastAsia="Times New Roman" w:hAnsi="Arial" w:cs="Arial"/>
        </w:rPr>
        <w:t>] may be cited as the 'Uniform Regulatory Jurisdiction Act of 1988'."</w:t>
      </w:r>
    </w:p>
    <w:p w:rsidR="001C5242" w:rsidRPr="001C5242" w:rsidRDefault="001C5242" w:rsidP="001C5242">
      <w:pPr>
        <w:spacing w:after="168" w:line="240" w:lineRule="auto"/>
        <w:ind w:firstLine="240"/>
        <w:rPr>
          <w:rFonts w:ascii="Arial" w:eastAsia="Times New Roman" w:hAnsi="Arial" w:cs="Arial"/>
        </w:rPr>
      </w:pPr>
    </w:p>
    <w:p w:rsidR="00E704E3" w:rsidRDefault="00E704E3"/>
    <w:sectPr w:rsidR="00E704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242" w:rsidRDefault="001C5242" w:rsidP="001C5242">
      <w:pPr>
        <w:spacing w:after="0" w:line="240" w:lineRule="auto"/>
      </w:pPr>
      <w:r>
        <w:separator/>
      </w:r>
    </w:p>
  </w:endnote>
  <w:endnote w:type="continuationSeparator" w:id="0">
    <w:p w:rsidR="001C5242" w:rsidRDefault="001C5242" w:rsidP="001C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242" w:rsidRDefault="001C5242" w:rsidP="001C5242">
      <w:pPr>
        <w:spacing w:after="0" w:line="240" w:lineRule="auto"/>
      </w:pPr>
      <w:r>
        <w:separator/>
      </w:r>
    </w:p>
  </w:footnote>
  <w:footnote w:type="continuationSeparator" w:id="0">
    <w:p w:rsidR="001C5242" w:rsidRDefault="001C5242" w:rsidP="001C52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242"/>
    <w:rsid w:val="00147713"/>
    <w:rsid w:val="001C5242"/>
    <w:rsid w:val="00E7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93252">
      <w:bodyDiv w:val="1"/>
      <w:marLeft w:val="720"/>
      <w:marRight w:val="0"/>
      <w:marTop w:val="0"/>
      <w:marBottom w:val="0"/>
      <w:divBdr>
        <w:top w:val="none" w:sz="0" w:space="0" w:color="auto"/>
        <w:left w:val="none" w:sz="0" w:space="0" w:color="auto"/>
        <w:bottom w:val="none" w:sz="0" w:space="0" w:color="auto"/>
        <w:right w:val="none" w:sz="0" w:space="0" w:color="auto"/>
      </w:divBdr>
      <w:divsChild>
        <w:div w:id="561676090">
          <w:marLeft w:val="75"/>
          <w:marRight w:val="75"/>
          <w:marTop w:val="75"/>
          <w:marBottom w:val="75"/>
          <w:divBdr>
            <w:top w:val="none" w:sz="0" w:space="0" w:color="auto"/>
            <w:left w:val="none" w:sz="0" w:space="0" w:color="auto"/>
            <w:bottom w:val="none" w:sz="0" w:space="0" w:color="auto"/>
            <w:right w:val="none" w:sz="0" w:space="0" w:color="auto"/>
          </w:divBdr>
          <w:divsChild>
            <w:div w:id="1512405925">
              <w:marLeft w:val="0"/>
              <w:marRight w:val="0"/>
              <w:marTop w:val="0"/>
              <w:marBottom w:val="0"/>
              <w:divBdr>
                <w:top w:val="none" w:sz="0" w:space="0" w:color="auto"/>
                <w:left w:val="none" w:sz="0" w:space="0" w:color="auto"/>
                <w:bottom w:val="none" w:sz="0" w:space="0" w:color="auto"/>
                <w:right w:val="none" w:sz="0" w:space="0" w:color="auto"/>
              </w:divBdr>
              <w:divsChild>
                <w:div w:id="1020205994">
                  <w:marLeft w:val="0"/>
                  <w:marRight w:val="0"/>
                  <w:marTop w:val="0"/>
                  <w:marBottom w:val="0"/>
                  <w:divBdr>
                    <w:top w:val="none" w:sz="0" w:space="0" w:color="auto"/>
                    <w:left w:val="none" w:sz="0" w:space="0" w:color="auto"/>
                    <w:bottom w:val="none" w:sz="0" w:space="0" w:color="auto"/>
                    <w:right w:val="none" w:sz="0" w:space="0" w:color="auto"/>
                  </w:divBdr>
                  <w:divsChild>
                    <w:div w:id="1055007251">
                      <w:marLeft w:val="0"/>
                      <w:marRight w:val="0"/>
                      <w:marTop w:val="0"/>
                      <w:marBottom w:val="0"/>
                      <w:divBdr>
                        <w:top w:val="none" w:sz="0" w:space="0" w:color="auto"/>
                        <w:left w:val="none" w:sz="0" w:space="0" w:color="auto"/>
                        <w:bottom w:val="none" w:sz="0" w:space="0" w:color="auto"/>
                        <w:right w:val="none" w:sz="0" w:space="0" w:color="auto"/>
                      </w:divBdr>
                      <w:divsChild>
                        <w:div w:id="832837615">
                          <w:marLeft w:val="0"/>
                          <w:marRight w:val="0"/>
                          <w:marTop w:val="0"/>
                          <w:marBottom w:val="0"/>
                          <w:divBdr>
                            <w:top w:val="single" w:sz="18" w:space="8" w:color="CFC2B2"/>
                            <w:left w:val="single" w:sz="18" w:space="8" w:color="CFC2B2"/>
                            <w:bottom w:val="single" w:sz="18" w:space="8" w:color="CFC2B2"/>
                            <w:right w:val="single" w:sz="18" w:space="8" w:color="CFC2B2"/>
                          </w:divBdr>
                          <w:divsChild>
                            <w:div w:id="1036350977">
                              <w:marLeft w:val="0"/>
                              <w:marRight w:val="0"/>
                              <w:marTop w:val="150"/>
                              <w:marBottom w:val="0"/>
                              <w:divBdr>
                                <w:top w:val="none" w:sz="0" w:space="0" w:color="auto"/>
                                <w:left w:val="none" w:sz="0" w:space="0" w:color="auto"/>
                                <w:bottom w:val="none" w:sz="0" w:space="0" w:color="auto"/>
                                <w:right w:val="none" w:sz="0" w:space="0" w:color="auto"/>
                              </w:divBdr>
                            </w:div>
                            <w:div w:id="9904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615505">
      <w:bodyDiv w:val="1"/>
      <w:marLeft w:val="720"/>
      <w:marRight w:val="0"/>
      <w:marTop w:val="0"/>
      <w:marBottom w:val="0"/>
      <w:divBdr>
        <w:top w:val="none" w:sz="0" w:space="0" w:color="auto"/>
        <w:left w:val="none" w:sz="0" w:space="0" w:color="auto"/>
        <w:bottom w:val="none" w:sz="0" w:space="0" w:color="auto"/>
        <w:right w:val="none" w:sz="0" w:space="0" w:color="auto"/>
      </w:divBdr>
      <w:divsChild>
        <w:div w:id="367342415">
          <w:marLeft w:val="75"/>
          <w:marRight w:val="75"/>
          <w:marTop w:val="75"/>
          <w:marBottom w:val="75"/>
          <w:divBdr>
            <w:top w:val="none" w:sz="0" w:space="0" w:color="auto"/>
            <w:left w:val="none" w:sz="0" w:space="0" w:color="auto"/>
            <w:bottom w:val="none" w:sz="0" w:space="0" w:color="auto"/>
            <w:right w:val="none" w:sz="0" w:space="0" w:color="auto"/>
          </w:divBdr>
          <w:divsChild>
            <w:div w:id="1079980243">
              <w:marLeft w:val="0"/>
              <w:marRight w:val="0"/>
              <w:marTop w:val="0"/>
              <w:marBottom w:val="0"/>
              <w:divBdr>
                <w:top w:val="none" w:sz="0" w:space="0" w:color="auto"/>
                <w:left w:val="none" w:sz="0" w:space="0" w:color="auto"/>
                <w:bottom w:val="none" w:sz="0" w:space="0" w:color="auto"/>
                <w:right w:val="none" w:sz="0" w:space="0" w:color="auto"/>
              </w:divBdr>
              <w:divsChild>
                <w:div w:id="989481374">
                  <w:marLeft w:val="0"/>
                  <w:marRight w:val="0"/>
                  <w:marTop w:val="0"/>
                  <w:marBottom w:val="0"/>
                  <w:divBdr>
                    <w:top w:val="none" w:sz="0" w:space="0" w:color="auto"/>
                    <w:left w:val="none" w:sz="0" w:space="0" w:color="auto"/>
                    <w:bottom w:val="none" w:sz="0" w:space="0" w:color="auto"/>
                    <w:right w:val="none" w:sz="0" w:space="0" w:color="auto"/>
                  </w:divBdr>
                  <w:divsChild>
                    <w:div w:id="718434987">
                      <w:marLeft w:val="0"/>
                      <w:marRight w:val="0"/>
                      <w:marTop w:val="0"/>
                      <w:marBottom w:val="0"/>
                      <w:divBdr>
                        <w:top w:val="none" w:sz="0" w:space="0" w:color="auto"/>
                        <w:left w:val="none" w:sz="0" w:space="0" w:color="auto"/>
                        <w:bottom w:val="none" w:sz="0" w:space="0" w:color="auto"/>
                        <w:right w:val="none" w:sz="0" w:space="0" w:color="auto"/>
                      </w:divBdr>
                      <w:divsChild>
                        <w:div w:id="2057512230">
                          <w:marLeft w:val="0"/>
                          <w:marRight w:val="0"/>
                          <w:marTop w:val="0"/>
                          <w:marBottom w:val="0"/>
                          <w:divBdr>
                            <w:top w:val="single" w:sz="18" w:space="8" w:color="CFC2B2"/>
                            <w:left w:val="single" w:sz="18" w:space="8" w:color="CFC2B2"/>
                            <w:bottom w:val="single" w:sz="18" w:space="8" w:color="CFC2B2"/>
                            <w:right w:val="single" w:sz="18" w:space="8" w:color="CFC2B2"/>
                          </w:divBdr>
                          <w:divsChild>
                            <w:div w:id="1813792329">
                              <w:marLeft w:val="0"/>
                              <w:marRight w:val="0"/>
                              <w:marTop w:val="150"/>
                              <w:marBottom w:val="0"/>
                              <w:divBdr>
                                <w:top w:val="none" w:sz="0" w:space="0" w:color="auto"/>
                                <w:left w:val="none" w:sz="0" w:space="0" w:color="auto"/>
                                <w:bottom w:val="none" w:sz="0" w:space="0" w:color="auto"/>
                                <w:right w:val="none" w:sz="0" w:space="0" w:color="auto"/>
                              </w:divBdr>
                            </w:div>
                            <w:div w:id="18373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req=15+USC+717w&amp;f=treesort&amp;fq=true&amp;num=3&amp;hl=true&amp;edition=prelim&amp;granuleId=USC-prelim-title15-section717u" TargetMode="External"/><Relationship Id="rId13" Type="http://schemas.openxmlformats.org/officeDocument/2006/relationships/hyperlink" Target="https://uscode.house.gov/statviewer.htm?volume=119&amp;page=690" TargetMode="External"/><Relationship Id="rId18" Type="http://schemas.openxmlformats.org/officeDocument/2006/relationships/hyperlink" Target="https://uscode.house.gov/statviewer.htm?volume=119&amp;page=69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scode.house.gov/view.xhtml?req=15+USC+717w&amp;f=treesort&amp;fq=true&amp;num=3&amp;hl=true&amp;edition=prelim&amp;granuleId=USC-prelim-title15-section717u" TargetMode="External"/><Relationship Id="rId12" Type="http://schemas.openxmlformats.org/officeDocument/2006/relationships/hyperlink" Target="https://uscode.house.gov/statviewer.htm?volume=62&amp;page=895" TargetMode="External"/><Relationship Id="rId17" Type="http://schemas.openxmlformats.org/officeDocument/2006/relationships/hyperlink" Target="https://uscode.house.gov/statviewer.htm?volume=52&amp;page=833" TargetMode="External"/><Relationship Id="rId2" Type="http://schemas.microsoft.com/office/2007/relationships/stylesWithEffects" Target="stylesWithEffects.xml"/><Relationship Id="rId16" Type="http://schemas.openxmlformats.org/officeDocument/2006/relationships/hyperlink" Target="https://uscode.house.gov/view.xhtml?edition=prelim&amp;req=15+USC+717w&amp;f=treesort&amp;fq=true&amp;num=4&amp;hl=tru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uscode.house.gov/statviewer.htm?volume=62&amp;page=875" TargetMode="External"/><Relationship Id="rId5" Type="http://schemas.openxmlformats.org/officeDocument/2006/relationships/footnotes" Target="footnotes.xml"/><Relationship Id="rId15" Type="http://schemas.openxmlformats.org/officeDocument/2006/relationships/hyperlink" Target="https://uscode.house.gov/view.xhtml?edition=prelim&amp;req=15+USC+717w&amp;f=treesort&amp;fq=true&amp;num=4&amp;hl=true" TargetMode="External"/><Relationship Id="rId10" Type="http://schemas.openxmlformats.org/officeDocument/2006/relationships/hyperlink" Target="https://uscode.house.gov/statviewer.htm?volume=52&amp;page=833" TargetMode="External"/><Relationship Id="rId19" Type="http://schemas.openxmlformats.org/officeDocument/2006/relationships/hyperlink" Target="https://uscode.house.gov/statviewer.htm?volume=102&amp;page=2302" TargetMode="External"/><Relationship Id="rId4" Type="http://schemas.openxmlformats.org/officeDocument/2006/relationships/webSettings" Target="webSettings.xml"/><Relationship Id="rId9" Type="http://schemas.openxmlformats.org/officeDocument/2006/relationships/hyperlink" Target="https://uscode.house.gov/view.xhtml?req=15+USC+717w&amp;f=treesort&amp;fq=true&amp;num=3&amp;hl=true&amp;edition=prelim&amp;granuleId=USC-prelim-title15-section717u" TargetMode="External"/><Relationship Id="rId14" Type="http://schemas.openxmlformats.org/officeDocument/2006/relationships/hyperlink" Target="https://uscode.house.gov/statviewer.htm?volume=62&amp;page=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2020-01-14T12:20:00Z</dcterms:created>
  <dcterms:modified xsi:type="dcterms:W3CDTF">2020-01-14T12:20:00Z</dcterms:modified>
</cp:coreProperties>
</file>