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1A9" w:rsidRDefault="005331A9" w:rsidP="005331A9">
      <w:pPr>
        <w:spacing w:after="0" w:line="240" w:lineRule="auto"/>
        <w:rPr>
          <w:rFonts w:ascii="Arial" w:eastAsia="Times New Roman" w:hAnsi="Arial" w:cs="Arial"/>
          <w:color w:val="32434F"/>
        </w:rPr>
      </w:pPr>
      <w:bookmarkStart w:id="0" w:name="hl1"/>
      <w:bookmarkStart w:id="1" w:name="_GoBack"/>
      <w:bookmarkEnd w:id="1"/>
      <w:r w:rsidRPr="005331A9">
        <w:rPr>
          <w:rFonts w:ascii="Arial" w:eastAsia="Times New Roman" w:hAnsi="Arial" w:cs="Arial"/>
          <w:b/>
          <w:bCs/>
          <w:color w:val="000000"/>
          <w:shd w:val="clear" w:color="auto" w:fill="FFFF00"/>
        </w:rPr>
        <w:t>15 USC 717</w:t>
      </w:r>
      <w:bookmarkEnd w:id="0"/>
      <w:r w:rsidRPr="005331A9">
        <w:rPr>
          <w:rFonts w:ascii="Arial" w:eastAsia="Times New Roman" w:hAnsi="Arial" w:cs="Arial"/>
          <w:b/>
          <w:bCs/>
          <w:color w:val="32434F"/>
        </w:rPr>
        <w:t xml:space="preserve"> : Regulation of natural gas companies</w:t>
      </w:r>
      <w:r w:rsidRPr="005331A9">
        <w:rPr>
          <w:rFonts w:ascii="Arial" w:eastAsia="Times New Roman" w:hAnsi="Arial" w:cs="Arial"/>
          <w:color w:val="32434F"/>
        </w:rPr>
        <w:t xml:space="preserve"> Text contains those laws in effect on January 13, 2020 </w:t>
      </w:r>
    </w:p>
    <w:p w:rsidR="005331A9" w:rsidRPr="005331A9" w:rsidRDefault="005331A9" w:rsidP="005331A9">
      <w:pPr>
        <w:spacing w:after="0" w:line="240" w:lineRule="auto"/>
        <w:rPr>
          <w:rFonts w:ascii="Arial" w:eastAsia="Times New Roman" w:hAnsi="Arial" w:cs="Arial"/>
          <w:color w:val="32434F"/>
        </w:rPr>
      </w:pPr>
    </w:p>
    <w:p w:rsidR="005331A9" w:rsidRPr="005331A9" w:rsidRDefault="005331A9" w:rsidP="005331A9">
      <w:pPr>
        <w:spacing w:after="0" w:line="240" w:lineRule="auto"/>
        <w:rPr>
          <w:rFonts w:ascii="Arial" w:eastAsia="Times New Roman" w:hAnsi="Arial" w:cs="Arial"/>
          <w:color w:val="32434F"/>
        </w:rPr>
      </w:pPr>
      <w:r w:rsidRPr="005331A9">
        <w:rPr>
          <w:rFonts w:ascii="Arial" w:eastAsia="Times New Roman" w:hAnsi="Arial" w:cs="Arial"/>
          <w:b/>
          <w:bCs/>
          <w:color w:val="000000"/>
        </w:rPr>
        <w:t xml:space="preserve">From Title </w:t>
      </w:r>
      <w:bookmarkStart w:id="2" w:name="hl2"/>
      <w:r w:rsidRPr="005331A9">
        <w:rPr>
          <w:rFonts w:ascii="Arial" w:eastAsia="Times New Roman" w:hAnsi="Arial" w:cs="Arial"/>
          <w:b/>
          <w:bCs/>
          <w:color w:val="000000"/>
          <w:shd w:val="clear" w:color="auto" w:fill="FFFF00"/>
        </w:rPr>
        <w:t>15</w:t>
      </w:r>
      <w:bookmarkEnd w:id="2"/>
      <w:r w:rsidRPr="005331A9">
        <w:rPr>
          <w:rFonts w:ascii="Arial" w:eastAsia="Times New Roman" w:hAnsi="Arial" w:cs="Arial"/>
          <w:b/>
          <w:bCs/>
          <w:color w:val="000000"/>
        </w:rPr>
        <w:t>-COMMERCE AND TRADE</w:t>
      </w:r>
      <w:r w:rsidRPr="005331A9">
        <w:rPr>
          <w:rFonts w:ascii="Arial" w:eastAsia="Times New Roman" w:hAnsi="Arial" w:cs="Arial"/>
          <w:color w:val="000000"/>
        </w:rPr>
        <w:t>CHAPTER 15B-NATURAL GAS</w:t>
      </w:r>
      <w:r w:rsidRPr="005331A9">
        <w:rPr>
          <w:rFonts w:ascii="Arial" w:eastAsia="Times New Roman" w:hAnsi="Arial" w:cs="Arial"/>
          <w:color w:val="32434F"/>
        </w:rPr>
        <w:t xml:space="preserve"> </w:t>
      </w:r>
    </w:p>
    <w:p w:rsidR="005331A9" w:rsidRDefault="005331A9" w:rsidP="005331A9">
      <w:pPr>
        <w:spacing w:after="0" w:line="240" w:lineRule="auto"/>
        <w:rPr>
          <w:rFonts w:ascii="Arial" w:eastAsia="Times New Roman" w:hAnsi="Arial" w:cs="Arial"/>
          <w:b/>
          <w:bCs/>
          <w:color w:val="000000"/>
        </w:rPr>
      </w:pPr>
    </w:p>
    <w:p w:rsidR="005331A9" w:rsidRPr="005331A9" w:rsidRDefault="005331A9" w:rsidP="005331A9">
      <w:pPr>
        <w:spacing w:after="0" w:line="240" w:lineRule="auto"/>
        <w:rPr>
          <w:rFonts w:ascii="Arial" w:eastAsia="Times New Roman" w:hAnsi="Arial" w:cs="Arial"/>
          <w:color w:val="32434F"/>
        </w:rPr>
      </w:pPr>
      <w:r w:rsidRPr="005331A9">
        <w:rPr>
          <w:rFonts w:ascii="Arial" w:eastAsia="Times New Roman" w:hAnsi="Arial" w:cs="Arial"/>
          <w:b/>
          <w:bCs/>
          <w:color w:val="000000"/>
        </w:rPr>
        <w:t xml:space="preserve">Jump To: </w:t>
      </w:r>
      <w:hyperlink r:id="rId7" w:anchor="sourcecredit" w:history="1">
        <w:r w:rsidRPr="005331A9">
          <w:rPr>
            <w:rFonts w:ascii="Arial" w:eastAsia="Times New Roman" w:hAnsi="Arial" w:cs="Arial"/>
            <w:color w:val="6F0B0B"/>
            <w:u w:val="single"/>
          </w:rPr>
          <w:t>Source Credit</w:t>
        </w:r>
      </w:hyperlink>
      <w:hyperlink r:id="rId8" w:anchor="amendment-note" w:history="1">
        <w:r w:rsidRPr="005331A9">
          <w:rPr>
            <w:rFonts w:ascii="Arial" w:eastAsia="Times New Roman" w:hAnsi="Arial" w:cs="Arial"/>
            <w:color w:val="6F0B0B"/>
            <w:u w:val="single"/>
          </w:rPr>
          <w:t>Amendments</w:t>
        </w:r>
      </w:hyperlink>
      <w:hyperlink r:id="rId9" w:anchor="regulations-note" w:history="1">
        <w:r w:rsidRPr="005331A9">
          <w:rPr>
            <w:rFonts w:ascii="Arial" w:eastAsia="Times New Roman" w:hAnsi="Arial" w:cs="Arial"/>
            <w:color w:val="6F0B0B"/>
            <w:u w:val="single"/>
          </w:rPr>
          <w:t>Regulations</w:t>
        </w:r>
      </w:hyperlink>
      <w:hyperlink r:id="rId10" w:anchor="miscellaneous-note" w:history="1">
        <w:r w:rsidRPr="005331A9">
          <w:rPr>
            <w:rFonts w:ascii="Arial" w:eastAsia="Times New Roman" w:hAnsi="Arial" w:cs="Arial"/>
            <w:color w:val="6F0B0B"/>
            <w:u w:val="single"/>
          </w:rPr>
          <w:t>Miscellaneous</w:t>
        </w:r>
      </w:hyperlink>
      <w:hyperlink r:id="rId11" w:anchor="executivedocument-note" w:history="1">
        <w:r w:rsidRPr="005331A9">
          <w:rPr>
            <w:rFonts w:ascii="Arial" w:eastAsia="Times New Roman" w:hAnsi="Arial" w:cs="Arial"/>
            <w:color w:val="6F0B0B"/>
            <w:u w:val="single"/>
          </w:rPr>
          <w:t>Executive Documents</w:t>
        </w:r>
      </w:hyperlink>
      <w:r w:rsidRPr="005331A9">
        <w:rPr>
          <w:rFonts w:ascii="Arial" w:eastAsia="Times New Roman" w:hAnsi="Arial" w:cs="Arial"/>
          <w:color w:val="32434F"/>
        </w:rPr>
        <w:t xml:space="preserve"> </w:t>
      </w:r>
    </w:p>
    <w:p w:rsidR="005331A9" w:rsidRPr="005331A9" w:rsidRDefault="005331A9" w:rsidP="005331A9">
      <w:pPr>
        <w:spacing w:before="150" w:after="45" w:line="240" w:lineRule="auto"/>
        <w:ind w:hanging="480"/>
        <w:outlineLvl w:val="2"/>
        <w:rPr>
          <w:rFonts w:ascii="Arial" w:eastAsia="Times New Roman" w:hAnsi="Arial" w:cs="Arial"/>
          <w:b/>
          <w:bCs/>
          <w:color w:val="32434F"/>
          <w:sz w:val="27"/>
          <w:szCs w:val="27"/>
        </w:rPr>
      </w:pPr>
      <w:r w:rsidRPr="005331A9">
        <w:rPr>
          <w:rFonts w:ascii="Arial" w:eastAsia="Times New Roman" w:hAnsi="Arial" w:cs="Arial"/>
          <w:b/>
          <w:bCs/>
          <w:color w:val="32434F"/>
          <w:sz w:val="27"/>
          <w:szCs w:val="27"/>
        </w:rPr>
        <w:t>§</w:t>
      </w:r>
      <w:bookmarkStart w:id="3" w:name="hl4"/>
      <w:r w:rsidRPr="005331A9">
        <w:rPr>
          <w:rFonts w:ascii="Arial" w:eastAsia="Times New Roman" w:hAnsi="Arial" w:cs="Arial"/>
          <w:b/>
          <w:bCs/>
          <w:color w:val="000000"/>
          <w:sz w:val="27"/>
          <w:szCs w:val="27"/>
          <w:shd w:val="clear" w:color="auto" w:fill="FFFF00"/>
        </w:rPr>
        <w:t>717</w:t>
      </w:r>
      <w:bookmarkEnd w:id="3"/>
      <w:r w:rsidRPr="005331A9">
        <w:rPr>
          <w:rFonts w:ascii="Arial" w:eastAsia="Times New Roman" w:hAnsi="Arial" w:cs="Arial"/>
          <w:b/>
          <w:bCs/>
          <w:color w:val="32434F"/>
          <w:sz w:val="27"/>
          <w:szCs w:val="27"/>
        </w:rPr>
        <w:t>. Regulation of natural gas companies</w:t>
      </w:r>
    </w:p>
    <w:p w:rsidR="005331A9" w:rsidRPr="005331A9" w:rsidRDefault="005331A9" w:rsidP="005331A9">
      <w:pPr>
        <w:spacing w:before="105" w:after="45" w:line="240" w:lineRule="auto"/>
        <w:ind w:hanging="240"/>
        <w:outlineLvl w:val="3"/>
        <w:rPr>
          <w:rFonts w:ascii="Arial" w:eastAsia="Times New Roman" w:hAnsi="Arial" w:cs="Arial"/>
          <w:b/>
          <w:bCs/>
          <w:sz w:val="24"/>
          <w:szCs w:val="24"/>
        </w:rPr>
      </w:pPr>
      <w:bookmarkStart w:id="4" w:name="substructure-location_a"/>
      <w:bookmarkEnd w:id="4"/>
      <w:r w:rsidRPr="005331A9">
        <w:rPr>
          <w:rFonts w:ascii="Arial" w:eastAsia="Times New Roman" w:hAnsi="Arial" w:cs="Arial"/>
          <w:b/>
          <w:bCs/>
          <w:sz w:val="24"/>
          <w:szCs w:val="24"/>
        </w:rPr>
        <w:t>(a) Necessity of regulation in public interest</w:t>
      </w:r>
    </w:p>
    <w:p w:rsidR="005331A9" w:rsidRPr="005331A9" w:rsidRDefault="005331A9" w:rsidP="005331A9">
      <w:pPr>
        <w:spacing w:after="0" w:line="240" w:lineRule="auto"/>
        <w:ind w:firstLine="240"/>
        <w:rPr>
          <w:rFonts w:ascii="Arial" w:eastAsia="Times New Roman" w:hAnsi="Arial" w:cs="Arial"/>
        </w:rPr>
      </w:pPr>
      <w:r w:rsidRPr="005331A9">
        <w:rPr>
          <w:rFonts w:ascii="Arial" w:eastAsia="Times New Roman" w:hAnsi="Arial" w:cs="Arial"/>
        </w:rPr>
        <w:t>As disclosed in reports of the Federal Trade Commission made pursuant to S. Res. 83 (Seventieth Congress, first session) and other reports made pursuant to the authority of Congress, it is declared that the business of transporting and selling natural gas for ultimate distribution to the public is affected with a public interest, and that Federal regulation in matters relating to the transportation of natural gas and the sale thereof in interstate and foreign commerce is necessary in the public interest.</w:t>
      </w:r>
    </w:p>
    <w:p w:rsidR="005331A9" w:rsidRPr="005331A9" w:rsidRDefault="005331A9" w:rsidP="005331A9">
      <w:pPr>
        <w:spacing w:before="105" w:after="45" w:line="240" w:lineRule="auto"/>
        <w:ind w:hanging="240"/>
        <w:outlineLvl w:val="3"/>
        <w:rPr>
          <w:rFonts w:ascii="Arial" w:eastAsia="Times New Roman" w:hAnsi="Arial" w:cs="Arial"/>
          <w:b/>
          <w:bCs/>
          <w:sz w:val="24"/>
          <w:szCs w:val="24"/>
        </w:rPr>
      </w:pPr>
      <w:bookmarkStart w:id="5" w:name="substructure-location_b"/>
      <w:bookmarkEnd w:id="5"/>
      <w:r w:rsidRPr="005331A9">
        <w:rPr>
          <w:rFonts w:ascii="Arial" w:eastAsia="Times New Roman" w:hAnsi="Arial" w:cs="Arial"/>
          <w:b/>
          <w:bCs/>
          <w:sz w:val="24"/>
          <w:szCs w:val="24"/>
        </w:rPr>
        <w:t>(b) Transactions to which provisions of chapter applicable</w:t>
      </w:r>
    </w:p>
    <w:p w:rsidR="005331A9" w:rsidRPr="005331A9" w:rsidRDefault="005331A9" w:rsidP="005331A9">
      <w:pPr>
        <w:spacing w:after="0" w:line="240" w:lineRule="auto"/>
        <w:ind w:firstLine="240"/>
        <w:rPr>
          <w:rFonts w:ascii="Arial" w:eastAsia="Times New Roman" w:hAnsi="Arial" w:cs="Arial"/>
        </w:rPr>
      </w:pPr>
      <w:r w:rsidRPr="005331A9">
        <w:rPr>
          <w:rFonts w:ascii="Arial" w:eastAsia="Times New Roman" w:hAnsi="Arial" w:cs="Arial"/>
        </w:rPr>
        <w:t>The provisions of this chapter shall apply to the transportation of natural gas in interstate commerce, to the sale in interstate commerce of natural gas for resale for ultimate public consumption for domestic, commercial, industrial, or any other use, and to natural-gas companies engaged in such transportation or sale, and to the importation or exportation of natural gas in foreign commerce and to persons engaged in such importation or exportation, but shall not apply to any other transportation or sale of natural gas or to the local distribution of natural gas or to the facilities used for such distribution or to the production or gathering of natural gas.</w:t>
      </w:r>
    </w:p>
    <w:p w:rsidR="005331A9" w:rsidRPr="005331A9" w:rsidRDefault="005331A9" w:rsidP="005331A9">
      <w:pPr>
        <w:spacing w:before="105" w:after="45" w:line="240" w:lineRule="auto"/>
        <w:ind w:hanging="240"/>
        <w:outlineLvl w:val="3"/>
        <w:rPr>
          <w:rFonts w:ascii="Arial" w:eastAsia="Times New Roman" w:hAnsi="Arial" w:cs="Arial"/>
          <w:b/>
          <w:bCs/>
          <w:sz w:val="24"/>
          <w:szCs w:val="24"/>
        </w:rPr>
      </w:pPr>
      <w:bookmarkStart w:id="6" w:name="substructure-location_c"/>
      <w:bookmarkEnd w:id="6"/>
      <w:r w:rsidRPr="005331A9">
        <w:rPr>
          <w:rFonts w:ascii="Arial" w:eastAsia="Times New Roman" w:hAnsi="Arial" w:cs="Arial"/>
          <w:b/>
          <w:bCs/>
          <w:sz w:val="24"/>
          <w:szCs w:val="24"/>
        </w:rPr>
        <w:t>(c) Intrastate transactions exempt from provisions of chapter; certification from State commission as conclusive evidence</w:t>
      </w:r>
    </w:p>
    <w:p w:rsidR="005331A9" w:rsidRPr="005331A9" w:rsidRDefault="005331A9" w:rsidP="005331A9">
      <w:pPr>
        <w:spacing w:after="0" w:line="240" w:lineRule="auto"/>
        <w:ind w:firstLine="240"/>
        <w:rPr>
          <w:rFonts w:ascii="Arial" w:eastAsia="Times New Roman" w:hAnsi="Arial" w:cs="Arial"/>
        </w:rPr>
      </w:pPr>
      <w:r w:rsidRPr="005331A9">
        <w:rPr>
          <w:rFonts w:ascii="Arial" w:eastAsia="Times New Roman" w:hAnsi="Arial" w:cs="Arial"/>
        </w:rPr>
        <w:t>The provisions of this chapter shall not apply to any person engaged in or legally authorized to engage in the transportation in interstate commerce or the sale in interstate commerce for resale, of natural gas received by such person from another person within or at the boundary of a State if all the natural gas so received is ultimately consumed within such State, or to any facilities used by such person for such transportation or sale, provided that the rates and service of such person and facilities be subject to regulation by a State commission. The matters exempted from the provisions of this chapter by this subsection are declared to be matters primarily of local concern and subject to regulation by the several States. A certification from such State commission to the Federal Power Commission that such State commission has regulatory jurisdiction over rates and service of such person and facilities and is exercising such jurisdiction shall constitute conclusive evidence of such regulatory power or jurisdiction.</w:t>
      </w:r>
    </w:p>
    <w:p w:rsidR="005331A9" w:rsidRPr="005331A9" w:rsidRDefault="005331A9" w:rsidP="005331A9">
      <w:pPr>
        <w:spacing w:before="105" w:after="45" w:line="240" w:lineRule="auto"/>
        <w:ind w:hanging="240"/>
        <w:outlineLvl w:val="3"/>
        <w:rPr>
          <w:rFonts w:ascii="Arial" w:eastAsia="Times New Roman" w:hAnsi="Arial" w:cs="Arial"/>
          <w:b/>
          <w:bCs/>
          <w:sz w:val="24"/>
          <w:szCs w:val="24"/>
        </w:rPr>
      </w:pPr>
      <w:bookmarkStart w:id="7" w:name="substructure-location_d"/>
      <w:bookmarkEnd w:id="7"/>
      <w:r w:rsidRPr="005331A9">
        <w:rPr>
          <w:rFonts w:ascii="Arial" w:eastAsia="Times New Roman" w:hAnsi="Arial" w:cs="Arial"/>
          <w:b/>
          <w:bCs/>
          <w:sz w:val="24"/>
          <w:szCs w:val="24"/>
        </w:rPr>
        <w:t>(d) Vehicular natural gas jurisdiction</w:t>
      </w:r>
    </w:p>
    <w:p w:rsidR="005331A9" w:rsidRPr="005331A9" w:rsidRDefault="005331A9" w:rsidP="005331A9">
      <w:pPr>
        <w:spacing w:after="0" w:line="240" w:lineRule="auto"/>
        <w:ind w:firstLine="240"/>
        <w:rPr>
          <w:rFonts w:ascii="Arial" w:eastAsia="Times New Roman" w:hAnsi="Arial" w:cs="Arial"/>
        </w:rPr>
      </w:pPr>
      <w:r w:rsidRPr="005331A9">
        <w:rPr>
          <w:rFonts w:ascii="Arial" w:eastAsia="Times New Roman" w:hAnsi="Arial" w:cs="Arial"/>
        </w:rPr>
        <w:t>The provisions of this chapter shall not apply to any person solely by reason of, or with respect to, any sale or transportation of vehicular natural gas if such person is-</w:t>
      </w:r>
    </w:p>
    <w:p w:rsidR="005331A9" w:rsidRPr="005331A9" w:rsidRDefault="005331A9" w:rsidP="005331A9">
      <w:pPr>
        <w:spacing w:after="0" w:line="240" w:lineRule="auto"/>
        <w:ind w:left="1035" w:firstLine="240"/>
        <w:rPr>
          <w:rFonts w:ascii="Arial" w:eastAsia="Times New Roman" w:hAnsi="Arial" w:cs="Arial"/>
        </w:rPr>
      </w:pPr>
      <w:bookmarkStart w:id="8" w:name="substructure-location_d_1"/>
      <w:bookmarkEnd w:id="8"/>
      <w:r w:rsidRPr="005331A9">
        <w:rPr>
          <w:rFonts w:ascii="Arial" w:eastAsia="Times New Roman" w:hAnsi="Arial" w:cs="Arial"/>
        </w:rPr>
        <w:t>(1) not otherwise a natural-gas company; or</w:t>
      </w:r>
    </w:p>
    <w:p w:rsidR="005331A9" w:rsidRPr="005331A9" w:rsidRDefault="005331A9" w:rsidP="005331A9">
      <w:pPr>
        <w:spacing w:after="0" w:line="240" w:lineRule="auto"/>
        <w:ind w:left="1035" w:firstLine="240"/>
        <w:rPr>
          <w:rFonts w:ascii="Arial" w:eastAsia="Times New Roman" w:hAnsi="Arial" w:cs="Arial"/>
        </w:rPr>
      </w:pPr>
      <w:bookmarkStart w:id="9" w:name="substructure-location_d_2"/>
      <w:bookmarkEnd w:id="9"/>
      <w:r w:rsidRPr="005331A9">
        <w:rPr>
          <w:rFonts w:ascii="Arial" w:eastAsia="Times New Roman" w:hAnsi="Arial" w:cs="Arial"/>
        </w:rPr>
        <w:t>(2) subject primarily to regulation by a State commission, whether or not such State commission has, or is exercising, jurisdiction over the sale, sale for resale, or transportation of vehicular natural gas.</w:t>
      </w:r>
    </w:p>
    <w:p w:rsidR="005331A9" w:rsidRPr="005331A9" w:rsidRDefault="005331A9" w:rsidP="005331A9">
      <w:pPr>
        <w:spacing w:before="75" w:after="0" w:line="240" w:lineRule="auto"/>
        <w:rPr>
          <w:rFonts w:ascii="Arial" w:eastAsia="Times New Roman" w:hAnsi="Arial" w:cs="Arial"/>
        </w:rPr>
      </w:pPr>
      <w:bookmarkStart w:id="10" w:name="sourcecredit"/>
      <w:bookmarkEnd w:id="10"/>
      <w:r w:rsidRPr="005331A9">
        <w:rPr>
          <w:rFonts w:ascii="Arial" w:eastAsia="Times New Roman" w:hAnsi="Arial" w:cs="Arial"/>
        </w:rPr>
        <w:t>(</w:t>
      </w:r>
      <w:hyperlink r:id="rId12" w:tgtFrame="_blank" w:history="1">
        <w:r w:rsidRPr="005331A9">
          <w:rPr>
            <w:rFonts w:ascii="Arial" w:eastAsia="Times New Roman" w:hAnsi="Arial" w:cs="Arial"/>
            <w:color w:val="0F0D61"/>
          </w:rPr>
          <w:t xml:space="preserve">June 21, 1938, ch. 556, §1, 52 Stat. 821 </w:t>
        </w:r>
      </w:hyperlink>
      <w:r w:rsidRPr="005331A9">
        <w:rPr>
          <w:rFonts w:ascii="Arial" w:eastAsia="Times New Roman" w:hAnsi="Arial" w:cs="Arial"/>
        </w:rPr>
        <w:t xml:space="preserve">; </w:t>
      </w:r>
      <w:hyperlink r:id="rId13" w:tgtFrame="_blank" w:history="1">
        <w:r w:rsidRPr="005331A9">
          <w:rPr>
            <w:rFonts w:ascii="Arial" w:eastAsia="Times New Roman" w:hAnsi="Arial" w:cs="Arial"/>
            <w:color w:val="0F0D61"/>
          </w:rPr>
          <w:t xml:space="preserve">Mar. 27, 1954, ch. 115, 68 Stat. 36 </w:t>
        </w:r>
      </w:hyperlink>
      <w:r w:rsidRPr="005331A9">
        <w:rPr>
          <w:rFonts w:ascii="Arial" w:eastAsia="Times New Roman" w:hAnsi="Arial" w:cs="Arial"/>
        </w:rPr>
        <w:t xml:space="preserve">; </w:t>
      </w:r>
      <w:hyperlink r:id="rId14" w:tgtFrame="_blank" w:history="1">
        <w:r w:rsidRPr="005331A9">
          <w:rPr>
            <w:rFonts w:ascii="Arial" w:eastAsia="Times New Roman" w:hAnsi="Arial" w:cs="Arial"/>
            <w:color w:val="0F0D61"/>
          </w:rPr>
          <w:t xml:space="preserve">Pub. L. 102–486, title IV, §404(a)(1), Oct. 24, 1992, 106 Stat. 2879 </w:t>
        </w:r>
      </w:hyperlink>
      <w:r w:rsidRPr="005331A9">
        <w:rPr>
          <w:rFonts w:ascii="Arial" w:eastAsia="Times New Roman" w:hAnsi="Arial" w:cs="Arial"/>
        </w:rPr>
        <w:t xml:space="preserve">; </w:t>
      </w:r>
      <w:hyperlink r:id="rId15" w:tgtFrame="_blank" w:history="1">
        <w:r w:rsidRPr="005331A9">
          <w:rPr>
            <w:rFonts w:ascii="Arial" w:eastAsia="Times New Roman" w:hAnsi="Arial" w:cs="Arial"/>
            <w:color w:val="0F0D61"/>
          </w:rPr>
          <w:t xml:space="preserve">Pub. L. 109–58, title III, §311(a), Aug. 8, 2005, 119 Stat. 685 </w:t>
        </w:r>
      </w:hyperlink>
      <w:r w:rsidRPr="005331A9">
        <w:rPr>
          <w:rFonts w:ascii="Arial" w:eastAsia="Times New Roman" w:hAnsi="Arial" w:cs="Arial"/>
        </w:rPr>
        <w:t>.)</w:t>
      </w:r>
    </w:p>
    <w:p w:rsidR="005331A9" w:rsidRPr="005331A9" w:rsidRDefault="005331A9" w:rsidP="005331A9">
      <w:pPr>
        <w:spacing w:before="168" w:after="45" w:line="240" w:lineRule="auto"/>
        <w:ind w:hanging="480"/>
        <w:jc w:val="center"/>
        <w:outlineLvl w:val="3"/>
        <w:rPr>
          <w:rFonts w:ascii="Arial" w:eastAsia="Times New Roman" w:hAnsi="Arial" w:cs="Arial"/>
          <w:b/>
          <w:bCs/>
          <w:smallCaps/>
        </w:rPr>
      </w:pPr>
      <w:bookmarkStart w:id="11" w:name="amendment-note"/>
      <w:bookmarkEnd w:id="11"/>
      <w:r w:rsidRPr="005331A9">
        <w:rPr>
          <w:rFonts w:ascii="Arial" w:eastAsia="Times New Roman" w:hAnsi="Arial" w:cs="Arial"/>
          <w:b/>
          <w:bCs/>
          <w:smallCaps/>
        </w:rPr>
        <w:lastRenderedPageBreak/>
        <w:t>Amendments</w:t>
      </w:r>
    </w:p>
    <w:p w:rsidR="005331A9" w:rsidRPr="005331A9" w:rsidRDefault="005331A9" w:rsidP="005331A9">
      <w:pPr>
        <w:spacing w:after="168" w:line="240" w:lineRule="auto"/>
        <w:ind w:firstLine="240"/>
        <w:rPr>
          <w:rFonts w:ascii="Arial" w:eastAsia="Times New Roman" w:hAnsi="Arial" w:cs="Arial"/>
        </w:rPr>
      </w:pPr>
      <w:r w:rsidRPr="005331A9">
        <w:rPr>
          <w:rFonts w:ascii="Arial" w:eastAsia="Times New Roman" w:hAnsi="Arial" w:cs="Arial"/>
          <w:b/>
          <w:bCs/>
        </w:rPr>
        <w:t>2005</w:t>
      </w:r>
      <w:r w:rsidRPr="005331A9">
        <w:rPr>
          <w:rFonts w:ascii="Arial" w:eastAsia="Times New Roman" w:hAnsi="Arial" w:cs="Arial"/>
        </w:rPr>
        <w:t>-Subsec. (b). Pub. L. 109–58 inserted "and to the importation or exportation of natural gas in foreign commerce and to persons engaged in such importation or exportation," after "such transportation or sale,".</w:t>
      </w:r>
    </w:p>
    <w:p w:rsidR="005331A9" w:rsidRPr="005331A9" w:rsidRDefault="005331A9" w:rsidP="005331A9">
      <w:pPr>
        <w:spacing w:after="168" w:line="240" w:lineRule="auto"/>
        <w:ind w:firstLine="240"/>
        <w:rPr>
          <w:rFonts w:ascii="Arial" w:eastAsia="Times New Roman" w:hAnsi="Arial" w:cs="Arial"/>
        </w:rPr>
      </w:pPr>
      <w:r w:rsidRPr="005331A9">
        <w:rPr>
          <w:rFonts w:ascii="Arial" w:eastAsia="Times New Roman" w:hAnsi="Arial" w:cs="Arial"/>
          <w:b/>
          <w:bCs/>
        </w:rPr>
        <w:t>1992</w:t>
      </w:r>
      <w:r w:rsidRPr="005331A9">
        <w:rPr>
          <w:rFonts w:ascii="Arial" w:eastAsia="Times New Roman" w:hAnsi="Arial" w:cs="Arial"/>
        </w:rPr>
        <w:t>-Subsec. (d). Pub. L. 102–486 added subsec. (d).</w:t>
      </w:r>
    </w:p>
    <w:p w:rsidR="005331A9" w:rsidRPr="005331A9" w:rsidRDefault="005331A9" w:rsidP="005331A9">
      <w:pPr>
        <w:spacing w:after="168" w:line="240" w:lineRule="auto"/>
        <w:ind w:firstLine="240"/>
        <w:rPr>
          <w:rFonts w:ascii="Arial" w:eastAsia="Times New Roman" w:hAnsi="Arial" w:cs="Arial"/>
        </w:rPr>
      </w:pPr>
      <w:r w:rsidRPr="005331A9">
        <w:rPr>
          <w:rFonts w:ascii="Arial" w:eastAsia="Times New Roman" w:hAnsi="Arial" w:cs="Arial"/>
          <w:b/>
          <w:bCs/>
        </w:rPr>
        <w:t>1954</w:t>
      </w:r>
      <w:r w:rsidRPr="005331A9">
        <w:rPr>
          <w:rFonts w:ascii="Arial" w:eastAsia="Times New Roman" w:hAnsi="Arial" w:cs="Arial"/>
        </w:rPr>
        <w:t>-Subsec. (c). Act Mar. 27, 1954, added subsec. (c).</w:t>
      </w:r>
    </w:p>
    <w:p w:rsidR="005331A9" w:rsidRPr="005331A9" w:rsidRDefault="005331A9" w:rsidP="005331A9">
      <w:pPr>
        <w:spacing w:before="168" w:after="45" w:line="240" w:lineRule="auto"/>
        <w:ind w:hanging="480"/>
        <w:jc w:val="center"/>
        <w:outlineLvl w:val="3"/>
        <w:rPr>
          <w:rFonts w:ascii="Arial" w:eastAsia="Times New Roman" w:hAnsi="Arial" w:cs="Arial"/>
          <w:b/>
          <w:bCs/>
          <w:smallCaps/>
        </w:rPr>
      </w:pPr>
      <w:r w:rsidRPr="005331A9">
        <w:rPr>
          <w:rFonts w:ascii="Arial" w:eastAsia="Times New Roman" w:hAnsi="Arial" w:cs="Arial"/>
          <w:b/>
          <w:bCs/>
          <w:smallCaps/>
        </w:rPr>
        <w:t>Termination of Federal Power Commission; Transfer of Functions</w:t>
      </w:r>
    </w:p>
    <w:p w:rsidR="005331A9" w:rsidRPr="005331A9" w:rsidRDefault="005331A9" w:rsidP="005331A9">
      <w:pPr>
        <w:spacing w:after="168" w:line="240" w:lineRule="auto"/>
        <w:ind w:firstLine="240"/>
        <w:rPr>
          <w:rFonts w:ascii="Arial" w:eastAsia="Times New Roman" w:hAnsi="Arial" w:cs="Arial"/>
        </w:rPr>
      </w:pPr>
      <w:r w:rsidRPr="005331A9">
        <w:rPr>
          <w:rFonts w:ascii="Arial" w:eastAsia="Times New Roman" w:hAnsi="Arial" w:cs="Arial"/>
        </w:rPr>
        <w:t xml:space="preserve">Federal Power Commission terminated and functions, personnel, property, funds, etc., transferred to Secretary of Energy (except for certain functions transferred to Federal Energy Regulatory Commission) by </w:t>
      </w:r>
      <w:r w:rsidRPr="005331A9">
        <w:rPr>
          <w:rFonts w:ascii="Arial" w:eastAsia="Times New Roman" w:hAnsi="Arial" w:cs="Arial"/>
          <w:color w:val="0F0D61"/>
        </w:rPr>
        <w:t>sections 7151(b), 7171(a), 7172(a), 7291, and 7293 of Title 42</w:t>
      </w:r>
      <w:r w:rsidRPr="005331A9">
        <w:rPr>
          <w:rFonts w:ascii="Arial" w:eastAsia="Times New Roman" w:hAnsi="Arial" w:cs="Arial"/>
        </w:rPr>
        <w:t>, The Public Health and Welfare.</w:t>
      </w:r>
    </w:p>
    <w:p w:rsidR="005331A9" w:rsidRPr="005331A9" w:rsidRDefault="005331A9" w:rsidP="005331A9">
      <w:pPr>
        <w:spacing w:before="168" w:after="45" w:line="240" w:lineRule="auto"/>
        <w:ind w:hanging="480"/>
        <w:jc w:val="center"/>
        <w:outlineLvl w:val="3"/>
        <w:rPr>
          <w:rFonts w:ascii="Arial" w:eastAsia="Times New Roman" w:hAnsi="Arial" w:cs="Arial"/>
          <w:b/>
          <w:bCs/>
          <w:smallCaps/>
        </w:rPr>
      </w:pPr>
      <w:bookmarkStart w:id="12" w:name="regulations-note"/>
      <w:bookmarkEnd w:id="12"/>
      <w:r w:rsidRPr="005331A9">
        <w:rPr>
          <w:rFonts w:ascii="Arial" w:eastAsia="Times New Roman" w:hAnsi="Arial" w:cs="Arial"/>
          <w:b/>
          <w:bCs/>
          <w:smallCaps/>
        </w:rPr>
        <w:t>State Laws and Regulations</w:t>
      </w:r>
    </w:p>
    <w:p w:rsidR="005331A9" w:rsidRPr="005331A9" w:rsidRDefault="00C718CB" w:rsidP="005331A9">
      <w:pPr>
        <w:spacing w:after="168" w:line="240" w:lineRule="auto"/>
        <w:ind w:firstLine="240"/>
        <w:rPr>
          <w:rFonts w:ascii="Arial" w:eastAsia="Times New Roman" w:hAnsi="Arial" w:cs="Arial"/>
        </w:rPr>
      </w:pPr>
      <w:hyperlink r:id="rId16" w:tgtFrame="_blank" w:history="1">
        <w:r w:rsidR="005331A9" w:rsidRPr="005331A9">
          <w:rPr>
            <w:rFonts w:ascii="Arial" w:eastAsia="Times New Roman" w:hAnsi="Arial" w:cs="Arial"/>
            <w:color w:val="0F0D61"/>
          </w:rPr>
          <w:t xml:space="preserve">Pub. L. 102–486, title IV, §404(b), Oct. 24, 1992, 106 Stat. 2879 </w:t>
        </w:r>
      </w:hyperlink>
      <w:r w:rsidR="005331A9" w:rsidRPr="005331A9">
        <w:rPr>
          <w:rFonts w:ascii="Arial" w:eastAsia="Times New Roman" w:hAnsi="Arial" w:cs="Arial"/>
        </w:rPr>
        <w:t>, provided that: "The transportation or sale of natural gas by any person who is not otherwise a public utility, within the meaning of State law-</w:t>
      </w:r>
    </w:p>
    <w:p w:rsidR="005331A9" w:rsidRPr="005331A9" w:rsidRDefault="005331A9" w:rsidP="005331A9">
      <w:pPr>
        <w:spacing w:after="168" w:line="240" w:lineRule="auto"/>
        <w:ind w:left="1035" w:firstLine="480"/>
        <w:rPr>
          <w:rFonts w:ascii="Arial" w:eastAsia="Times New Roman" w:hAnsi="Arial" w:cs="Arial"/>
        </w:rPr>
      </w:pPr>
      <w:r w:rsidRPr="005331A9">
        <w:rPr>
          <w:rFonts w:ascii="Arial" w:eastAsia="Times New Roman" w:hAnsi="Arial" w:cs="Arial"/>
        </w:rPr>
        <w:t>"(1) in closed containers; or</w:t>
      </w:r>
    </w:p>
    <w:p w:rsidR="005331A9" w:rsidRPr="005331A9" w:rsidRDefault="005331A9" w:rsidP="005331A9">
      <w:pPr>
        <w:spacing w:after="168" w:line="240" w:lineRule="auto"/>
        <w:ind w:left="1035" w:firstLine="480"/>
        <w:rPr>
          <w:rFonts w:ascii="Arial" w:eastAsia="Times New Roman" w:hAnsi="Arial" w:cs="Arial"/>
        </w:rPr>
      </w:pPr>
      <w:r w:rsidRPr="005331A9">
        <w:rPr>
          <w:rFonts w:ascii="Arial" w:eastAsia="Times New Roman" w:hAnsi="Arial" w:cs="Arial"/>
        </w:rPr>
        <w:t>"(2) otherwise to any person for use by such person as a fuel in a self-propelled vehicle,</w:t>
      </w:r>
    </w:p>
    <w:p w:rsidR="005331A9" w:rsidRPr="005331A9" w:rsidRDefault="005331A9" w:rsidP="005331A9">
      <w:pPr>
        <w:spacing w:after="0" w:line="240" w:lineRule="auto"/>
        <w:rPr>
          <w:rFonts w:ascii="Arial" w:eastAsia="Times New Roman" w:hAnsi="Arial" w:cs="Arial"/>
        </w:rPr>
      </w:pPr>
      <w:r w:rsidRPr="005331A9">
        <w:rPr>
          <w:rFonts w:ascii="Arial" w:eastAsia="Times New Roman" w:hAnsi="Arial" w:cs="Arial"/>
        </w:rPr>
        <w:t>shall not be considered to be a transportation or sale of natural gas within the meaning of any State law, regulation, or order in effect before January 1, 1989. This subsection shall not apply to any provision of any State law, regulation, or order to the extent that such provision has as its primary purpose the protection of public safety."</w:t>
      </w:r>
    </w:p>
    <w:p w:rsidR="005331A9" w:rsidRPr="005331A9" w:rsidRDefault="005331A9" w:rsidP="005331A9">
      <w:pPr>
        <w:spacing w:before="168" w:after="45" w:line="240" w:lineRule="auto"/>
        <w:ind w:hanging="480"/>
        <w:jc w:val="center"/>
        <w:outlineLvl w:val="3"/>
        <w:rPr>
          <w:rFonts w:ascii="Arial" w:eastAsia="Times New Roman" w:hAnsi="Arial" w:cs="Arial"/>
          <w:b/>
          <w:bCs/>
          <w:smallCaps/>
        </w:rPr>
      </w:pPr>
      <w:bookmarkStart w:id="13" w:name="miscellaneous-note"/>
      <w:bookmarkEnd w:id="13"/>
      <w:r w:rsidRPr="005331A9">
        <w:rPr>
          <w:rFonts w:ascii="Arial" w:eastAsia="Times New Roman" w:hAnsi="Arial" w:cs="Arial"/>
          <w:b/>
          <w:bCs/>
          <w:smallCaps/>
        </w:rPr>
        <w:t>Emergency Natural Gas Act of 1977</w:t>
      </w:r>
    </w:p>
    <w:p w:rsidR="005331A9" w:rsidRPr="005331A9" w:rsidRDefault="00C718CB" w:rsidP="005331A9">
      <w:pPr>
        <w:spacing w:after="168" w:line="240" w:lineRule="auto"/>
        <w:ind w:firstLine="240"/>
        <w:rPr>
          <w:rFonts w:ascii="Arial" w:eastAsia="Times New Roman" w:hAnsi="Arial" w:cs="Arial"/>
        </w:rPr>
      </w:pPr>
      <w:hyperlink r:id="rId17" w:tgtFrame="_blank" w:history="1">
        <w:r w:rsidR="005331A9" w:rsidRPr="005331A9">
          <w:rPr>
            <w:rFonts w:ascii="Arial" w:eastAsia="Times New Roman" w:hAnsi="Arial" w:cs="Arial"/>
            <w:color w:val="0F0D61"/>
          </w:rPr>
          <w:t xml:space="preserve">Pub. L. 95–2, Feb. 2, 1977, 91 Stat. 4 </w:t>
        </w:r>
      </w:hyperlink>
      <w:r w:rsidR="005331A9" w:rsidRPr="005331A9">
        <w:rPr>
          <w:rFonts w:ascii="Arial" w:eastAsia="Times New Roman" w:hAnsi="Arial" w:cs="Arial"/>
        </w:rPr>
        <w:t>, authorized President to declare a natural gas emergency and to require emergency deliveries and transportation of natural gas until the earlier of Apr. 30, 1977, or termination of emergency by President and provided for antitrust protection, emergency purchases, adjustment in charges for local distribution companies, relationship to Natural Gas Act, effect of certain contractual obligations, administrative procedure and judicial review, enforcement, reporting to Congress, delegation of authorities, and preemption of inconsistent State or local action.</w:t>
      </w:r>
    </w:p>
    <w:p w:rsidR="005331A9" w:rsidRPr="005331A9" w:rsidRDefault="005331A9" w:rsidP="005331A9">
      <w:pPr>
        <w:spacing w:before="168" w:after="45" w:line="240" w:lineRule="auto"/>
        <w:ind w:hanging="480"/>
        <w:jc w:val="center"/>
        <w:outlineLvl w:val="3"/>
        <w:rPr>
          <w:rFonts w:ascii="Arial" w:eastAsia="Times New Roman" w:hAnsi="Arial" w:cs="Arial"/>
          <w:b/>
          <w:bCs/>
          <w:smallCaps/>
        </w:rPr>
      </w:pPr>
      <w:bookmarkStart w:id="14" w:name="executivedocument-note"/>
      <w:bookmarkEnd w:id="14"/>
      <w:r w:rsidRPr="005331A9">
        <w:rPr>
          <w:rFonts w:ascii="Arial" w:eastAsia="Times New Roman" w:hAnsi="Arial" w:cs="Arial"/>
          <w:b/>
          <w:bCs/>
          <w:smallCaps/>
        </w:rPr>
        <w:t>Executive Order No. 11969</w:t>
      </w:r>
    </w:p>
    <w:p w:rsidR="005331A9" w:rsidRPr="005331A9" w:rsidRDefault="005331A9" w:rsidP="005331A9">
      <w:pPr>
        <w:spacing w:after="168" w:line="240" w:lineRule="auto"/>
        <w:ind w:firstLine="240"/>
        <w:rPr>
          <w:rFonts w:ascii="Arial" w:eastAsia="Times New Roman" w:hAnsi="Arial" w:cs="Arial"/>
        </w:rPr>
      </w:pPr>
      <w:r w:rsidRPr="005331A9">
        <w:rPr>
          <w:rFonts w:ascii="Arial" w:eastAsia="Times New Roman" w:hAnsi="Arial" w:cs="Arial"/>
        </w:rPr>
        <w:t>Ex. Ord. No. 11969, Feb. 2, 1977, 42 F.R. 6791, as amended by Ex. Ord. No. 12038, Feb. 3, 1978, 43 F.R. 4957, which delegated to the Secretary of Energy the authority vested in the President by the Emergency Natural Gas Act of 1977 except the authority to declare and terminate a natural gas emergency, was revoked by Ex. Ord. No. 12553, Feb. 25, 1986, 51 F.R. 7237.</w:t>
      </w:r>
    </w:p>
    <w:p w:rsidR="005331A9" w:rsidRPr="005331A9" w:rsidRDefault="005331A9" w:rsidP="005331A9">
      <w:pPr>
        <w:spacing w:before="168" w:after="45" w:line="240" w:lineRule="auto"/>
        <w:ind w:hanging="480"/>
        <w:jc w:val="center"/>
        <w:outlineLvl w:val="3"/>
        <w:rPr>
          <w:rFonts w:ascii="Arial" w:eastAsia="Times New Roman" w:hAnsi="Arial" w:cs="Arial"/>
          <w:b/>
          <w:bCs/>
          <w:smallCaps/>
        </w:rPr>
      </w:pPr>
      <w:r w:rsidRPr="005331A9">
        <w:rPr>
          <w:rFonts w:ascii="Arial" w:eastAsia="Times New Roman" w:hAnsi="Arial" w:cs="Arial"/>
          <w:b/>
          <w:bCs/>
          <w:smallCaps/>
        </w:rPr>
        <w:t>Proclamation No. 4485</w:t>
      </w:r>
    </w:p>
    <w:p w:rsidR="005331A9" w:rsidRPr="005331A9" w:rsidRDefault="005331A9" w:rsidP="005331A9">
      <w:pPr>
        <w:spacing w:after="168" w:line="240" w:lineRule="auto"/>
        <w:ind w:firstLine="240"/>
        <w:rPr>
          <w:rFonts w:ascii="Arial" w:eastAsia="Times New Roman" w:hAnsi="Arial" w:cs="Arial"/>
        </w:rPr>
      </w:pPr>
      <w:r w:rsidRPr="005331A9">
        <w:rPr>
          <w:rFonts w:ascii="Arial" w:eastAsia="Times New Roman" w:hAnsi="Arial" w:cs="Arial"/>
        </w:rPr>
        <w:t>Proc. No. 4485, Feb. 2, 1977, 42 F.R. 6789, declared that a natural gas emergency existed within the meaning of section 3 of the Emergency Natural Gas Act of 1977, set out as a note above, which emergency was terminated by Proc. No. 4495, Apr. 1, 1977, 42 F.R. 18053, formerly set out below.</w:t>
      </w:r>
    </w:p>
    <w:p w:rsidR="005331A9" w:rsidRPr="005331A9" w:rsidRDefault="005331A9" w:rsidP="005331A9">
      <w:pPr>
        <w:spacing w:before="168" w:after="45" w:line="240" w:lineRule="auto"/>
        <w:ind w:hanging="480"/>
        <w:jc w:val="center"/>
        <w:outlineLvl w:val="3"/>
        <w:rPr>
          <w:rFonts w:ascii="Arial" w:eastAsia="Times New Roman" w:hAnsi="Arial" w:cs="Arial"/>
          <w:b/>
          <w:bCs/>
          <w:smallCaps/>
        </w:rPr>
      </w:pPr>
      <w:r w:rsidRPr="005331A9">
        <w:rPr>
          <w:rFonts w:ascii="Arial" w:eastAsia="Times New Roman" w:hAnsi="Arial" w:cs="Arial"/>
          <w:b/>
          <w:bCs/>
          <w:smallCaps/>
        </w:rPr>
        <w:t>Proclamation No. 4495</w:t>
      </w:r>
    </w:p>
    <w:p w:rsidR="005331A9" w:rsidRPr="005331A9" w:rsidRDefault="005331A9" w:rsidP="005331A9">
      <w:pPr>
        <w:spacing w:after="168" w:line="240" w:lineRule="auto"/>
        <w:ind w:firstLine="240"/>
        <w:rPr>
          <w:rFonts w:ascii="Arial" w:eastAsia="Times New Roman" w:hAnsi="Arial" w:cs="Arial"/>
        </w:rPr>
      </w:pPr>
      <w:r w:rsidRPr="005331A9">
        <w:rPr>
          <w:rFonts w:ascii="Arial" w:eastAsia="Times New Roman" w:hAnsi="Arial" w:cs="Arial"/>
        </w:rPr>
        <w:lastRenderedPageBreak/>
        <w:t>Proc. No. 4495, Apr. 1, 1977, 42 F.R. 18053, terminated the natural gas emergency declared to exist by Proc. No. 4485, Feb. 2, 1977, 42 F.R. 6789, formerly set out above.</w:t>
      </w:r>
    </w:p>
    <w:p w:rsidR="00E704E3" w:rsidRDefault="00E704E3"/>
    <w:sectPr w:rsidR="00E704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1A9" w:rsidRDefault="005331A9" w:rsidP="005331A9">
      <w:pPr>
        <w:spacing w:after="0" w:line="240" w:lineRule="auto"/>
      </w:pPr>
      <w:r>
        <w:separator/>
      </w:r>
    </w:p>
  </w:endnote>
  <w:endnote w:type="continuationSeparator" w:id="0">
    <w:p w:rsidR="005331A9" w:rsidRDefault="005331A9" w:rsidP="00533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1A9" w:rsidRDefault="005331A9" w:rsidP="005331A9">
      <w:pPr>
        <w:spacing w:after="0" w:line="240" w:lineRule="auto"/>
      </w:pPr>
      <w:r>
        <w:separator/>
      </w:r>
    </w:p>
  </w:footnote>
  <w:footnote w:type="continuationSeparator" w:id="0">
    <w:p w:rsidR="005331A9" w:rsidRDefault="005331A9" w:rsidP="005331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1A9"/>
    <w:rsid w:val="005331A9"/>
    <w:rsid w:val="00C718CB"/>
    <w:rsid w:val="00E70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312894">
      <w:bodyDiv w:val="1"/>
      <w:marLeft w:val="720"/>
      <w:marRight w:val="0"/>
      <w:marTop w:val="0"/>
      <w:marBottom w:val="0"/>
      <w:divBdr>
        <w:top w:val="none" w:sz="0" w:space="0" w:color="auto"/>
        <w:left w:val="none" w:sz="0" w:space="0" w:color="auto"/>
        <w:bottom w:val="none" w:sz="0" w:space="0" w:color="auto"/>
        <w:right w:val="none" w:sz="0" w:space="0" w:color="auto"/>
      </w:divBdr>
      <w:divsChild>
        <w:div w:id="2093507793">
          <w:marLeft w:val="75"/>
          <w:marRight w:val="75"/>
          <w:marTop w:val="75"/>
          <w:marBottom w:val="75"/>
          <w:divBdr>
            <w:top w:val="none" w:sz="0" w:space="0" w:color="auto"/>
            <w:left w:val="none" w:sz="0" w:space="0" w:color="auto"/>
            <w:bottom w:val="none" w:sz="0" w:space="0" w:color="auto"/>
            <w:right w:val="none" w:sz="0" w:space="0" w:color="auto"/>
          </w:divBdr>
          <w:divsChild>
            <w:div w:id="1842771696">
              <w:marLeft w:val="0"/>
              <w:marRight w:val="0"/>
              <w:marTop w:val="0"/>
              <w:marBottom w:val="0"/>
              <w:divBdr>
                <w:top w:val="none" w:sz="0" w:space="0" w:color="auto"/>
                <w:left w:val="none" w:sz="0" w:space="0" w:color="auto"/>
                <w:bottom w:val="none" w:sz="0" w:space="0" w:color="auto"/>
                <w:right w:val="none" w:sz="0" w:space="0" w:color="auto"/>
              </w:divBdr>
              <w:divsChild>
                <w:div w:id="315064105">
                  <w:marLeft w:val="0"/>
                  <w:marRight w:val="0"/>
                  <w:marTop w:val="0"/>
                  <w:marBottom w:val="0"/>
                  <w:divBdr>
                    <w:top w:val="none" w:sz="0" w:space="0" w:color="auto"/>
                    <w:left w:val="none" w:sz="0" w:space="0" w:color="auto"/>
                    <w:bottom w:val="none" w:sz="0" w:space="0" w:color="auto"/>
                    <w:right w:val="none" w:sz="0" w:space="0" w:color="auto"/>
                  </w:divBdr>
                  <w:divsChild>
                    <w:div w:id="719018041">
                      <w:marLeft w:val="0"/>
                      <w:marRight w:val="0"/>
                      <w:marTop w:val="0"/>
                      <w:marBottom w:val="0"/>
                      <w:divBdr>
                        <w:top w:val="none" w:sz="0" w:space="0" w:color="auto"/>
                        <w:left w:val="none" w:sz="0" w:space="0" w:color="auto"/>
                        <w:bottom w:val="none" w:sz="0" w:space="0" w:color="auto"/>
                        <w:right w:val="none" w:sz="0" w:space="0" w:color="auto"/>
                      </w:divBdr>
                      <w:divsChild>
                        <w:div w:id="688415685">
                          <w:marLeft w:val="0"/>
                          <w:marRight w:val="0"/>
                          <w:marTop w:val="0"/>
                          <w:marBottom w:val="0"/>
                          <w:divBdr>
                            <w:top w:val="single" w:sz="18" w:space="8" w:color="CFC2B2"/>
                            <w:left w:val="single" w:sz="18" w:space="8" w:color="CFC2B2"/>
                            <w:bottom w:val="single" w:sz="18" w:space="8" w:color="CFC2B2"/>
                            <w:right w:val="single" w:sz="18" w:space="8" w:color="CFC2B2"/>
                          </w:divBdr>
                          <w:divsChild>
                            <w:div w:id="2058894179">
                              <w:marLeft w:val="0"/>
                              <w:marRight w:val="0"/>
                              <w:marTop w:val="150"/>
                              <w:marBottom w:val="0"/>
                              <w:divBdr>
                                <w:top w:val="none" w:sz="0" w:space="0" w:color="auto"/>
                                <w:left w:val="none" w:sz="0" w:space="0" w:color="auto"/>
                                <w:bottom w:val="none" w:sz="0" w:space="0" w:color="auto"/>
                                <w:right w:val="none" w:sz="0" w:space="0" w:color="auto"/>
                              </w:divBdr>
                            </w:div>
                            <w:div w:id="146507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code.house.gov/view.xhtml?req=15+USC+717&amp;f=treesort&amp;fq=true&amp;num=71&amp;hl=true&amp;edition=prelim&amp;granuleId=USC-prelim-title15-section717" TargetMode="External"/><Relationship Id="rId13" Type="http://schemas.openxmlformats.org/officeDocument/2006/relationships/hyperlink" Target="https://uscode.house.gov/statviewer.htm?volume=68&amp;page=36"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scode.house.gov/view.xhtml?req=15+USC+717&amp;f=treesort&amp;fq=true&amp;num=71&amp;hl=true&amp;edition=prelim&amp;granuleId=USC-prelim-title15-section717" TargetMode="External"/><Relationship Id="rId12" Type="http://schemas.openxmlformats.org/officeDocument/2006/relationships/hyperlink" Target="https://uscode.house.gov/statviewer.htm?volume=52&amp;page=821" TargetMode="External"/><Relationship Id="rId17" Type="http://schemas.openxmlformats.org/officeDocument/2006/relationships/hyperlink" Target="https://uscode.house.gov/statviewer.htm?volume=91&amp;page=4" TargetMode="External"/><Relationship Id="rId2" Type="http://schemas.microsoft.com/office/2007/relationships/stylesWithEffects" Target="stylesWithEffects.xml"/><Relationship Id="rId16" Type="http://schemas.openxmlformats.org/officeDocument/2006/relationships/hyperlink" Target="https://uscode.house.gov/statviewer.htm?volume=106&amp;page=2879"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uscode.house.gov/view.xhtml?req=15+USC+717&amp;f=treesort&amp;fq=true&amp;num=71&amp;hl=true&amp;edition=prelim&amp;granuleId=USC-prelim-title15-section717" TargetMode="External"/><Relationship Id="rId5" Type="http://schemas.openxmlformats.org/officeDocument/2006/relationships/footnotes" Target="footnotes.xml"/><Relationship Id="rId15" Type="http://schemas.openxmlformats.org/officeDocument/2006/relationships/hyperlink" Target="https://uscode.house.gov/statviewer.htm?volume=119&amp;page=685" TargetMode="External"/><Relationship Id="rId10" Type="http://schemas.openxmlformats.org/officeDocument/2006/relationships/hyperlink" Target="https://uscode.house.gov/view.xhtml?req=15+USC+717&amp;f=treesort&amp;fq=true&amp;num=71&amp;hl=true&amp;edition=prelim&amp;granuleId=USC-prelim-title15-section71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scode.house.gov/view.xhtml?req=15+USC+717&amp;f=treesort&amp;fq=true&amp;num=71&amp;hl=true&amp;edition=prelim&amp;granuleId=USC-prelim-title15-section717" TargetMode="External"/><Relationship Id="rId14" Type="http://schemas.openxmlformats.org/officeDocument/2006/relationships/hyperlink" Target="https://uscode.house.gov/statviewer.htm?volume=106&amp;page=28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1158</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dcterms:created xsi:type="dcterms:W3CDTF">2020-01-14T12:18:00Z</dcterms:created>
  <dcterms:modified xsi:type="dcterms:W3CDTF">2020-01-14T12:18:00Z</dcterms:modified>
</cp:coreProperties>
</file>