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BCFC3" w14:textId="77777777" w:rsidR="009C7F55" w:rsidRPr="00867F56" w:rsidRDefault="009C7F55" w:rsidP="007445A8">
      <w:pPr>
        <w:spacing w:after="0" w:line="240" w:lineRule="auto"/>
        <w:jc w:val="center"/>
        <w:rPr>
          <w:rFonts w:ascii="Times New Roman" w:hAnsi="Times New Roman"/>
          <w:sz w:val="24"/>
          <w:szCs w:val="24"/>
        </w:rPr>
      </w:pPr>
      <w:bookmarkStart w:id="0" w:name="_GoBack"/>
      <w:bookmarkEnd w:id="0"/>
      <w:r w:rsidRPr="00867F56">
        <w:rPr>
          <w:rFonts w:ascii="Times New Roman" w:hAnsi="Times New Roman"/>
          <w:sz w:val="24"/>
          <w:szCs w:val="24"/>
        </w:rPr>
        <w:t>Supporting Statement</w:t>
      </w:r>
      <w:r w:rsidR="002953E1" w:rsidRPr="00867F56">
        <w:rPr>
          <w:rFonts w:ascii="Times New Roman" w:hAnsi="Times New Roman"/>
          <w:sz w:val="24"/>
          <w:szCs w:val="24"/>
        </w:rPr>
        <w:t xml:space="preserve"> for</w:t>
      </w:r>
    </w:p>
    <w:p w14:paraId="3C0E3A5E" w14:textId="77777777" w:rsidR="00D13613" w:rsidRPr="00867F56" w:rsidRDefault="00D13613" w:rsidP="007445A8">
      <w:pPr>
        <w:spacing w:after="0" w:line="240" w:lineRule="auto"/>
        <w:jc w:val="center"/>
        <w:rPr>
          <w:rFonts w:ascii="Times New Roman" w:hAnsi="Times New Roman"/>
          <w:b/>
          <w:sz w:val="24"/>
          <w:szCs w:val="24"/>
        </w:rPr>
      </w:pPr>
      <w:r w:rsidRPr="00867F56">
        <w:rPr>
          <w:rFonts w:ascii="Times New Roman" w:hAnsi="Times New Roman"/>
          <w:b/>
          <w:sz w:val="24"/>
          <w:szCs w:val="24"/>
        </w:rPr>
        <w:t xml:space="preserve">FERC-500 and </w:t>
      </w:r>
      <w:r w:rsidR="009C7F55" w:rsidRPr="00867F56">
        <w:rPr>
          <w:rFonts w:ascii="Times New Roman" w:hAnsi="Times New Roman"/>
          <w:b/>
          <w:sz w:val="24"/>
          <w:szCs w:val="24"/>
        </w:rPr>
        <w:t>FERC-505</w:t>
      </w:r>
      <w:r w:rsidRPr="00867F56">
        <w:rPr>
          <w:rFonts w:ascii="Times New Roman" w:hAnsi="Times New Roman"/>
          <w:b/>
          <w:sz w:val="24"/>
          <w:szCs w:val="24"/>
        </w:rPr>
        <w:t>,</w:t>
      </w:r>
      <w:r w:rsidR="009C7F55" w:rsidRPr="00867F56">
        <w:rPr>
          <w:rFonts w:ascii="Times New Roman" w:hAnsi="Times New Roman"/>
          <w:b/>
          <w:sz w:val="24"/>
          <w:szCs w:val="24"/>
        </w:rPr>
        <w:t xml:space="preserve"> </w:t>
      </w:r>
    </w:p>
    <w:p w14:paraId="08E1E96A" w14:textId="77777777" w:rsidR="00113FAD" w:rsidRPr="00867F56" w:rsidRDefault="00D13613" w:rsidP="007445A8">
      <w:pPr>
        <w:spacing w:after="0" w:line="240" w:lineRule="auto"/>
        <w:jc w:val="center"/>
        <w:rPr>
          <w:rFonts w:ascii="Times New Roman" w:hAnsi="Times New Roman"/>
          <w:b/>
          <w:sz w:val="24"/>
          <w:szCs w:val="24"/>
        </w:rPr>
      </w:pPr>
      <w:r w:rsidRPr="00867F56">
        <w:rPr>
          <w:rFonts w:ascii="Times New Roman" w:hAnsi="Times New Roman"/>
          <w:b/>
          <w:sz w:val="24"/>
          <w:szCs w:val="24"/>
        </w:rPr>
        <w:t xml:space="preserve">Modifications </w:t>
      </w:r>
      <w:r w:rsidR="00A74849" w:rsidRPr="00867F56">
        <w:rPr>
          <w:rFonts w:ascii="Times New Roman" w:hAnsi="Times New Roman"/>
          <w:b/>
          <w:sz w:val="24"/>
          <w:szCs w:val="24"/>
        </w:rPr>
        <w:t xml:space="preserve">Due to the </w:t>
      </w:r>
      <w:r w:rsidR="00D83183" w:rsidRPr="00867F56">
        <w:rPr>
          <w:rFonts w:ascii="Times New Roman" w:hAnsi="Times New Roman"/>
          <w:b/>
          <w:sz w:val="24"/>
          <w:szCs w:val="24"/>
        </w:rPr>
        <w:t>Final Rule</w:t>
      </w:r>
      <w:r w:rsidR="00851C0A" w:rsidRPr="00867F56">
        <w:rPr>
          <w:rFonts w:ascii="Times New Roman" w:hAnsi="Times New Roman"/>
          <w:b/>
          <w:sz w:val="24"/>
          <w:szCs w:val="24"/>
        </w:rPr>
        <w:t xml:space="preserve"> </w:t>
      </w:r>
    </w:p>
    <w:p w14:paraId="5DC44300" w14:textId="77777777" w:rsidR="009C7F55" w:rsidRPr="00867F56" w:rsidRDefault="00851C0A" w:rsidP="007445A8">
      <w:pPr>
        <w:spacing w:after="0" w:line="240" w:lineRule="auto"/>
        <w:jc w:val="center"/>
        <w:rPr>
          <w:rFonts w:ascii="Times New Roman" w:hAnsi="Times New Roman"/>
          <w:sz w:val="24"/>
          <w:szCs w:val="24"/>
        </w:rPr>
      </w:pPr>
      <w:r w:rsidRPr="00867F56">
        <w:rPr>
          <w:rFonts w:ascii="Times New Roman" w:hAnsi="Times New Roman"/>
          <w:b/>
          <w:sz w:val="24"/>
          <w:szCs w:val="24"/>
        </w:rPr>
        <w:t>in Docket No. RM19-6-000</w:t>
      </w:r>
    </w:p>
    <w:p w14:paraId="4D4B3961" w14:textId="77777777" w:rsidR="001263E8" w:rsidRPr="00867F56" w:rsidRDefault="001263E8" w:rsidP="00D13613">
      <w:pPr>
        <w:spacing w:after="0" w:line="240" w:lineRule="auto"/>
        <w:rPr>
          <w:rFonts w:ascii="Times New Roman" w:hAnsi="Times New Roman"/>
          <w:b/>
          <w:sz w:val="24"/>
          <w:szCs w:val="24"/>
        </w:rPr>
      </w:pPr>
    </w:p>
    <w:p w14:paraId="59E52B08" w14:textId="77777777" w:rsidR="00613ECA" w:rsidRPr="00867F56" w:rsidRDefault="009C7F55" w:rsidP="00613ECA">
      <w:pPr>
        <w:spacing w:after="0" w:line="240" w:lineRule="auto"/>
        <w:rPr>
          <w:rFonts w:ascii="Times New Roman" w:hAnsi="Times New Roman"/>
          <w:sz w:val="24"/>
          <w:szCs w:val="24"/>
        </w:rPr>
      </w:pPr>
      <w:r w:rsidRPr="00867F56">
        <w:rPr>
          <w:rFonts w:ascii="Times New Roman" w:hAnsi="Times New Roman"/>
          <w:sz w:val="24"/>
          <w:szCs w:val="24"/>
        </w:rPr>
        <w:t>The Federal Energy Regulatory Commission (</w:t>
      </w:r>
      <w:r w:rsidR="00D13613" w:rsidRPr="00867F56">
        <w:rPr>
          <w:rFonts w:ascii="Times New Roman" w:hAnsi="Times New Roman"/>
          <w:sz w:val="24"/>
          <w:szCs w:val="24"/>
        </w:rPr>
        <w:t xml:space="preserve">Commission or </w:t>
      </w:r>
      <w:r w:rsidRPr="00867F56">
        <w:rPr>
          <w:rFonts w:ascii="Times New Roman" w:hAnsi="Times New Roman"/>
          <w:sz w:val="24"/>
          <w:szCs w:val="24"/>
        </w:rPr>
        <w:t>FERC) requests the Office of Ma</w:t>
      </w:r>
      <w:r w:rsidR="00851C0A" w:rsidRPr="00867F56">
        <w:rPr>
          <w:rFonts w:ascii="Times New Roman" w:hAnsi="Times New Roman"/>
          <w:sz w:val="24"/>
          <w:szCs w:val="24"/>
        </w:rPr>
        <w:t xml:space="preserve">nagement and Budget (OMB) </w:t>
      </w:r>
      <w:r w:rsidR="002E00F8" w:rsidRPr="00867F56">
        <w:rPr>
          <w:rFonts w:ascii="Times New Roman" w:hAnsi="Times New Roman"/>
          <w:sz w:val="24"/>
          <w:szCs w:val="24"/>
        </w:rPr>
        <w:t xml:space="preserve">approve </w:t>
      </w:r>
      <w:r w:rsidR="00EB790F" w:rsidRPr="00867F56">
        <w:rPr>
          <w:rFonts w:ascii="Times New Roman" w:hAnsi="Times New Roman"/>
          <w:sz w:val="24"/>
          <w:szCs w:val="24"/>
        </w:rPr>
        <w:t xml:space="preserve">modifications </w:t>
      </w:r>
      <w:r w:rsidR="00613ECA" w:rsidRPr="00867F56">
        <w:rPr>
          <w:rFonts w:ascii="Times New Roman" w:hAnsi="Times New Roman"/>
          <w:sz w:val="24"/>
          <w:szCs w:val="24"/>
        </w:rPr>
        <w:t xml:space="preserve">due to the </w:t>
      </w:r>
      <w:r w:rsidR="00D83183" w:rsidRPr="00867F56">
        <w:rPr>
          <w:rFonts w:ascii="Times New Roman" w:hAnsi="Times New Roman"/>
          <w:sz w:val="24"/>
          <w:szCs w:val="24"/>
        </w:rPr>
        <w:t>Final Rule (issued 4/18</w:t>
      </w:r>
      <w:r w:rsidR="00851C0A" w:rsidRPr="00867F56">
        <w:rPr>
          <w:rFonts w:ascii="Times New Roman" w:hAnsi="Times New Roman"/>
          <w:sz w:val="24"/>
          <w:szCs w:val="24"/>
        </w:rPr>
        <w:t>/2019</w:t>
      </w:r>
      <w:r w:rsidR="007E7453" w:rsidRPr="00867F56">
        <w:rPr>
          <w:rFonts w:ascii="Times New Roman" w:hAnsi="Times New Roman"/>
          <w:sz w:val="24"/>
          <w:szCs w:val="24"/>
        </w:rPr>
        <w:t xml:space="preserve">) </w:t>
      </w:r>
      <w:r w:rsidR="00EB790F" w:rsidRPr="00867F56">
        <w:rPr>
          <w:rFonts w:ascii="Times New Roman" w:hAnsi="Times New Roman"/>
          <w:sz w:val="24"/>
          <w:szCs w:val="24"/>
        </w:rPr>
        <w:t>in</w:t>
      </w:r>
      <w:r w:rsidR="00851C0A" w:rsidRPr="00867F56">
        <w:rPr>
          <w:rFonts w:ascii="Times New Roman" w:hAnsi="Times New Roman"/>
          <w:sz w:val="24"/>
          <w:szCs w:val="24"/>
        </w:rPr>
        <w:t xml:space="preserve"> Docket No. RM19-6-000</w:t>
      </w:r>
      <w:r w:rsidR="00EB790F" w:rsidRPr="00867F56">
        <w:rPr>
          <w:rFonts w:ascii="Times New Roman" w:hAnsi="Times New Roman"/>
          <w:sz w:val="24"/>
          <w:szCs w:val="24"/>
        </w:rPr>
        <w:t>.</w:t>
      </w:r>
      <w:r w:rsidR="006E159B" w:rsidRPr="00867F56">
        <w:rPr>
          <w:rStyle w:val="FootnoteReference"/>
          <w:rFonts w:ascii="Times New Roman" w:hAnsi="Times New Roman"/>
          <w:sz w:val="24"/>
          <w:szCs w:val="24"/>
          <w:vertAlign w:val="superscript"/>
        </w:rPr>
        <w:footnoteReference w:id="2"/>
      </w:r>
      <w:r w:rsidR="00EB790F" w:rsidRPr="00867F56">
        <w:rPr>
          <w:rFonts w:ascii="Times New Roman" w:hAnsi="Times New Roman"/>
          <w:sz w:val="24"/>
          <w:szCs w:val="24"/>
        </w:rPr>
        <w:t xml:space="preserve">  </w:t>
      </w:r>
    </w:p>
    <w:p w14:paraId="47B0C838" w14:textId="77777777" w:rsidR="00613ECA" w:rsidRPr="00867F56" w:rsidRDefault="00613ECA" w:rsidP="00613ECA">
      <w:pPr>
        <w:spacing w:after="0" w:line="240" w:lineRule="auto"/>
        <w:rPr>
          <w:rFonts w:ascii="Times New Roman" w:hAnsi="Times New Roman"/>
          <w:sz w:val="24"/>
          <w:szCs w:val="24"/>
        </w:rPr>
      </w:pPr>
    </w:p>
    <w:p w14:paraId="63FDDEEA" w14:textId="77777777" w:rsidR="00EB790F" w:rsidRPr="00867F56" w:rsidRDefault="00EB790F" w:rsidP="003F25BB">
      <w:pPr>
        <w:spacing w:after="0" w:line="240" w:lineRule="auto"/>
        <w:rPr>
          <w:rFonts w:ascii="Times New Roman" w:hAnsi="Times New Roman"/>
          <w:sz w:val="24"/>
          <w:szCs w:val="24"/>
        </w:rPr>
      </w:pPr>
      <w:r w:rsidRPr="00867F56">
        <w:rPr>
          <w:rFonts w:ascii="Times New Roman" w:hAnsi="Times New Roman"/>
          <w:sz w:val="24"/>
          <w:szCs w:val="24"/>
        </w:rPr>
        <w:t xml:space="preserve">The </w:t>
      </w:r>
      <w:r w:rsidR="007867C7" w:rsidRPr="00867F56">
        <w:rPr>
          <w:rFonts w:ascii="Times New Roman" w:hAnsi="Times New Roman"/>
          <w:sz w:val="24"/>
          <w:szCs w:val="24"/>
        </w:rPr>
        <w:t>Final Rule</w:t>
      </w:r>
      <w:r w:rsidR="00613ECA" w:rsidRPr="00867F56">
        <w:rPr>
          <w:rFonts w:ascii="Times New Roman" w:hAnsi="Times New Roman"/>
          <w:sz w:val="24"/>
          <w:szCs w:val="24"/>
        </w:rPr>
        <w:t xml:space="preserve"> </w:t>
      </w:r>
      <w:r w:rsidRPr="00867F56">
        <w:rPr>
          <w:rFonts w:ascii="Times New Roman" w:hAnsi="Times New Roman"/>
          <w:sz w:val="24"/>
          <w:szCs w:val="24"/>
        </w:rPr>
        <w:t>changes</w:t>
      </w:r>
      <w:r w:rsidR="00613ECA" w:rsidRPr="00867F56">
        <w:rPr>
          <w:rFonts w:ascii="Times New Roman" w:hAnsi="Times New Roman"/>
          <w:sz w:val="24"/>
          <w:szCs w:val="24"/>
        </w:rPr>
        <w:t xml:space="preserve"> the</w:t>
      </w:r>
      <w:r w:rsidRPr="00867F56">
        <w:rPr>
          <w:rFonts w:ascii="Times New Roman" w:hAnsi="Times New Roman"/>
          <w:sz w:val="24"/>
          <w:szCs w:val="24"/>
        </w:rPr>
        <w:t>:</w:t>
      </w:r>
      <w:r w:rsidR="00AB7D6C" w:rsidRPr="00867F56">
        <w:rPr>
          <w:rFonts w:ascii="Times New Roman" w:hAnsi="Times New Roman"/>
          <w:sz w:val="24"/>
          <w:szCs w:val="24"/>
        </w:rPr>
        <w:t xml:space="preserve"> </w:t>
      </w:r>
    </w:p>
    <w:p w14:paraId="1D5D974B" w14:textId="77777777" w:rsidR="00613ECA" w:rsidRPr="00867F56" w:rsidRDefault="00613ECA" w:rsidP="00613ECA">
      <w:pPr>
        <w:pStyle w:val="ListParagraph"/>
        <w:numPr>
          <w:ilvl w:val="0"/>
          <w:numId w:val="15"/>
        </w:numPr>
        <w:spacing w:line="240" w:lineRule="auto"/>
        <w:rPr>
          <w:rFonts w:ascii="Times New Roman" w:hAnsi="Times New Roman"/>
          <w:sz w:val="24"/>
          <w:szCs w:val="24"/>
        </w:rPr>
      </w:pPr>
      <w:r w:rsidRPr="00867F56">
        <w:rPr>
          <w:rFonts w:ascii="Times New Roman" w:hAnsi="Times New Roman"/>
          <w:sz w:val="24"/>
          <w:szCs w:val="24"/>
        </w:rPr>
        <w:t>FERC-500, Application for License/Relicense for Water Projects with More than 5 Megawatt Capacity</w:t>
      </w:r>
    </w:p>
    <w:p w14:paraId="2A81DB62" w14:textId="118AED56" w:rsidR="00613ECA" w:rsidRDefault="00613ECA" w:rsidP="00613ECA">
      <w:pPr>
        <w:pStyle w:val="ListParagraph"/>
        <w:numPr>
          <w:ilvl w:val="0"/>
          <w:numId w:val="15"/>
        </w:numPr>
        <w:spacing w:line="240" w:lineRule="auto"/>
        <w:rPr>
          <w:rFonts w:ascii="Times New Roman" w:hAnsi="Times New Roman"/>
          <w:sz w:val="24"/>
          <w:szCs w:val="24"/>
        </w:rPr>
      </w:pPr>
      <w:r w:rsidRPr="00867F56">
        <w:rPr>
          <w:rFonts w:ascii="Times New Roman" w:hAnsi="Times New Roman"/>
          <w:sz w:val="24"/>
          <w:szCs w:val="24"/>
        </w:rPr>
        <w:t>FERC-505, Small Hydropower Projects and Conduit Facilities including License/Relicense, Exemption, and Qualifying Conduit Facility Determination.</w:t>
      </w:r>
    </w:p>
    <w:p w14:paraId="64448DA3" w14:textId="5C923F4C" w:rsidR="00AF3ABB" w:rsidRPr="00AF3ABB" w:rsidRDefault="00AF3ABB" w:rsidP="00AF3ABB">
      <w:pPr>
        <w:spacing w:line="240" w:lineRule="auto"/>
        <w:rPr>
          <w:rFonts w:ascii="Times New Roman" w:hAnsi="Times New Roman"/>
          <w:sz w:val="24"/>
          <w:szCs w:val="24"/>
        </w:rPr>
      </w:pPr>
      <w:r>
        <w:rPr>
          <w:rFonts w:ascii="Times New Roman" w:hAnsi="Times New Roman"/>
          <w:sz w:val="24"/>
          <w:szCs w:val="24"/>
        </w:rPr>
        <w:t>NOTE: The Rulemaking Identification Number (RIN) for this Final Rule is 1902-AF59</w:t>
      </w:r>
      <w:r w:rsidR="00B3462E">
        <w:rPr>
          <w:rFonts w:ascii="Times New Roman" w:hAnsi="Times New Roman"/>
          <w:sz w:val="24"/>
          <w:szCs w:val="24"/>
        </w:rPr>
        <w:t xml:space="preserve">.  The RIN, however, is not referenced in the </w:t>
      </w:r>
      <w:r w:rsidR="00F37DB4">
        <w:rPr>
          <w:rFonts w:ascii="Times New Roman" w:hAnsi="Times New Roman"/>
          <w:sz w:val="24"/>
          <w:szCs w:val="24"/>
        </w:rPr>
        <w:t>In</w:t>
      </w:r>
      <w:r w:rsidR="008A0C69">
        <w:rPr>
          <w:rFonts w:ascii="Times New Roman" w:hAnsi="Times New Roman"/>
          <w:sz w:val="24"/>
          <w:szCs w:val="24"/>
        </w:rPr>
        <w:t>formation Collection Request</w:t>
      </w:r>
      <w:r w:rsidR="00F37DB4">
        <w:rPr>
          <w:rFonts w:ascii="Times New Roman" w:hAnsi="Times New Roman"/>
          <w:sz w:val="24"/>
          <w:szCs w:val="24"/>
        </w:rPr>
        <w:t xml:space="preserve"> related to the FERC-505</w:t>
      </w:r>
      <w:r w:rsidR="008A0C69">
        <w:rPr>
          <w:rFonts w:ascii="Times New Roman" w:hAnsi="Times New Roman"/>
          <w:sz w:val="24"/>
          <w:szCs w:val="24"/>
        </w:rPr>
        <w:t xml:space="preserve"> information collection</w:t>
      </w:r>
      <w:r w:rsidR="00F37DB4">
        <w:rPr>
          <w:rFonts w:ascii="Times New Roman" w:hAnsi="Times New Roman"/>
          <w:sz w:val="24"/>
          <w:szCs w:val="24"/>
        </w:rPr>
        <w:t xml:space="preserve"> (OMB Control No. 1902-0115).  Commission staff used a temporary information collection (FERC-505A; OMB Control No. 1902-0309) for the NOPR in Docket RM19-6-000.  </w:t>
      </w:r>
      <w:r w:rsidR="002F190E">
        <w:rPr>
          <w:rFonts w:ascii="Times New Roman" w:hAnsi="Times New Roman"/>
          <w:sz w:val="24"/>
          <w:szCs w:val="24"/>
        </w:rPr>
        <w:t xml:space="preserve">The ICR </w:t>
      </w:r>
      <w:r w:rsidR="008A0C69">
        <w:rPr>
          <w:rFonts w:ascii="Times New Roman" w:hAnsi="Times New Roman"/>
          <w:sz w:val="24"/>
          <w:szCs w:val="24"/>
        </w:rPr>
        <w:t xml:space="preserve">for FERC-500 related to this Final Rule </w:t>
      </w:r>
      <w:r w:rsidR="002F190E">
        <w:rPr>
          <w:rFonts w:ascii="Times New Roman" w:hAnsi="Times New Roman"/>
          <w:sz w:val="24"/>
          <w:szCs w:val="24"/>
        </w:rPr>
        <w:t xml:space="preserve">uses the “Not Associated with Rulemaking” stage of rulemaking because the FERC-500 was not used </w:t>
      </w:r>
      <w:r w:rsidR="00200C36">
        <w:rPr>
          <w:rFonts w:ascii="Times New Roman" w:hAnsi="Times New Roman"/>
          <w:sz w:val="24"/>
          <w:szCs w:val="24"/>
        </w:rPr>
        <w:t>at the NOPR stage. The NOPR and Final Rule federal register citations are populated in the 60-day Notice and 30-day Notice fields respectively.</w:t>
      </w:r>
    </w:p>
    <w:p w14:paraId="52CA0ED9" w14:textId="77777777" w:rsidR="002953E1" w:rsidRPr="00867F56" w:rsidRDefault="002953E1" w:rsidP="002953E1">
      <w:pPr>
        <w:pStyle w:val="ListParagraph"/>
        <w:spacing w:line="240" w:lineRule="auto"/>
        <w:ind w:left="0"/>
        <w:rPr>
          <w:rFonts w:ascii="Times New Roman" w:hAnsi="Times New Roman"/>
          <w:sz w:val="24"/>
          <w:szCs w:val="24"/>
        </w:rPr>
      </w:pPr>
    </w:p>
    <w:p w14:paraId="2CA88947" w14:textId="77777777" w:rsidR="009C7F55" w:rsidRPr="00867F56" w:rsidRDefault="009C7F55" w:rsidP="002953E1">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 xml:space="preserve">CIRCUMSTANCES THAT MAKE THE COLLECTION OF INFORMATION NECESSARY </w:t>
      </w:r>
    </w:p>
    <w:p w14:paraId="58A73897" w14:textId="77777777" w:rsidR="002953E1" w:rsidRPr="00867F56" w:rsidRDefault="002953E1" w:rsidP="007445A8">
      <w:pPr>
        <w:spacing w:after="0" w:line="240" w:lineRule="auto"/>
        <w:rPr>
          <w:rFonts w:ascii="Times New Roman" w:hAnsi="Times New Roman"/>
          <w:sz w:val="24"/>
          <w:szCs w:val="24"/>
        </w:rPr>
      </w:pPr>
    </w:p>
    <w:p w14:paraId="2232E3DB" w14:textId="77777777" w:rsidR="007E0D8A" w:rsidRPr="00867F56" w:rsidRDefault="007E0D8A" w:rsidP="007445A8">
      <w:pPr>
        <w:spacing w:after="0" w:line="240" w:lineRule="auto"/>
        <w:rPr>
          <w:rFonts w:ascii="Times New Roman" w:hAnsi="Times New Roman"/>
          <w:sz w:val="24"/>
          <w:szCs w:val="24"/>
        </w:rPr>
      </w:pPr>
      <w:r w:rsidRPr="00867F56">
        <w:rPr>
          <w:rFonts w:ascii="Times New Roman" w:hAnsi="Times New Roman"/>
          <w:sz w:val="24"/>
          <w:szCs w:val="24"/>
        </w:rPr>
        <w:t>The Commission regulates non</w:t>
      </w:r>
      <w:r w:rsidR="00D13613" w:rsidRPr="00867F56">
        <w:rPr>
          <w:rFonts w:ascii="Times New Roman" w:hAnsi="Times New Roman"/>
          <w:sz w:val="24"/>
          <w:szCs w:val="24"/>
        </w:rPr>
        <w:t>-</w:t>
      </w:r>
      <w:r w:rsidRPr="00867F56">
        <w:rPr>
          <w:rFonts w:ascii="Times New Roman" w:hAnsi="Times New Roman"/>
          <w:sz w:val="24"/>
          <w:szCs w:val="24"/>
        </w:rPr>
        <w:t>federal hydropower projects on navigable waters and federal lands pursuant to the Federal Power Act (FPA).</w:t>
      </w:r>
      <w:r w:rsidRPr="00867F56">
        <w:rPr>
          <w:rStyle w:val="FootnoteReference"/>
          <w:rFonts w:ascii="Times New Roman" w:hAnsi="Times New Roman"/>
          <w:b/>
          <w:sz w:val="24"/>
          <w:szCs w:val="24"/>
          <w:vertAlign w:val="superscript"/>
        </w:rPr>
        <w:footnoteReference w:id="3"/>
      </w:r>
    </w:p>
    <w:p w14:paraId="155C0AB9" w14:textId="77777777" w:rsidR="007E0D8A" w:rsidRPr="00867F56" w:rsidRDefault="007E0D8A" w:rsidP="007445A8">
      <w:pPr>
        <w:spacing w:after="0" w:line="240" w:lineRule="auto"/>
        <w:rPr>
          <w:rFonts w:ascii="Times New Roman" w:hAnsi="Times New Roman"/>
          <w:sz w:val="24"/>
          <w:szCs w:val="24"/>
        </w:rPr>
      </w:pPr>
    </w:p>
    <w:p w14:paraId="07141D99" w14:textId="77777777" w:rsidR="00F0627E" w:rsidRPr="00867F56" w:rsidRDefault="00F0627E" w:rsidP="007445A8">
      <w:pPr>
        <w:tabs>
          <w:tab w:val="left" w:pos="720"/>
        </w:tabs>
        <w:spacing w:line="240" w:lineRule="auto"/>
        <w:rPr>
          <w:rFonts w:ascii="Times New Roman" w:hAnsi="Times New Roman"/>
          <w:sz w:val="24"/>
          <w:szCs w:val="24"/>
        </w:rPr>
      </w:pPr>
      <w:r w:rsidRPr="00867F56">
        <w:rPr>
          <w:rFonts w:ascii="Times New Roman" w:hAnsi="Times New Roman"/>
          <w:sz w:val="24"/>
          <w:szCs w:val="24"/>
        </w:rPr>
        <w:t>16 U</w:t>
      </w:r>
      <w:r w:rsidR="004C3C5F" w:rsidRPr="00867F56">
        <w:rPr>
          <w:rFonts w:ascii="Times New Roman" w:hAnsi="Times New Roman"/>
          <w:sz w:val="24"/>
          <w:szCs w:val="24"/>
        </w:rPr>
        <w:t>.</w:t>
      </w:r>
      <w:r w:rsidRPr="00867F56">
        <w:rPr>
          <w:rFonts w:ascii="Times New Roman" w:hAnsi="Times New Roman"/>
          <w:sz w:val="24"/>
          <w:szCs w:val="24"/>
        </w:rPr>
        <w:t>S</w:t>
      </w:r>
      <w:r w:rsidR="004C3C5F" w:rsidRPr="00867F56">
        <w:rPr>
          <w:rFonts w:ascii="Times New Roman" w:hAnsi="Times New Roman"/>
          <w:sz w:val="24"/>
          <w:szCs w:val="24"/>
        </w:rPr>
        <w:t>.</w:t>
      </w:r>
      <w:r w:rsidRPr="00867F56">
        <w:rPr>
          <w:rFonts w:ascii="Times New Roman" w:hAnsi="Times New Roman"/>
          <w:sz w:val="24"/>
          <w:szCs w:val="24"/>
        </w:rPr>
        <w:t>C</w:t>
      </w:r>
      <w:r w:rsidR="004C3C5F" w:rsidRPr="00867F56">
        <w:rPr>
          <w:rFonts w:ascii="Times New Roman" w:hAnsi="Times New Roman"/>
          <w:sz w:val="24"/>
          <w:szCs w:val="24"/>
        </w:rPr>
        <w:t>.</w:t>
      </w:r>
      <w:r w:rsidRPr="00867F56">
        <w:rPr>
          <w:rFonts w:ascii="Times New Roman" w:hAnsi="Times New Roman"/>
          <w:sz w:val="24"/>
          <w:szCs w:val="24"/>
        </w:rPr>
        <w:t xml:space="preserve"> 797(e) authorizes the Commission to i</w:t>
      </w:r>
      <w:r w:rsidRPr="00867F56">
        <w:rPr>
          <w:rFonts w:ascii="Times New Roman" w:hAnsi="Times New Roman"/>
          <w:color w:val="000000"/>
          <w:sz w:val="24"/>
          <w:szCs w:val="24"/>
        </w:rPr>
        <w:t xml:space="preserve">ssue licenses to citizens of the United States, </w:t>
      </w:r>
      <w:r w:rsidR="00E156BE" w:rsidRPr="00867F56">
        <w:rPr>
          <w:rFonts w:ascii="Times New Roman" w:hAnsi="Times New Roman"/>
          <w:color w:val="000000"/>
          <w:sz w:val="24"/>
          <w:szCs w:val="24"/>
        </w:rPr>
        <w:t xml:space="preserve">or to any association of such citizens, </w:t>
      </w:r>
      <w:r w:rsidRPr="00867F56">
        <w:rPr>
          <w:rFonts w:ascii="Times New Roman" w:hAnsi="Times New Roman"/>
          <w:color w:val="000000"/>
          <w:sz w:val="24"/>
          <w:szCs w:val="24"/>
        </w:rPr>
        <w:t>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w:t>
      </w:r>
      <w:r w:rsidR="00E156BE" w:rsidRPr="00867F56">
        <w:rPr>
          <w:rFonts w:ascii="Times New Roman" w:hAnsi="Times New Roman"/>
          <w:color w:val="000000"/>
          <w:sz w:val="24"/>
          <w:szCs w:val="24"/>
        </w:rPr>
        <w:t>, or for the purpose of utilizing the surplus water or water power from any Government, with exceptions</w:t>
      </w:r>
      <w:r w:rsidRPr="00867F56">
        <w:rPr>
          <w:rFonts w:ascii="Times New Roman" w:hAnsi="Times New Roman"/>
          <w:color w:val="000000"/>
          <w:sz w:val="24"/>
          <w:szCs w:val="24"/>
        </w:rPr>
        <w:t xml:space="preserve">.  The Electric Consumers </w:t>
      </w:r>
      <w:r w:rsidRPr="00867F56">
        <w:rPr>
          <w:rFonts w:ascii="Times New Roman" w:hAnsi="Times New Roman"/>
          <w:color w:val="000000"/>
          <w:sz w:val="24"/>
          <w:szCs w:val="24"/>
        </w:rPr>
        <w:lastRenderedPageBreak/>
        <w:t>Protection Act</w:t>
      </w:r>
      <w:r w:rsidRPr="00867F56">
        <w:rPr>
          <w:rStyle w:val="FootnoteReference"/>
          <w:rFonts w:ascii="Times New Roman" w:hAnsi="Times New Roman"/>
          <w:b/>
          <w:color w:val="000000"/>
          <w:sz w:val="24"/>
          <w:szCs w:val="24"/>
          <w:vertAlign w:val="superscript"/>
        </w:rPr>
        <w:footnoteReference w:id="4"/>
      </w:r>
      <w:r w:rsidRPr="00867F56">
        <w:rPr>
          <w:rFonts w:ascii="Times New Roman" w:hAnsi="Times New Roman"/>
          <w:color w:val="000000"/>
          <w:sz w:val="24"/>
          <w:szCs w:val="24"/>
        </w:rPr>
        <w:t xml:space="preserve"> amended the FPA</w:t>
      </w:r>
      <w:r w:rsidR="00A30C96" w:rsidRPr="00867F56">
        <w:rPr>
          <w:rFonts w:ascii="Times New Roman" w:hAnsi="Times New Roman"/>
          <w:color w:val="000000"/>
          <w:sz w:val="24"/>
          <w:szCs w:val="24"/>
        </w:rPr>
        <w:t xml:space="preserve">, and among other things, </w:t>
      </w:r>
      <w:r w:rsidR="003E6B4D" w:rsidRPr="00867F56">
        <w:rPr>
          <w:rFonts w:ascii="Times New Roman" w:hAnsi="Times New Roman"/>
          <w:color w:val="000000"/>
          <w:sz w:val="24"/>
          <w:szCs w:val="24"/>
        </w:rPr>
        <w:t>add</w:t>
      </w:r>
      <w:r w:rsidR="00A30C96" w:rsidRPr="00867F56">
        <w:rPr>
          <w:rFonts w:ascii="Times New Roman" w:hAnsi="Times New Roman"/>
          <w:color w:val="000000"/>
          <w:sz w:val="24"/>
          <w:szCs w:val="24"/>
        </w:rPr>
        <w:t>ed</w:t>
      </w:r>
      <w:r w:rsidR="003E6B4D" w:rsidRPr="00867F56">
        <w:rPr>
          <w:rFonts w:ascii="Times New Roman" w:hAnsi="Times New Roman"/>
          <w:color w:val="000000"/>
          <w:sz w:val="24"/>
          <w:szCs w:val="24"/>
        </w:rPr>
        <w:t xml:space="preserve"> the following </w:t>
      </w:r>
      <w:r w:rsidR="009435D7" w:rsidRPr="00867F56">
        <w:rPr>
          <w:rFonts w:ascii="Times New Roman" w:hAnsi="Times New Roman"/>
          <w:color w:val="000000"/>
          <w:sz w:val="24"/>
          <w:szCs w:val="24"/>
        </w:rPr>
        <w:t>consideration in issuing licenses</w:t>
      </w:r>
      <w:r w:rsidR="003E6B4D" w:rsidRPr="00867F56">
        <w:rPr>
          <w:rFonts w:ascii="Times New Roman" w:hAnsi="Times New Roman"/>
          <w:color w:val="000000"/>
          <w:sz w:val="24"/>
          <w:szCs w:val="24"/>
        </w:rPr>
        <w:t xml:space="preserve">: “In deciding whether to issue any license under this Part, for any project, the Commission, in addition to the power and development purposes for which licenses are issued, shall give equal consideration to the purposes of energy conservation, the protection, mitigation of damage to, and enhancement of, fish and wildlife (including related spawning grounds and habitat), the protection of recreational opportunities, and the preservation of other aspects of environmental quality.” </w:t>
      </w:r>
    </w:p>
    <w:p w14:paraId="29C02783" w14:textId="77777777" w:rsidR="00F0627E" w:rsidRPr="00867F56" w:rsidRDefault="009435D7" w:rsidP="007445A8">
      <w:pPr>
        <w:spacing w:line="240" w:lineRule="auto"/>
        <w:rPr>
          <w:rFonts w:ascii="Times New Roman" w:hAnsi="Times New Roman"/>
          <w:sz w:val="24"/>
          <w:szCs w:val="24"/>
        </w:rPr>
      </w:pPr>
      <w:r w:rsidRPr="00867F56">
        <w:rPr>
          <w:rFonts w:ascii="Times New Roman" w:hAnsi="Times New Roman"/>
          <w:sz w:val="24"/>
          <w:szCs w:val="24"/>
        </w:rPr>
        <w:t>S</w:t>
      </w:r>
      <w:r w:rsidR="00F0627E" w:rsidRPr="00867F56">
        <w:rPr>
          <w:rFonts w:ascii="Times New Roman" w:hAnsi="Times New Roman"/>
          <w:sz w:val="24"/>
          <w:szCs w:val="24"/>
        </w:rPr>
        <w:t>ection 10(a) of the FPA stipulates conditions upon which hydroelectric licenses are issued.</w:t>
      </w:r>
      <w:r w:rsidR="004C3C5F" w:rsidRPr="00867F56">
        <w:rPr>
          <w:rStyle w:val="FootnoteReference"/>
          <w:rFonts w:ascii="Times New Roman" w:hAnsi="Times New Roman"/>
          <w:b/>
          <w:sz w:val="24"/>
          <w:szCs w:val="24"/>
          <w:vertAlign w:val="superscript"/>
        </w:rPr>
        <w:footnoteReference w:id="5"/>
      </w:r>
      <w:r w:rsidR="00F0627E" w:rsidRPr="00867F56">
        <w:rPr>
          <w:rFonts w:ascii="Times New Roman" w:hAnsi="Times New Roman"/>
          <w:b/>
          <w:sz w:val="24"/>
          <w:szCs w:val="24"/>
        </w:rPr>
        <w:t xml:space="preserve"> </w:t>
      </w:r>
      <w:r w:rsidR="00F0627E" w:rsidRPr="00867F56">
        <w:rPr>
          <w:rFonts w:ascii="Times New Roman" w:hAnsi="Times New Roman"/>
          <w:sz w:val="24"/>
          <w:szCs w:val="24"/>
        </w:rPr>
        <w:t xml:space="preserve"> </w:t>
      </w:r>
      <w:r w:rsidRPr="00867F56">
        <w:rPr>
          <w:rFonts w:ascii="Times New Roman" w:hAnsi="Times New Roman"/>
          <w:sz w:val="24"/>
          <w:szCs w:val="24"/>
        </w:rPr>
        <w:t xml:space="preserve">Sections 4(e) and 10(j) </w:t>
      </w:r>
      <w:r w:rsidR="00525BA7" w:rsidRPr="00867F56">
        <w:rPr>
          <w:rFonts w:ascii="Times New Roman" w:hAnsi="Times New Roman"/>
          <w:sz w:val="24"/>
          <w:szCs w:val="24"/>
        </w:rPr>
        <w:t>of the FPA allow agencies to submit license conditions.</w:t>
      </w:r>
      <w:r w:rsidR="00525BA7" w:rsidRPr="00867F56">
        <w:rPr>
          <w:rStyle w:val="FootnoteReference"/>
          <w:rFonts w:ascii="Times New Roman" w:hAnsi="Times New Roman"/>
          <w:sz w:val="24"/>
          <w:szCs w:val="24"/>
          <w:vertAlign w:val="superscript"/>
        </w:rPr>
        <w:footnoteReference w:id="6"/>
      </w:r>
      <w:r w:rsidR="00C8338F" w:rsidRPr="00867F56">
        <w:rPr>
          <w:rFonts w:ascii="Times New Roman" w:hAnsi="Times New Roman"/>
          <w:sz w:val="24"/>
          <w:szCs w:val="24"/>
        </w:rPr>
        <w:t xml:space="preserve">  </w:t>
      </w:r>
    </w:p>
    <w:p w14:paraId="4BB89785" w14:textId="77777777" w:rsidR="0002057C" w:rsidRPr="00867F56" w:rsidRDefault="006E5D79" w:rsidP="007445A8">
      <w:pPr>
        <w:spacing w:after="0" w:line="240" w:lineRule="auto"/>
        <w:rPr>
          <w:rFonts w:ascii="Times New Roman" w:hAnsi="Times New Roman"/>
          <w:sz w:val="24"/>
          <w:szCs w:val="24"/>
        </w:rPr>
      </w:pPr>
      <w:r w:rsidRPr="00867F56">
        <w:rPr>
          <w:rFonts w:ascii="Times New Roman" w:hAnsi="Times New Roman"/>
          <w:sz w:val="24"/>
          <w:szCs w:val="24"/>
        </w:rPr>
        <w:t xml:space="preserve">The Commission requires all hydroelectric license applications to address a variety of environmental concerns.  Many of these concerns address environmental requirements developed by federal and state resource agencies, including the U.S. Fish and Wildlife Service and </w:t>
      </w:r>
      <w:r w:rsidR="00CD5F6C" w:rsidRPr="00867F56">
        <w:rPr>
          <w:rFonts w:ascii="Times New Roman" w:hAnsi="Times New Roman"/>
          <w:sz w:val="24"/>
          <w:szCs w:val="24"/>
        </w:rPr>
        <w:t xml:space="preserve">the </w:t>
      </w:r>
      <w:r w:rsidRPr="00867F56">
        <w:rPr>
          <w:rFonts w:ascii="Times New Roman" w:hAnsi="Times New Roman"/>
          <w:sz w:val="24"/>
          <w:szCs w:val="24"/>
        </w:rPr>
        <w:t xml:space="preserve">National Marine Fisheries Service, federal land management agencies (such as the U.S. Forest Service, Bureau of Land Management, </w:t>
      </w:r>
      <w:r w:rsidR="00AA05FF" w:rsidRPr="00867F56">
        <w:rPr>
          <w:rFonts w:ascii="Times New Roman" w:hAnsi="Times New Roman"/>
          <w:sz w:val="24"/>
          <w:szCs w:val="24"/>
        </w:rPr>
        <w:t xml:space="preserve">and </w:t>
      </w:r>
      <w:r w:rsidRPr="00867F56">
        <w:rPr>
          <w:rFonts w:ascii="Times New Roman" w:hAnsi="Times New Roman"/>
          <w:sz w:val="24"/>
          <w:szCs w:val="24"/>
        </w:rPr>
        <w:t>National Park Service</w:t>
      </w:r>
      <w:r w:rsidR="00AA05FF" w:rsidRPr="00867F56">
        <w:rPr>
          <w:rFonts w:ascii="Times New Roman" w:hAnsi="Times New Roman"/>
          <w:sz w:val="24"/>
          <w:szCs w:val="24"/>
        </w:rPr>
        <w:t>)</w:t>
      </w:r>
      <w:r w:rsidRPr="00867F56">
        <w:rPr>
          <w:rFonts w:ascii="Times New Roman" w:hAnsi="Times New Roman"/>
          <w:sz w:val="24"/>
          <w:szCs w:val="24"/>
        </w:rPr>
        <w:t xml:space="preserve">, U.S. Army Corps of Engineers (depending on location of dam), Indian Tribes, State Departments of Natural Resources, and State Historic Preservation Officers.  </w:t>
      </w:r>
    </w:p>
    <w:p w14:paraId="0399955F" w14:textId="77777777" w:rsidR="0002057C" w:rsidRPr="00867F56" w:rsidRDefault="0002057C" w:rsidP="007445A8">
      <w:pPr>
        <w:spacing w:after="0" w:line="240" w:lineRule="auto"/>
        <w:rPr>
          <w:rFonts w:ascii="Times New Roman" w:hAnsi="Times New Roman"/>
          <w:sz w:val="24"/>
          <w:szCs w:val="24"/>
        </w:rPr>
      </w:pPr>
    </w:p>
    <w:p w14:paraId="36041F00" w14:textId="77777777" w:rsidR="0002057C" w:rsidRPr="00867F56" w:rsidRDefault="0002057C" w:rsidP="007445A8">
      <w:pPr>
        <w:spacing w:after="0" w:line="240" w:lineRule="auto"/>
        <w:rPr>
          <w:rFonts w:ascii="Times New Roman" w:hAnsi="Times New Roman"/>
          <w:sz w:val="24"/>
          <w:szCs w:val="24"/>
        </w:rPr>
      </w:pPr>
      <w:r w:rsidRPr="00867F56">
        <w:rPr>
          <w:rFonts w:ascii="Times New Roman" w:hAnsi="Times New Roman"/>
          <w:sz w:val="24"/>
          <w:szCs w:val="24"/>
        </w:rPr>
        <w:t>In addition, the National Environmental Policy Act of 1969 requires federal agencies to prepare an environmental impact statement for all major federal actions significantly affecting the quality of the human environment.</w:t>
      </w:r>
      <w:r w:rsidRPr="00867F56">
        <w:rPr>
          <w:rStyle w:val="FootnoteReference"/>
          <w:rFonts w:ascii="Times New Roman" w:hAnsi="Times New Roman"/>
          <w:sz w:val="24"/>
          <w:szCs w:val="24"/>
          <w:vertAlign w:val="superscript"/>
        </w:rPr>
        <w:footnoteReference w:id="7"/>
      </w:r>
      <w:r w:rsidRPr="00867F56">
        <w:rPr>
          <w:rFonts w:ascii="Times New Roman" w:hAnsi="Times New Roman"/>
          <w:sz w:val="24"/>
          <w:szCs w:val="24"/>
        </w:rPr>
        <w:t xml:space="preserve">  The statement must discuss the environmental impacts of the project and alternatives to the project.  The preparation of such statement requires information collection.</w:t>
      </w:r>
    </w:p>
    <w:p w14:paraId="57261366" w14:textId="77777777" w:rsidR="0002057C" w:rsidRPr="00867F56" w:rsidRDefault="0002057C" w:rsidP="007445A8">
      <w:pPr>
        <w:spacing w:after="0" w:line="240" w:lineRule="auto"/>
        <w:rPr>
          <w:rFonts w:ascii="Times New Roman" w:hAnsi="Times New Roman"/>
          <w:sz w:val="24"/>
          <w:szCs w:val="24"/>
        </w:rPr>
      </w:pPr>
    </w:p>
    <w:p w14:paraId="6AC30612" w14:textId="77777777" w:rsidR="006E5D79" w:rsidRPr="00867F56" w:rsidRDefault="00EE0D26" w:rsidP="007445A8">
      <w:pPr>
        <w:spacing w:after="0" w:line="240" w:lineRule="auto"/>
        <w:rPr>
          <w:rFonts w:ascii="Times New Roman" w:hAnsi="Times New Roman"/>
          <w:sz w:val="24"/>
          <w:szCs w:val="24"/>
        </w:rPr>
      </w:pPr>
      <w:r w:rsidRPr="00867F56">
        <w:rPr>
          <w:rFonts w:ascii="Times New Roman" w:hAnsi="Times New Roman"/>
          <w:sz w:val="24"/>
          <w:szCs w:val="24"/>
        </w:rPr>
        <w:t>A</w:t>
      </w:r>
      <w:r w:rsidR="006E5D79" w:rsidRPr="00867F56">
        <w:rPr>
          <w:rFonts w:ascii="Times New Roman" w:hAnsi="Times New Roman"/>
          <w:sz w:val="24"/>
          <w:szCs w:val="24"/>
        </w:rPr>
        <w:t xml:space="preserve">pplicants must provide </w:t>
      </w:r>
      <w:r w:rsidR="00AA05FF" w:rsidRPr="00867F56">
        <w:rPr>
          <w:rFonts w:ascii="Times New Roman" w:hAnsi="Times New Roman"/>
          <w:sz w:val="24"/>
          <w:szCs w:val="24"/>
        </w:rPr>
        <w:t xml:space="preserve">information </w:t>
      </w:r>
      <w:r w:rsidR="006E5D79" w:rsidRPr="00867F56">
        <w:rPr>
          <w:rFonts w:ascii="Times New Roman" w:hAnsi="Times New Roman"/>
          <w:sz w:val="24"/>
          <w:szCs w:val="24"/>
        </w:rPr>
        <w:t xml:space="preserve">in order for the Commission to understand and </w:t>
      </w:r>
      <w:r w:rsidR="00C8338F" w:rsidRPr="00867F56">
        <w:rPr>
          <w:rFonts w:ascii="Times New Roman" w:hAnsi="Times New Roman"/>
          <w:sz w:val="24"/>
          <w:szCs w:val="24"/>
        </w:rPr>
        <w:t xml:space="preserve">address </w:t>
      </w:r>
      <w:r w:rsidR="006E5D79" w:rsidRPr="00867F56">
        <w:rPr>
          <w:rFonts w:ascii="Times New Roman" w:hAnsi="Times New Roman"/>
          <w:sz w:val="24"/>
          <w:szCs w:val="24"/>
        </w:rPr>
        <w:t xml:space="preserve">potential environmental problems associated with the application </w:t>
      </w:r>
      <w:r w:rsidR="00C8338F" w:rsidRPr="00867F56">
        <w:rPr>
          <w:rFonts w:ascii="Times New Roman" w:hAnsi="Times New Roman"/>
          <w:sz w:val="24"/>
          <w:szCs w:val="24"/>
        </w:rPr>
        <w:t>to meet the statutory mandates and to further the public interest.</w:t>
      </w:r>
      <w:r w:rsidR="00C8338F" w:rsidRPr="00867F56" w:rsidDel="00C8338F">
        <w:rPr>
          <w:rFonts w:ascii="Times New Roman" w:hAnsi="Times New Roman"/>
          <w:sz w:val="24"/>
          <w:szCs w:val="24"/>
        </w:rPr>
        <w:t xml:space="preserve"> </w:t>
      </w:r>
    </w:p>
    <w:p w14:paraId="0A194A41" w14:textId="77777777" w:rsidR="006E5D79" w:rsidRPr="00867F56" w:rsidRDefault="006E5D79" w:rsidP="006E5D79">
      <w:pPr>
        <w:spacing w:after="0" w:line="240" w:lineRule="auto"/>
        <w:rPr>
          <w:rFonts w:ascii="Times New Roman" w:hAnsi="Times New Roman"/>
          <w:b/>
          <w:sz w:val="24"/>
          <w:szCs w:val="24"/>
        </w:rPr>
      </w:pPr>
    </w:p>
    <w:p w14:paraId="07425ABC" w14:textId="77777777" w:rsidR="006E5D79" w:rsidRPr="00867F56" w:rsidRDefault="006E5D79" w:rsidP="006E5D79">
      <w:pPr>
        <w:spacing w:after="0" w:line="240" w:lineRule="auto"/>
        <w:rPr>
          <w:rFonts w:ascii="Times New Roman" w:eastAsia="Times New Roman" w:hAnsi="Times New Roman"/>
          <w:sz w:val="24"/>
          <w:szCs w:val="24"/>
        </w:rPr>
      </w:pPr>
      <w:r w:rsidRPr="00867F56">
        <w:rPr>
          <w:rFonts w:ascii="Times New Roman" w:hAnsi="Times New Roman"/>
          <w:b/>
          <w:sz w:val="24"/>
          <w:szCs w:val="24"/>
        </w:rPr>
        <w:t xml:space="preserve">FERC-500.  </w:t>
      </w:r>
      <w:r w:rsidRPr="00867F56">
        <w:rPr>
          <w:rFonts w:ascii="Times New Roman" w:eastAsia="Times New Roman" w:hAnsi="Times New Roman"/>
          <w:sz w:val="24"/>
          <w:szCs w:val="24"/>
        </w:rPr>
        <w:t xml:space="preserve">FERC-500 is an application for a hydropower </w:t>
      </w:r>
      <w:r w:rsidR="00D631E3" w:rsidRPr="00867F56">
        <w:rPr>
          <w:rFonts w:ascii="Times New Roman" w:eastAsia="Times New Roman" w:hAnsi="Times New Roman"/>
          <w:sz w:val="24"/>
          <w:szCs w:val="24"/>
        </w:rPr>
        <w:t xml:space="preserve">project </w:t>
      </w:r>
      <w:r w:rsidRPr="00867F56">
        <w:rPr>
          <w:rFonts w:ascii="Times New Roman" w:eastAsia="Times New Roman" w:hAnsi="Times New Roman"/>
          <w:sz w:val="24"/>
          <w:szCs w:val="24"/>
        </w:rPr>
        <w:t xml:space="preserve">license/relicense or exemption </w:t>
      </w:r>
      <w:r w:rsidR="00D631E3" w:rsidRPr="00867F56">
        <w:rPr>
          <w:rFonts w:ascii="Times New Roman" w:eastAsia="Times New Roman" w:hAnsi="Times New Roman"/>
          <w:sz w:val="24"/>
          <w:szCs w:val="24"/>
        </w:rPr>
        <w:t xml:space="preserve">for water power projects with more than 5 megawatts (MW) of installed capacity.  FERC-500 information also includes </w:t>
      </w:r>
      <w:r w:rsidR="00725E44" w:rsidRPr="00867F56">
        <w:rPr>
          <w:rFonts w:ascii="Times New Roman" w:eastAsia="Times New Roman" w:hAnsi="Times New Roman"/>
          <w:sz w:val="24"/>
          <w:szCs w:val="24"/>
        </w:rPr>
        <w:t xml:space="preserve">related filing and reporting requirements, such as </w:t>
      </w:r>
      <w:r w:rsidR="00D631E3" w:rsidRPr="00867F56">
        <w:rPr>
          <w:rFonts w:ascii="Times New Roman" w:eastAsia="Times New Roman" w:hAnsi="Times New Roman"/>
          <w:sz w:val="24"/>
          <w:szCs w:val="24"/>
        </w:rPr>
        <w:t>the filing of</w:t>
      </w:r>
      <w:r w:rsidRPr="00867F56">
        <w:rPr>
          <w:rFonts w:ascii="Times New Roman" w:eastAsia="Times New Roman" w:hAnsi="Times New Roman"/>
          <w:sz w:val="24"/>
          <w:szCs w:val="24"/>
        </w:rPr>
        <w:t xml:space="preserve"> </w:t>
      </w:r>
      <w:r w:rsidR="00D631E3" w:rsidRPr="00867F56">
        <w:rPr>
          <w:rFonts w:ascii="Times New Roman" w:eastAsia="Times New Roman" w:hAnsi="Times New Roman"/>
          <w:sz w:val="24"/>
          <w:szCs w:val="24"/>
        </w:rPr>
        <w:t xml:space="preserve">annual conveyance reports </w:t>
      </w:r>
      <w:r w:rsidR="00725E44" w:rsidRPr="00867F56">
        <w:rPr>
          <w:rFonts w:ascii="Times New Roman" w:eastAsia="Times New Roman" w:hAnsi="Times New Roman"/>
          <w:sz w:val="24"/>
          <w:szCs w:val="24"/>
        </w:rPr>
        <w:t xml:space="preserve">by licensees </w:t>
      </w:r>
      <w:r w:rsidR="00D631E3" w:rsidRPr="00867F56">
        <w:rPr>
          <w:rFonts w:ascii="Times New Roman" w:eastAsia="Times New Roman" w:hAnsi="Times New Roman"/>
          <w:sz w:val="24"/>
          <w:szCs w:val="24"/>
        </w:rPr>
        <w:t xml:space="preserve">under </w:t>
      </w:r>
      <w:r w:rsidR="00725E44" w:rsidRPr="00867F56">
        <w:rPr>
          <w:rFonts w:ascii="Times New Roman" w:eastAsia="Times New Roman" w:hAnsi="Times New Roman"/>
          <w:sz w:val="24"/>
          <w:szCs w:val="24"/>
        </w:rPr>
        <w:t>section</w:t>
      </w:r>
      <w:r w:rsidR="00D631E3" w:rsidRPr="00867F56">
        <w:rPr>
          <w:rFonts w:ascii="Times New Roman" w:eastAsia="Times New Roman" w:hAnsi="Times New Roman"/>
          <w:sz w:val="24"/>
          <w:szCs w:val="24"/>
        </w:rPr>
        <w:t xml:space="preserve"> 141.15</w:t>
      </w:r>
      <w:r w:rsidR="00725E44" w:rsidRPr="00867F56">
        <w:rPr>
          <w:rFonts w:ascii="Times New Roman" w:eastAsia="Times New Roman" w:hAnsi="Times New Roman"/>
          <w:sz w:val="24"/>
          <w:szCs w:val="24"/>
        </w:rPr>
        <w:t xml:space="preserve"> of the Commission’s regulations</w:t>
      </w:r>
      <w:r w:rsidR="003B49ED" w:rsidRPr="00867F56">
        <w:rPr>
          <w:rFonts w:ascii="Times New Roman" w:eastAsia="Times New Roman" w:hAnsi="Times New Roman"/>
          <w:sz w:val="24"/>
          <w:szCs w:val="24"/>
        </w:rPr>
        <w:t>,</w:t>
      </w:r>
      <w:r w:rsidR="00D631E3" w:rsidRPr="00867F56">
        <w:rPr>
          <w:rFonts w:ascii="Times New Roman" w:eastAsia="Times New Roman" w:hAnsi="Times New Roman"/>
          <w:sz w:val="26"/>
          <w:szCs w:val="26"/>
          <w:vertAlign w:val="superscript"/>
        </w:rPr>
        <w:footnoteReference w:id="8"/>
      </w:r>
      <w:r w:rsidR="00D631E3" w:rsidRPr="00867F56">
        <w:rPr>
          <w:rFonts w:ascii="Times New Roman" w:eastAsia="Times New Roman" w:hAnsi="Times New Roman"/>
          <w:sz w:val="24"/>
          <w:szCs w:val="24"/>
        </w:rPr>
        <w:t xml:space="preserve"> </w:t>
      </w:r>
      <w:r w:rsidR="00725E44" w:rsidRPr="00867F56">
        <w:rPr>
          <w:rFonts w:ascii="Times New Roman" w:eastAsia="Times New Roman" w:hAnsi="Times New Roman"/>
          <w:sz w:val="24"/>
          <w:szCs w:val="24"/>
        </w:rPr>
        <w:t>and the filing of</w:t>
      </w:r>
      <w:r w:rsidR="00D631E3" w:rsidRPr="00867F56">
        <w:rPr>
          <w:rFonts w:ascii="Times New Roman" w:eastAsia="Times New Roman" w:hAnsi="Times New Roman"/>
          <w:b/>
          <w:sz w:val="24"/>
          <w:szCs w:val="24"/>
        </w:rPr>
        <w:t xml:space="preserve"> </w:t>
      </w:r>
      <w:r w:rsidR="00D631E3" w:rsidRPr="00867F56">
        <w:rPr>
          <w:rFonts w:ascii="Times New Roman" w:eastAsia="Times New Roman" w:hAnsi="Times New Roman"/>
          <w:sz w:val="24"/>
          <w:szCs w:val="24"/>
        </w:rPr>
        <w:t>comprehensive plans</w:t>
      </w:r>
      <w:r w:rsidR="00725E44" w:rsidRPr="00867F56">
        <w:rPr>
          <w:rFonts w:ascii="Times New Roman" w:eastAsia="Times New Roman" w:hAnsi="Times New Roman"/>
          <w:sz w:val="24"/>
          <w:szCs w:val="24"/>
        </w:rPr>
        <w:t xml:space="preserve"> in accordance with section 2.19</w:t>
      </w:r>
      <w:r w:rsidR="007867C7" w:rsidRPr="00867F56">
        <w:rPr>
          <w:rFonts w:ascii="Times New Roman" w:eastAsia="Times New Roman" w:hAnsi="Times New Roman"/>
          <w:sz w:val="24"/>
          <w:szCs w:val="24"/>
        </w:rPr>
        <w:t xml:space="preserve"> of the Commission’s regulations</w:t>
      </w:r>
      <w:r w:rsidR="00D631E3" w:rsidRPr="00867F56">
        <w:rPr>
          <w:rFonts w:ascii="Times New Roman" w:eastAsia="Times New Roman" w:hAnsi="Times New Roman"/>
          <w:sz w:val="24"/>
          <w:szCs w:val="24"/>
        </w:rPr>
        <w:t>.</w:t>
      </w:r>
      <w:r w:rsidR="00725E44" w:rsidRPr="00867F56">
        <w:rPr>
          <w:rFonts w:ascii="Times New Roman" w:eastAsia="Times New Roman" w:hAnsi="Times New Roman"/>
          <w:sz w:val="24"/>
          <w:szCs w:val="24"/>
        </w:rPr>
        <w:t xml:space="preserve">  </w:t>
      </w:r>
      <w:r w:rsidRPr="00867F56">
        <w:rPr>
          <w:rFonts w:ascii="Times New Roman" w:eastAsia="Times New Roman" w:hAnsi="Times New Roman"/>
          <w:sz w:val="24"/>
          <w:szCs w:val="24"/>
        </w:rPr>
        <w:t xml:space="preserve">FERC-500 includes the reporting requirements in 18 CFR listed in Attachment A.  </w:t>
      </w:r>
    </w:p>
    <w:p w14:paraId="179F9DD7" w14:textId="77777777" w:rsidR="006E5D79" w:rsidRPr="00867F56" w:rsidRDefault="006E5D79" w:rsidP="006E5D79">
      <w:pPr>
        <w:autoSpaceDE w:val="0"/>
        <w:autoSpaceDN w:val="0"/>
        <w:adjustRightInd w:val="0"/>
        <w:spacing w:after="0" w:line="240" w:lineRule="auto"/>
        <w:rPr>
          <w:rFonts w:ascii="Times New Roman" w:eastAsia="Times New Roman" w:hAnsi="Times New Roman"/>
          <w:sz w:val="24"/>
          <w:szCs w:val="24"/>
        </w:rPr>
      </w:pPr>
    </w:p>
    <w:p w14:paraId="6176F5C7" w14:textId="77777777" w:rsidR="006E5D79" w:rsidRPr="00867F56" w:rsidRDefault="006E5D79" w:rsidP="006E5D79">
      <w:pPr>
        <w:autoSpaceDE w:val="0"/>
        <w:autoSpaceDN w:val="0"/>
        <w:adjustRightInd w:val="0"/>
        <w:spacing w:after="0" w:line="240" w:lineRule="auto"/>
        <w:rPr>
          <w:rFonts w:ascii="Times New Roman" w:eastAsia="Times New Roman" w:hAnsi="Times New Roman"/>
          <w:sz w:val="24"/>
          <w:szCs w:val="24"/>
        </w:rPr>
      </w:pPr>
      <w:r w:rsidRPr="00867F56">
        <w:rPr>
          <w:rFonts w:ascii="Times New Roman" w:eastAsia="Times New Roman" w:hAnsi="Times New Roman"/>
          <w:sz w:val="24"/>
          <w:szCs w:val="24"/>
        </w:rPr>
        <w:t xml:space="preserve">The FERC-500 filing requirements for a major hydropower license/relicense include project description, schedule, resource allocation, project operation, construction schedule, cost, and </w:t>
      </w:r>
      <w:r w:rsidRPr="00867F56">
        <w:rPr>
          <w:rFonts w:ascii="Times New Roman" w:eastAsia="Times New Roman" w:hAnsi="Times New Roman"/>
          <w:sz w:val="24"/>
          <w:szCs w:val="24"/>
        </w:rPr>
        <w:lastRenderedPageBreak/>
        <w:t xml:space="preserve">financing; and an environmental report.  Applicants can choose to seek FERC hydropower licenses using </w:t>
      </w:r>
      <w:r w:rsidR="00EC7734" w:rsidRPr="00867F56">
        <w:rPr>
          <w:rFonts w:ascii="Times New Roman" w:eastAsia="Times New Roman" w:hAnsi="Times New Roman"/>
          <w:sz w:val="24"/>
          <w:szCs w:val="24"/>
        </w:rPr>
        <w:t xml:space="preserve">one of </w:t>
      </w:r>
      <w:r w:rsidRPr="00867F56">
        <w:rPr>
          <w:rFonts w:ascii="Times New Roman" w:eastAsia="Times New Roman" w:hAnsi="Times New Roman"/>
          <w:sz w:val="24"/>
          <w:szCs w:val="24"/>
        </w:rPr>
        <w:t xml:space="preserve">three different options: the traditional </w:t>
      </w:r>
      <w:r w:rsidR="00490C21" w:rsidRPr="00867F56">
        <w:rPr>
          <w:rFonts w:ascii="Times New Roman" w:eastAsia="Times New Roman" w:hAnsi="Times New Roman"/>
          <w:sz w:val="24"/>
          <w:szCs w:val="24"/>
        </w:rPr>
        <w:t xml:space="preserve">licensing </w:t>
      </w:r>
      <w:r w:rsidRPr="00867F56">
        <w:rPr>
          <w:rFonts w:ascii="Times New Roman" w:eastAsia="Times New Roman" w:hAnsi="Times New Roman"/>
          <w:sz w:val="24"/>
          <w:szCs w:val="24"/>
        </w:rPr>
        <w:t>process</w:t>
      </w:r>
      <w:r w:rsidR="003A3B72" w:rsidRPr="00867F56">
        <w:rPr>
          <w:rFonts w:ascii="Times New Roman" w:eastAsia="Times New Roman" w:hAnsi="Times New Roman"/>
          <w:sz w:val="24"/>
          <w:szCs w:val="24"/>
        </w:rPr>
        <w:t xml:space="preserve"> (TLP)</w:t>
      </w:r>
      <w:r w:rsidRPr="00867F56">
        <w:rPr>
          <w:rFonts w:ascii="Times New Roman" w:eastAsia="Times New Roman" w:hAnsi="Times New Roman"/>
          <w:sz w:val="24"/>
          <w:szCs w:val="24"/>
        </w:rPr>
        <w:t xml:space="preserve">, alternative </w:t>
      </w:r>
      <w:r w:rsidR="00490C21" w:rsidRPr="00867F56">
        <w:rPr>
          <w:rFonts w:ascii="Times New Roman" w:eastAsia="Times New Roman" w:hAnsi="Times New Roman"/>
          <w:sz w:val="24"/>
          <w:szCs w:val="24"/>
        </w:rPr>
        <w:t xml:space="preserve">licensing </w:t>
      </w:r>
      <w:r w:rsidRPr="00867F56">
        <w:rPr>
          <w:rFonts w:ascii="Times New Roman" w:eastAsia="Times New Roman" w:hAnsi="Times New Roman"/>
          <w:sz w:val="24"/>
          <w:szCs w:val="24"/>
        </w:rPr>
        <w:t>process</w:t>
      </w:r>
      <w:r w:rsidR="003A3B72" w:rsidRPr="00867F56">
        <w:rPr>
          <w:rFonts w:ascii="Times New Roman" w:eastAsia="Times New Roman" w:hAnsi="Times New Roman"/>
          <w:sz w:val="24"/>
          <w:szCs w:val="24"/>
        </w:rPr>
        <w:t xml:space="preserve"> (ALP)</w:t>
      </w:r>
      <w:r w:rsidRPr="00867F56">
        <w:rPr>
          <w:rFonts w:ascii="Times New Roman" w:eastAsia="Times New Roman" w:hAnsi="Times New Roman"/>
          <w:sz w:val="24"/>
          <w:szCs w:val="24"/>
        </w:rPr>
        <w:t xml:space="preserve">, or integrated </w:t>
      </w:r>
      <w:r w:rsidR="00490C21" w:rsidRPr="00867F56">
        <w:rPr>
          <w:rFonts w:ascii="Times New Roman" w:eastAsia="Times New Roman" w:hAnsi="Times New Roman"/>
          <w:sz w:val="24"/>
          <w:szCs w:val="24"/>
        </w:rPr>
        <w:t xml:space="preserve">licensing </w:t>
      </w:r>
      <w:r w:rsidRPr="00867F56">
        <w:rPr>
          <w:rFonts w:ascii="Times New Roman" w:eastAsia="Times New Roman" w:hAnsi="Times New Roman"/>
          <w:sz w:val="24"/>
          <w:szCs w:val="24"/>
        </w:rPr>
        <w:t>process (ILP).</w:t>
      </w:r>
      <w:r w:rsidR="00EC7734" w:rsidRPr="00867F56">
        <w:rPr>
          <w:rFonts w:ascii="Times New Roman" w:eastAsia="Times New Roman" w:hAnsi="Times New Roman"/>
          <w:b/>
          <w:sz w:val="26"/>
          <w:szCs w:val="26"/>
          <w:vertAlign w:val="superscript"/>
        </w:rPr>
        <w:footnoteReference w:id="9"/>
      </w:r>
      <w:r w:rsidRPr="00867F56">
        <w:rPr>
          <w:rFonts w:ascii="Times New Roman" w:eastAsia="Times New Roman" w:hAnsi="Times New Roman"/>
          <w:sz w:val="24"/>
          <w:szCs w:val="24"/>
        </w:rPr>
        <w:t xml:space="preserve">  The ILP is the default process and enables potential license</w:t>
      </w:r>
      <w:r w:rsidR="00490C21" w:rsidRPr="00867F56">
        <w:rPr>
          <w:rFonts w:ascii="Times New Roman" w:eastAsia="Times New Roman" w:hAnsi="Times New Roman"/>
          <w:sz w:val="24"/>
          <w:szCs w:val="24"/>
        </w:rPr>
        <w:t>e</w:t>
      </w:r>
      <w:r w:rsidRPr="00867F56">
        <w:rPr>
          <w:rFonts w:ascii="Times New Roman" w:eastAsia="Times New Roman" w:hAnsi="Times New Roman"/>
          <w:sz w:val="24"/>
          <w:szCs w:val="24"/>
        </w:rPr>
        <w:t xml:space="preserve">s to conduct pre-filing consultation and the Commission </w:t>
      </w:r>
      <w:r w:rsidR="002A60BA" w:rsidRPr="00867F56">
        <w:rPr>
          <w:rFonts w:ascii="Times New Roman" w:eastAsia="Times New Roman" w:hAnsi="Times New Roman"/>
          <w:sz w:val="24"/>
          <w:szCs w:val="24"/>
        </w:rPr>
        <w:t>to conduct</w:t>
      </w:r>
      <w:r w:rsidRPr="00867F56">
        <w:rPr>
          <w:rFonts w:ascii="Times New Roman" w:eastAsia="Times New Roman" w:hAnsi="Times New Roman"/>
          <w:sz w:val="24"/>
          <w:szCs w:val="24"/>
        </w:rPr>
        <w:t xml:space="preserve"> scoping concurrently rather than sequentially.  After an application for a major license is filed, the Federal agencies with responsibilities under the FPA and other statutes, the States, Indian tribes, and other participants have opportunities to request additional studies and provide comments and recommendations.  Federal agencies with mandatory conditioning authority also provide their conditions.  </w:t>
      </w:r>
    </w:p>
    <w:p w14:paraId="2BBFC7BC" w14:textId="77777777" w:rsidR="006E5D79" w:rsidRPr="00867F56" w:rsidRDefault="006E5D79" w:rsidP="007445A8">
      <w:pPr>
        <w:spacing w:after="0" w:line="240" w:lineRule="auto"/>
        <w:rPr>
          <w:rFonts w:ascii="Times New Roman" w:hAnsi="Times New Roman"/>
          <w:sz w:val="24"/>
          <w:szCs w:val="24"/>
        </w:rPr>
      </w:pPr>
    </w:p>
    <w:p w14:paraId="775E351C" w14:textId="77777777" w:rsidR="00471F97" w:rsidRPr="00867F56" w:rsidRDefault="006E5D79" w:rsidP="007445A8">
      <w:pPr>
        <w:spacing w:after="0" w:line="240" w:lineRule="auto"/>
        <w:rPr>
          <w:rFonts w:ascii="Times New Roman" w:hAnsi="Times New Roman"/>
          <w:sz w:val="24"/>
          <w:szCs w:val="24"/>
        </w:rPr>
      </w:pPr>
      <w:r w:rsidRPr="00867F56">
        <w:rPr>
          <w:rFonts w:ascii="Times New Roman" w:hAnsi="Times New Roman"/>
          <w:b/>
          <w:sz w:val="24"/>
          <w:szCs w:val="24"/>
        </w:rPr>
        <w:t xml:space="preserve">FERC-505.  </w:t>
      </w:r>
      <w:r w:rsidR="00471F97" w:rsidRPr="00867F56">
        <w:rPr>
          <w:rFonts w:ascii="Times New Roman" w:hAnsi="Times New Roman"/>
          <w:sz w:val="24"/>
          <w:szCs w:val="24"/>
        </w:rPr>
        <w:t xml:space="preserve">FERC-505 is an application for a small hydropower project license or relicense, exemption, or determination of a qualifying conduit hydropower facility. </w:t>
      </w:r>
    </w:p>
    <w:p w14:paraId="74286DC0" w14:textId="77777777" w:rsidR="00471F97" w:rsidRPr="00867F56" w:rsidRDefault="00471F97" w:rsidP="007445A8">
      <w:pPr>
        <w:spacing w:after="0" w:line="240" w:lineRule="auto"/>
        <w:rPr>
          <w:rFonts w:ascii="Times New Roman" w:hAnsi="Times New Roman"/>
          <w:sz w:val="24"/>
          <w:szCs w:val="24"/>
        </w:rPr>
      </w:pPr>
    </w:p>
    <w:p w14:paraId="4E07653F" w14:textId="77777777" w:rsidR="00471F97" w:rsidRPr="00867F56" w:rsidRDefault="00471F97" w:rsidP="007445A8">
      <w:pPr>
        <w:spacing w:after="0" w:line="240" w:lineRule="auto"/>
        <w:rPr>
          <w:rFonts w:ascii="Times New Roman" w:hAnsi="Times New Roman"/>
          <w:sz w:val="24"/>
          <w:szCs w:val="24"/>
        </w:rPr>
      </w:pPr>
      <w:r w:rsidRPr="00867F56">
        <w:rPr>
          <w:rFonts w:ascii="Times New Roman" w:hAnsi="Times New Roman"/>
          <w:i/>
          <w:sz w:val="24"/>
          <w:szCs w:val="24"/>
        </w:rPr>
        <w:t>Small Hydropower Project</w:t>
      </w:r>
      <w:r w:rsidR="00490C21" w:rsidRPr="00867F56">
        <w:rPr>
          <w:rFonts w:ascii="Times New Roman" w:hAnsi="Times New Roman"/>
          <w:i/>
          <w:sz w:val="24"/>
          <w:szCs w:val="24"/>
        </w:rPr>
        <w:t>s</w:t>
      </w:r>
      <w:r w:rsidR="00D966A1" w:rsidRPr="00867F56">
        <w:rPr>
          <w:rFonts w:ascii="Times New Roman" w:hAnsi="Times New Roman"/>
          <w:i/>
          <w:sz w:val="24"/>
          <w:szCs w:val="24"/>
        </w:rPr>
        <w:t xml:space="preserve">.  </w:t>
      </w:r>
      <w:r w:rsidRPr="00867F56">
        <w:rPr>
          <w:rFonts w:ascii="Times New Roman" w:hAnsi="Times New Roman"/>
          <w:sz w:val="24"/>
          <w:szCs w:val="24"/>
        </w:rPr>
        <w:t>Small hydro</w:t>
      </w:r>
      <w:r w:rsidR="002122FB" w:rsidRPr="00867F56">
        <w:rPr>
          <w:rFonts w:ascii="Times New Roman" w:hAnsi="Times New Roman"/>
          <w:sz w:val="24"/>
          <w:szCs w:val="24"/>
        </w:rPr>
        <w:t>p</w:t>
      </w:r>
      <w:r w:rsidRPr="00867F56">
        <w:rPr>
          <w:rFonts w:ascii="Times New Roman" w:hAnsi="Times New Roman"/>
          <w:sz w:val="24"/>
          <w:szCs w:val="24"/>
        </w:rPr>
        <w:t>ower projects are minor water power projects and major water power projects that have an installed capacity of</w:t>
      </w:r>
      <w:r w:rsidR="0059069E" w:rsidRPr="00867F56">
        <w:rPr>
          <w:rFonts w:ascii="Times New Roman" w:hAnsi="Times New Roman"/>
          <w:sz w:val="24"/>
          <w:szCs w:val="24"/>
        </w:rPr>
        <w:t xml:space="preserve"> </w:t>
      </w:r>
      <w:r w:rsidRPr="00867F56">
        <w:rPr>
          <w:rFonts w:ascii="Times New Roman" w:hAnsi="Times New Roman"/>
          <w:sz w:val="24"/>
          <w:szCs w:val="24"/>
        </w:rPr>
        <w:t>5 MW or less.</w:t>
      </w:r>
      <w:r w:rsidRPr="00867F56">
        <w:rPr>
          <w:rStyle w:val="FootnoteReference"/>
          <w:rFonts w:ascii="Times New Roman" w:hAnsi="Times New Roman"/>
          <w:b/>
          <w:sz w:val="24"/>
          <w:szCs w:val="24"/>
          <w:vertAlign w:val="superscript"/>
        </w:rPr>
        <w:footnoteReference w:id="10"/>
      </w:r>
      <w:r w:rsidRPr="00867F56">
        <w:rPr>
          <w:rFonts w:ascii="Times New Roman" w:hAnsi="Times New Roman"/>
          <w:b/>
          <w:sz w:val="24"/>
          <w:szCs w:val="24"/>
        </w:rPr>
        <w:t xml:space="preserve"> </w:t>
      </w:r>
      <w:r w:rsidRPr="00867F56">
        <w:rPr>
          <w:rFonts w:ascii="Times New Roman" w:hAnsi="Times New Roman"/>
          <w:sz w:val="24"/>
          <w:szCs w:val="24"/>
        </w:rPr>
        <w:t xml:space="preserve"> Small hydropower projects have distinct filing requirements as outlined in </w:t>
      </w:r>
      <w:r w:rsidR="00490D11" w:rsidRPr="00867F56">
        <w:rPr>
          <w:rFonts w:ascii="Times New Roman" w:hAnsi="Times New Roman"/>
          <w:sz w:val="24"/>
          <w:szCs w:val="24"/>
        </w:rPr>
        <w:t>section</w:t>
      </w:r>
      <w:r w:rsidR="00F16E26" w:rsidRPr="00867F56">
        <w:rPr>
          <w:rFonts w:ascii="Times New Roman" w:hAnsi="Times New Roman"/>
          <w:sz w:val="24"/>
          <w:szCs w:val="24"/>
        </w:rPr>
        <w:t xml:space="preserve"> </w:t>
      </w:r>
      <w:r w:rsidRPr="00867F56">
        <w:rPr>
          <w:rFonts w:ascii="Times New Roman" w:hAnsi="Times New Roman"/>
          <w:sz w:val="24"/>
          <w:szCs w:val="24"/>
        </w:rPr>
        <w:t>4.61</w:t>
      </w:r>
      <w:r w:rsidR="00490D11" w:rsidRPr="00867F56">
        <w:rPr>
          <w:rFonts w:ascii="Times New Roman" w:hAnsi="Times New Roman"/>
          <w:sz w:val="24"/>
          <w:szCs w:val="24"/>
        </w:rPr>
        <w:t xml:space="preserve"> of the Commission’s regulations</w:t>
      </w:r>
      <w:r w:rsidRPr="00867F56">
        <w:rPr>
          <w:rFonts w:ascii="Times New Roman" w:hAnsi="Times New Roman"/>
          <w:sz w:val="24"/>
          <w:szCs w:val="24"/>
        </w:rPr>
        <w:t>.</w:t>
      </w:r>
      <w:r w:rsidR="009413AF" w:rsidRPr="00867F56" w:rsidDel="009413AF">
        <w:rPr>
          <w:rStyle w:val="FootnoteReference"/>
          <w:rFonts w:ascii="Times New Roman" w:hAnsi="Times New Roman"/>
          <w:b/>
          <w:sz w:val="24"/>
          <w:szCs w:val="24"/>
          <w:vertAlign w:val="superscript"/>
        </w:rPr>
        <w:t xml:space="preserve"> </w:t>
      </w:r>
    </w:p>
    <w:p w14:paraId="0CC3FD87" w14:textId="77777777" w:rsidR="00471F97" w:rsidRPr="00867F56" w:rsidRDefault="00471F97" w:rsidP="007445A8">
      <w:pPr>
        <w:spacing w:after="0" w:line="240" w:lineRule="auto"/>
        <w:rPr>
          <w:rFonts w:ascii="Times New Roman" w:hAnsi="Times New Roman"/>
          <w:sz w:val="24"/>
          <w:szCs w:val="24"/>
        </w:rPr>
      </w:pPr>
    </w:p>
    <w:p w14:paraId="55E1DD23" w14:textId="77777777" w:rsidR="00471F97" w:rsidRPr="00867F56" w:rsidRDefault="00471F97" w:rsidP="007445A8">
      <w:pPr>
        <w:spacing w:after="0" w:line="240" w:lineRule="auto"/>
        <w:rPr>
          <w:rFonts w:ascii="Times New Roman" w:hAnsi="Times New Roman"/>
          <w:sz w:val="24"/>
          <w:szCs w:val="24"/>
        </w:rPr>
      </w:pPr>
      <w:r w:rsidRPr="00867F56">
        <w:rPr>
          <w:rFonts w:ascii="Times New Roman" w:hAnsi="Times New Roman"/>
          <w:i/>
          <w:sz w:val="24"/>
          <w:szCs w:val="24"/>
        </w:rPr>
        <w:t>Exemptions from Licensing</w:t>
      </w:r>
      <w:r w:rsidR="00D966A1" w:rsidRPr="00867F56">
        <w:rPr>
          <w:rFonts w:ascii="Times New Roman" w:hAnsi="Times New Roman"/>
          <w:i/>
          <w:sz w:val="24"/>
          <w:szCs w:val="24"/>
        </w:rPr>
        <w:t xml:space="preserve">.  </w:t>
      </w:r>
      <w:r w:rsidRPr="00867F56">
        <w:rPr>
          <w:rFonts w:ascii="Times New Roman" w:hAnsi="Times New Roman"/>
          <w:sz w:val="24"/>
          <w:szCs w:val="24"/>
        </w:rPr>
        <w:t>A hydroelectric project may be eligible for an exemption.  An exemption is not a form of deregulation; it is a statutory provision that allows an applicant to be exempt from some or all of Part I of the FPA, including the comprehensive development standard of FPA Section 10(a)(1).  There are two types of FERC exemptions:  (1) conduit exemptions; and (2) </w:t>
      </w:r>
      <w:r w:rsidR="00490C21" w:rsidRPr="00867F56">
        <w:rPr>
          <w:rFonts w:ascii="Times New Roman" w:hAnsi="Times New Roman"/>
          <w:sz w:val="24"/>
          <w:szCs w:val="24"/>
        </w:rPr>
        <w:t>10</w:t>
      </w:r>
      <w:r w:rsidR="00910026" w:rsidRPr="00867F56">
        <w:rPr>
          <w:rFonts w:ascii="Times New Roman" w:hAnsi="Times New Roman"/>
          <w:sz w:val="24"/>
          <w:szCs w:val="24"/>
        </w:rPr>
        <w:t>-</w:t>
      </w:r>
      <w:r w:rsidR="00490C21" w:rsidRPr="00867F56">
        <w:rPr>
          <w:rFonts w:ascii="Times New Roman" w:hAnsi="Times New Roman"/>
          <w:sz w:val="24"/>
          <w:szCs w:val="24"/>
        </w:rPr>
        <w:t xml:space="preserve">MW or less </w:t>
      </w:r>
      <w:r w:rsidRPr="00867F56">
        <w:rPr>
          <w:rFonts w:ascii="Times New Roman" w:hAnsi="Times New Roman"/>
          <w:sz w:val="24"/>
          <w:szCs w:val="24"/>
        </w:rPr>
        <w:t xml:space="preserve">hydroelectric power project exemptions.  </w:t>
      </w:r>
    </w:p>
    <w:p w14:paraId="54ED714A" w14:textId="77777777" w:rsidR="00471F97" w:rsidRPr="00867F56" w:rsidRDefault="00471F97" w:rsidP="007445A8">
      <w:pPr>
        <w:spacing w:after="0" w:line="240" w:lineRule="auto"/>
        <w:rPr>
          <w:rFonts w:ascii="Times New Roman" w:hAnsi="Times New Roman"/>
          <w:sz w:val="24"/>
          <w:szCs w:val="24"/>
        </w:rPr>
      </w:pPr>
    </w:p>
    <w:p w14:paraId="341FFB1A" w14:textId="77777777" w:rsidR="00471F97" w:rsidRPr="00867F56" w:rsidRDefault="00471F97" w:rsidP="007445A8">
      <w:pPr>
        <w:spacing w:after="0" w:line="240" w:lineRule="auto"/>
        <w:rPr>
          <w:rFonts w:ascii="Times New Roman" w:hAnsi="Times New Roman"/>
          <w:sz w:val="24"/>
          <w:szCs w:val="24"/>
        </w:rPr>
      </w:pPr>
      <w:r w:rsidRPr="00867F56">
        <w:rPr>
          <w:rFonts w:ascii="Times New Roman" w:hAnsi="Times New Roman"/>
          <w:sz w:val="24"/>
          <w:szCs w:val="24"/>
        </w:rPr>
        <w:t>A conduit exemption, as defined in section 30 of the FPA,</w:t>
      </w:r>
      <w:r w:rsidRPr="00867F56">
        <w:rPr>
          <w:rStyle w:val="FootnoteReference"/>
          <w:rFonts w:ascii="Times New Roman" w:hAnsi="Times New Roman"/>
          <w:b/>
          <w:sz w:val="24"/>
          <w:szCs w:val="24"/>
          <w:vertAlign w:val="superscript"/>
        </w:rPr>
        <w:footnoteReference w:id="11"/>
      </w:r>
      <w:r w:rsidRPr="00867F56">
        <w:rPr>
          <w:rFonts w:ascii="Times New Roman" w:hAnsi="Times New Roman"/>
          <w:b/>
          <w:sz w:val="24"/>
          <w:szCs w:val="24"/>
        </w:rPr>
        <w:t xml:space="preserve"> </w:t>
      </w:r>
      <w:r w:rsidRPr="00867F56">
        <w:rPr>
          <w:rFonts w:ascii="Times New Roman" w:hAnsi="Times New Roman"/>
          <w:sz w:val="24"/>
          <w:szCs w:val="24"/>
        </w:rPr>
        <w:t xml:space="preserve">is an existing or proposed hydroelectric facility that utilizes for electric power generation the hydroelectric potential of a conduit, or any tunnel, canal, pipeline, aqueduct, flume, ditch, or similar manmade water conveyance that is not primarily used for the generation of electricity.  </w:t>
      </w:r>
    </w:p>
    <w:p w14:paraId="49F0D868" w14:textId="77777777" w:rsidR="00471F97" w:rsidRPr="00867F56" w:rsidRDefault="00471F97" w:rsidP="007445A8">
      <w:pPr>
        <w:spacing w:after="0" w:line="240" w:lineRule="auto"/>
        <w:rPr>
          <w:rFonts w:ascii="Times New Roman" w:hAnsi="Times New Roman"/>
          <w:sz w:val="24"/>
          <w:szCs w:val="24"/>
        </w:rPr>
      </w:pPr>
    </w:p>
    <w:p w14:paraId="37AADDF5" w14:textId="77777777" w:rsidR="00471F97" w:rsidRPr="00867F56" w:rsidRDefault="00471F97" w:rsidP="007445A8">
      <w:pPr>
        <w:spacing w:after="0" w:line="240" w:lineRule="auto"/>
        <w:rPr>
          <w:rFonts w:ascii="Times New Roman" w:hAnsi="Times New Roman"/>
          <w:sz w:val="24"/>
          <w:szCs w:val="24"/>
        </w:rPr>
      </w:pPr>
      <w:r w:rsidRPr="00867F56">
        <w:rPr>
          <w:rFonts w:ascii="Times New Roman" w:hAnsi="Times New Roman"/>
          <w:sz w:val="24"/>
          <w:szCs w:val="24"/>
        </w:rPr>
        <w:t xml:space="preserve">A 10-MW </w:t>
      </w:r>
      <w:r w:rsidR="00490C21" w:rsidRPr="00867F56">
        <w:rPr>
          <w:rFonts w:ascii="Times New Roman" w:hAnsi="Times New Roman"/>
          <w:sz w:val="24"/>
          <w:szCs w:val="24"/>
        </w:rPr>
        <w:t xml:space="preserve">or less </w:t>
      </w:r>
      <w:r w:rsidRPr="00867F56">
        <w:rPr>
          <w:rFonts w:ascii="Times New Roman" w:hAnsi="Times New Roman"/>
          <w:sz w:val="24"/>
          <w:szCs w:val="24"/>
        </w:rPr>
        <w:t>exemption, as defined in the Public Utilities Regulatory Policies Act of 1978 ,</w:t>
      </w:r>
      <w:r w:rsidRPr="00867F56">
        <w:rPr>
          <w:rStyle w:val="FootnoteReference"/>
          <w:rFonts w:ascii="Times New Roman" w:hAnsi="Times New Roman"/>
          <w:b/>
          <w:sz w:val="24"/>
          <w:szCs w:val="24"/>
          <w:vertAlign w:val="superscript"/>
        </w:rPr>
        <w:footnoteReference w:id="12"/>
      </w:r>
      <w:r w:rsidRPr="00867F56">
        <w:rPr>
          <w:rFonts w:ascii="Times New Roman" w:hAnsi="Times New Roman"/>
          <w:sz w:val="24"/>
          <w:szCs w:val="24"/>
        </w:rPr>
        <w:t xml:space="preserve"> is a project that utilizes for electric generation the water potential of either an existing non-federal dam or a natural water feature (e.g., natural lake, water fall, gradient of a stream, etc.) without the need for a dam or man-made impoundment.  For both types of exemptions, the applicant must possess all real property rights at the time of filing unless the project is located on federal land.  </w:t>
      </w:r>
    </w:p>
    <w:p w14:paraId="3111C11E" w14:textId="77777777" w:rsidR="00471F97" w:rsidRPr="00867F56" w:rsidRDefault="00471F97" w:rsidP="007445A8">
      <w:pPr>
        <w:spacing w:after="0" w:line="240" w:lineRule="auto"/>
        <w:rPr>
          <w:rFonts w:ascii="Times New Roman" w:hAnsi="Times New Roman"/>
          <w:sz w:val="24"/>
          <w:szCs w:val="24"/>
        </w:rPr>
      </w:pPr>
    </w:p>
    <w:p w14:paraId="112A6FD2" w14:textId="77777777" w:rsidR="00471F97" w:rsidRPr="00867F56" w:rsidRDefault="00471F97" w:rsidP="007445A8">
      <w:pPr>
        <w:spacing w:after="0" w:line="240" w:lineRule="auto"/>
        <w:rPr>
          <w:rFonts w:ascii="Times New Roman" w:hAnsi="Times New Roman"/>
          <w:sz w:val="24"/>
          <w:szCs w:val="24"/>
        </w:rPr>
      </w:pPr>
      <w:r w:rsidRPr="00867F56">
        <w:rPr>
          <w:rFonts w:ascii="Times New Roman" w:hAnsi="Times New Roman"/>
          <w:i/>
          <w:sz w:val="24"/>
          <w:szCs w:val="24"/>
        </w:rPr>
        <w:t>Qualifying Conduit Hydropower Facilities</w:t>
      </w:r>
      <w:r w:rsidR="00D966A1" w:rsidRPr="00867F56">
        <w:rPr>
          <w:rFonts w:ascii="Times New Roman" w:hAnsi="Times New Roman"/>
          <w:i/>
          <w:sz w:val="24"/>
          <w:szCs w:val="24"/>
        </w:rPr>
        <w:t xml:space="preserve">.  </w:t>
      </w:r>
      <w:r w:rsidRPr="00867F56">
        <w:rPr>
          <w:rFonts w:ascii="Times New Roman" w:hAnsi="Times New Roman"/>
          <w:sz w:val="24"/>
          <w:szCs w:val="24"/>
        </w:rPr>
        <w:t xml:space="preserve">The Hydropower </w:t>
      </w:r>
      <w:r w:rsidR="009A5C0C" w:rsidRPr="00867F56">
        <w:rPr>
          <w:rFonts w:ascii="Times New Roman" w:hAnsi="Times New Roman"/>
          <w:sz w:val="24"/>
          <w:szCs w:val="24"/>
        </w:rPr>
        <w:t xml:space="preserve">Regulatory </w:t>
      </w:r>
      <w:r w:rsidRPr="00867F56">
        <w:rPr>
          <w:rFonts w:ascii="Times New Roman" w:hAnsi="Times New Roman"/>
          <w:sz w:val="24"/>
          <w:szCs w:val="24"/>
        </w:rPr>
        <w:t>Efficiency Act</w:t>
      </w:r>
      <w:r w:rsidR="001A5362" w:rsidRPr="00867F56">
        <w:rPr>
          <w:rFonts w:ascii="Times New Roman" w:hAnsi="Times New Roman"/>
          <w:sz w:val="24"/>
          <w:szCs w:val="24"/>
        </w:rPr>
        <w:t xml:space="preserve"> </w:t>
      </w:r>
      <w:r w:rsidR="003E46B6" w:rsidRPr="00867F56">
        <w:rPr>
          <w:rFonts w:ascii="Times New Roman" w:hAnsi="Times New Roman"/>
          <w:sz w:val="24"/>
          <w:szCs w:val="24"/>
        </w:rPr>
        <w:t xml:space="preserve">of 2013 </w:t>
      </w:r>
      <w:r w:rsidRPr="00867F56">
        <w:rPr>
          <w:rFonts w:ascii="Times New Roman" w:hAnsi="Times New Roman"/>
          <w:sz w:val="24"/>
          <w:szCs w:val="24"/>
        </w:rPr>
        <w:t>created a subset of conduit exemptions, called “qualifying conduit hydropower facilities,” which are not required to be licensed under Part I of the FPA.  A qualifying conduit hydropower facility is a facility that meets the following qualifying criteria:</w:t>
      </w:r>
    </w:p>
    <w:p w14:paraId="24108F8D" w14:textId="77777777" w:rsidR="004C3C5F" w:rsidRPr="00867F56" w:rsidRDefault="004C3C5F" w:rsidP="007445A8">
      <w:pPr>
        <w:spacing w:after="0" w:line="240" w:lineRule="auto"/>
        <w:rPr>
          <w:rFonts w:ascii="Times New Roman" w:hAnsi="Times New Roman"/>
          <w:sz w:val="24"/>
          <w:szCs w:val="24"/>
        </w:rPr>
      </w:pPr>
    </w:p>
    <w:p w14:paraId="2A5FD9E8" w14:textId="77777777" w:rsidR="00471F97" w:rsidRPr="00867F56" w:rsidRDefault="00471F97" w:rsidP="007445A8">
      <w:pPr>
        <w:spacing w:after="0" w:line="240" w:lineRule="auto"/>
        <w:ind w:left="720" w:hanging="360"/>
        <w:rPr>
          <w:rFonts w:ascii="Times New Roman" w:hAnsi="Times New Roman"/>
          <w:sz w:val="24"/>
          <w:szCs w:val="24"/>
        </w:rPr>
      </w:pPr>
      <w:r w:rsidRPr="00867F56">
        <w:rPr>
          <w:rFonts w:ascii="Times New Roman" w:hAnsi="Times New Roman"/>
          <w:sz w:val="24"/>
          <w:szCs w:val="24"/>
        </w:rPr>
        <w:t xml:space="preserve">(1) the facility would be constructed, operated, or maintained for the generation of electric power using only the hydroelectric potential of a non-federally owned conduit, without the need for a dam or impoundment; </w:t>
      </w:r>
    </w:p>
    <w:p w14:paraId="3A377046" w14:textId="77777777" w:rsidR="00471F97" w:rsidRPr="00867F56" w:rsidRDefault="00471F97" w:rsidP="007445A8">
      <w:pPr>
        <w:spacing w:after="0" w:line="240" w:lineRule="auto"/>
        <w:ind w:left="720" w:hanging="360"/>
        <w:rPr>
          <w:rFonts w:ascii="Times New Roman" w:hAnsi="Times New Roman"/>
          <w:sz w:val="24"/>
          <w:szCs w:val="24"/>
        </w:rPr>
      </w:pPr>
      <w:r w:rsidRPr="00867F56">
        <w:rPr>
          <w:rFonts w:ascii="Times New Roman" w:hAnsi="Times New Roman"/>
          <w:sz w:val="24"/>
          <w:szCs w:val="24"/>
        </w:rPr>
        <w:t xml:space="preserve">(2) the facility would have a total installed capacity that does not exceed 5 MW; and </w:t>
      </w:r>
    </w:p>
    <w:p w14:paraId="7BDB02D8" w14:textId="77777777" w:rsidR="00C532EB" w:rsidRPr="00867F56" w:rsidRDefault="00471F97" w:rsidP="007445A8">
      <w:pPr>
        <w:spacing w:after="0" w:line="240" w:lineRule="auto"/>
        <w:ind w:left="720" w:hanging="360"/>
        <w:rPr>
          <w:rFonts w:ascii="Times New Roman" w:hAnsi="Times New Roman"/>
          <w:sz w:val="24"/>
          <w:szCs w:val="24"/>
        </w:rPr>
      </w:pPr>
      <w:r w:rsidRPr="00867F56">
        <w:rPr>
          <w:rFonts w:ascii="Times New Roman" w:hAnsi="Times New Roman"/>
          <w:sz w:val="24"/>
          <w:szCs w:val="24"/>
        </w:rPr>
        <w:t xml:space="preserve">(3) the facility is not licensed under, or exempted from, the license requirements in Part I of the FPA on or before the date of enactment of the Hydropower </w:t>
      </w:r>
      <w:r w:rsidR="00884342" w:rsidRPr="00867F56">
        <w:rPr>
          <w:rFonts w:ascii="Times New Roman" w:hAnsi="Times New Roman"/>
          <w:sz w:val="24"/>
          <w:szCs w:val="24"/>
        </w:rPr>
        <w:t>Regulator</w:t>
      </w:r>
      <w:r w:rsidR="00B3207B" w:rsidRPr="00867F56">
        <w:rPr>
          <w:rFonts w:ascii="Times New Roman" w:hAnsi="Times New Roman"/>
          <w:sz w:val="24"/>
          <w:szCs w:val="24"/>
        </w:rPr>
        <w:t xml:space="preserve">y </w:t>
      </w:r>
      <w:r w:rsidRPr="00867F56">
        <w:rPr>
          <w:rFonts w:ascii="Times New Roman" w:hAnsi="Times New Roman"/>
          <w:sz w:val="24"/>
          <w:szCs w:val="24"/>
        </w:rPr>
        <w:t>Efficiency Act (i.e. August 9, 2013).</w:t>
      </w:r>
      <w:r w:rsidR="003E46B6" w:rsidRPr="00867F56">
        <w:rPr>
          <w:rStyle w:val="FootnoteReference"/>
          <w:rFonts w:ascii="Times New Roman" w:hAnsi="Times New Roman"/>
          <w:sz w:val="24"/>
          <w:szCs w:val="24"/>
          <w:vertAlign w:val="superscript"/>
        </w:rPr>
        <w:footnoteReference w:id="13"/>
      </w:r>
      <w:r w:rsidRPr="00867F56">
        <w:rPr>
          <w:rFonts w:ascii="Times New Roman" w:hAnsi="Times New Roman"/>
          <w:sz w:val="24"/>
          <w:szCs w:val="24"/>
        </w:rPr>
        <w:t xml:space="preserve">  </w:t>
      </w:r>
    </w:p>
    <w:p w14:paraId="1C091B5F" w14:textId="77777777" w:rsidR="007445A8" w:rsidRPr="00867F56" w:rsidRDefault="007445A8" w:rsidP="007445A8">
      <w:pPr>
        <w:spacing w:after="0" w:line="240" w:lineRule="auto"/>
        <w:ind w:left="720" w:hanging="360"/>
        <w:rPr>
          <w:rFonts w:ascii="Times New Roman" w:hAnsi="Times New Roman"/>
          <w:sz w:val="24"/>
          <w:szCs w:val="24"/>
        </w:rPr>
      </w:pPr>
    </w:p>
    <w:p w14:paraId="246BCB94" w14:textId="77777777" w:rsidR="00471F97" w:rsidRPr="00867F56" w:rsidRDefault="00471F97" w:rsidP="007445A8">
      <w:pPr>
        <w:spacing w:after="0" w:line="240" w:lineRule="auto"/>
        <w:rPr>
          <w:rFonts w:ascii="Times New Roman" w:hAnsi="Times New Roman"/>
          <w:sz w:val="24"/>
          <w:szCs w:val="24"/>
        </w:rPr>
      </w:pPr>
      <w:r w:rsidRPr="00867F56">
        <w:rPr>
          <w:rFonts w:ascii="Times New Roman" w:hAnsi="Times New Roman"/>
          <w:sz w:val="24"/>
          <w:szCs w:val="24"/>
        </w:rPr>
        <w:t>To obtain a determination that a project is a qualifying conduit hydropower facility, an entity must file with the Commission a notice of intent to construct the facility that demonstrates the facility meets the qualifying criteria.</w:t>
      </w:r>
    </w:p>
    <w:p w14:paraId="566DABDB" w14:textId="77777777" w:rsidR="00D966A1" w:rsidRPr="00867F56" w:rsidRDefault="00D966A1" w:rsidP="00D966A1">
      <w:pPr>
        <w:widowControl w:val="0"/>
        <w:autoSpaceDE w:val="0"/>
        <w:autoSpaceDN w:val="0"/>
        <w:adjustRightInd w:val="0"/>
        <w:spacing w:after="0" w:line="240" w:lineRule="auto"/>
        <w:rPr>
          <w:rFonts w:ascii="Times New Roman" w:eastAsia="Times New Roman" w:hAnsi="Times New Roman"/>
          <w:sz w:val="24"/>
          <w:szCs w:val="24"/>
        </w:rPr>
      </w:pPr>
    </w:p>
    <w:p w14:paraId="4866C826" w14:textId="77777777" w:rsidR="00D966A1" w:rsidRPr="00867F56" w:rsidRDefault="00D83183" w:rsidP="007445A8">
      <w:pPr>
        <w:spacing w:after="0" w:line="240" w:lineRule="auto"/>
        <w:rPr>
          <w:rFonts w:ascii="Times New Roman" w:hAnsi="Times New Roman"/>
          <w:sz w:val="24"/>
          <w:szCs w:val="24"/>
        </w:rPr>
      </w:pPr>
      <w:r w:rsidRPr="00867F56">
        <w:rPr>
          <w:rFonts w:ascii="Times New Roman" w:hAnsi="Times New Roman"/>
          <w:b/>
          <w:sz w:val="24"/>
          <w:szCs w:val="24"/>
        </w:rPr>
        <w:t>Final Rule</w:t>
      </w:r>
      <w:r w:rsidR="004C3208" w:rsidRPr="00867F56">
        <w:rPr>
          <w:rFonts w:ascii="Times New Roman" w:hAnsi="Times New Roman"/>
          <w:b/>
          <w:sz w:val="24"/>
          <w:szCs w:val="24"/>
        </w:rPr>
        <w:t xml:space="preserve"> </w:t>
      </w:r>
      <w:r w:rsidR="00AB4EF3" w:rsidRPr="00867F56">
        <w:rPr>
          <w:rFonts w:ascii="Times New Roman" w:hAnsi="Times New Roman"/>
          <w:b/>
          <w:sz w:val="24"/>
          <w:szCs w:val="24"/>
        </w:rPr>
        <w:t>in Docket RM19-6-000</w:t>
      </w:r>
      <w:r w:rsidR="00953EDD" w:rsidRPr="00867F56">
        <w:rPr>
          <w:rFonts w:ascii="Times New Roman" w:hAnsi="Times New Roman"/>
          <w:b/>
          <w:sz w:val="24"/>
          <w:szCs w:val="24"/>
        </w:rPr>
        <w:t xml:space="preserve">.  </w:t>
      </w:r>
      <w:r w:rsidR="00496E6B" w:rsidRPr="00867F56">
        <w:rPr>
          <w:rFonts w:ascii="Times New Roman" w:hAnsi="Times New Roman"/>
          <w:sz w:val="24"/>
          <w:szCs w:val="24"/>
        </w:rPr>
        <w:t>On October 23, 2018, the America’s Water Infrastructure Act of 2018</w:t>
      </w:r>
      <w:r w:rsidR="00582C1C" w:rsidRPr="00867F56">
        <w:rPr>
          <w:rFonts w:ascii="Times New Roman" w:hAnsi="Times New Roman"/>
          <w:sz w:val="24"/>
          <w:szCs w:val="24"/>
        </w:rPr>
        <w:t xml:space="preserve"> (AWIA) </w:t>
      </w:r>
      <w:r w:rsidR="00496E6B" w:rsidRPr="00867F56">
        <w:rPr>
          <w:rFonts w:ascii="Times New Roman" w:hAnsi="Times New Roman"/>
          <w:sz w:val="24"/>
          <w:szCs w:val="24"/>
        </w:rPr>
        <w:t>was signed into law.</w:t>
      </w:r>
      <w:r w:rsidR="00582C1C" w:rsidRPr="00867F56">
        <w:rPr>
          <w:rStyle w:val="FootnoteReference"/>
          <w:rFonts w:ascii="Times New Roman" w:hAnsi="Times New Roman"/>
          <w:b/>
          <w:sz w:val="24"/>
          <w:szCs w:val="24"/>
          <w:vertAlign w:val="superscript"/>
        </w:rPr>
        <w:footnoteReference w:id="14"/>
      </w:r>
      <w:r w:rsidR="00582C1C" w:rsidRPr="00867F56">
        <w:rPr>
          <w:rFonts w:ascii="Times New Roman" w:hAnsi="Times New Roman"/>
          <w:sz w:val="24"/>
          <w:szCs w:val="24"/>
        </w:rPr>
        <w:t xml:space="preserve">  </w:t>
      </w:r>
      <w:r w:rsidR="00496E6B" w:rsidRPr="00867F56">
        <w:rPr>
          <w:rFonts w:ascii="Times New Roman" w:hAnsi="Times New Roman"/>
          <w:sz w:val="24"/>
          <w:szCs w:val="24"/>
        </w:rPr>
        <w:t xml:space="preserve">The AWIA, among other things, requires the Commission to establish an expedited process for issuing and amending licenses for qualifying facilities at existing nonpowered dams and </w:t>
      </w:r>
      <w:r w:rsidR="003E46B6" w:rsidRPr="00867F56">
        <w:rPr>
          <w:rFonts w:ascii="Times New Roman" w:hAnsi="Times New Roman"/>
          <w:sz w:val="24"/>
          <w:szCs w:val="24"/>
        </w:rPr>
        <w:t xml:space="preserve">for </w:t>
      </w:r>
      <w:r w:rsidR="00496E6B" w:rsidRPr="00867F56">
        <w:rPr>
          <w:rFonts w:ascii="Times New Roman" w:hAnsi="Times New Roman"/>
          <w:sz w:val="24"/>
          <w:szCs w:val="24"/>
        </w:rPr>
        <w:t xml:space="preserve">closed-loop pumped storage projects. </w:t>
      </w:r>
      <w:r w:rsidR="00F15908" w:rsidRPr="00867F56">
        <w:rPr>
          <w:rFonts w:ascii="Times New Roman" w:hAnsi="Times New Roman"/>
          <w:sz w:val="24"/>
          <w:szCs w:val="24"/>
        </w:rPr>
        <w:t xml:space="preserve"> </w:t>
      </w:r>
      <w:r w:rsidR="00496E6B" w:rsidRPr="00867F56">
        <w:rPr>
          <w:rFonts w:ascii="Times New Roman" w:hAnsi="Times New Roman"/>
          <w:sz w:val="24"/>
          <w:szCs w:val="24"/>
        </w:rPr>
        <w:t>Under the expedited process, the Commission will seek to ensure that a final decision on a license application will be issued no later than two years after the Commission receives a completed application for a license.</w:t>
      </w:r>
      <w:r w:rsidR="00496E6B" w:rsidRPr="00867F56">
        <w:rPr>
          <w:rFonts w:ascii="Times New Roman" w:hAnsi="Times New Roman"/>
          <w:b/>
          <w:sz w:val="24"/>
          <w:szCs w:val="24"/>
        </w:rPr>
        <w:t xml:space="preserve"> </w:t>
      </w:r>
      <w:r w:rsidR="00F15908" w:rsidRPr="00867F56">
        <w:rPr>
          <w:rFonts w:ascii="Times New Roman" w:hAnsi="Times New Roman"/>
          <w:b/>
          <w:sz w:val="24"/>
          <w:szCs w:val="24"/>
        </w:rPr>
        <w:t xml:space="preserve"> </w:t>
      </w:r>
      <w:r w:rsidR="00582C1C" w:rsidRPr="00867F56">
        <w:rPr>
          <w:rFonts w:ascii="Times New Roman" w:hAnsi="Times New Roman"/>
          <w:sz w:val="24"/>
          <w:szCs w:val="24"/>
        </w:rPr>
        <w:t>Therefore, to comply with the AWIA, t</w:t>
      </w:r>
      <w:r w:rsidR="00D966A1" w:rsidRPr="00867F56">
        <w:rPr>
          <w:rFonts w:ascii="Times New Roman" w:hAnsi="Times New Roman"/>
          <w:sz w:val="24"/>
          <w:szCs w:val="24"/>
        </w:rPr>
        <w:t xml:space="preserve">he </w:t>
      </w:r>
      <w:r w:rsidR="007867C7" w:rsidRPr="00867F56">
        <w:rPr>
          <w:rFonts w:ascii="Times New Roman" w:hAnsi="Times New Roman"/>
          <w:sz w:val="24"/>
          <w:szCs w:val="24"/>
        </w:rPr>
        <w:t xml:space="preserve">Final Rule </w:t>
      </w:r>
      <w:r w:rsidR="00CA637C" w:rsidRPr="00867F56">
        <w:rPr>
          <w:rFonts w:ascii="Times New Roman" w:hAnsi="Times New Roman"/>
          <w:sz w:val="24"/>
          <w:szCs w:val="24"/>
        </w:rPr>
        <w:t>amend</w:t>
      </w:r>
      <w:r w:rsidR="007867C7" w:rsidRPr="00867F56">
        <w:rPr>
          <w:rFonts w:ascii="Times New Roman" w:hAnsi="Times New Roman"/>
          <w:sz w:val="24"/>
          <w:szCs w:val="24"/>
        </w:rPr>
        <w:t>s</w:t>
      </w:r>
      <w:r w:rsidR="00CA637C" w:rsidRPr="00867F56">
        <w:rPr>
          <w:rFonts w:ascii="Times New Roman" w:hAnsi="Times New Roman"/>
          <w:sz w:val="24"/>
          <w:szCs w:val="24"/>
        </w:rPr>
        <w:t xml:space="preserve"> </w:t>
      </w:r>
      <w:r w:rsidR="007867C7" w:rsidRPr="00867F56">
        <w:rPr>
          <w:rFonts w:ascii="Times New Roman" w:hAnsi="Times New Roman"/>
          <w:sz w:val="24"/>
          <w:szCs w:val="24"/>
        </w:rPr>
        <w:t xml:space="preserve">the Commission’s </w:t>
      </w:r>
      <w:r w:rsidR="00CA637C" w:rsidRPr="00867F56">
        <w:rPr>
          <w:rFonts w:ascii="Times New Roman" w:hAnsi="Times New Roman"/>
          <w:sz w:val="24"/>
          <w:szCs w:val="24"/>
        </w:rPr>
        <w:t xml:space="preserve">regulations governing hydroelectric licensing under the FPA by </w:t>
      </w:r>
      <w:r w:rsidR="003E46B6" w:rsidRPr="00867F56">
        <w:rPr>
          <w:rFonts w:ascii="Times New Roman" w:hAnsi="Times New Roman"/>
          <w:sz w:val="24"/>
          <w:szCs w:val="24"/>
        </w:rPr>
        <w:t xml:space="preserve">adding a new Part 7 that </w:t>
      </w:r>
      <w:r w:rsidR="00FE21F2" w:rsidRPr="00867F56">
        <w:rPr>
          <w:rFonts w:ascii="Times New Roman" w:hAnsi="Times New Roman"/>
          <w:sz w:val="24"/>
          <w:szCs w:val="24"/>
        </w:rPr>
        <w:t>establish</w:t>
      </w:r>
      <w:r w:rsidR="003E46B6" w:rsidRPr="00867F56">
        <w:rPr>
          <w:rFonts w:ascii="Times New Roman" w:hAnsi="Times New Roman"/>
          <w:sz w:val="24"/>
          <w:szCs w:val="24"/>
        </w:rPr>
        <w:t>es</w:t>
      </w:r>
      <w:r w:rsidR="00FE21F2" w:rsidRPr="00867F56">
        <w:rPr>
          <w:rFonts w:ascii="Times New Roman" w:hAnsi="Times New Roman"/>
          <w:sz w:val="24"/>
          <w:szCs w:val="24"/>
        </w:rPr>
        <w:t xml:space="preserve"> an expedi</w:t>
      </w:r>
      <w:r w:rsidR="00CA637C" w:rsidRPr="00867F56">
        <w:rPr>
          <w:rFonts w:ascii="Times New Roman" w:hAnsi="Times New Roman"/>
          <w:sz w:val="24"/>
          <w:szCs w:val="24"/>
        </w:rPr>
        <w:t>te</w:t>
      </w:r>
      <w:r w:rsidR="00FE21F2" w:rsidRPr="00867F56">
        <w:rPr>
          <w:rFonts w:ascii="Times New Roman" w:hAnsi="Times New Roman"/>
          <w:sz w:val="24"/>
          <w:szCs w:val="24"/>
        </w:rPr>
        <w:t>d</w:t>
      </w:r>
      <w:r w:rsidR="00CA637C" w:rsidRPr="00867F56">
        <w:rPr>
          <w:rFonts w:ascii="Times New Roman" w:hAnsi="Times New Roman"/>
          <w:sz w:val="24"/>
          <w:szCs w:val="24"/>
        </w:rPr>
        <w:t xml:space="preserve"> licensing process for qualifying facilities at existing non</w:t>
      </w:r>
      <w:r w:rsidR="00FE21F2" w:rsidRPr="00867F56">
        <w:rPr>
          <w:rFonts w:ascii="Times New Roman" w:hAnsi="Times New Roman"/>
          <w:sz w:val="24"/>
          <w:szCs w:val="24"/>
        </w:rPr>
        <w:t>-</w:t>
      </w:r>
      <w:r w:rsidR="00CA637C" w:rsidRPr="00867F56">
        <w:rPr>
          <w:rFonts w:ascii="Times New Roman" w:hAnsi="Times New Roman"/>
          <w:sz w:val="24"/>
          <w:szCs w:val="24"/>
        </w:rPr>
        <w:t>powered dams and for closed</w:t>
      </w:r>
      <w:r w:rsidRPr="00867F56">
        <w:rPr>
          <w:rFonts w:ascii="Times New Roman" w:hAnsi="Times New Roman"/>
          <w:sz w:val="24"/>
          <w:szCs w:val="24"/>
        </w:rPr>
        <w:t>-loop pumped storage projects.</w:t>
      </w:r>
      <w:r w:rsidR="00FE21F2" w:rsidRPr="00867F56">
        <w:rPr>
          <w:rFonts w:ascii="Times New Roman" w:hAnsi="Times New Roman"/>
          <w:sz w:val="24"/>
          <w:szCs w:val="24"/>
        </w:rPr>
        <w:t xml:space="preserve"> </w:t>
      </w:r>
    </w:p>
    <w:p w14:paraId="2A19409C" w14:textId="77777777" w:rsidR="00471F97" w:rsidRPr="00867F56" w:rsidRDefault="00471F97" w:rsidP="007445A8">
      <w:pPr>
        <w:spacing w:after="0" w:line="240" w:lineRule="auto"/>
        <w:rPr>
          <w:rFonts w:ascii="Times New Roman" w:hAnsi="Times New Roman"/>
          <w:sz w:val="24"/>
          <w:szCs w:val="24"/>
        </w:rPr>
      </w:pPr>
    </w:p>
    <w:p w14:paraId="25D05C3E" w14:textId="77777777" w:rsidR="00471F97" w:rsidRPr="00867F56" w:rsidRDefault="00471F97" w:rsidP="00EB790F">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HOW, BY WHOM, AND FOR WHAT PURPOSE THE INFORMATION IS TO BE USED AND THE CONSEQUENCES OF NOT COLLECTING THE INFORMATION</w:t>
      </w:r>
    </w:p>
    <w:p w14:paraId="456F7982" w14:textId="77777777" w:rsidR="007445A8" w:rsidRPr="00867F56" w:rsidRDefault="007445A8" w:rsidP="007445A8">
      <w:pPr>
        <w:spacing w:after="0" w:line="240" w:lineRule="auto"/>
        <w:rPr>
          <w:rFonts w:ascii="Times New Roman" w:hAnsi="Times New Roman"/>
          <w:sz w:val="24"/>
          <w:szCs w:val="24"/>
        </w:rPr>
      </w:pPr>
    </w:p>
    <w:p w14:paraId="609558E6" w14:textId="77777777" w:rsidR="00471F97" w:rsidRPr="00867F56" w:rsidRDefault="00D66646" w:rsidP="007445A8">
      <w:pPr>
        <w:spacing w:after="0" w:line="240" w:lineRule="auto"/>
        <w:rPr>
          <w:rFonts w:ascii="Times New Roman" w:hAnsi="Times New Roman"/>
          <w:sz w:val="24"/>
          <w:szCs w:val="24"/>
        </w:rPr>
      </w:pPr>
      <w:r w:rsidRPr="00867F56">
        <w:rPr>
          <w:rFonts w:ascii="Times New Roman" w:hAnsi="Times New Roman"/>
          <w:b/>
          <w:sz w:val="24"/>
          <w:szCs w:val="24"/>
        </w:rPr>
        <w:t xml:space="preserve">FERC-500 and FERC-505 </w:t>
      </w:r>
    </w:p>
    <w:p w14:paraId="5C80663D" w14:textId="77777777" w:rsidR="00034599" w:rsidRPr="00867F56" w:rsidRDefault="00034599" w:rsidP="007445A8">
      <w:pPr>
        <w:spacing w:after="0" w:line="240" w:lineRule="auto"/>
        <w:rPr>
          <w:rFonts w:ascii="Times New Roman" w:hAnsi="Times New Roman"/>
          <w:sz w:val="24"/>
          <w:szCs w:val="24"/>
        </w:rPr>
      </w:pPr>
      <w:r w:rsidRPr="00867F56">
        <w:rPr>
          <w:rFonts w:ascii="Times New Roman" w:hAnsi="Times New Roman"/>
          <w:sz w:val="24"/>
          <w:szCs w:val="24"/>
        </w:rPr>
        <w:t xml:space="preserve">The Commission’s current regulations provide three filing process </w:t>
      </w:r>
      <w:r w:rsidR="00F86CDB" w:rsidRPr="00867F56">
        <w:rPr>
          <w:rFonts w:ascii="Times New Roman" w:hAnsi="Times New Roman"/>
          <w:sz w:val="24"/>
          <w:szCs w:val="24"/>
        </w:rPr>
        <w:t xml:space="preserve">options </w:t>
      </w:r>
      <w:r w:rsidRPr="00867F56">
        <w:rPr>
          <w:rFonts w:ascii="Times New Roman" w:hAnsi="Times New Roman"/>
          <w:sz w:val="24"/>
          <w:szCs w:val="24"/>
        </w:rPr>
        <w:t xml:space="preserve">for hydropower developers to use in preparing license applications:  (i) the ILP, which is the default process, as described in part 5; (ii) the TLP, as described in part 4, subparts D to H; and (iii) the alternative procedures (i.e., the ALP), as described in § 4.34(i) of part 4. </w:t>
      </w:r>
      <w:r w:rsidR="00D83183" w:rsidRPr="00867F56">
        <w:rPr>
          <w:rFonts w:ascii="Times New Roman" w:hAnsi="Times New Roman"/>
          <w:sz w:val="24"/>
          <w:szCs w:val="24"/>
        </w:rPr>
        <w:t xml:space="preserve"> The </w:t>
      </w:r>
      <w:r w:rsidR="00B44E6B" w:rsidRPr="00867F56">
        <w:rPr>
          <w:rFonts w:ascii="Times New Roman" w:hAnsi="Times New Roman"/>
          <w:sz w:val="24"/>
          <w:szCs w:val="24"/>
        </w:rPr>
        <w:t>Final Rule does</w:t>
      </w:r>
      <w:r w:rsidR="00D83183" w:rsidRPr="00867F56">
        <w:rPr>
          <w:rFonts w:ascii="Times New Roman" w:hAnsi="Times New Roman"/>
          <w:sz w:val="24"/>
          <w:szCs w:val="24"/>
        </w:rPr>
        <w:t xml:space="preserve"> not</w:t>
      </w:r>
      <w:r w:rsidRPr="00867F56">
        <w:rPr>
          <w:rFonts w:ascii="Times New Roman" w:hAnsi="Times New Roman"/>
          <w:sz w:val="24"/>
          <w:szCs w:val="24"/>
        </w:rPr>
        <w:t xml:space="preserve"> alter these existing licensing p</w:t>
      </w:r>
      <w:r w:rsidR="00D83183" w:rsidRPr="00867F56">
        <w:rPr>
          <w:rFonts w:ascii="Times New Roman" w:hAnsi="Times New Roman"/>
          <w:sz w:val="24"/>
          <w:szCs w:val="24"/>
        </w:rPr>
        <w:t xml:space="preserve">rocesses.  Instead, the </w:t>
      </w:r>
      <w:r w:rsidR="00B44E6B" w:rsidRPr="00867F56">
        <w:rPr>
          <w:rFonts w:ascii="Times New Roman" w:hAnsi="Times New Roman"/>
          <w:sz w:val="24"/>
          <w:szCs w:val="24"/>
        </w:rPr>
        <w:t>Final Rule establishes</w:t>
      </w:r>
      <w:r w:rsidR="00D83183" w:rsidRPr="00867F56">
        <w:rPr>
          <w:rFonts w:ascii="Times New Roman" w:hAnsi="Times New Roman"/>
          <w:sz w:val="24"/>
          <w:szCs w:val="24"/>
        </w:rPr>
        <w:t xml:space="preserve"> </w:t>
      </w:r>
      <w:r w:rsidR="00B44E6B" w:rsidRPr="00867F56">
        <w:rPr>
          <w:rFonts w:ascii="Times New Roman" w:hAnsi="Times New Roman"/>
          <w:sz w:val="24"/>
          <w:szCs w:val="24"/>
        </w:rPr>
        <w:t>an expedited licensing process, set forth in</w:t>
      </w:r>
      <w:r w:rsidR="00D83183" w:rsidRPr="00867F56">
        <w:rPr>
          <w:rFonts w:ascii="Times New Roman" w:hAnsi="Times New Roman"/>
          <w:sz w:val="24"/>
          <w:szCs w:val="24"/>
        </w:rPr>
        <w:t xml:space="preserve"> </w:t>
      </w:r>
      <w:r w:rsidR="00B44E6B" w:rsidRPr="00867F56">
        <w:rPr>
          <w:rFonts w:ascii="Times New Roman" w:hAnsi="Times New Roman"/>
          <w:sz w:val="24"/>
          <w:szCs w:val="24"/>
        </w:rPr>
        <w:t xml:space="preserve">a new </w:t>
      </w:r>
      <w:r w:rsidR="00D83183" w:rsidRPr="00867F56">
        <w:rPr>
          <w:rFonts w:ascii="Times New Roman" w:hAnsi="Times New Roman"/>
          <w:sz w:val="24"/>
          <w:szCs w:val="24"/>
        </w:rPr>
        <w:t>P</w:t>
      </w:r>
      <w:r w:rsidR="00253703" w:rsidRPr="00867F56">
        <w:rPr>
          <w:rFonts w:ascii="Times New Roman" w:hAnsi="Times New Roman"/>
          <w:sz w:val="24"/>
          <w:szCs w:val="24"/>
        </w:rPr>
        <w:t xml:space="preserve">art 7 to the Commission’s </w:t>
      </w:r>
      <w:r w:rsidRPr="00867F56">
        <w:rPr>
          <w:rFonts w:ascii="Times New Roman" w:hAnsi="Times New Roman"/>
          <w:sz w:val="24"/>
          <w:szCs w:val="24"/>
        </w:rPr>
        <w:t>regulations</w:t>
      </w:r>
      <w:r w:rsidR="00B44E6B" w:rsidRPr="00867F56">
        <w:rPr>
          <w:rFonts w:ascii="Times New Roman" w:hAnsi="Times New Roman"/>
          <w:sz w:val="24"/>
          <w:szCs w:val="24"/>
        </w:rPr>
        <w:t xml:space="preserve">, which will allow  </w:t>
      </w:r>
      <w:r w:rsidRPr="00867F56">
        <w:rPr>
          <w:rFonts w:ascii="Times New Roman" w:hAnsi="Times New Roman"/>
          <w:sz w:val="24"/>
          <w:szCs w:val="24"/>
        </w:rPr>
        <w:t xml:space="preserve"> the Commission to determine, on a case-by-case basis, whether </w:t>
      </w:r>
      <w:r w:rsidR="00B44E6B" w:rsidRPr="00867F56">
        <w:rPr>
          <w:rFonts w:ascii="Times New Roman" w:hAnsi="Times New Roman"/>
          <w:sz w:val="24"/>
          <w:szCs w:val="24"/>
        </w:rPr>
        <w:t xml:space="preserve">original license </w:t>
      </w:r>
      <w:r w:rsidRPr="00867F56">
        <w:rPr>
          <w:rFonts w:ascii="Times New Roman" w:hAnsi="Times New Roman"/>
          <w:sz w:val="24"/>
          <w:szCs w:val="24"/>
        </w:rPr>
        <w:t xml:space="preserve">applications for </w:t>
      </w:r>
      <w:r w:rsidR="00B44E6B" w:rsidRPr="00867F56">
        <w:rPr>
          <w:rFonts w:ascii="Times New Roman" w:hAnsi="Times New Roman"/>
          <w:sz w:val="24"/>
          <w:szCs w:val="24"/>
        </w:rPr>
        <w:t>qualifying facilities</w:t>
      </w:r>
      <w:r w:rsidRPr="00867F56">
        <w:rPr>
          <w:rFonts w:ascii="Times New Roman" w:hAnsi="Times New Roman"/>
          <w:sz w:val="24"/>
          <w:szCs w:val="24"/>
        </w:rPr>
        <w:t xml:space="preserve"> at </w:t>
      </w:r>
      <w:r w:rsidR="005B0A94" w:rsidRPr="00867F56">
        <w:rPr>
          <w:rFonts w:ascii="Times New Roman" w:hAnsi="Times New Roman"/>
          <w:sz w:val="24"/>
          <w:szCs w:val="24"/>
        </w:rPr>
        <w:t xml:space="preserve">existing </w:t>
      </w:r>
      <w:r w:rsidRPr="00867F56">
        <w:rPr>
          <w:rFonts w:ascii="Times New Roman" w:hAnsi="Times New Roman"/>
          <w:sz w:val="24"/>
          <w:szCs w:val="24"/>
        </w:rPr>
        <w:t xml:space="preserve">nonpowered dams </w:t>
      </w:r>
      <w:r w:rsidR="00B44E6B" w:rsidRPr="00867F56">
        <w:rPr>
          <w:rFonts w:ascii="Times New Roman" w:hAnsi="Times New Roman"/>
          <w:sz w:val="24"/>
          <w:szCs w:val="24"/>
        </w:rPr>
        <w:t>and</w:t>
      </w:r>
      <w:r w:rsidRPr="00867F56">
        <w:rPr>
          <w:rFonts w:ascii="Times New Roman" w:hAnsi="Times New Roman"/>
          <w:sz w:val="24"/>
          <w:szCs w:val="24"/>
        </w:rPr>
        <w:t xml:space="preserve"> </w:t>
      </w:r>
      <w:r w:rsidR="006A5647" w:rsidRPr="00867F56">
        <w:rPr>
          <w:rFonts w:ascii="Times New Roman" w:hAnsi="Times New Roman"/>
          <w:sz w:val="24"/>
          <w:szCs w:val="24"/>
        </w:rPr>
        <w:t>for</w:t>
      </w:r>
      <w:r w:rsidRPr="00867F56">
        <w:rPr>
          <w:rFonts w:ascii="Times New Roman" w:hAnsi="Times New Roman"/>
          <w:sz w:val="24"/>
          <w:szCs w:val="24"/>
        </w:rPr>
        <w:t xml:space="preserve"> closed</w:t>
      </w:r>
      <w:r w:rsidRPr="00867F56">
        <w:rPr>
          <w:rFonts w:ascii="Times New Roman" w:hAnsi="Times New Roman"/>
          <w:sz w:val="24"/>
          <w:szCs w:val="24"/>
        </w:rPr>
        <w:noBreakHyphen/>
        <w:t xml:space="preserve">loop pumped storage projects, as defined in </w:t>
      </w:r>
      <w:r w:rsidR="00253703" w:rsidRPr="00867F56">
        <w:rPr>
          <w:rFonts w:ascii="Times New Roman" w:hAnsi="Times New Roman"/>
          <w:sz w:val="24"/>
          <w:szCs w:val="24"/>
        </w:rPr>
        <w:t xml:space="preserve">FPA </w:t>
      </w:r>
      <w:r w:rsidRPr="00867F56">
        <w:rPr>
          <w:rFonts w:ascii="Times New Roman" w:hAnsi="Times New Roman"/>
          <w:sz w:val="24"/>
          <w:szCs w:val="24"/>
        </w:rPr>
        <w:t xml:space="preserve">sections 34 and 35, qualify </w:t>
      </w:r>
      <w:r w:rsidR="00B44E6B" w:rsidRPr="00867F56">
        <w:rPr>
          <w:rFonts w:ascii="Times New Roman" w:hAnsi="Times New Roman"/>
          <w:sz w:val="24"/>
          <w:szCs w:val="24"/>
        </w:rPr>
        <w:t>for expedited processing</w:t>
      </w:r>
      <w:r w:rsidR="00A35A64" w:rsidRPr="00867F56">
        <w:rPr>
          <w:rFonts w:ascii="Times New Roman" w:hAnsi="Times New Roman"/>
          <w:sz w:val="24"/>
          <w:szCs w:val="24"/>
        </w:rPr>
        <w:t xml:space="preserve">. </w:t>
      </w:r>
      <w:r w:rsidR="00DE6ABC" w:rsidRPr="00867F56">
        <w:rPr>
          <w:rFonts w:ascii="Times New Roman" w:hAnsi="Times New Roman"/>
          <w:sz w:val="24"/>
          <w:szCs w:val="24"/>
        </w:rPr>
        <w:t xml:space="preserve"> </w:t>
      </w:r>
      <w:r w:rsidR="00176A41" w:rsidRPr="00867F56">
        <w:rPr>
          <w:rFonts w:ascii="Times New Roman" w:hAnsi="Times New Roman"/>
          <w:sz w:val="24"/>
          <w:szCs w:val="24"/>
        </w:rPr>
        <w:t>For applicants who seek to participate in the expedited licensing process, t</w:t>
      </w:r>
      <w:r w:rsidR="00D83183" w:rsidRPr="00867F56">
        <w:rPr>
          <w:rFonts w:ascii="Times New Roman" w:hAnsi="Times New Roman"/>
          <w:sz w:val="24"/>
          <w:szCs w:val="24"/>
        </w:rPr>
        <w:t>he Final Rule</w:t>
      </w:r>
      <w:r w:rsidR="00DE6ABC" w:rsidRPr="00867F56">
        <w:rPr>
          <w:rFonts w:ascii="Times New Roman" w:hAnsi="Times New Roman"/>
          <w:sz w:val="24"/>
          <w:szCs w:val="24"/>
        </w:rPr>
        <w:t xml:space="preserve"> </w:t>
      </w:r>
      <w:r w:rsidR="00176A41" w:rsidRPr="00867F56">
        <w:rPr>
          <w:rFonts w:ascii="Times New Roman" w:hAnsi="Times New Roman"/>
          <w:sz w:val="24"/>
          <w:szCs w:val="24"/>
        </w:rPr>
        <w:t>require</w:t>
      </w:r>
      <w:r w:rsidR="00F86CDB" w:rsidRPr="00867F56">
        <w:rPr>
          <w:rFonts w:ascii="Times New Roman" w:hAnsi="Times New Roman"/>
          <w:sz w:val="24"/>
          <w:szCs w:val="24"/>
        </w:rPr>
        <w:t>s</w:t>
      </w:r>
      <w:r w:rsidR="00176A41" w:rsidRPr="00867F56">
        <w:rPr>
          <w:rFonts w:ascii="Times New Roman" w:hAnsi="Times New Roman"/>
          <w:sz w:val="24"/>
          <w:szCs w:val="24"/>
        </w:rPr>
        <w:t xml:space="preserve"> them to file a request to use the expedited process.  In </w:t>
      </w:r>
      <w:r w:rsidR="00D83183" w:rsidRPr="00867F56">
        <w:rPr>
          <w:rFonts w:ascii="Times New Roman" w:hAnsi="Times New Roman"/>
          <w:sz w:val="24"/>
          <w:szCs w:val="24"/>
        </w:rPr>
        <w:t>all other respects, the modifications</w:t>
      </w:r>
      <w:r w:rsidR="00176A41" w:rsidRPr="00867F56">
        <w:rPr>
          <w:rFonts w:ascii="Times New Roman" w:hAnsi="Times New Roman"/>
          <w:sz w:val="24"/>
          <w:szCs w:val="24"/>
        </w:rPr>
        <w:t xml:space="preserve"> will not impose any additional information collection requirement</w:t>
      </w:r>
      <w:r w:rsidR="00D83183" w:rsidRPr="00867F56">
        <w:rPr>
          <w:rFonts w:ascii="Times New Roman" w:hAnsi="Times New Roman"/>
          <w:sz w:val="24"/>
          <w:szCs w:val="24"/>
        </w:rPr>
        <w:t>s/burden</w:t>
      </w:r>
      <w:r w:rsidR="00176A41" w:rsidRPr="00867F56">
        <w:rPr>
          <w:rFonts w:ascii="Times New Roman" w:hAnsi="Times New Roman"/>
          <w:sz w:val="24"/>
          <w:szCs w:val="24"/>
        </w:rPr>
        <w:t xml:space="preserve">, </w:t>
      </w:r>
      <w:r w:rsidR="00DE6ABC" w:rsidRPr="00867F56">
        <w:rPr>
          <w:rFonts w:ascii="Times New Roman" w:hAnsi="Times New Roman"/>
          <w:sz w:val="24"/>
          <w:szCs w:val="24"/>
        </w:rPr>
        <w:t xml:space="preserve">change the </w:t>
      </w:r>
      <w:r w:rsidR="00937683" w:rsidRPr="00867F56">
        <w:rPr>
          <w:rFonts w:ascii="Times New Roman" w:hAnsi="Times New Roman"/>
          <w:sz w:val="24"/>
          <w:szCs w:val="24"/>
        </w:rPr>
        <w:t xml:space="preserve">current </w:t>
      </w:r>
      <w:r w:rsidR="00DE6ABC" w:rsidRPr="00867F56">
        <w:rPr>
          <w:rFonts w:ascii="Times New Roman" w:hAnsi="Times New Roman"/>
          <w:sz w:val="24"/>
          <w:szCs w:val="24"/>
        </w:rPr>
        <w:t>information that</w:t>
      </w:r>
      <w:r w:rsidR="00937683" w:rsidRPr="00867F56">
        <w:rPr>
          <w:rFonts w:ascii="Times New Roman" w:hAnsi="Times New Roman"/>
          <w:sz w:val="24"/>
          <w:szCs w:val="24"/>
        </w:rPr>
        <w:t xml:space="preserve"> is collected, pursuant to </w:t>
      </w:r>
      <w:r w:rsidR="00176A41" w:rsidRPr="00867F56">
        <w:rPr>
          <w:rFonts w:ascii="Times New Roman" w:hAnsi="Times New Roman"/>
          <w:sz w:val="24"/>
          <w:szCs w:val="24"/>
        </w:rPr>
        <w:t>federal law and</w:t>
      </w:r>
      <w:r w:rsidR="00937683" w:rsidRPr="00867F56">
        <w:rPr>
          <w:rFonts w:ascii="Times New Roman" w:hAnsi="Times New Roman"/>
          <w:sz w:val="24"/>
          <w:szCs w:val="24"/>
        </w:rPr>
        <w:t xml:space="preserve"> existing Commission regulations, or </w:t>
      </w:r>
      <w:r w:rsidR="00176A41" w:rsidRPr="00867F56">
        <w:rPr>
          <w:rFonts w:ascii="Times New Roman" w:hAnsi="Times New Roman"/>
          <w:sz w:val="24"/>
          <w:szCs w:val="24"/>
        </w:rPr>
        <w:t xml:space="preserve">change the submission of </w:t>
      </w:r>
      <w:r w:rsidR="00937683" w:rsidRPr="00867F56">
        <w:rPr>
          <w:rFonts w:ascii="Times New Roman" w:hAnsi="Times New Roman"/>
          <w:sz w:val="24"/>
          <w:szCs w:val="24"/>
        </w:rPr>
        <w:t>the required federal and state authorizations, to apply for a license under the Commission’s current licensing processes.</w:t>
      </w:r>
      <w:r w:rsidR="00176A41" w:rsidRPr="00867F56">
        <w:rPr>
          <w:rFonts w:ascii="Times New Roman" w:hAnsi="Times New Roman"/>
          <w:sz w:val="24"/>
          <w:szCs w:val="24"/>
        </w:rPr>
        <w:t xml:space="preserve">  T</w:t>
      </w:r>
      <w:r w:rsidR="004B7E9C" w:rsidRPr="00867F56">
        <w:rPr>
          <w:rFonts w:ascii="Times New Roman" w:hAnsi="Times New Roman"/>
          <w:sz w:val="24"/>
          <w:szCs w:val="24"/>
        </w:rPr>
        <w:t xml:space="preserve">o </w:t>
      </w:r>
      <w:r w:rsidR="006A5647" w:rsidRPr="00867F56">
        <w:rPr>
          <w:rFonts w:ascii="Times New Roman" w:hAnsi="Times New Roman"/>
          <w:sz w:val="24"/>
          <w:szCs w:val="24"/>
        </w:rPr>
        <w:t xml:space="preserve"> increase the likelihood that a final licensing decision can be made within two years from application filing,</w:t>
      </w:r>
      <w:r w:rsidR="004B7E9C" w:rsidRPr="00867F56">
        <w:rPr>
          <w:rFonts w:ascii="Times New Roman" w:hAnsi="Times New Roman"/>
          <w:sz w:val="24"/>
          <w:szCs w:val="24"/>
        </w:rPr>
        <w:t xml:space="preserve"> t</w:t>
      </w:r>
      <w:r w:rsidR="00DE6ABC" w:rsidRPr="00867F56">
        <w:rPr>
          <w:rFonts w:ascii="Times New Roman" w:hAnsi="Times New Roman"/>
          <w:sz w:val="24"/>
          <w:szCs w:val="24"/>
        </w:rPr>
        <w:t>he</w:t>
      </w:r>
      <w:r w:rsidR="00D83183" w:rsidRPr="00867F56">
        <w:rPr>
          <w:rFonts w:ascii="Times New Roman" w:hAnsi="Times New Roman"/>
          <w:sz w:val="24"/>
          <w:szCs w:val="24"/>
        </w:rPr>
        <w:t xml:space="preserve"> </w:t>
      </w:r>
      <w:r w:rsidR="006A5647" w:rsidRPr="00867F56">
        <w:rPr>
          <w:rFonts w:ascii="Times New Roman" w:hAnsi="Times New Roman"/>
          <w:sz w:val="24"/>
          <w:szCs w:val="24"/>
        </w:rPr>
        <w:t>Final Rule</w:t>
      </w:r>
      <w:r w:rsidR="004B7E9C" w:rsidRPr="00867F56">
        <w:rPr>
          <w:rFonts w:ascii="Times New Roman" w:hAnsi="Times New Roman"/>
          <w:sz w:val="24"/>
          <w:szCs w:val="24"/>
        </w:rPr>
        <w:t xml:space="preserve"> require</w:t>
      </w:r>
      <w:r w:rsidR="00F86CDB" w:rsidRPr="00867F56">
        <w:rPr>
          <w:rFonts w:ascii="Times New Roman" w:hAnsi="Times New Roman"/>
          <w:sz w:val="24"/>
          <w:szCs w:val="24"/>
        </w:rPr>
        <w:t>s</w:t>
      </w:r>
      <w:r w:rsidR="004B7E9C" w:rsidRPr="00867F56">
        <w:rPr>
          <w:rFonts w:ascii="Times New Roman" w:hAnsi="Times New Roman"/>
          <w:sz w:val="24"/>
          <w:szCs w:val="24"/>
        </w:rPr>
        <w:t xml:space="preserve"> applicants </w:t>
      </w:r>
      <w:r w:rsidR="006A5647" w:rsidRPr="00867F56">
        <w:rPr>
          <w:rFonts w:ascii="Times New Roman" w:hAnsi="Times New Roman"/>
          <w:sz w:val="24"/>
          <w:szCs w:val="24"/>
        </w:rPr>
        <w:t xml:space="preserve">interested in pursuing the expedited process </w:t>
      </w:r>
      <w:r w:rsidR="004B7E9C" w:rsidRPr="00867F56">
        <w:rPr>
          <w:rFonts w:ascii="Times New Roman" w:hAnsi="Times New Roman"/>
          <w:sz w:val="24"/>
          <w:szCs w:val="24"/>
        </w:rPr>
        <w:t>to submit to the Commission</w:t>
      </w:r>
      <w:r w:rsidR="00DE6ABC" w:rsidRPr="00867F56">
        <w:rPr>
          <w:rFonts w:ascii="Times New Roman" w:hAnsi="Times New Roman"/>
          <w:sz w:val="24"/>
          <w:szCs w:val="24"/>
        </w:rPr>
        <w:t xml:space="preserve"> consultation documentation regarding </w:t>
      </w:r>
      <w:r w:rsidR="00937683" w:rsidRPr="00867F56">
        <w:rPr>
          <w:rFonts w:ascii="Times New Roman" w:hAnsi="Times New Roman"/>
          <w:sz w:val="24"/>
          <w:szCs w:val="24"/>
        </w:rPr>
        <w:t xml:space="preserve">federal and state </w:t>
      </w:r>
      <w:r w:rsidR="00DE6ABC" w:rsidRPr="00867F56">
        <w:rPr>
          <w:rFonts w:ascii="Times New Roman" w:hAnsi="Times New Roman"/>
          <w:sz w:val="24"/>
          <w:szCs w:val="24"/>
        </w:rPr>
        <w:t xml:space="preserve">authorizations </w:t>
      </w:r>
      <w:r w:rsidR="00937683" w:rsidRPr="00867F56">
        <w:rPr>
          <w:rFonts w:ascii="Times New Roman" w:hAnsi="Times New Roman"/>
          <w:sz w:val="24"/>
          <w:szCs w:val="24"/>
        </w:rPr>
        <w:t xml:space="preserve">earlier </w:t>
      </w:r>
      <w:r w:rsidR="00DE6ABC" w:rsidRPr="00867F56">
        <w:rPr>
          <w:rFonts w:ascii="Times New Roman" w:hAnsi="Times New Roman"/>
          <w:sz w:val="24"/>
          <w:szCs w:val="24"/>
        </w:rPr>
        <w:t xml:space="preserve">in the licensing process </w:t>
      </w:r>
      <w:r w:rsidR="004B7E9C" w:rsidRPr="00867F56">
        <w:rPr>
          <w:rFonts w:ascii="Times New Roman" w:hAnsi="Times New Roman"/>
          <w:sz w:val="24"/>
          <w:szCs w:val="24"/>
        </w:rPr>
        <w:t xml:space="preserve">than </w:t>
      </w:r>
      <w:r w:rsidR="00176A41" w:rsidRPr="00867F56">
        <w:rPr>
          <w:rFonts w:ascii="Times New Roman" w:hAnsi="Times New Roman"/>
          <w:sz w:val="24"/>
          <w:szCs w:val="24"/>
        </w:rPr>
        <w:t>is currently required under</w:t>
      </w:r>
      <w:r w:rsidR="004B7E9C" w:rsidRPr="00867F56">
        <w:rPr>
          <w:rFonts w:ascii="Times New Roman" w:hAnsi="Times New Roman"/>
          <w:sz w:val="24"/>
          <w:szCs w:val="24"/>
        </w:rPr>
        <w:t xml:space="preserve"> the Commission’s existing licens</w:t>
      </w:r>
      <w:r w:rsidR="00F86CDB" w:rsidRPr="00867F56">
        <w:rPr>
          <w:rFonts w:ascii="Times New Roman" w:hAnsi="Times New Roman"/>
          <w:sz w:val="24"/>
          <w:szCs w:val="24"/>
        </w:rPr>
        <w:t>ing</w:t>
      </w:r>
      <w:r w:rsidR="004B7E9C" w:rsidRPr="00867F56">
        <w:rPr>
          <w:rFonts w:ascii="Times New Roman" w:hAnsi="Times New Roman"/>
          <w:sz w:val="24"/>
          <w:szCs w:val="24"/>
        </w:rPr>
        <w:t xml:space="preserve"> processes</w:t>
      </w:r>
      <w:r w:rsidR="00DE6ABC" w:rsidRPr="00867F56">
        <w:rPr>
          <w:rFonts w:ascii="Times New Roman" w:hAnsi="Times New Roman"/>
          <w:sz w:val="24"/>
          <w:szCs w:val="24"/>
        </w:rPr>
        <w:t xml:space="preserve">. </w:t>
      </w:r>
    </w:p>
    <w:p w14:paraId="44DF2793" w14:textId="77777777" w:rsidR="00A35A64" w:rsidRPr="00867F56" w:rsidRDefault="00A35A64" w:rsidP="007445A8">
      <w:pPr>
        <w:spacing w:after="0" w:line="240" w:lineRule="auto"/>
        <w:rPr>
          <w:rFonts w:ascii="Times New Roman" w:hAnsi="Times New Roman"/>
          <w:sz w:val="24"/>
          <w:szCs w:val="24"/>
        </w:rPr>
      </w:pPr>
    </w:p>
    <w:p w14:paraId="3FFDFE15" w14:textId="77777777" w:rsidR="00A35A64" w:rsidRPr="00867F56" w:rsidRDefault="00A35A64" w:rsidP="007445A8">
      <w:pPr>
        <w:spacing w:after="0" w:line="240" w:lineRule="auto"/>
        <w:rPr>
          <w:rFonts w:ascii="Times New Roman" w:hAnsi="Times New Roman"/>
          <w:sz w:val="24"/>
          <w:szCs w:val="24"/>
        </w:rPr>
      </w:pPr>
      <w:r w:rsidRPr="00867F56">
        <w:rPr>
          <w:rFonts w:ascii="Times New Roman" w:hAnsi="Times New Roman"/>
          <w:sz w:val="24"/>
          <w:szCs w:val="24"/>
        </w:rPr>
        <w:t xml:space="preserve">To be considered under the expedited process, applicants for original licenses </w:t>
      </w:r>
      <w:r w:rsidR="006A5647" w:rsidRPr="00867F56">
        <w:rPr>
          <w:rFonts w:ascii="Times New Roman" w:hAnsi="Times New Roman"/>
          <w:sz w:val="24"/>
          <w:szCs w:val="24"/>
        </w:rPr>
        <w:t xml:space="preserve">for </w:t>
      </w:r>
      <w:r w:rsidRPr="00867F56">
        <w:rPr>
          <w:rFonts w:ascii="Times New Roman" w:hAnsi="Times New Roman"/>
          <w:sz w:val="24"/>
          <w:szCs w:val="24"/>
        </w:rPr>
        <w:t xml:space="preserve">qualifying hydropower projects at </w:t>
      </w:r>
      <w:r w:rsidR="005B0A94" w:rsidRPr="00867F56">
        <w:rPr>
          <w:rFonts w:ascii="Times New Roman" w:hAnsi="Times New Roman"/>
          <w:sz w:val="24"/>
          <w:szCs w:val="24"/>
        </w:rPr>
        <w:t xml:space="preserve">existing </w:t>
      </w:r>
      <w:r w:rsidRPr="00867F56">
        <w:rPr>
          <w:rFonts w:ascii="Times New Roman" w:hAnsi="Times New Roman"/>
          <w:sz w:val="24"/>
          <w:szCs w:val="24"/>
        </w:rPr>
        <w:t xml:space="preserve">nonpowered dams or </w:t>
      </w:r>
      <w:r w:rsidR="006A5647" w:rsidRPr="00867F56">
        <w:rPr>
          <w:rFonts w:ascii="Times New Roman" w:hAnsi="Times New Roman"/>
          <w:sz w:val="24"/>
          <w:szCs w:val="24"/>
        </w:rPr>
        <w:t xml:space="preserve">for </w:t>
      </w:r>
      <w:r w:rsidRPr="00867F56">
        <w:rPr>
          <w:rFonts w:ascii="Times New Roman" w:hAnsi="Times New Roman"/>
          <w:sz w:val="24"/>
          <w:szCs w:val="24"/>
        </w:rPr>
        <w:t xml:space="preserve">closed-loop pumped storage projects must include with their application a request for authorization to use the expedited licensing process.  The Commission may grant the request if the applicant demonstrates compliance with the procedures set forth in the </w:t>
      </w:r>
      <w:r w:rsidR="00D83183" w:rsidRPr="00867F56">
        <w:rPr>
          <w:rFonts w:ascii="Times New Roman" w:hAnsi="Times New Roman"/>
          <w:sz w:val="24"/>
          <w:szCs w:val="24"/>
        </w:rPr>
        <w:t>approved</w:t>
      </w:r>
      <w:r w:rsidRPr="00867F56">
        <w:rPr>
          <w:rFonts w:ascii="Times New Roman" w:hAnsi="Times New Roman"/>
          <w:sz w:val="24"/>
          <w:szCs w:val="24"/>
        </w:rPr>
        <w:t xml:space="preserve"> regulations</w:t>
      </w:r>
      <w:r w:rsidR="00D83183" w:rsidRPr="00867F56">
        <w:rPr>
          <w:rFonts w:ascii="Times New Roman" w:hAnsi="Times New Roman"/>
          <w:sz w:val="24"/>
          <w:szCs w:val="24"/>
        </w:rPr>
        <w:t xml:space="preserve"> (Part 7 of the Commission’s regulations)</w:t>
      </w:r>
      <w:r w:rsidRPr="00867F56">
        <w:rPr>
          <w:rFonts w:ascii="Times New Roman" w:hAnsi="Times New Roman"/>
          <w:sz w:val="24"/>
          <w:szCs w:val="24"/>
        </w:rPr>
        <w:t xml:space="preserve">.  </w:t>
      </w:r>
      <w:r w:rsidR="003A3B72" w:rsidRPr="00867F56">
        <w:rPr>
          <w:rFonts w:ascii="Times New Roman" w:hAnsi="Times New Roman"/>
          <w:sz w:val="24"/>
          <w:szCs w:val="24"/>
        </w:rPr>
        <w:t>U</w:t>
      </w:r>
      <w:r w:rsidRPr="00867F56">
        <w:rPr>
          <w:rFonts w:ascii="Times New Roman" w:hAnsi="Times New Roman"/>
          <w:sz w:val="24"/>
          <w:szCs w:val="24"/>
        </w:rPr>
        <w:t>se of the expedited licensing pro</w:t>
      </w:r>
      <w:r w:rsidR="00D83183" w:rsidRPr="00867F56">
        <w:rPr>
          <w:rFonts w:ascii="Times New Roman" w:hAnsi="Times New Roman"/>
          <w:sz w:val="24"/>
          <w:szCs w:val="24"/>
        </w:rPr>
        <w:t xml:space="preserve">cess is </w:t>
      </w:r>
      <w:r w:rsidR="00DB5705" w:rsidRPr="00867F56">
        <w:rPr>
          <w:rFonts w:ascii="Times New Roman" w:hAnsi="Times New Roman"/>
          <w:sz w:val="24"/>
          <w:szCs w:val="24"/>
        </w:rPr>
        <w:t xml:space="preserve">optional </w:t>
      </w:r>
      <w:r w:rsidR="00AA4C7C" w:rsidRPr="00867F56">
        <w:rPr>
          <w:rFonts w:ascii="Times New Roman" w:hAnsi="Times New Roman"/>
          <w:sz w:val="24"/>
          <w:szCs w:val="24"/>
        </w:rPr>
        <w:t>in that potential license applicants may elect to apply for consideration under the expedited licensing process</w:t>
      </w:r>
      <w:r w:rsidR="00F86CDB" w:rsidRPr="00867F56">
        <w:rPr>
          <w:rFonts w:ascii="Times New Roman" w:hAnsi="Times New Roman"/>
          <w:sz w:val="24"/>
          <w:szCs w:val="24"/>
        </w:rPr>
        <w:t xml:space="preserve"> and follow the schedule under that process</w:t>
      </w:r>
      <w:r w:rsidR="00AA4C7C" w:rsidRPr="00867F56">
        <w:rPr>
          <w:rFonts w:ascii="Times New Roman" w:hAnsi="Times New Roman"/>
          <w:sz w:val="24"/>
          <w:szCs w:val="24"/>
        </w:rPr>
        <w:t xml:space="preserve"> or may prefer to </w:t>
      </w:r>
      <w:r w:rsidR="00F86CDB" w:rsidRPr="00867F56">
        <w:rPr>
          <w:rFonts w:ascii="Times New Roman" w:hAnsi="Times New Roman"/>
          <w:sz w:val="24"/>
          <w:szCs w:val="24"/>
        </w:rPr>
        <w:t xml:space="preserve">follow </w:t>
      </w:r>
      <w:r w:rsidR="00AA4C7C" w:rsidRPr="00867F56">
        <w:rPr>
          <w:rFonts w:ascii="Times New Roman" w:hAnsi="Times New Roman"/>
          <w:sz w:val="24"/>
          <w:szCs w:val="24"/>
        </w:rPr>
        <w:t xml:space="preserve">the </w:t>
      </w:r>
      <w:r w:rsidR="00F86CDB" w:rsidRPr="00867F56">
        <w:rPr>
          <w:rFonts w:ascii="Times New Roman" w:hAnsi="Times New Roman"/>
          <w:sz w:val="24"/>
          <w:szCs w:val="24"/>
        </w:rPr>
        <w:t xml:space="preserve">processing schedule under </w:t>
      </w:r>
      <w:r w:rsidR="002209E1" w:rsidRPr="00867F56">
        <w:rPr>
          <w:rFonts w:ascii="Times New Roman" w:hAnsi="Times New Roman"/>
          <w:sz w:val="24"/>
          <w:szCs w:val="24"/>
        </w:rPr>
        <w:t xml:space="preserve">the </w:t>
      </w:r>
      <w:r w:rsidR="00AA4C7C" w:rsidRPr="00867F56">
        <w:rPr>
          <w:rFonts w:ascii="Times New Roman" w:hAnsi="Times New Roman"/>
          <w:sz w:val="24"/>
          <w:szCs w:val="24"/>
        </w:rPr>
        <w:t>Commission’s existing licensing processes set forth in Parts 4 and 5 of the Commission’s regulations</w:t>
      </w:r>
      <w:r w:rsidR="00D83183" w:rsidRPr="00867F56">
        <w:rPr>
          <w:rFonts w:ascii="Times New Roman" w:hAnsi="Times New Roman"/>
          <w:sz w:val="24"/>
          <w:szCs w:val="24"/>
        </w:rPr>
        <w:t>.  The approved</w:t>
      </w:r>
      <w:r w:rsidRPr="00867F56">
        <w:rPr>
          <w:rFonts w:ascii="Times New Roman" w:hAnsi="Times New Roman"/>
          <w:sz w:val="24"/>
          <w:szCs w:val="24"/>
        </w:rPr>
        <w:t xml:space="preserve"> e</w:t>
      </w:r>
      <w:r w:rsidR="00D83183" w:rsidRPr="00867F56">
        <w:rPr>
          <w:rFonts w:ascii="Times New Roman" w:hAnsi="Times New Roman"/>
          <w:sz w:val="24"/>
          <w:szCs w:val="24"/>
        </w:rPr>
        <w:t>xpedited licensing process will</w:t>
      </w:r>
      <w:r w:rsidRPr="00867F56">
        <w:rPr>
          <w:rFonts w:ascii="Times New Roman" w:hAnsi="Times New Roman"/>
          <w:sz w:val="24"/>
          <w:szCs w:val="24"/>
        </w:rPr>
        <w:t xml:space="preserve"> only apply to origina</w:t>
      </w:r>
      <w:r w:rsidR="00D83183" w:rsidRPr="00867F56">
        <w:rPr>
          <w:rFonts w:ascii="Times New Roman" w:hAnsi="Times New Roman"/>
          <w:sz w:val="24"/>
          <w:szCs w:val="24"/>
        </w:rPr>
        <w:t>l license applications; it will</w:t>
      </w:r>
      <w:r w:rsidRPr="00867F56">
        <w:rPr>
          <w:rFonts w:ascii="Times New Roman" w:hAnsi="Times New Roman"/>
          <w:sz w:val="24"/>
          <w:szCs w:val="24"/>
        </w:rPr>
        <w:t xml:space="preserve"> not apply to applications for a new or subsequent license.  The expedited licensing process would begin with the filing of a </w:t>
      </w:r>
      <w:r w:rsidR="003D6C80" w:rsidRPr="00867F56">
        <w:rPr>
          <w:rFonts w:ascii="Times New Roman" w:hAnsi="Times New Roman"/>
          <w:sz w:val="24"/>
          <w:szCs w:val="24"/>
        </w:rPr>
        <w:t xml:space="preserve">final </w:t>
      </w:r>
      <w:r w:rsidRPr="00867F56">
        <w:rPr>
          <w:rFonts w:ascii="Times New Roman" w:hAnsi="Times New Roman"/>
          <w:sz w:val="24"/>
          <w:szCs w:val="24"/>
        </w:rPr>
        <w:t>license application</w:t>
      </w:r>
      <w:r w:rsidR="006941D9" w:rsidRPr="00867F56">
        <w:rPr>
          <w:rFonts w:ascii="Times New Roman" w:hAnsi="Times New Roman"/>
          <w:sz w:val="24"/>
          <w:szCs w:val="24"/>
        </w:rPr>
        <w:t>;</w:t>
      </w:r>
      <w:r w:rsidRPr="00867F56">
        <w:rPr>
          <w:rFonts w:ascii="Times New Roman" w:hAnsi="Times New Roman"/>
          <w:sz w:val="24"/>
          <w:szCs w:val="24"/>
        </w:rPr>
        <w:t xml:space="preserve"> that is, the prefiling process is not included in the two-year time frame governed by the expedited process.  For the purposes of prefiling activities, any applicant interested in pursuing authorization to use the expedited licensing process must use the default ILP, or request authorization to the use TLP or ALP, as required under the current regulations.  Therefore, the focus of the </w:t>
      </w:r>
      <w:r w:rsidR="00663C3C" w:rsidRPr="00867F56">
        <w:rPr>
          <w:rFonts w:ascii="Times New Roman" w:hAnsi="Times New Roman"/>
          <w:sz w:val="24"/>
          <w:szCs w:val="24"/>
        </w:rPr>
        <w:t>Final Rule</w:t>
      </w:r>
      <w:r w:rsidRPr="00867F56">
        <w:rPr>
          <w:rFonts w:ascii="Times New Roman" w:hAnsi="Times New Roman"/>
          <w:sz w:val="24"/>
          <w:szCs w:val="24"/>
        </w:rPr>
        <w:t xml:space="preserve"> is solely on the process milestones and necessary authorizations that occur after an applicant files a </w:t>
      </w:r>
      <w:r w:rsidR="003D6C80" w:rsidRPr="00867F56">
        <w:rPr>
          <w:rFonts w:ascii="Times New Roman" w:hAnsi="Times New Roman"/>
          <w:sz w:val="24"/>
          <w:szCs w:val="24"/>
        </w:rPr>
        <w:t xml:space="preserve">final </w:t>
      </w:r>
      <w:r w:rsidRPr="00867F56">
        <w:rPr>
          <w:rFonts w:ascii="Times New Roman" w:hAnsi="Times New Roman"/>
          <w:sz w:val="24"/>
          <w:szCs w:val="24"/>
        </w:rPr>
        <w:t>license application.</w:t>
      </w:r>
    </w:p>
    <w:p w14:paraId="0E0930A4" w14:textId="77777777" w:rsidR="00A35A64" w:rsidRPr="00867F56" w:rsidRDefault="00A35A64" w:rsidP="007445A8">
      <w:pPr>
        <w:spacing w:after="0" w:line="240" w:lineRule="auto"/>
        <w:rPr>
          <w:rFonts w:ascii="Times New Roman" w:hAnsi="Times New Roman"/>
          <w:sz w:val="24"/>
          <w:szCs w:val="24"/>
        </w:rPr>
      </w:pPr>
    </w:p>
    <w:p w14:paraId="119BC239" w14:textId="77777777" w:rsidR="00A35A64" w:rsidRPr="00867F56" w:rsidRDefault="00A35A64" w:rsidP="007445A8">
      <w:pPr>
        <w:spacing w:after="0" w:line="240" w:lineRule="auto"/>
        <w:rPr>
          <w:rFonts w:ascii="Times New Roman" w:hAnsi="Times New Roman"/>
          <w:sz w:val="24"/>
          <w:szCs w:val="24"/>
          <w:u w:val="single"/>
        </w:rPr>
      </w:pPr>
      <w:r w:rsidRPr="00867F56">
        <w:rPr>
          <w:rFonts w:ascii="Times New Roman" w:hAnsi="Times New Roman"/>
          <w:sz w:val="24"/>
          <w:szCs w:val="24"/>
          <w:u w:val="single"/>
        </w:rPr>
        <w:t>Eligibility Criteria</w:t>
      </w:r>
    </w:p>
    <w:p w14:paraId="1F76B27E" w14:textId="77777777" w:rsidR="00A35A64" w:rsidRPr="00867F56" w:rsidRDefault="00A35A64" w:rsidP="007445A8">
      <w:pPr>
        <w:spacing w:after="0" w:line="240" w:lineRule="auto"/>
        <w:rPr>
          <w:rFonts w:ascii="Times New Roman" w:hAnsi="Times New Roman"/>
          <w:sz w:val="24"/>
          <w:szCs w:val="24"/>
        </w:rPr>
      </w:pPr>
      <w:r w:rsidRPr="00867F56">
        <w:rPr>
          <w:rFonts w:ascii="Times New Roman" w:hAnsi="Times New Roman"/>
          <w:sz w:val="24"/>
          <w:szCs w:val="24"/>
        </w:rPr>
        <w:t>An applicant interested in requesting authorization to use the expedited licensing process must demonstrate that its proposed project design meets the statutory criteria for qualifying facilities that Congress enumerated in sections 34 and 35 of the FPA.  In addition, the applicant must demonstrate compliance with the FERC-defined criteria to use the expedited process, which include providing documentation of consultation</w:t>
      </w:r>
      <w:r w:rsidR="00FA078E" w:rsidRPr="00867F56">
        <w:rPr>
          <w:rFonts w:ascii="Times New Roman" w:hAnsi="Times New Roman"/>
          <w:sz w:val="24"/>
          <w:szCs w:val="24"/>
        </w:rPr>
        <w:t>, as required by federal law (e.g., Endangered Species Act, National Historic Preservation Act, and the Clean Water Act),</w:t>
      </w:r>
      <w:r w:rsidRPr="00867F56">
        <w:rPr>
          <w:rFonts w:ascii="Times New Roman" w:hAnsi="Times New Roman"/>
          <w:sz w:val="24"/>
          <w:szCs w:val="24"/>
        </w:rPr>
        <w:t xml:space="preserve"> at the time of application filing, verifying that the applicant has engaged in consultation with agencies, Indian Tribes, and, if applicable, the existing dam owner, sufficient to facilitate Commission action on the application within two years.  The statutory criteria for qualifying facilities and the FERC-defined documentation requirements for the expedited process are </w:t>
      </w:r>
      <w:r w:rsidR="007151CF" w:rsidRPr="00867F56">
        <w:rPr>
          <w:rFonts w:ascii="Times New Roman" w:hAnsi="Times New Roman"/>
          <w:sz w:val="24"/>
          <w:szCs w:val="24"/>
        </w:rPr>
        <w:t xml:space="preserve">further </w:t>
      </w:r>
      <w:r w:rsidRPr="00867F56">
        <w:rPr>
          <w:rFonts w:ascii="Times New Roman" w:hAnsi="Times New Roman"/>
          <w:sz w:val="24"/>
          <w:szCs w:val="24"/>
        </w:rPr>
        <w:t xml:space="preserve">described </w:t>
      </w:r>
      <w:r w:rsidR="007151CF" w:rsidRPr="00867F56">
        <w:rPr>
          <w:rFonts w:ascii="Times New Roman" w:hAnsi="Times New Roman"/>
          <w:sz w:val="24"/>
          <w:szCs w:val="24"/>
        </w:rPr>
        <w:t xml:space="preserve">in the </w:t>
      </w:r>
      <w:r w:rsidR="00663C3C" w:rsidRPr="00867F56">
        <w:rPr>
          <w:rFonts w:ascii="Times New Roman" w:hAnsi="Times New Roman"/>
          <w:sz w:val="24"/>
          <w:szCs w:val="24"/>
        </w:rPr>
        <w:t>Final Rule</w:t>
      </w:r>
      <w:r w:rsidR="007151CF" w:rsidRPr="00867F56">
        <w:rPr>
          <w:rFonts w:ascii="Times New Roman" w:hAnsi="Times New Roman"/>
          <w:sz w:val="24"/>
          <w:szCs w:val="24"/>
        </w:rPr>
        <w:t>.</w:t>
      </w:r>
      <w:r w:rsidR="007151CF" w:rsidRPr="00867F56">
        <w:rPr>
          <w:rStyle w:val="FootnoteReference"/>
          <w:rFonts w:ascii="Times New Roman" w:hAnsi="Times New Roman"/>
          <w:b/>
          <w:sz w:val="24"/>
          <w:szCs w:val="24"/>
          <w:vertAlign w:val="superscript"/>
        </w:rPr>
        <w:footnoteReference w:id="15"/>
      </w:r>
    </w:p>
    <w:p w14:paraId="27AA3E94" w14:textId="77777777" w:rsidR="00C56B84" w:rsidRPr="00867F56" w:rsidRDefault="00C56B84" w:rsidP="007445A8">
      <w:pPr>
        <w:spacing w:after="0" w:line="240" w:lineRule="auto"/>
        <w:rPr>
          <w:rFonts w:ascii="Times New Roman" w:hAnsi="Times New Roman"/>
          <w:sz w:val="24"/>
          <w:szCs w:val="24"/>
        </w:rPr>
      </w:pPr>
    </w:p>
    <w:p w14:paraId="492F6D16" w14:textId="77777777" w:rsidR="00C56B84" w:rsidRPr="00867F56" w:rsidRDefault="00C56B84" w:rsidP="007445A8">
      <w:pPr>
        <w:spacing w:after="0" w:line="240" w:lineRule="auto"/>
        <w:rPr>
          <w:rFonts w:ascii="Times New Roman" w:hAnsi="Times New Roman"/>
          <w:b/>
          <w:sz w:val="24"/>
          <w:szCs w:val="24"/>
        </w:rPr>
      </w:pPr>
      <w:r w:rsidRPr="00867F56">
        <w:rPr>
          <w:rFonts w:ascii="Times New Roman" w:hAnsi="Times New Roman"/>
          <w:b/>
          <w:sz w:val="24"/>
          <w:szCs w:val="24"/>
        </w:rPr>
        <w:t>Expedited Licensing Process</w:t>
      </w:r>
    </w:p>
    <w:p w14:paraId="3B78BD1C" w14:textId="77777777" w:rsidR="00C56B84" w:rsidRPr="00867F56" w:rsidRDefault="00C56B84" w:rsidP="007445A8">
      <w:pPr>
        <w:spacing w:after="0" w:line="240" w:lineRule="auto"/>
        <w:rPr>
          <w:rFonts w:ascii="Times New Roman" w:hAnsi="Times New Roman"/>
          <w:sz w:val="24"/>
          <w:szCs w:val="24"/>
        </w:rPr>
      </w:pPr>
      <w:r w:rsidRPr="00867F56">
        <w:rPr>
          <w:rFonts w:ascii="Times New Roman" w:hAnsi="Times New Roman"/>
          <w:sz w:val="24"/>
          <w:szCs w:val="24"/>
        </w:rPr>
        <w:t>As directed by FPA sections 34 and</w:t>
      </w:r>
      <w:r w:rsidR="00663C3C" w:rsidRPr="00867F56">
        <w:rPr>
          <w:rFonts w:ascii="Times New Roman" w:hAnsi="Times New Roman"/>
          <w:sz w:val="24"/>
          <w:szCs w:val="24"/>
        </w:rPr>
        <w:t xml:space="preserve"> 35, the Commission </w:t>
      </w:r>
      <w:r w:rsidR="00783687" w:rsidRPr="00867F56">
        <w:rPr>
          <w:rFonts w:ascii="Times New Roman" w:hAnsi="Times New Roman"/>
          <w:sz w:val="24"/>
          <w:szCs w:val="24"/>
        </w:rPr>
        <w:t>approved</w:t>
      </w:r>
      <w:r w:rsidRPr="00867F56">
        <w:rPr>
          <w:rFonts w:ascii="Times New Roman" w:hAnsi="Times New Roman"/>
          <w:sz w:val="24"/>
          <w:szCs w:val="24"/>
        </w:rPr>
        <w:t xml:space="preserve"> an expedited licensing process for </w:t>
      </w:r>
      <w:r w:rsidR="00BC6B84" w:rsidRPr="00867F56">
        <w:rPr>
          <w:rFonts w:ascii="Times New Roman" w:hAnsi="Times New Roman"/>
          <w:sz w:val="24"/>
          <w:szCs w:val="24"/>
        </w:rPr>
        <w:t>two types of hydropower projects –</w:t>
      </w:r>
      <w:r w:rsidRPr="00867F56">
        <w:rPr>
          <w:rFonts w:ascii="Times New Roman" w:hAnsi="Times New Roman"/>
          <w:sz w:val="24"/>
          <w:szCs w:val="24"/>
        </w:rPr>
        <w:t xml:space="preserve"> qualifying facilities at </w:t>
      </w:r>
      <w:r w:rsidR="00BC6B84" w:rsidRPr="00867F56">
        <w:rPr>
          <w:rFonts w:ascii="Times New Roman" w:hAnsi="Times New Roman"/>
          <w:sz w:val="24"/>
          <w:szCs w:val="24"/>
        </w:rPr>
        <w:t xml:space="preserve">existing, </w:t>
      </w:r>
      <w:r w:rsidRPr="00867F56">
        <w:rPr>
          <w:rFonts w:ascii="Times New Roman" w:hAnsi="Times New Roman"/>
          <w:sz w:val="24"/>
          <w:szCs w:val="24"/>
        </w:rPr>
        <w:t>nonpowered dams and closed-loop pumped storage proje</w:t>
      </w:r>
      <w:r w:rsidR="00663C3C" w:rsidRPr="00867F56">
        <w:rPr>
          <w:rFonts w:ascii="Times New Roman" w:hAnsi="Times New Roman"/>
          <w:sz w:val="24"/>
          <w:szCs w:val="24"/>
        </w:rPr>
        <w:t>cts.  The modified</w:t>
      </w:r>
      <w:r w:rsidRPr="00867F56">
        <w:rPr>
          <w:rFonts w:ascii="Times New Roman" w:hAnsi="Times New Roman"/>
          <w:sz w:val="24"/>
          <w:szCs w:val="24"/>
        </w:rPr>
        <w:t xml:space="preserve"> regulations</w:t>
      </w:r>
      <w:r w:rsidR="00783687" w:rsidRPr="00867F56">
        <w:rPr>
          <w:rFonts w:ascii="Times New Roman" w:hAnsi="Times New Roman"/>
          <w:sz w:val="24"/>
          <w:szCs w:val="24"/>
        </w:rPr>
        <w:t xml:space="preserve"> </w:t>
      </w:r>
      <w:r w:rsidR="00663C3C" w:rsidRPr="00867F56">
        <w:rPr>
          <w:rFonts w:ascii="Times New Roman" w:hAnsi="Times New Roman"/>
          <w:sz w:val="24"/>
          <w:szCs w:val="24"/>
        </w:rPr>
        <w:t>will be codified as P</w:t>
      </w:r>
      <w:r w:rsidRPr="00867F56">
        <w:rPr>
          <w:rFonts w:ascii="Times New Roman" w:hAnsi="Times New Roman"/>
          <w:sz w:val="24"/>
          <w:szCs w:val="24"/>
        </w:rPr>
        <w:t>art 7 of the Commission’s regulations.</w:t>
      </w:r>
    </w:p>
    <w:p w14:paraId="21FBA607" w14:textId="77777777" w:rsidR="00034599" w:rsidRPr="00867F56" w:rsidRDefault="00034599" w:rsidP="007445A8">
      <w:pPr>
        <w:spacing w:after="0" w:line="240" w:lineRule="auto"/>
        <w:rPr>
          <w:rFonts w:ascii="Times New Roman" w:hAnsi="Times New Roman"/>
          <w:sz w:val="24"/>
          <w:szCs w:val="24"/>
        </w:rPr>
      </w:pPr>
    </w:p>
    <w:p w14:paraId="4E1D1FA0" w14:textId="77777777" w:rsidR="003A3B72" w:rsidRPr="00867F56" w:rsidRDefault="003A3B72" w:rsidP="007445A8">
      <w:pPr>
        <w:spacing w:after="0" w:line="240" w:lineRule="auto"/>
        <w:rPr>
          <w:rFonts w:ascii="Times New Roman" w:hAnsi="Times New Roman"/>
          <w:sz w:val="24"/>
          <w:szCs w:val="24"/>
        </w:rPr>
      </w:pPr>
      <w:r w:rsidRPr="00867F56">
        <w:rPr>
          <w:rFonts w:ascii="Times New Roman" w:hAnsi="Times New Roman"/>
          <w:sz w:val="24"/>
          <w:szCs w:val="24"/>
        </w:rPr>
        <w:t xml:space="preserve">The </w:t>
      </w:r>
      <w:r w:rsidR="00663C3C" w:rsidRPr="00867F56">
        <w:rPr>
          <w:rFonts w:ascii="Times New Roman" w:hAnsi="Times New Roman"/>
          <w:sz w:val="24"/>
          <w:szCs w:val="24"/>
        </w:rPr>
        <w:t>addition of a new P</w:t>
      </w:r>
      <w:r w:rsidR="00BC6B84" w:rsidRPr="00867F56">
        <w:rPr>
          <w:rFonts w:ascii="Times New Roman" w:hAnsi="Times New Roman"/>
          <w:sz w:val="24"/>
          <w:szCs w:val="24"/>
        </w:rPr>
        <w:t xml:space="preserve">art 7 to the Commission’s </w:t>
      </w:r>
      <w:r w:rsidRPr="00867F56">
        <w:rPr>
          <w:rFonts w:ascii="Times New Roman" w:hAnsi="Times New Roman"/>
          <w:sz w:val="24"/>
          <w:szCs w:val="24"/>
        </w:rPr>
        <w:t xml:space="preserve">regulations </w:t>
      </w:r>
      <w:r w:rsidR="00783687" w:rsidRPr="00867F56">
        <w:rPr>
          <w:rFonts w:ascii="Times New Roman" w:hAnsi="Times New Roman"/>
          <w:sz w:val="24"/>
          <w:szCs w:val="24"/>
        </w:rPr>
        <w:t>will</w:t>
      </w:r>
      <w:r w:rsidRPr="00867F56">
        <w:rPr>
          <w:rFonts w:ascii="Times New Roman" w:hAnsi="Times New Roman"/>
          <w:sz w:val="24"/>
          <w:szCs w:val="24"/>
        </w:rPr>
        <w:t xml:space="preserve"> affect only the number of entities that file applications with the Commission for these two project types, and </w:t>
      </w:r>
      <w:r w:rsidR="00783687" w:rsidRPr="00867F56">
        <w:rPr>
          <w:rFonts w:ascii="Times New Roman" w:hAnsi="Times New Roman"/>
          <w:sz w:val="24"/>
          <w:szCs w:val="24"/>
        </w:rPr>
        <w:t>will</w:t>
      </w:r>
      <w:r w:rsidRPr="00867F56">
        <w:rPr>
          <w:rFonts w:ascii="Times New Roman" w:hAnsi="Times New Roman"/>
          <w:sz w:val="24"/>
          <w:szCs w:val="24"/>
        </w:rPr>
        <w:t xml:space="preserve"> impose a new, albeit slight, information collection requirement</w:t>
      </w:r>
      <w:r w:rsidR="00BC6B84" w:rsidRPr="00867F56">
        <w:rPr>
          <w:rFonts w:ascii="Times New Roman" w:hAnsi="Times New Roman"/>
          <w:sz w:val="24"/>
          <w:szCs w:val="24"/>
        </w:rPr>
        <w:t xml:space="preserve"> (i.e., filing the request to use the expedited licensing process)</w:t>
      </w:r>
      <w:r w:rsidRPr="00867F56">
        <w:rPr>
          <w:rFonts w:ascii="Times New Roman" w:hAnsi="Times New Roman"/>
          <w:sz w:val="24"/>
          <w:szCs w:val="24"/>
        </w:rPr>
        <w:t xml:space="preserve">. </w:t>
      </w:r>
      <w:r w:rsidR="00BC6B84" w:rsidRPr="00867F56">
        <w:rPr>
          <w:rFonts w:ascii="Times New Roman" w:hAnsi="Times New Roman"/>
          <w:sz w:val="24"/>
          <w:szCs w:val="24"/>
        </w:rPr>
        <w:t xml:space="preserve"> </w:t>
      </w:r>
      <w:r w:rsidRPr="00867F56">
        <w:rPr>
          <w:rFonts w:ascii="Times New Roman" w:hAnsi="Times New Roman"/>
          <w:sz w:val="24"/>
          <w:szCs w:val="24"/>
        </w:rPr>
        <w:t xml:space="preserve">The requirement </w:t>
      </w:r>
      <w:r w:rsidR="00BC6B84" w:rsidRPr="00867F56">
        <w:rPr>
          <w:rFonts w:ascii="Times New Roman" w:hAnsi="Times New Roman"/>
          <w:sz w:val="24"/>
          <w:szCs w:val="24"/>
        </w:rPr>
        <w:t>that an applicant file</w:t>
      </w:r>
      <w:r w:rsidRPr="00867F56">
        <w:rPr>
          <w:rFonts w:ascii="Times New Roman" w:hAnsi="Times New Roman"/>
          <w:sz w:val="24"/>
          <w:szCs w:val="24"/>
        </w:rPr>
        <w:t xml:space="preserve"> a request for authorization to use the expedited process concurrently with its license application is necessary for the Commission to carry out its responsibilities under the FPA, as amended by the AWIA. </w:t>
      </w:r>
      <w:r w:rsidR="00BC6B84" w:rsidRPr="00867F56">
        <w:rPr>
          <w:rFonts w:ascii="Times New Roman" w:hAnsi="Times New Roman"/>
          <w:sz w:val="24"/>
          <w:szCs w:val="24"/>
        </w:rPr>
        <w:t xml:space="preserve"> </w:t>
      </w:r>
      <w:r w:rsidRPr="00867F56">
        <w:rPr>
          <w:rFonts w:ascii="Times New Roman" w:hAnsi="Times New Roman"/>
          <w:sz w:val="24"/>
          <w:szCs w:val="24"/>
        </w:rPr>
        <w:t xml:space="preserve">The information provided </w:t>
      </w:r>
      <w:r w:rsidR="00BC6B84" w:rsidRPr="00867F56">
        <w:rPr>
          <w:rFonts w:ascii="Times New Roman" w:hAnsi="Times New Roman"/>
          <w:sz w:val="24"/>
          <w:szCs w:val="24"/>
        </w:rPr>
        <w:t xml:space="preserve">will enable </w:t>
      </w:r>
      <w:r w:rsidRPr="00867F56">
        <w:rPr>
          <w:rFonts w:ascii="Times New Roman" w:hAnsi="Times New Roman"/>
          <w:sz w:val="24"/>
          <w:szCs w:val="24"/>
        </w:rPr>
        <w:t>the Commission to review the features of the proposed project and make a determination on whether the proposed project meets the statutory criteria enumerated in the AWIA, as well as the early consultation requirements that the Commission has determined will help it seek to ensure that the proposed project’s license application will be acted on no later than two years after the date of application filing.</w:t>
      </w:r>
    </w:p>
    <w:p w14:paraId="4E532919" w14:textId="77777777" w:rsidR="003A3B72" w:rsidRPr="00867F56" w:rsidRDefault="003A3B72" w:rsidP="007445A8">
      <w:pPr>
        <w:spacing w:after="0" w:line="240" w:lineRule="auto"/>
        <w:rPr>
          <w:rFonts w:ascii="Times New Roman" w:hAnsi="Times New Roman"/>
          <w:sz w:val="24"/>
          <w:szCs w:val="24"/>
        </w:rPr>
      </w:pPr>
    </w:p>
    <w:p w14:paraId="675C741A" w14:textId="77777777" w:rsidR="00471F97" w:rsidRPr="00867F56" w:rsidRDefault="00471F97" w:rsidP="007445A8">
      <w:pPr>
        <w:spacing w:after="0" w:line="240" w:lineRule="auto"/>
        <w:rPr>
          <w:rFonts w:ascii="Times New Roman" w:hAnsi="Times New Roman"/>
          <w:sz w:val="24"/>
          <w:szCs w:val="24"/>
        </w:rPr>
      </w:pPr>
      <w:r w:rsidRPr="00867F56">
        <w:rPr>
          <w:rFonts w:ascii="Times New Roman" w:hAnsi="Times New Roman"/>
          <w:sz w:val="24"/>
          <w:szCs w:val="24"/>
        </w:rPr>
        <w:t>Submission of the data is necessary to fulfill the requirements of the FPA in order for the Commission to make the required finding that a proposal is economically, technically, and environmentally sound, and is best adapted to a comprehensive plan for improving and developing a waterway or waterways</w:t>
      </w:r>
      <w:r w:rsidR="00395E45" w:rsidRPr="00867F56">
        <w:rPr>
          <w:rFonts w:ascii="Times New Roman" w:hAnsi="Times New Roman"/>
          <w:sz w:val="24"/>
          <w:szCs w:val="24"/>
        </w:rPr>
        <w:t>.</w:t>
      </w:r>
    </w:p>
    <w:p w14:paraId="60DF0959" w14:textId="77777777" w:rsidR="00471F97" w:rsidRPr="00867F56" w:rsidRDefault="00471F97" w:rsidP="007445A8">
      <w:pPr>
        <w:spacing w:after="0" w:line="240" w:lineRule="auto"/>
        <w:rPr>
          <w:rFonts w:ascii="Times New Roman" w:hAnsi="Times New Roman"/>
          <w:sz w:val="24"/>
          <w:szCs w:val="24"/>
        </w:rPr>
      </w:pPr>
    </w:p>
    <w:p w14:paraId="6776777E" w14:textId="77777777" w:rsidR="00471F97" w:rsidRPr="00867F56" w:rsidRDefault="00D66646" w:rsidP="007445A8">
      <w:pPr>
        <w:spacing w:line="240" w:lineRule="auto"/>
        <w:rPr>
          <w:rFonts w:ascii="Times New Roman" w:hAnsi="Times New Roman"/>
          <w:sz w:val="24"/>
          <w:szCs w:val="24"/>
        </w:rPr>
      </w:pPr>
      <w:r w:rsidRPr="00867F56">
        <w:rPr>
          <w:rFonts w:ascii="Times New Roman" w:hAnsi="Times New Roman"/>
          <w:sz w:val="24"/>
          <w:szCs w:val="24"/>
        </w:rPr>
        <w:t xml:space="preserve">The Commission is </w:t>
      </w:r>
      <w:r w:rsidR="00B14711" w:rsidRPr="00867F56">
        <w:rPr>
          <w:rFonts w:ascii="Times New Roman" w:hAnsi="Times New Roman"/>
          <w:sz w:val="24"/>
          <w:szCs w:val="24"/>
        </w:rPr>
        <w:t>codifying the new</w:t>
      </w:r>
      <w:r w:rsidRPr="00867F56">
        <w:rPr>
          <w:rFonts w:ascii="Times New Roman" w:hAnsi="Times New Roman"/>
          <w:sz w:val="24"/>
          <w:szCs w:val="24"/>
        </w:rPr>
        <w:t xml:space="preserve"> requirements</w:t>
      </w:r>
      <w:r w:rsidR="00663C3C" w:rsidRPr="00867F56">
        <w:rPr>
          <w:rFonts w:ascii="Times New Roman" w:hAnsi="Times New Roman"/>
          <w:sz w:val="24"/>
          <w:szCs w:val="24"/>
        </w:rPr>
        <w:t xml:space="preserve"> in the RM19-6-000 Final Rule</w:t>
      </w:r>
      <w:r w:rsidRPr="00867F56">
        <w:rPr>
          <w:rFonts w:ascii="Times New Roman" w:hAnsi="Times New Roman"/>
          <w:sz w:val="24"/>
          <w:szCs w:val="24"/>
        </w:rPr>
        <w:t xml:space="preserve"> </w:t>
      </w:r>
      <w:r w:rsidR="00397094" w:rsidRPr="00867F56">
        <w:rPr>
          <w:rFonts w:ascii="Times New Roman" w:hAnsi="Times New Roman"/>
          <w:sz w:val="24"/>
          <w:szCs w:val="24"/>
        </w:rPr>
        <w:t xml:space="preserve">in FERC-500 and FERC-505 </w:t>
      </w:r>
      <w:r w:rsidRPr="00867F56">
        <w:rPr>
          <w:rFonts w:ascii="Times New Roman" w:hAnsi="Times New Roman"/>
          <w:sz w:val="24"/>
          <w:szCs w:val="24"/>
        </w:rPr>
        <w:t xml:space="preserve">related </w:t>
      </w:r>
      <w:r w:rsidR="00B14711" w:rsidRPr="00867F56">
        <w:rPr>
          <w:rFonts w:ascii="Times New Roman" w:hAnsi="Times New Roman"/>
          <w:sz w:val="24"/>
          <w:szCs w:val="24"/>
        </w:rPr>
        <w:t xml:space="preserve">to the expedited process </w:t>
      </w:r>
      <w:r w:rsidR="00E72FAA" w:rsidRPr="00867F56">
        <w:rPr>
          <w:rFonts w:ascii="Times New Roman" w:hAnsi="Times New Roman"/>
          <w:sz w:val="24"/>
          <w:szCs w:val="24"/>
        </w:rPr>
        <w:t xml:space="preserve">contained </w:t>
      </w:r>
      <w:r w:rsidR="00631DA8" w:rsidRPr="00867F56">
        <w:rPr>
          <w:rFonts w:ascii="Times New Roman" w:hAnsi="Times New Roman"/>
          <w:sz w:val="24"/>
          <w:szCs w:val="24"/>
        </w:rPr>
        <w:t>in</w:t>
      </w:r>
      <w:r w:rsidR="00B14711" w:rsidRPr="00867F56">
        <w:rPr>
          <w:rFonts w:ascii="Times New Roman" w:hAnsi="Times New Roman"/>
          <w:sz w:val="24"/>
          <w:szCs w:val="24"/>
        </w:rPr>
        <w:t xml:space="preserve"> new</w:t>
      </w:r>
      <w:r w:rsidR="00631DA8" w:rsidRPr="00867F56">
        <w:rPr>
          <w:rFonts w:ascii="Times New Roman" w:hAnsi="Times New Roman"/>
          <w:sz w:val="24"/>
          <w:szCs w:val="24"/>
        </w:rPr>
        <w:t xml:space="preserve"> </w:t>
      </w:r>
      <w:r w:rsidR="000F7994" w:rsidRPr="00867F56">
        <w:rPr>
          <w:rFonts w:ascii="Times New Roman" w:hAnsi="Times New Roman"/>
          <w:sz w:val="24"/>
          <w:szCs w:val="24"/>
        </w:rPr>
        <w:t xml:space="preserve">sections </w:t>
      </w:r>
      <w:r w:rsidR="00C56B84" w:rsidRPr="00867F56">
        <w:rPr>
          <w:rFonts w:ascii="Times New Roman" w:hAnsi="Times New Roman"/>
          <w:sz w:val="24"/>
          <w:szCs w:val="24"/>
        </w:rPr>
        <w:t xml:space="preserve">7.1-7.9 </w:t>
      </w:r>
      <w:r w:rsidR="00E72FAA" w:rsidRPr="00867F56">
        <w:rPr>
          <w:rFonts w:ascii="Times New Roman" w:hAnsi="Times New Roman"/>
          <w:sz w:val="24"/>
          <w:szCs w:val="24"/>
        </w:rPr>
        <w:t>of the Commission’s regulations</w:t>
      </w:r>
      <w:r w:rsidR="00C56B84" w:rsidRPr="00867F56">
        <w:rPr>
          <w:rFonts w:ascii="Times New Roman" w:hAnsi="Times New Roman"/>
          <w:sz w:val="24"/>
          <w:szCs w:val="24"/>
        </w:rPr>
        <w:t>.</w:t>
      </w:r>
    </w:p>
    <w:p w14:paraId="46D306A6" w14:textId="77777777" w:rsidR="00471F97" w:rsidRPr="00867F56" w:rsidRDefault="00471F97" w:rsidP="00913164">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DESCRIBE ANY CONSIDERATION OF THE USE OF IMPROVED INFORMATION TECHNOLOGY TO REDUCE THE BURDEN AND TECHNICAL OR LEGAL OBSTACLES TO REDUCING BURDEN</w:t>
      </w:r>
    </w:p>
    <w:p w14:paraId="28B2DB08" w14:textId="77777777" w:rsidR="00471F97" w:rsidRPr="00867F56" w:rsidRDefault="00471F97" w:rsidP="00913164">
      <w:pPr>
        <w:spacing w:after="0" w:line="240" w:lineRule="auto"/>
        <w:ind w:left="360" w:hanging="360"/>
        <w:rPr>
          <w:rFonts w:ascii="Times New Roman" w:hAnsi="Times New Roman"/>
          <w:sz w:val="24"/>
          <w:szCs w:val="24"/>
        </w:rPr>
      </w:pPr>
    </w:p>
    <w:p w14:paraId="70899BBE" w14:textId="77777777" w:rsidR="003D33F0" w:rsidRPr="00867F56" w:rsidRDefault="00BF189C" w:rsidP="007445A8">
      <w:pPr>
        <w:spacing w:after="0" w:line="240" w:lineRule="auto"/>
        <w:rPr>
          <w:rFonts w:ascii="Times New Roman" w:hAnsi="Times New Roman"/>
          <w:b/>
          <w:sz w:val="24"/>
          <w:szCs w:val="24"/>
        </w:rPr>
      </w:pPr>
      <w:r w:rsidRPr="00867F56">
        <w:rPr>
          <w:rFonts w:ascii="Times New Roman" w:hAnsi="Times New Roman"/>
          <w:b/>
          <w:sz w:val="24"/>
          <w:szCs w:val="24"/>
        </w:rPr>
        <w:t xml:space="preserve">FERC-500 and FERC-505 </w:t>
      </w:r>
    </w:p>
    <w:p w14:paraId="6A28C00E" w14:textId="77777777" w:rsidR="00BF189C" w:rsidRPr="00867F56" w:rsidRDefault="00F0627E" w:rsidP="007445A8">
      <w:pPr>
        <w:spacing w:after="0" w:line="240" w:lineRule="auto"/>
        <w:rPr>
          <w:rFonts w:ascii="Times New Roman" w:hAnsi="Times New Roman"/>
          <w:sz w:val="24"/>
          <w:szCs w:val="24"/>
        </w:rPr>
      </w:pPr>
      <w:r w:rsidRPr="00867F56">
        <w:rPr>
          <w:rFonts w:ascii="Times New Roman" w:hAnsi="Times New Roman"/>
          <w:sz w:val="24"/>
          <w:szCs w:val="24"/>
        </w:rPr>
        <w:t>FERC continually considers the use of improved information technology to reduce burden in the filing requirements for submission of information.</w:t>
      </w:r>
      <w:r w:rsidR="001360DE" w:rsidRPr="00867F56">
        <w:rPr>
          <w:rFonts w:ascii="Times New Roman" w:hAnsi="Times New Roman"/>
          <w:sz w:val="24"/>
          <w:szCs w:val="24"/>
        </w:rPr>
        <w:t xml:space="preserve">  </w:t>
      </w:r>
    </w:p>
    <w:p w14:paraId="385CD8FD" w14:textId="77777777" w:rsidR="00F0627E" w:rsidRPr="00867F56" w:rsidRDefault="00F0627E" w:rsidP="007445A8">
      <w:pPr>
        <w:tabs>
          <w:tab w:val="left" w:pos="2508"/>
        </w:tabs>
        <w:spacing w:after="0" w:line="240" w:lineRule="auto"/>
        <w:rPr>
          <w:rFonts w:ascii="Times New Roman" w:hAnsi="Times New Roman"/>
          <w:sz w:val="24"/>
          <w:szCs w:val="24"/>
        </w:rPr>
      </w:pPr>
    </w:p>
    <w:p w14:paraId="5CFD3E12" w14:textId="77777777" w:rsidR="00471F97" w:rsidRPr="00867F56" w:rsidRDefault="001360DE" w:rsidP="007445A8">
      <w:pPr>
        <w:spacing w:line="240" w:lineRule="auto"/>
        <w:rPr>
          <w:rFonts w:ascii="Times New Roman" w:hAnsi="Times New Roman"/>
          <w:sz w:val="24"/>
          <w:szCs w:val="24"/>
        </w:rPr>
      </w:pPr>
      <w:r w:rsidRPr="00867F56">
        <w:rPr>
          <w:rFonts w:ascii="Times New Roman" w:hAnsi="Times New Roman"/>
          <w:sz w:val="24"/>
          <w:szCs w:val="24"/>
        </w:rPr>
        <w:t>In addition, t</w:t>
      </w:r>
      <w:r w:rsidR="00F0627E" w:rsidRPr="00867F56">
        <w:rPr>
          <w:rFonts w:ascii="Times New Roman" w:hAnsi="Times New Roman"/>
          <w:sz w:val="24"/>
          <w:szCs w:val="24"/>
        </w:rPr>
        <w:t xml:space="preserve">he Commission </w:t>
      </w:r>
      <w:r w:rsidR="00855994" w:rsidRPr="00867F56">
        <w:rPr>
          <w:rFonts w:ascii="Times New Roman" w:hAnsi="Times New Roman"/>
          <w:sz w:val="24"/>
          <w:szCs w:val="24"/>
        </w:rPr>
        <w:t>allows</w:t>
      </w:r>
      <w:r w:rsidR="00F0627E" w:rsidRPr="00867F56">
        <w:rPr>
          <w:rFonts w:ascii="Times New Roman" w:hAnsi="Times New Roman"/>
          <w:sz w:val="24"/>
          <w:szCs w:val="24"/>
        </w:rPr>
        <w:t xml:space="preserve"> </w:t>
      </w:r>
      <w:r w:rsidRPr="00867F56">
        <w:rPr>
          <w:rFonts w:ascii="Times New Roman" w:hAnsi="Times New Roman"/>
          <w:sz w:val="24"/>
          <w:szCs w:val="24"/>
        </w:rPr>
        <w:t xml:space="preserve">eFiling for the FERC-500 and FERC-505 </w:t>
      </w:r>
      <w:r w:rsidR="003D33F0" w:rsidRPr="00867F56">
        <w:rPr>
          <w:rFonts w:ascii="Times New Roman" w:hAnsi="Times New Roman"/>
          <w:sz w:val="24"/>
          <w:szCs w:val="24"/>
        </w:rPr>
        <w:t>information collection requirements (</w:t>
      </w:r>
      <w:r w:rsidR="000F7994" w:rsidRPr="00867F56">
        <w:rPr>
          <w:rFonts w:ascii="Times New Roman" w:hAnsi="Times New Roman"/>
          <w:sz w:val="24"/>
          <w:szCs w:val="24"/>
        </w:rPr>
        <w:t>e.g</w:t>
      </w:r>
      <w:r w:rsidR="003D33F0" w:rsidRPr="00867F56">
        <w:rPr>
          <w:rFonts w:ascii="Times New Roman" w:hAnsi="Times New Roman"/>
          <w:sz w:val="24"/>
          <w:szCs w:val="24"/>
        </w:rPr>
        <w:t>.</w:t>
      </w:r>
      <w:r w:rsidR="000F7994" w:rsidRPr="00867F56">
        <w:rPr>
          <w:rFonts w:ascii="Times New Roman" w:hAnsi="Times New Roman"/>
          <w:sz w:val="24"/>
          <w:szCs w:val="24"/>
        </w:rPr>
        <w:t>,</w:t>
      </w:r>
      <w:r w:rsidR="003D33F0" w:rsidRPr="00867F56">
        <w:rPr>
          <w:rFonts w:ascii="Times New Roman" w:hAnsi="Times New Roman"/>
          <w:sz w:val="24"/>
          <w:szCs w:val="24"/>
        </w:rPr>
        <w:t xml:space="preserve"> </w:t>
      </w:r>
      <w:r w:rsidR="00F0627E" w:rsidRPr="00867F56">
        <w:rPr>
          <w:rFonts w:ascii="Times New Roman" w:hAnsi="Times New Roman"/>
          <w:sz w:val="24"/>
          <w:szCs w:val="24"/>
        </w:rPr>
        <w:t>application</w:t>
      </w:r>
      <w:r w:rsidR="00D66646" w:rsidRPr="00867F56">
        <w:rPr>
          <w:rFonts w:ascii="Times New Roman" w:hAnsi="Times New Roman"/>
          <w:sz w:val="24"/>
          <w:szCs w:val="24"/>
        </w:rPr>
        <w:t>s</w:t>
      </w:r>
      <w:r w:rsidR="003D33F0" w:rsidRPr="00867F56">
        <w:rPr>
          <w:rFonts w:ascii="Times New Roman" w:hAnsi="Times New Roman"/>
          <w:sz w:val="24"/>
          <w:szCs w:val="24"/>
        </w:rPr>
        <w:t>)</w:t>
      </w:r>
      <w:r w:rsidR="00F0627E" w:rsidRPr="00867F56">
        <w:rPr>
          <w:rFonts w:ascii="Times New Roman" w:hAnsi="Times New Roman"/>
          <w:sz w:val="24"/>
          <w:szCs w:val="24"/>
        </w:rPr>
        <w:t>.</w:t>
      </w:r>
      <w:r w:rsidRPr="00867F56">
        <w:rPr>
          <w:rFonts w:ascii="Times New Roman" w:hAnsi="Times New Roman"/>
          <w:sz w:val="24"/>
          <w:szCs w:val="24"/>
        </w:rPr>
        <w:t xml:space="preserve">  </w:t>
      </w:r>
      <w:r w:rsidR="00455370" w:rsidRPr="00867F56">
        <w:rPr>
          <w:rFonts w:ascii="Times New Roman" w:hAnsi="Times New Roman"/>
          <w:sz w:val="24"/>
          <w:szCs w:val="24"/>
        </w:rPr>
        <w:t>Applicants interested in pursuing the expe</w:t>
      </w:r>
      <w:r w:rsidR="00663C3C" w:rsidRPr="00867F56">
        <w:rPr>
          <w:rFonts w:ascii="Times New Roman" w:hAnsi="Times New Roman"/>
          <w:sz w:val="24"/>
          <w:szCs w:val="24"/>
        </w:rPr>
        <w:t xml:space="preserve">dited licensing process approved in the Final Rule </w:t>
      </w:r>
      <w:r w:rsidR="00455370" w:rsidRPr="00867F56">
        <w:rPr>
          <w:rFonts w:ascii="Times New Roman" w:hAnsi="Times New Roman"/>
          <w:sz w:val="24"/>
          <w:szCs w:val="24"/>
        </w:rPr>
        <w:t xml:space="preserve">may electronically file requests to use the expedited licensing process.   </w:t>
      </w:r>
      <w:r w:rsidRPr="00867F56">
        <w:rPr>
          <w:rFonts w:ascii="Times New Roman" w:hAnsi="Times New Roman"/>
          <w:sz w:val="24"/>
          <w:szCs w:val="24"/>
        </w:rPr>
        <w:t xml:space="preserve"> </w:t>
      </w:r>
    </w:p>
    <w:p w14:paraId="7A432269" w14:textId="77777777" w:rsidR="00F0627E" w:rsidRPr="00867F56" w:rsidRDefault="00F0627E" w:rsidP="00913164">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7C8C093B" w14:textId="77777777" w:rsidR="00F0627E" w:rsidRPr="00867F56" w:rsidRDefault="00F0627E" w:rsidP="00913164">
      <w:pPr>
        <w:spacing w:after="0" w:line="240" w:lineRule="auto"/>
        <w:ind w:left="360" w:hanging="360"/>
        <w:rPr>
          <w:rFonts w:ascii="Times New Roman" w:hAnsi="Times New Roman"/>
          <w:sz w:val="24"/>
          <w:szCs w:val="24"/>
        </w:rPr>
      </w:pPr>
    </w:p>
    <w:p w14:paraId="234B1CA3" w14:textId="77777777" w:rsidR="00494814" w:rsidRPr="00867F56" w:rsidRDefault="00107DA8" w:rsidP="007445A8">
      <w:pPr>
        <w:spacing w:after="0" w:line="240" w:lineRule="auto"/>
        <w:rPr>
          <w:rFonts w:ascii="Times New Roman" w:hAnsi="Times New Roman"/>
          <w:sz w:val="24"/>
          <w:szCs w:val="24"/>
        </w:rPr>
      </w:pPr>
      <w:r w:rsidRPr="00867F56">
        <w:rPr>
          <w:rFonts w:ascii="Times New Roman" w:hAnsi="Times New Roman"/>
          <w:sz w:val="24"/>
          <w:szCs w:val="24"/>
        </w:rPr>
        <w:t xml:space="preserve">The Commission periodically reviews filing requirements concurrent with OMB review or as the Commission deems necessary to eliminate duplicative filing and to minimize the filing burden.  </w:t>
      </w:r>
    </w:p>
    <w:p w14:paraId="13966AF7" w14:textId="77777777" w:rsidR="00494814" w:rsidRPr="00867F56" w:rsidRDefault="00494814" w:rsidP="007445A8">
      <w:pPr>
        <w:spacing w:after="0" w:line="240" w:lineRule="auto"/>
        <w:rPr>
          <w:rFonts w:ascii="Times New Roman" w:hAnsi="Times New Roman"/>
          <w:sz w:val="24"/>
          <w:szCs w:val="24"/>
        </w:rPr>
      </w:pPr>
    </w:p>
    <w:p w14:paraId="0C923FBA" w14:textId="77777777" w:rsidR="00F0627E" w:rsidRPr="00867F56" w:rsidRDefault="00F0627E" w:rsidP="007445A8">
      <w:pPr>
        <w:spacing w:after="0" w:line="240" w:lineRule="auto"/>
        <w:rPr>
          <w:rFonts w:ascii="Times New Roman" w:hAnsi="Times New Roman"/>
          <w:sz w:val="24"/>
          <w:szCs w:val="24"/>
        </w:rPr>
      </w:pPr>
      <w:r w:rsidRPr="00867F56">
        <w:rPr>
          <w:rFonts w:ascii="Times New Roman" w:hAnsi="Times New Roman"/>
          <w:sz w:val="24"/>
          <w:szCs w:val="24"/>
        </w:rPr>
        <w:t>No similar information is available</w:t>
      </w:r>
      <w:r w:rsidR="00494814" w:rsidRPr="00867F56">
        <w:rPr>
          <w:rFonts w:ascii="Times New Roman" w:hAnsi="Times New Roman"/>
          <w:sz w:val="24"/>
          <w:szCs w:val="24"/>
        </w:rPr>
        <w:t xml:space="preserve"> for the FERC-500 and FERC-505</w:t>
      </w:r>
      <w:r w:rsidRPr="00867F56">
        <w:rPr>
          <w:rFonts w:ascii="Times New Roman" w:hAnsi="Times New Roman"/>
          <w:sz w:val="24"/>
          <w:szCs w:val="24"/>
        </w:rPr>
        <w:t>; these are case-specific applications for a benefit (e.g., license or permit) and are unique to the applicant and the site for which the filing is made.</w:t>
      </w:r>
    </w:p>
    <w:p w14:paraId="61A38CAC" w14:textId="77777777" w:rsidR="00F0627E" w:rsidRPr="00867F56" w:rsidRDefault="00F0627E" w:rsidP="007445A8">
      <w:pPr>
        <w:spacing w:after="0" w:line="240" w:lineRule="auto"/>
        <w:rPr>
          <w:rFonts w:ascii="Times New Roman" w:hAnsi="Times New Roman"/>
          <w:sz w:val="24"/>
          <w:szCs w:val="24"/>
        </w:rPr>
      </w:pPr>
    </w:p>
    <w:p w14:paraId="5A5894F9" w14:textId="77777777" w:rsidR="00F0627E" w:rsidRPr="00867F56" w:rsidRDefault="00F0627E" w:rsidP="00913164">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METHODS USED TO MINIMIZE THE BURDEN IN COLLECTION OF INFORMATION INVOLVING SMALL ENTITIES</w:t>
      </w:r>
    </w:p>
    <w:p w14:paraId="13580347" w14:textId="77777777" w:rsidR="00F0627E" w:rsidRPr="00867F56" w:rsidRDefault="00F0627E" w:rsidP="007445A8">
      <w:pPr>
        <w:spacing w:after="0" w:line="240" w:lineRule="auto"/>
        <w:rPr>
          <w:rFonts w:ascii="Times New Roman" w:hAnsi="Times New Roman"/>
          <w:sz w:val="24"/>
          <w:szCs w:val="24"/>
        </w:rPr>
      </w:pPr>
    </w:p>
    <w:p w14:paraId="32828712" w14:textId="77777777" w:rsidR="003D33F0" w:rsidRPr="00867F56" w:rsidRDefault="003D33F0" w:rsidP="007445A8">
      <w:pPr>
        <w:spacing w:after="0" w:line="240" w:lineRule="auto"/>
        <w:rPr>
          <w:rFonts w:ascii="Times New Roman" w:hAnsi="Times New Roman"/>
          <w:b/>
          <w:sz w:val="24"/>
          <w:szCs w:val="24"/>
        </w:rPr>
      </w:pPr>
      <w:r w:rsidRPr="00867F56">
        <w:rPr>
          <w:rFonts w:ascii="Times New Roman" w:hAnsi="Times New Roman"/>
          <w:b/>
          <w:sz w:val="24"/>
          <w:szCs w:val="24"/>
        </w:rPr>
        <w:t>FERC-500</w:t>
      </w:r>
    </w:p>
    <w:p w14:paraId="548493EE" w14:textId="77777777" w:rsidR="00680C13" w:rsidRPr="00867F56" w:rsidRDefault="00680C13" w:rsidP="007445A8">
      <w:pPr>
        <w:spacing w:after="0" w:line="240" w:lineRule="auto"/>
        <w:rPr>
          <w:rFonts w:ascii="Times New Roman" w:hAnsi="Times New Roman"/>
          <w:sz w:val="24"/>
          <w:szCs w:val="24"/>
        </w:rPr>
      </w:pPr>
      <w:r w:rsidRPr="00867F56">
        <w:rPr>
          <w:rFonts w:ascii="Times New Roman" w:hAnsi="Times New Roman"/>
          <w:sz w:val="24"/>
          <w:szCs w:val="24"/>
        </w:rPr>
        <w:t xml:space="preserve">To reduce the burden on entities for certain smaller capacity, “major” projects, the Commission sets the reporting requirements for major projects with an installed capacity of </w:t>
      </w:r>
      <w:r w:rsidR="00B853F3" w:rsidRPr="00867F56">
        <w:rPr>
          <w:rFonts w:ascii="Times New Roman" w:hAnsi="Times New Roman"/>
          <w:sz w:val="24"/>
          <w:szCs w:val="24"/>
        </w:rPr>
        <w:t xml:space="preserve">5 </w:t>
      </w:r>
      <w:r w:rsidR="00D631E3" w:rsidRPr="00867F56">
        <w:rPr>
          <w:rFonts w:ascii="Times New Roman" w:hAnsi="Times New Roman"/>
          <w:sz w:val="24"/>
          <w:szCs w:val="24"/>
        </w:rPr>
        <w:t xml:space="preserve">MW </w:t>
      </w:r>
      <w:r w:rsidRPr="00867F56">
        <w:rPr>
          <w:rFonts w:ascii="Times New Roman" w:hAnsi="Times New Roman"/>
          <w:sz w:val="24"/>
          <w:szCs w:val="24"/>
        </w:rPr>
        <w:t xml:space="preserve">or less to be the same as for minor </w:t>
      </w:r>
      <w:r w:rsidR="000F7994" w:rsidRPr="00867F56">
        <w:rPr>
          <w:rFonts w:ascii="Times New Roman" w:hAnsi="Times New Roman"/>
          <w:sz w:val="24"/>
          <w:szCs w:val="24"/>
        </w:rPr>
        <w:t xml:space="preserve">projects </w:t>
      </w:r>
      <w:r w:rsidRPr="00867F56">
        <w:rPr>
          <w:rFonts w:ascii="Times New Roman" w:hAnsi="Times New Roman"/>
          <w:sz w:val="24"/>
          <w:szCs w:val="24"/>
        </w:rPr>
        <w:t xml:space="preserve">(i.e. projects with an installed capacity of 1.5 </w:t>
      </w:r>
      <w:r w:rsidR="0009171A" w:rsidRPr="00867F56">
        <w:rPr>
          <w:rFonts w:ascii="Times New Roman" w:hAnsi="Times New Roman"/>
          <w:sz w:val="24"/>
          <w:szCs w:val="24"/>
        </w:rPr>
        <w:t xml:space="preserve">MW </w:t>
      </w:r>
      <w:r w:rsidRPr="00867F56">
        <w:rPr>
          <w:rFonts w:ascii="Times New Roman" w:hAnsi="Times New Roman"/>
          <w:sz w:val="24"/>
          <w:szCs w:val="24"/>
        </w:rPr>
        <w:t xml:space="preserve">or less).  The Commission requires any license for a project that generates or proposes to generate more than </w:t>
      </w:r>
      <w:r w:rsidR="00B853F3" w:rsidRPr="00867F56">
        <w:rPr>
          <w:rFonts w:ascii="Times New Roman" w:hAnsi="Times New Roman"/>
          <w:sz w:val="24"/>
          <w:szCs w:val="24"/>
        </w:rPr>
        <w:t xml:space="preserve">5 </w:t>
      </w:r>
      <w:r w:rsidR="0009171A" w:rsidRPr="00867F56">
        <w:rPr>
          <w:rFonts w:ascii="Times New Roman" w:hAnsi="Times New Roman"/>
          <w:sz w:val="24"/>
          <w:szCs w:val="24"/>
        </w:rPr>
        <w:t xml:space="preserve">MW </w:t>
      </w:r>
      <w:r w:rsidRPr="00867F56">
        <w:rPr>
          <w:rFonts w:ascii="Times New Roman" w:hAnsi="Times New Roman"/>
          <w:sz w:val="24"/>
          <w:szCs w:val="24"/>
        </w:rPr>
        <w:t xml:space="preserve">of electricity to be covered by FERC-500 reporting requirements.  </w:t>
      </w:r>
    </w:p>
    <w:p w14:paraId="7D2BFBDB" w14:textId="77777777" w:rsidR="00680C13" w:rsidRPr="00867F56" w:rsidRDefault="00680C13" w:rsidP="007445A8">
      <w:pPr>
        <w:spacing w:after="0" w:line="240" w:lineRule="auto"/>
        <w:rPr>
          <w:rFonts w:ascii="Times New Roman" w:hAnsi="Times New Roman"/>
          <w:b/>
          <w:sz w:val="24"/>
          <w:szCs w:val="24"/>
        </w:rPr>
      </w:pPr>
    </w:p>
    <w:p w14:paraId="1B69FE11" w14:textId="77777777" w:rsidR="003D33F0" w:rsidRPr="00867F56" w:rsidRDefault="00680C13" w:rsidP="007445A8">
      <w:pPr>
        <w:spacing w:after="0" w:line="240" w:lineRule="auto"/>
        <w:rPr>
          <w:rFonts w:ascii="Times New Roman" w:hAnsi="Times New Roman"/>
          <w:b/>
          <w:sz w:val="24"/>
          <w:szCs w:val="24"/>
        </w:rPr>
      </w:pPr>
      <w:r w:rsidRPr="00867F56">
        <w:rPr>
          <w:rFonts w:ascii="Times New Roman" w:hAnsi="Times New Roman"/>
          <w:b/>
          <w:sz w:val="24"/>
          <w:szCs w:val="24"/>
        </w:rPr>
        <w:t>FERC-505</w:t>
      </w:r>
    </w:p>
    <w:p w14:paraId="4C448F3E" w14:textId="77777777" w:rsidR="00F0627E" w:rsidRPr="00867F56" w:rsidRDefault="00F0627E" w:rsidP="007445A8">
      <w:pPr>
        <w:spacing w:after="0" w:line="240" w:lineRule="auto"/>
        <w:rPr>
          <w:rFonts w:ascii="Times New Roman" w:hAnsi="Times New Roman"/>
          <w:sz w:val="24"/>
          <w:szCs w:val="24"/>
        </w:rPr>
      </w:pPr>
      <w:r w:rsidRPr="00867F56">
        <w:rPr>
          <w:rFonts w:ascii="Times New Roman" w:hAnsi="Times New Roman"/>
          <w:sz w:val="24"/>
          <w:szCs w:val="24"/>
        </w:rPr>
        <w:t xml:space="preserve">The FERC-505 reporting requirements are the basic filing requirements pertaining to all applications for a small hydropower project license/relicense, exemption, or determination of a qualifying conduit hydropower facility.  The Commission sets forth distinct filing requirements for small hydropower projects.  Small </w:t>
      </w:r>
      <w:r w:rsidR="00D951D7" w:rsidRPr="00867F56">
        <w:rPr>
          <w:rFonts w:ascii="Times New Roman" w:hAnsi="Times New Roman"/>
          <w:sz w:val="24"/>
          <w:szCs w:val="24"/>
        </w:rPr>
        <w:t>hydropower projects</w:t>
      </w:r>
      <w:r w:rsidRPr="00867F56">
        <w:rPr>
          <w:rFonts w:ascii="Times New Roman" w:hAnsi="Times New Roman"/>
          <w:sz w:val="24"/>
          <w:szCs w:val="24"/>
        </w:rPr>
        <w:t xml:space="preserve"> have streamlined filing requirements.  The Commission is able to expedite the process for small, low-impact hydropower projects in the following ways:</w:t>
      </w:r>
    </w:p>
    <w:p w14:paraId="7D3818C8" w14:textId="77777777" w:rsidR="00F0627E" w:rsidRPr="00867F56"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867F56">
        <w:rPr>
          <w:rFonts w:ascii="Times New Roman" w:eastAsia="Times New Roman" w:hAnsi="Times New Roman"/>
          <w:sz w:val="24"/>
          <w:szCs w:val="24"/>
        </w:rPr>
        <w:t>waive</w:t>
      </w:r>
      <w:r w:rsidR="0009171A" w:rsidRPr="00867F56">
        <w:rPr>
          <w:rFonts w:ascii="Times New Roman" w:eastAsia="Times New Roman" w:hAnsi="Times New Roman"/>
          <w:sz w:val="24"/>
          <w:szCs w:val="24"/>
        </w:rPr>
        <w:t>r of</w:t>
      </w:r>
      <w:r w:rsidRPr="00867F56">
        <w:rPr>
          <w:rFonts w:ascii="Times New Roman" w:eastAsia="Times New Roman" w:hAnsi="Times New Roman"/>
          <w:sz w:val="24"/>
          <w:szCs w:val="24"/>
        </w:rPr>
        <w:t xml:space="preserve"> some pre-filing consultation requirements (with resource agency cooperation); </w:t>
      </w:r>
    </w:p>
    <w:p w14:paraId="6C1BB9FF" w14:textId="77777777" w:rsidR="00F0627E" w:rsidRPr="00867F56" w:rsidRDefault="00515869"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867F56">
        <w:rPr>
          <w:rFonts w:ascii="Times New Roman" w:eastAsia="Times New Roman" w:hAnsi="Times New Roman"/>
          <w:sz w:val="24"/>
          <w:szCs w:val="24"/>
        </w:rPr>
        <w:t xml:space="preserve">concurrent </w:t>
      </w:r>
      <w:r w:rsidR="00F0627E" w:rsidRPr="00867F56">
        <w:rPr>
          <w:rFonts w:ascii="Times New Roman" w:eastAsia="Times New Roman" w:hAnsi="Times New Roman"/>
          <w:sz w:val="24"/>
          <w:szCs w:val="24"/>
        </w:rPr>
        <w:t xml:space="preserve">environmental scoping </w:t>
      </w:r>
      <w:r w:rsidRPr="00867F56">
        <w:rPr>
          <w:rFonts w:ascii="Times New Roman" w:eastAsia="Times New Roman" w:hAnsi="Times New Roman"/>
          <w:sz w:val="24"/>
          <w:szCs w:val="24"/>
        </w:rPr>
        <w:t xml:space="preserve">and </w:t>
      </w:r>
      <w:r w:rsidR="00F0627E" w:rsidRPr="00867F56">
        <w:rPr>
          <w:rFonts w:ascii="Times New Roman" w:eastAsia="Times New Roman" w:hAnsi="Times New Roman"/>
          <w:sz w:val="24"/>
          <w:szCs w:val="24"/>
        </w:rPr>
        <w:t xml:space="preserve">pre-filing consultation; </w:t>
      </w:r>
    </w:p>
    <w:p w14:paraId="7EBB69E3" w14:textId="77777777" w:rsidR="00F0627E" w:rsidRPr="00867F56" w:rsidRDefault="00515869"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867F56">
        <w:rPr>
          <w:rFonts w:ascii="Times New Roman" w:eastAsia="Times New Roman" w:hAnsi="Times New Roman"/>
          <w:sz w:val="24"/>
          <w:szCs w:val="24"/>
        </w:rPr>
        <w:t xml:space="preserve">streamlined </w:t>
      </w:r>
      <w:r w:rsidR="00F0627E" w:rsidRPr="00867F56">
        <w:rPr>
          <w:rFonts w:ascii="Times New Roman" w:eastAsia="Times New Roman" w:hAnsi="Times New Roman"/>
          <w:sz w:val="24"/>
          <w:szCs w:val="24"/>
        </w:rPr>
        <w:t xml:space="preserve">public </w:t>
      </w:r>
      <w:r w:rsidRPr="00867F56">
        <w:rPr>
          <w:rFonts w:ascii="Times New Roman" w:eastAsia="Times New Roman" w:hAnsi="Times New Roman"/>
          <w:sz w:val="24"/>
          <w:szCs w:val="24"/>
        </w:rPr>
        <w:t xml:space="preserve">notice </w:t>
      </w:r>
      <w:r w:rsidR="00F0627E" w:rsidRPr="00867F56">
        <w:rPr>
          <w:rFonts w:ascii="Times New Roman" w:eastAsia="Times New Roman" w:hAnsi="Times New Roman"/>
          <w:sz w:val="24"/>
          <w:szCs w:val="24"/>
        </w:rPr>
        <w:t xml:space="preserve">requirements; </w:t>
      </w:r>
    </w:p>
    <w:p w14:paraId="76DA2C36" w14:textId="77777777" w:rsidR="00F0627E" w:rsidRPr="00867F56"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867F56">
        <w:rPr>
          <w:rFonts w:ascii="Times New Roman" w:eastAsia="Times New Roman" w:hAnsi="Times New Roman"/>
          <w:sz w:val="24"/>
          <w:szCs w:val="24"/>
        </w:rPr>
        <w:t>shorten</w:t>
      </w:r>
      <w:r w:rsidR="0009171A" w:rsidRPr="00867F56">
        <w:rPr>
          <w:rFonts w:ascii="Times New Roman" w:eastAsia="Times New Roman" w:hAnsi="Times New Roman"/>
          <w:sz w:val="24"/>
          <w:szCs w:val="24"/>
        </w:rPr>
        <w:t>ed</w:t>
      </w:r>
      <w:r w:rsidRPr="00867F56">
        <w:rPr>
          <w:rFonts w:ascii="Times New Roman" w:eastAsia="Times New Roman" w:hAnsi="Times New Roman"/>
          <w:sz w:val="24"/>
          <w:szCs w:val="24"/>
        </w:rPr>
        <w:t xml:space="preserve"> comment periods; </w:t>
      </w:r>
    </w:p>
    <w:p w14:paraId="2ADF1279" w14:textId="77777777" w:rsidR="00F0627E" w:rsidRPr="00867F56"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867F56">
        <w:rPr>
          <w:rFonts w:ascii="Times New Roman" w:eastAsia="Times New Roman" w:hAnsi="Times New Roman"/>
          <w:sz w:val="24"/>
          <w:szCs w:val="24"/>
        </w:rPr>
        <w:t>coordinat</w:t>
      </w:r>
      <w:r w:rsidR="0009171A" w:rsidRPr="00867F56">
        <w:rPr>
          <w:rFonts w:ascii="Times New Roman" w:eastAsia="Times New Roman" w:hAnsi="Times New Roman"/>
          <w:sz w:val="24"/>
          <w:szCs w:val="24"/>
        </w:rPr>
        <w:t>ion</w:t>
      </w:r>
      <w:r w:rsidRPr="00867F56">
        <w:rPr>
          <w:rFonts w:ascii="Times New Roman" w:eastAsia="Times New Roman" w:hAnsi="Times New Roman"/>
          <w:sz w:val="24"/>
          <w:szCs w:val="24"/>
        </w:rPr>
        <w:t xml:space="preserve"> with resource agencies to obtain their final terms and conditions before</w:t>
      </w:r>
      <w:r w:rsidR="0009171A" w:rsidRPr="00867F56">
        <w:rPr>
          <w:rFonts w:ascii="Times New Roman" w:eastAsia="Times New Roman" w:hAnsi="Times New Roman"/>
          <w:sz w:val="24"/>
          <w:szCs w:val="24"/>
        </w:rPr>
        <w:t xml:space="preserve"> Commission staff issues</w:t>
      </w:r>
      <w:r w:rsidRPr="00867F56">
        <w:rPr>
          <w:rFonts w:ascii="Times New Roman" w:eastAsia="Times New Roman" w:hAnsi="Times New Roman"/>
          <w:sz w:val="24"/>
          <w:szCs w:val="24"/>
        </w:rPr>
        <w:t xml:space="preserve"> an environmental assessment, instead of the customary preliminary and final versions; </w:t>
      </w:r>
    </w:p>
    <w:p w14:paraId="4AD4735D" w14:textId="77777777" w:rsidR="00F0627E" w:rsidRPr="00867F56"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867F56">
        <w:rPr>
          <w:rFonts w:ascii="Times New Roman" w:eastAsia="Times New Roman" w:hAnsi="Times New Roman"/>
          <w:sz w:val="24"/>
          <w:szCs w:val="24"/>
        </w:rPr>
        <w:t xml:space="preserve">use </w:t>
      </w:r>
      <w:r w:rsidR="00134224" w:rsidRPr="00867F56">
        <w:rPr>
          <w:rFonts w:ascii="Times New Roman" w:eastAsia="Times New Roman" w:hAnsi="Times New Roman"/>
          <w:sz w:val="24"/>
          <w:szCs w:val="24"/>
        </w:rPr>
        <w:t xml:space="preserve">of </w:t>
      </w:r>
      <w:r w:rsidRPr="00867F56">
        <w:rPr>
          <w:rFonts w:ascii="Times New Roman" w:eastAsia="Times New Roman" w:hAnsi="Times New Roman"/>
          <w:sz w:val="24"/>
          <w:szCs w:val="24"/>
        </w:rPr>
        <w:t>a single environmental document (</w:t>
      </w:r>
      <w:r w:rsidR="00084A7F" w:rsidRPr="00867F56">
        <w:rPr>
          <w:rFonts w:ascii="Times New Roman" w:eastAsia="Times New Roman" w:hAnsi="Times New Roman"/>
          <w:sz w:val="24"/>
          <w:szCs w:val="24"/>
        </w:rPr>
        <w:t xml:space="preserve">as </w:t>
      </w:r>
      <w:r w:rsidRPr="00867F56">
        <w:rPr>
          <w:rFonts w:ascii="Times New Roman" w:eastAsia="Times New Roman" w:hAnsi="Times New Roman"/>
          <w:sz w:val="24"/>
          <w:szCs w:val="24"/>
        </w:rPr>
        <w:t xml:space="preserve">opposed to using draft and final documents); and </w:t>
      </w:r>
    </w:p>
    <w:p w14:paraId="535A9498" w14:textId="77777777" w:rsidR="00F0627E" w:rsidRPr="00867F56"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867F56">
        <w:rPr>
          <w:rFonts w:ascii="Times New Roman" w:eastAsia="Times New Roman" w:hAnsi="Times New Roman"/>
          <w:sz w:val="24"/>
          <w:szCs w:val="24"/>
        </w:rPr>
        <w:t>issu</w:t>
      </w:r>
      <w:r w:rsidR="0009171A" w:rsidRPr="00867F56">
        <w:rPr>
          <w:rFonts w:ascii="Times New Roman" w:eastAsia="Times New Roman" w:hAnsi="Times New Roman"/>
          <w:sz w:val="24"/>
          <w:szCs w:val="24"/>
        </w:rPr>
        <w:t>ance of</w:t>
      </w:r>
      <w:r w:rsidRPr="00867F56">
        <w:rPr>
          <w:rFonts w:ascii="Times New Roman" w:eastAsia="Times New Roman" w:hAnsi="Times New Roman"/>
          <w:sz w:val="24"/>
          <w:szCs w:val="24"/>
        </w:rPr>
        <w:t xml:space="preserve"> the order on the same day as the environmental assessment.</w:t>
      </w:r>
    </w:p>
    <w:p w14:paraId="550374F1" w14:textId="77777777" w:rsidR="00F0627E" w:rsidRPr="00867F56" w:rsidRDefault="00F0627E" w:rsidP="00680C13">
      <w:pPr>
        <w:spacing w:before="100" w:beforeAutospacing="1" w:after="0" w:line="240" w:lineRule="auto"/>
        <w:rPr>
          <w:rFonts w:ascii="Times New Roman" w:eastAsia="Times New Roman" w:hAnsi="Times New Roman"/>
          <w:sz w:val="24"/>
          <w:szCs w:val="24"/>
        </w:rPr>
      </w:pPr>
      <w:r w:rsidRPr="00867F56">
        <w:rPr>
          <w:rFonts w:ascii="Times New Roman" w:eastAsia="Times New Roman" w:hAnsi="Times New Roman"/>
          <w:sz w:val="24"/>
          <w:szCs w:val="24"/>
        </w:rPr>
        <w:t xml:space="preserve">In addition, the Commission reduces the reporting requirements for the duration of small, low-impact hydropower projects.  Exemptions are granted in perpetuity, and qualifying conduit hydropower facilities may operate without Commission oversight. </w:t>
      </w:r>
    </w:p>
    <w:p w14:paraId="00AA26B5" w14:textId="77777777" w:rsidR="00680C13" w:rsidRPr="00867F56" w:rsidRDefault="00680C13" w:rsidP="00680C13">
      <w:pPr>
        <w:spacing w:after="0" w:line="240" w:lineRule="auto"/>
        <w:rPr>
          <w:rFonts w:ascii="Times New Roman" w:eastAsia="Times New Roman" w:hAnsi="Times New Roman"/>
          <w:sz w:val="24"/>
          <w:szCs w:val="24"/>
        </w:rPr>
      </w:pPr>
    </w:p>
    <w:p w14:paraId="1A9BA979" w14:textId="77777777" w:rsidR="00F0627E" w:rsidRPr="00867F56" w:rsidRDefault="00F0627E" w:rsidP="00913164">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CONSEQUENCE TO FEDERAL PROGRAM IF COLLECTION WERE CONDUCTED LESS FREQUENTLY</w:t>
      </w:r>
    </w:p>
    <w:p w14:paraId="60C157E1" w14:textId="77777777" w:rsidR="00F0627E" w:rsidRPr="00867F56" w:rsidRDefault="00F0627E" w:rsidP="007445A8">
      <w:pPr>
        <w:spacing w:after="0" w:line="240" w:lineRule="auto"/>
        <w:rPr>
          <w:rFonts w:ascii="Times New Roman" w:hAnsi="Times New Roman"/>
          <w:sz w:val="24"/>
          <w:szCs w:val="24"/>
        </w:rPr>
      </w:pPr>
    </w:p>
    <w:p w14:paraId="74553EAB" w14:textId="77777777" w:rsidR="003D33F0" w:rsidRPr="00867F56" w:rsidRDefault="008C00AE" w:rsidP="007445A8">
      <w:pPr>
        <w:spacing w:after="0" w:line="240" w:lineRule="auto"/>
        <w:rPr>
          <w:rFonts w:ascii="Times New Roman" w:hAnsi="Times New Roman"/>
          <w:b/>
          <w:sz w:val="24"/>
          <w:szCs w:val="24"/>
        </w:rPr>
      </w:pPr>
      <w:r w:rsidRPr="00867F56">
        <w:rPr>
          <w:rFonts w:ascii="Times New Roman" w:hAnsi="Times New Roman"/>
          <w:b/>
          <w:sz w:val="24"/>
          <w:szCs w:val="24"/>
        </w:rPr>
        <w:t>FERC-500 and FERC-505</w:t>
      </w:r>
    </w:p>
    <w:p w14:paraId="05522C3F" w14:textId="77777777" w:rsidR="00F0627E" w:rsidRPr="00867F56" w:rsidRDefault="00F5582E" w:rsidP="007445A8">
      <w:pPr>
        <w:spacing w:after="0" w:line="240" w:lineRule="auto"/>
        <w:rPr>
          <w:rFonts w:ascii="Times New Roman" w:hAnsi="Times New Roman"/>
          <w:sz w:val="24"/>
          <w:szCs w:val="24"/>
        </w:rPr>
      </w:pPr>
      <w:r w:rsidRPr="00867F56">
        <w:rPr>
          <w:rFonts w:ascii="Times New Roman" w:hAnsi="Times New Roman"/>
          <w:sz w:val="24"/>
          <w:szCs w:val="24"/>
        </w:rPr>
        <w:t>Under the existing information collection requirements under FERC-500 and FERC-505, i</w:t>
      </w:r>
      <w:r w:rsidR="0029756D" w:rsidRPr="00867F56">
        <w:rPr>
          <w:rFonts w:ascii="Times New Roman" w:hAnsi="Times New Roman"/>
          <w:sz w:val="24"/>
          <w:szCs w:val="24"/>
        </w:rPr>
        <w:t xml:space="preserve">f the information were not collected, the Commission would not be able to fulfill the requirements of the FPA in ensuring that a project proposal is economically and technically sound (to include requirements to improve and develop waterways).  Additionally, the Commission would be unable to ensure environmental concerns were being properly documented and mitigated during approval of any application.  </w:t>
      </w:r>
      <w:r w:rsidR="00663C3C" w:rsidRPr="00867F56">
        <w:rPr>
          <w:rFonts w:ascii="Times New Roman" w:hAnsi="Times New Roman"/>
          <w:sz w:val="24"/>
          <w:szCs w:val="24"/>
        </w:rPr>
        <w:t>The Final Rule</w:t>
      </w:r>
      <w:r w:rsidR="00C414D4" w:rsidRPr="00867F56">
        <w:rPr>
          <w:rFonts w:ascii="Times New Roman" w:hAnsi="Times New Roman"/>
          <w:sz w:val="24"/>
          <w:szCs w:val="24"/>
        </w:rPr>
        <w:t xml:space="preserve"> </w:t>
      </w:r>
      <w:r w:rsidRPr="00867F56">
        <w:rPr>
          <w:rFonts w:ascii="Times New Roman" w:hAnsi="Times New Roman"/>
          <w:sz w:val="24"/>
          <w:szCs w:val="24"/>
        </w:rPr>
        <w:t xml:space="preserve">in RM19-6-000 </w:t>
      </w:r>
      <w:r w:rsidR="00C414D4" w:rsidRPr="00867F56">
        <w:rPr>
          <w:rFonts w:ascii="Times New Roman" w:hAnsi="Times New Roman"/>
          <w:sz w:val="24"/>
          <w:szCs w:val="24"/>
        </w:rPr>
        <w:t xml:space="preserve">offers developers interested in obtaining a license to construct and operate a project at an eligible existing nonpowered dam or a closed-loop pumped storage project the option to participate in an expedited licensing process.  </w:t>
      </w:r>
      <w:r w:rsidR="00A62730" w:rsidRPr="00867F56">
        <w:rPr>
          <w:rFonts w:ascii="Times New Roman" w:hAnsi="Times New Roman"/>
          <w:sz w:val="24"/>
          <w:szCs w:val="24"/>
        </w:rPr>
        <w:t>Under the expedited licensing process, t</w:t>
      </w:r>
      <w:r w:rsidRPr="00867F56">
        <w:rPr>
          <w:rFonts w:ascii="Times New Roman" w:hAnsi="Times New Roman"/>
          <w:sz w:val="24"/>
          <w:szCs w:val="24"/>
        </w:rPr>
        <w:t>hey would need to comply with the existing information collection requirements</w:t>
      </w:r>
      <w:r w:rsidR="00A62730" w:rsidRPr="00867F56">
        <w:rPr>
          <w:rFonts w:ascii="Times New Roman" w:hAnsi="Times New Roman"/>
          <w:sz w:val="24"/>
          <w:szCs w:val="24"/>
        </w:rPr>
        <w:t xml:space="preserve"> under FERC-500 and FERC-505, some of which would be filed earlier under the expedited process</w:t>
      </w:r>
      <w:r w:rsidRPr="00867F56">
        <w:rPr>
          <w:rFonts w:ascii="Times New Roman" w:hAnsi="Times New Roman"/>
          <w:sz w:val="24"/>
          <w:szCs w:val="24"/>
        </w:rPr>
        <w:t xml:space="preserve">, </w:t>
      </w:r>
      <w:r w:rsidR="00A62730" w:rsidRPr="00867F56">
        <w:rPr>
          <w:rFonts w:ascii="Times New Roman" w:hAnsi="Times New Roman"/>
          <w:sz w:val="24"/>
          <w:szCs w:val="24"/>
        </w:rPr>
        <w:t>and in addition,</w:t>
      </w:r>
      <w:r w:rsidRPr="00867F56">
        <w:rPr>
          <w:rFonts w:ascii="Times New Roman" w:hAnsi="Times New Roman"/>
          <w:sz w:val="24"/>
          <w:szCs w:val="24"/>
        </w:rPr>
        <w:t xml:space="preserve"> submit </w:t>
      </w:r>
      <w:r w:rsidR="00A62730" w:rsidRPr="00867F56">
        <w:rPr>
          <w:rFonts w:ascii="Times New Roman" w:hAnsi="Times New Roman"/>
          <w:sz w:val="24"/>
          <w:szCs w:val="24"/>
        </w:rPr>
        <w:t>a</w:t>
      </w:r>
      <w:r w:rsidRPr="00867F56">
        <w:rPr>
          <w:rFonts w:ascii="Times New Roman" w:hAnsi="Times New Roman"/>
          <w:sz w:val="24"/>
          <w:szCs w:val="24"/>
        </w:rPr>
        <w:t xml:space="preserve"> request to use the expedited process</w:t>
      </w:r>
      <w:r w:rsidR="00A62730" w:rsidRPr="00867F56">
        <w:rPr>
          <w:rFonts w:ascii="Times New Roman" w:hAnsi="Times New Roman"/>
          <w:sz w:val="24"/>
          <w:szCs w:val="24"/>
        </w:rPr>
        <w:t xml:space="preserve"> which would constitute a new information collection requirement</w:t>
      </w:r>
      <w:r w:rsidRPr="00867F56">
        <w:rPr>
          <w:rFonts w:ascii="Times New Roman" w:hAnsi="Times New Roman"/>
          <w:sz w:val="24"/>
          <w:szCs w:val="24"/>
        </w:rPr>
        <w:t xml:space="preserve">.  </w:t>
      </w:r>
      <w:r w:rsidR="00C414D4" w:rsidRPr="00867F56">
        <w:rPr>
          <w:rFonts w:ascii="Times New Roman" w:hAnsi="Times New Roman"/>
          <w:sz w:val="24"/>
          <w:szCs w:val="24"/>
        </w:rPr>
        <w:t xml:space="preserve">If an interested applicant </w:t>
      </w:r>
      <w:r w:rsidR="00A62730" w:rsidRPr="00867F56">
        <w:rPr>
          <w:rFonts w:ascii="Times New Roman" w:hAnsi="Times New Roman"/>
          <w:sz w:val="24"/>
          <w:szCs w:val="24"/>
        </w:rPr>
        <w:t>chooses to not request</w:t>
      </w:r>
      <w:r w:rsidR="00C414D4" w:rsidRPr="00867F56">
        <w:rPr>
          <w:rFonts w:ascii="Times New Roman" w:hAnsi="Times New Roman"/>
          <w:sz w:val="24"/>
          <w:szCs w:val="24"/>
        </w:rPr>
        <w:t xml:space="preserve"> to use the expedited process, then the Commission would review the application under </w:t>
      </w:r>
      <w:r w:rsidR="005272E1" w:rsidRPr="00867F56">
        <w:rPr>
          <w:rFonts w:ascii="Times New Roman" w:hAnsi="Times New Roman"/>
          <w:sz w:val="24"/>
          <w:szCs w:val="24"/>
        </w:rPr>
        <w:t xml:space="preserve">one of </w:t>
      </w:r>
      <w:r w:rsidR="00C414D4" w:rsidRPr="00867F56">
        <w:rPr>
          <w:rFonts w:ascii="Times New Roman" w:hAnsi="Times New Roman"/>
          <w:sz w:val="24"/>
          <w:szCs w:val="24"/>
        </w:rPr>
        <w:t>the Commission’s existing licensing process</w:t>
      </w:r>
      <w:r w:rsidR="005272E1" w:rsidRPr="00867F56">
        <w:rPr>
          <w:rFonts w:ascii="Times New Roman" w:hAnsi="Times New Roman"/>
          <w:sz w:val="24"/>
          <w:szCs w:val="24"/>
        </w:rPr>
        <w:t>es</w:t>
      </w:r>
      <w:r w:rsidR="00A62730" w:rsidRPr="00867F56">
        <w:rPr>
          <w:rFonts w:ascii="Times New Roman" w:hAnsi="Times New Roman"/>
          <w:sz w:val="24"/>
          <w:szCs w:val="24"/>
        </w:rPr>
        <w:t>, and consequently, there would be no change to the existing collection requirements in that instance</w:t>
      </w:r>
      <w:r w:rsidR="00C414D4" w:rsidRPr="00867F56">
        <w:rPr>
          <w:rFonts w:ascii="Times New Roman" w:hAnsi="Times New Roman"/>
          <w:sz w:val="24"/>
          <w:szCs w:val="24"/>
        </w:rPr>
        <w:t>.</w:t>
      </w:r>
      <w:r w:rsidR="00EE00C5" w:rsidRPr="00867F56">
        <w:rPr>
          <w:rFonts w:ascii="Times New Roman" w:hAnsi="Times New Roman"/>
          <w:sz w:val="24"/>
          <w:szCs w:val="24"/>
        </w:rPr>
        <w:t xml:space="preserve"> </w:t>
      </w:r>
    </w:p>
    <w:p w14:paraId="3C7825C2" w14:textId="77777777" w:rsidR="00F0627E" w:rsidRPr="00867F56" w:rsidRDefault="00F0627E" w:rsidP="007445A8">
      <w:pPr>
        <w:spacing w:after="0" w:line="240" w:lineRule="auto"/>
        <w:rPr>
          <w:rFonts w:ascii="Times New Roman" w:hAnsi="Times New Roman"/>
          <w:sz w:val="24"/>
          <w:szCs w:val="24"/>
        </w:rPr>
      </w:pPr>
    </w:p>
    <w:p w14:paraId="684D5825" w14:textId="77777777" w:rsidR="00F0627E" w:rsidRPr="00867F56" w:rsidRDefault="00F0627E" w:rsidP="00913164">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EXPLAIN ANY SPECIAL CIRCUMSTANCES RELATING TO THE INFORMATION COLLECTION</w:t>
      </w:r>
    </w:p>
    <w:p w14:paraId="7A3B6705" w14:textId="77777777" w:rsidR="00F0627E" w:rsidRPr="00867F56" w:rsidRDefault="00F0627E" w:rsidP="007445A8">
      <w:pPr>
        <w:spacing w:after="0" w:line="240" w:lineRule="auto"/>
        <w:rPr>
          <w:rFonts w:ascii="Times New Roman" w:hAnsi="Times New Roman"/>
          <w:sz w:val="24"/>
          <w:szCs w:val="24"/>
        </w:rPr>
      </w:pPr>
    </w:p>
    <w:p w14:paraId="53EC1404" w14:textId="77777777" w:rsidR="00F0627E" w:rsidRPr="00867F56" w:rsidRDefault="00F0627E" w:rsidP="007445A8">
      <w:pPr>
        <w:spacing w:after="0" w:line="240" w:lineRule="auto"/>
        <w:rPr>
          <w:rFonts w:ascii="Times New Roman" w:hAnsi="Times New Roman"/>
          <w:b/>
          <w:sz w:val="24"/>
          <w:szCs w:val="24"/>
        </w:rPr>
      </w:pPr>
      <w:r w:rsidRPr="00867F56">
        <w:rPr>
          <w:rFonts w:ascii="Times New Roman" w:hAnsi="Times New Roman"/>
          <w:sz w:val="24"/>
          <w:szCs w:val="24"/>
        </w:rPr>
        <w:t>There are no speci</w:t>
      </w:r>
      <w:r w:rsidR="00EF66F1" w:rsidRPr="00867F56">
        <w:rPr>
          <w:rFonts w:ascii="Times New Roman" w:hAnsi="Times New Roman"/>
          <w:sz w:val="24"/>
          <w:szCs w:val="24"/>
        </w:rPr>
        <w:t>al circumstances related to these</w:t>
      </w:r>
      <w:r w:rsidRPr="00867F56">
        <w:rPr>
          <w:rFonts w:ascii="Times New Roman" w:hAnsi="Times New Roman"/>
          <w:sz w:val="24"/>
          <w:szCs w:val="24"/>
        </w:rPr>
        <w:t xml:space="preserve"> information collection</w:t>
      </w:r>
      <w:r w:rsidR="00EF66F1" w:rsidRPr="00867F56">
        <w:rPr>
          <w:rFonts w:ascii="Times New Roman" w:hAnsi="Times New Roman"/>
          <w:sz w:val="24"/>
          <w:szCs w:val="24"/>
        </w:rPr>
        <w:t>s</w:t>
      </w:r>
      <w:r w:rsidRPr="00867F56">
        <w:rPr>
          <w:rFonts w:ascii="Times New Roman" w:hAnsi="Times New Roman"/>
          <w:sz w:val="24"/>
          <w:szCs w:val="24"/>
        </w:rPr>
        <w:t>.</w:t>
      </w:r>
    </w:p>
    <w:p w14:paraId="22C8B832" w14:textId="77777777" w:rsidR="00F0627E" w:rsidRPr="00867F56" w:rsidRDefault="00F0627E" w:rsidP="00913164">
      <w:pPr>
        <w:spacing w:after="0" w:line="240" w:lineRule="auto"/>
        <w:ind w:left="360" w:hanging="360"/>
        <w:rPr>
          <w:rFonts w:ascii="Times New Roman" w:hAnsi="Times New Roman"/>
          <w:sz w:val="24"/>
          <w:szCs w:val="24"/>
        </w:rPr>
      </w:pPr>
    </w:p>
    <w:p w14:paraId="094F085F" w14:textId="77777777" w:rsidR="00F0627E" w:rsidRPr="00867F56" w:rsidRDefault="00F0627E" w:rsidP="00913164">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DESCRIBE EFFORTS TO CONSULT OUTSIDE THE AGENCY: SUMMARIZE PUBLIC COMMENTS AND THE AGENCY’S RESPONSE</w:t>
      </w:r>
    </w:p>
    <w:p w14:paraId="3800CC73" w14:textId="77777777" w:rsidR="00F0627E" w:rsidRPr="00867F56" w:rsidRDefault="00F0627E" w:rsidP="007445A8">
      <w:pPr>
        <w:spacing w:after="0" w:line="240" w:lineRule="auto"/>
        <w:rPr>
          <w:rFonts w:ascii="Times New Roman" w:hAnsi="Times New Roman"/>
          <w:sz w:val="24"/>
          <w:szCs w:val="24"/>
        </w:rPr>
      </w:pPr>
    </w:p>
    <w:p w14:paraId="11B02A80" w14:textId="77777777" w:rsidR="004C3208" w:rsidRPr="00867F56" w:rsidRDefault="00913164" w:rsidP="00913164">
      <w:pPr>
        <w:pStyle w:val="ListParagraph"/>
        <w:spacing w:after="0" w:line="240" w:lineRule="auto"/>
        <w:ind w:left="0"/>
        <w:rPr>
          <w:rFonts w:ascii="Times New Roman" w:hAnsi="Times New Roman"/>
          <w:sz w:val="24"/>
          <w:szCs w:val="24"/>
        </w:rPr>
      </w:pPr>
      <w:r w:rsidRPr="00867F56">
        <w:rPr>
          <w:rFonts w:ascii="Times New Roman" w:hAnsi="Times New Roman"/>
          <w:sz w:val="24"/>
          <w:szCs w:val="24"/>
        </w:rPr>
        <w:t xml:space="preserve">Each FERC rulemaking (both proposed and final rules) is published in the </w:t>
      </w:r>
      <w:r w:rsidRPr="00867F56">
        <w:rPr>
          <w:rFonts w:ascii="Times New Roman" w:hAnsi="Times New Roman"/>
          <w:i/>
          <w:sz w:val="24"/>
          <w:szCs w:val="24"/>
        </w:rPr>
        <w:t>Federal Register</w:t>
      </w:r>
      <w:r w:rsidR="0048719A" w:rsidRPr="00867F56">
        <w:rPr>
          <w:rFonts w:ascii="Times New Roman" w:hAnsi="Times New Roman"/>
          <w:sz w:val="24"/>
          <w:szCs w:val="24"/>
        </w:rPr>
        <w:t>,</w:t>
      </w:r>
      <w:r w:rsidRPr="00867F56">
        <w:rPr>
          <w:rFonts w:ascii="Times New Roman" w:hAnsi="Times New Roman"/>
          <w:sz w:val="24"/>
          <w:szCs w:val="24"/>
        </w:rPr>
        <w:t xml:space="preserve"> thereby providing </w:t>
      </w:r>
      <w:r w:rsidR="0048719A" w:rsidRPr="00867F56">
        <w:rPr>
          <w:rFonts w:ascii="Times New Roman" w:hAnsi="Times New Roman"/>
          <w:sz w:val="24"/>
          <w:szCs w:val="24"/>
        </w:rPr>
        <w:t xml:space="preserve">the public, including </w:t>
      </w:r>
      <w:r w:rsidRPr="00867F56">
        <w:rPr>
          <w:rFonts w:ascii="Times New Roman" w:hAnsi="Times New Roman"/>
          <w:sz w:val="24"/>
          <w:szCs w:val="24"/>
        </w:rPr>
        <w:t xml:space="preserve">public utilities and licensees, state commissions, </w:t>
      </w:r>
      <w:r w:rsidR="0048719A" w:rsidRPr="00867F56">
        <w:rPr>
          <w:rFonts w:ascii="Times New Roman" w:hAnsi="Times New Roman"/>
          <w:sz w:val="24"/>
          <w:szCs w:val="24"/>
        </w:rPr>
        <w:t xml:space="preserve">and </w:t>
      </w:r>
      <w:r w:rsidRPr="00867F56">
        <w:rPr>
          <w:rFonts w:ascii="Times New Roman" w:hAnsi="Times New Roman"/>
          <w:sz w:val="24"/>
          <w:szCs w:val="24"/>
        </w:rPr>
        <w:t>Federal agencies</w:t>
      </w:r>
      <w:r w:rsidR="0048719A" w:rsidRPr="00867F56">
        <w:rPr>
          <w:rFonts w:ascii="Times New Roman" w:hAnsi="Times New Roman"/>
          <w:sz w:val="24"/>
          <w:szCs w:val="24"/>
        </w:rPr>
        <w:t>,</w:t>
      </w:r>
      <w:r w:rsidRPr="00867F56">
        <w:rPr>
          <w:rFonts w:ascii="Times New Roman" w:hAnsi="Times New Roman"/>
          <w:sz w:val="24"/>
          <w:szCs w:val="24"/>
        </w:rPr>
        <w:t xml:space="preserve"> an opportunity to submit data, views, comments or suggestions concerning the proposed collections of data.</w:t>
      </w:r>
      <w:r w:rsidR="00391450" w:rsidRPr="00867F56">
        <w:rPr>
          <w:rFonts w:ascii="Times New Roman" w:hAnsi="Times New Roman"/>
          <w:sz w:val="24"/>
          <w:szCs w:val="24"/>
        </w:rPr>
        <w:t xml:space="preserve">  In addition, prior to issuing the NOPR, the Commission issued a notice inviting federal agencies, state agencies, and Indian tribes to participate in an interagency task force to coordinate the regulatory processes associated with the authorizations required to construct and operate qualifying facilities at nonpowered dams and closed-loop pumped storage projects.  Twenty-eight federal agencies, state agencies, and Indian tribes participated.  </w:t>
      </w:r>
      <w:r w:rsidR="00EF66F1" w:rsidRPr="00867F56">
        <w:rPr>
          <w:rFonts w:ascii="Times New Roman" w:hAnsi="Times New Roman"/>
          <w:sz w:val="24"/>
          <w:szCs w:val="24"/>
        </w:rPr>
        <w:t xml:space="preserve">The </w:t>
      </w:r>
      <w:r w:rsidR="0048719A" w:rsidRPr="00867F56">
        <w:rPr>
          <w:rFonts w:ascii="Times New Roman" w:hAnsi="Times New Roman"/>
          <w:sz w:val="24"/>
          <w:szCs w:val="24"/>
        </w:rPr>
        <w:t>NOP</w:t>
      </w:r>
      <w:r w:rsidR="00EF66F1" w:rsidRPr="00867F56">
        <w:rPr>
          <w:rFonts w:ascii="Times New Roman" w:hAnsi="Times New Roman"/>
          <w:sz w:val="24"/>
          <w:szCs w:val="24"/>
        </w:rPr>
        <w:t>R</w:t>
      </w:r>
      <w:r w:rsidR="006128B2" w:rsidRPr="00867F56">
        <w:rPr>
          <w:rFonts w:ascii="Times New Roman" w:hAnsi="Times New Roman"/>
          <w:sz w:val="24"/>
          <w:szCs w:val="24"/>
        </w:rPr>
        <w:t xml:space="preserve"> </w:t>
      </w:r>
      <w:r w:rsidR="009F79B7" w:rsidRPr="00867F56">
        <w:rPr>
          <w:rFonts w:ascii="Times New Roman" w:hAnsi="Times New Roman"/>
          <w:sz w:val="24"/>
          <w:szCs w:val="24"/>
        </w:rPr>
        <w:t xml:space="preserve">(issued </w:t>
      </w:r>
      <w:r w:rsidR="0048719A" w:rsidRPr="00867F56">
        <w:rPr>
          <w:rFonts w:ascii="Times New Roman" w:hAnsi="Times New Roman"/>
          <w:sz w:val="24"/>
          <w:szCs w:val="24"/>
        </w:rPr>
        <w:t>January 31</w:t>
      </w:r>
      <w:r w:rsidR="00752770" w:rsidRPr="00867F56">
        <w:rPr>
          <w:rFonts w:ascii="Times New Roman" w:hAnsi="Times New Roman"/>
          <w:sz w:val="24"/>
          <w:szCs w:val="24"/>
        </w:rPr>
        <w:t xml:space="preserve">, </w:t>
      </w:r>
      <w:r w:rsidR="009F79B7" w:rsidRPr="00867F56">
        <w:rPr>
          <w:rFonts w:ascii="Times New Roman" w:hAnsi="Times New Roman"/>
          <w:sz w:val="24"/>
          <w:szCs w:val="24"/>
        </w:rPr>
        <w:t>2019</w:t>
      </w:r>
      <w:r w:rsidR="006E159B" w:rsidRPr="00867F56">
        <w:rPr>
          <w:rFonts w:ascii="Times New Roman" w:hAnsi="Times New Roman"/>
          <w:sz w:val="24"/>
          <w:szCs w:val="24"/>
        </w:rPr>
        <w:t xml:space="preserve">) </w:t>
      </w:r>
      <w:r w:rsidR="004C3208" w:rsidRPr="00867F56">
        <w:rPr>
          <w:rFonts w:ascii="Times New Roman" w:hAnsi="Times New Roman"/>
          <w:sz w:val="24"/>
          <w:szCs w:val="24"/>
        </w:rPr>
        <w:t>was</w:t>
      </w:r>
      <w:r w:rsidR="006128B2" w:rsidRPr="00867F56">
        <w:rPr>
          <w:rFonts w:ascii="Times New Roman" w:hAnsi="Times New Roman"/>
          <w:sz w:val="24"/>
          <w:szCs w:val="24"/>
        </w:rPr>
        <w:t xml:space="preserve"> </w:t>
      </w:r>
      <w:r w:rsidRPr="00867F56">
        <w:rPr>
          <w:rFonts w:ascii="Times New Roman" w:hAnsi="Times New Roman"/>
          <w:sz w:val="24"/>
          <w:szCs w:val="24"/>
        </w:rPr>
        <w:t xml:space="preserve">published in the </w:t>
      </w:r>
      <w:r w:rsidRPr="00867F56">
        <w:rPr>
          <w:rFonts w:ascii="Times New Roman" w:hAnsi="Times New Roman"/>
          <w:i/>
          <w:sz w:val="24"/>
          <w:szCs w:val="24"/>
        </w:rPr>
        <w:t>Federal Register</w:t>
      </w:r>
      <w:r w:rsidR="009F79B7" w:rsidRPr="00867F56">
        <w:rPr>
          <w:rFonts w:ascii="Times New Roman" w:hAnsi="Times New Roman"/>
          <w:sz w:val="24"/>
          <w:szCs w:val="24"/>
        </w:rPr>
        <w:t xml:space="preserve"> on </w:t>
      </w:r>
      <w:r w:rsidR="0048719A" w:rsidRPr="00867F56">
        <w:rPr>
          <w:rFonts w:ascii="Times New Roman" w:hAnsi="Times New Roman"/>
          <w:sz w:val="24"/>
          <w:szCs w:val="24"/>
        </w:rPr>
        <w:t>February 7</w:t>
      </w:r>
      <w:r w:rsidR="00752770" w:rsidRPr="00867F56">
        <w:rPr>
          <w:rFonts w:ascii="Times New Roman" w:hAnsi="Times New Roman"/>
          <w:sz w:val="24"/>
          <w:szCs w:val="24"/>
        </w:rPr>
        <w:t>, 2019</w:t>
      </w:r>
      <w:r w:rsidR="00413357" w:rsidRPr="00867F56">
        <w:rPr>
          <w:rStyle w:val="FootnoteReference"/>
          <w:rFonts w:ascii="Times New Roman" w:hAnsi="Times New Roman"/>
          <w:sz w:val="24"/>
          <w:szCs w:val="24"/>
          <w:vertAlign w:val="superscript"/>
        </w:rPr>
        <w:footnoteReference w:id="16"/>
      </w:r>
      <w:r w:rsidR="00663C3C" w:rsidRPr="00867F56">
        <w:rPr>
          <w:rFonts w:ascii="Times New Roman" w:hAnsi="Times New Roman"/>
          <w:sz w:val="24"/>
          <w:szCs w:val="24"/>
        </w:rPr>
        <w:t xml:space="preserve"> and requested comments from the public on a variety of issues.</w:t>
      </w:r>
    </w:p>
    <w:p w14:paraId="2E5B385C" w14:textId="77777777" w:rsidR="00663C3C" w:rsidRPr="00867F56" w:rsidRDefault="00663C3C" w:rsidP="00913164">
      <w:pPr>
        <w:pStyle w:val="ListParagraph"/>
        <w:spacing w:after="0" w:line="240" w:lineRule="auto"/>
        <w:ind w:left="0"/>
        <w:rPr>
          <w:rFonts w:ascii="Times New Roman" w:hAnsi="Times New Roman"/>
          <w:sz w:val="24"/>
          <w:szCs w:val="24"/>
        </w:rPr>
      </w:pPr>
    </w:p>
    <w:p w14:paraId="7C8DDC50" w14:textId="77777777" w:rsidR="00916904" w:rsidRPr="00867F56" w:rsidRDefault="00916904" w:rsidP="00913164">
      <w:pPr>
        <w:pStyle w:val="ListParagraph"/>
        <w:spacing w:after="0" w:line="240" w:lineRule="auto"/>
        <w:ind w:left="0"/>
        <w:rPr>
          <w:rFonts w:ascii="Times New Roman" w:hAnsi="Times New Roman"/>
          <w:sz w:val="24"/>
          <w:szCs w:val="24"/>
        </w:rPr>
      </w:pPr>
      <w:r w:rsidRPr="00867F56">
        <w:rPr>
          <w:rFonts w:ascii="Times New Roman" w:hAnsi="Times New Roman"/>
          <w:sz w:val="24"/>
          <w:szCs w:val="24"/>
        </w:rPr>
        <w:t xml:space="preserve">The comments received </w:t>
      </w:r>
      <w:r w:rsidR="003268E5" w:rsidRPr="00867F56">
        <w:rPr>
          <w:rFonts w:ascii="Times New Roman" w:hAnsi="Times New Roman"/>
          <w:sz w:val="24"/>
          <w:szCs w:val="24"/>
        </w:rPr>
        <w:t xml:space="preserve">on the NOPR </w:t>
      </w:r>
      <w:r w:rsidRPr="00867F56">
        <w:rPr>
          <w:rFonts w:ascii="Times New Roman" w:hAnsi="Times New Roman"/>
          <w:sz w:val="24"/>
          <w:szCs w:val="24"/>
        </w:rPr>
        <w:t>were generally</w:t>
      </w:r>
      <w:r w:rsidR="009B00E9" w:rsidRPr="00867F56">
        <w:rPr>
          <w:rFonts w:ascii="Times New Roman" w:hAnsi="Times New Roman"/>
          <w:sz w:val="24"/>
          <w:szCs w:val="24"/>
        </w:rPr>
        <w:t xml:space="preserve"> </w:t>
      </w:r>
      <w:r w:rsidR="0018080F" w:rsidRPr="00867F56">
        <w:rPr>
          <w:rFonts w:ascii="Times New Roman" w:hAnsi="Times New Roman"/>
          <w:sz w:val="24"/>
          <w:szCs w:val="24"/>
        </w:rPr>
        <w:t>limited to</w:t>
      </w:r>
      <w:r w:rsidR="00391450" w:rsidRPr="00867F56">
        <w:rPr>
          <w:rFonts w:ascii="Times New Roman" w:hAnsi="Times New Roman"/>
          <w:sz w:val="24"/>
          <w:szCs w:val="24"/>
        </w:rPr>
        <w:t xml:space="preserve"> d</w:t>
      </w:r>
      <w:r w:rsidR="0018080F" w:rsidRPr="00867F56">
        <w:rPr>
          <w:rFonts w:ascii="Times New Roman" w:hAnsi="Times New Roman"/>
          <w:sz w:val="24"/>
          <w:szCs w:val="24"/>
        </w:rPr>
        <w:t xml:space="preserve">efining </w:t>
      </w:r>
      <w:r w:rsidR="009B00E9" w:rsidRPr="00867F56">
        <w:rPr>
          <w:rFonts w:ascii="Times New Roman" w:hAnsi="Times New Roman"/>
          <w:sz w:val="24"/>
          <w:szCs w:val="24"/>
        </w:rPr>
        <w:t xml:space="preserve">closed-loop pumped storage projects, clarifying the </w:t>
      </w:r>
      <w:r w:rsidR="0018080F" w:rsidRPr="00867F56">
        <w:rPr>
          <w:rFonts w:ascii="Times New Roman" w:hAnsi="Times New Roman"/>
          <w:sz w:val="24"/>
          <w:szCs w:val="24"/>
        </w:rPr>
        <w:t xml:space="preserve">commencement </w:t>
      </w:r>
      <w:r w:rsidR="009B00E9" w:rsidRPr="00867F56">
        <w:rPr>
          <w:rFonts w:ascii="Times New Roman" w:hAnsi="Times New Roman"/>
          <w:sz w:val="24"/>
          <w:szCs w:val="24"/>
        </w:rPr>
        <w:t xml:space="preserve">of the two-year </w:t>
      </w:r>
      <w:r w:rsidR="0018080F" w:rsidRPr="00867F56">
        <w:rPr>
          <w:rFonts w:ascii="Times New Roman" w:hAnsi="Times New Roman"/>
          <w:sz w:val="24"/>
          <w:szCs w:val="24"/>
        </w:rPr>
        <w:t>timeframe</w:t>
      </w:r>
      <w:r w:rsidR="009B00E9" w:rsidRPr="00867F56">
        <w:rPr>
          <w:rFonts w:ascii="Times New Roman" w:hAnsi="Times New Roman"/>
          <w:sz w:val="24"/>
          <w:szCs w:val="24"/>
        </w:rPr>
        <w:t>, whether or not the expedited process should include the prefiling process</w:t>
      </w:r>
      <w:r w:rsidR="0018080F" w:rsidRPr="00867F56">
        <w:rPr>
          <w:rFonts w:ascii="Times New Roman" w:hAnsi="Times New Roman"/>
          <w:sz w:val="24"/>
          <w:szCs w:val="24"/>
        </w:rPr>
        <w:t xml:space="preserve">, and </w:t>
      </w:r>
      <w:r w:rsidR="001F1AB5" w:rsidRPr="00867F56">
        <w:rPr>
          <w:rFonts w:ascii="Times New Roman" w:hAnsi="Times New Roman"/>
          <w:sz w:val="24"/>
          <w:szCs w:val="24"/>
        </w:rPr>
        <w:t>whether</w:t>
      </w:r>
      <w:r w:rsidR="0018080F" w:rsidRPr="00867F56">
        <w:rPr>
          <w:rFonts w:ascii="Times New Roman" w:hAnsi="Times New Roman"/>
          <w:sz w:val="24"/>
          <w:szCs w:val="24"/>
        </w:rPr>
        <w:t xml:space="preserve"> projects that require </w:t>
      </w:r>
      <w:r w:rsidR="001F1AB5" w:rsidRPr="00867F56">
        <w:rPr>
          <w:rFonts w:ascii="Times New Roman" w:hAnsi="Times New Roman"/>
          <w:sz w:val="24"/>
          <w:szCs w:val="24"/>
        </w:rPr>
        <w:t xml:space="preserve">preparation of </w:t>
      </w:r>
      <w:r w:rsidR="0018080F" w:rsidRPr="00867F56">
        <w:rPr>
          <w:rFonts w:ascii="Times New Roman" w:hAnsi="Times New Roman"/>
          <w:sz w:val="24"/>
          <w:szCs w:val="24"/>
        </w:rPr>
        <w:t>an environmental impact statement should be excluded from the expedited process.  Additionally, several agencies commented on their own existing</w:t>
      </w:r>
      <w:r w:rsidR="00E36635" w:rsidRPr="00867F56">
        <w:rPr>
          <w:rFonts w:ascii="Times New Roman" w:hAnsi="Times New Roman"/>
          <w:sz w:val="24"/>
          <w:szCs w:val="24"/>
        </w:rPr>
        <w:t xml:space="preserve"> obligations related to other</w:t>
      </w:r>
      <w:r w:rsidR="0018080F" w:rsidRPr="00867F56">
        <w:rPr>
          <w:rFonts w:ascii="Times New Roman" w:hAnsi="Times New Roman"/>
          <w:sz w:val="24"/>
          <w:szCs w:val="24"/>
        </w:rPr>
        <w:t xml:space="preserve"> federal s</w:t>
      </w:r>
      <w:r w:rsidR="00C03403" w:rsidRPr="00867F56">
        <w:rPr>
          <w:rFonts w:ascii="Times New Roman" w:hAnsi="Times New Roman"/>
          <w:sz w:val="24"/>
          <w:szCs w:val="24"/>
        </w:rPr>
        <w:t>tatutes</w:t>
      </w:r>
      <w:r w:rsidR="0018080F" w:rsidRPr="00867F56">
        <w:rPr>
          <w:rFonts w:ascii="Times New Roman" w:hAnsi="Times New Roman"/>
          <w:sz w:val="24"/>
          <w:szCs w:val="24"/>
        </w:rPr>
        <w:t>.</w:t>
      </w:r>
    </w:p>
    <w:p w14:paraId="6949E06C" w14:textId="77777777" w:rsidR="00916904" w:rsidRPr="00867F56" w:rsidRDefault="00916904" w:rsidP="00913164">
      <w:pPr>
        <w:pStyle w:val="ListParagraph"/>
        <w:spacing w:after="0" w:line="240" w:lineRule="auto"/>
        <w:ind w:left="0"/>
        <w:rPr>
          <w:rFonts w:ascii="Times New Roman" w:hAnsi="Times New Roman"/>
          <w:sz w:val="24"/>
          <w:szCs w:val="24"/>
        </w:rPr>
      </w:pPr>
    </w:p>
    <w:p w14:paraId="523376B6" w14:textId="77777777" w:rsidR="00663C3C" w:rsidRPr="00867F56" w:rsidRDefault="00663C3C" w:rsidP="00913164">
      <w:pPr>
        <w:pStyle w:val="ListParagraph"/>
        <w:spacing w:after="0" w:line="240" w:lineRule="auto"/>
        <w:ind w:left="0"/>
        <w:rPr>
          <w:rFonts w:ascii="Times New Roman" w:hAnsi="Times New Roman"/>
          <w:sz w:val="24"/>
          <w:szCs w:val="24"/>
        </w:rPr>
      </w:pPr>
      <w:r w:rsidRPr="00867F56">
        <w:rPr>
          <w:rFonts w:ascii="Times New Roman" w:hAnsi="Times New Roman"/>
          <w:sz w:val="24"/>
          <w:szCs w:val="24"/>
        </w:rPr>
        <w:t xml:space="preserve">The Commission received no comments concerning the paperwork burden due to the modifications proposed in the </w:t>
      </w:r>
      <w:r w:rsidR="00916904" w:rsidRPr="00867F56">
        <w:rPr>
          <w:rFonts w:ascii="Times New Roman" w:hAnsi="Times New Roman"/>
          <w:sz w:val="24"/>
          <w:szCs w:val="24"/>
        </w:rPr>
        <w:t>NOPR.</w:t>
      </w:r>
    </w:p>
    <w:p w14:paraId="1B5DF80A" w14:textId="77777777" w:rsidR="00C402F5" w:rsidRPr="00867F56" w:rsidRDefault="00C402F5" w:rsidP="00913164">
      <w:pPr>
        <w:pStyle w:val="ListParagraph"/>
        <w:spacing w:after="0" w:line="240" w:lineRule="auto"/>
        <w:ind w:left="0"/>
        <w:rPr>
          <w:rFonts w:ascii="Times New Roman" w:hAnsi="Times New Roman"/>
          <w:sz w:val="24"/>
          <w:szCs w:val="24"/>
        </w:rPr>
      </w:pPr>
    </w:p>
    <w:p w14:paraId="7F015BE4" w14:textId="77777777" w:rsidR="00913164" w:rsidRPr="00867F56" w:rsidRDefault="003268E5" w:rsidP="00913164">
      <w:pPr>
        <w:pStyle w:val="ListParagraph"/>
        <w:spacing w:after="0" w:line="240" w:lineRule="auto"/>
        <w:ind w:left="0"/>
        <w:rPr>
          <w:rFonts w:ascii="Times New Roman" w:hAnsi="Times New Roman"/>
          <w:sz w:val="24"/>
          <w:szCs w:val="24"/>
        </w:rPr>
      </w:pPr>
      <w:r w:rsidRPr="00867F56">
        <w:rPr>
          <w:rFonts w:ascii="Times New Roman" w:hAnsi="Times New Roman"/>
          <w:sz w:val="24"/>
          <w:szCs w:val="24"/>
        </w:rPr>
        <w:t xml:space="preserve">The Final Rule (issued April 18, 2019) was published in the </w:t>
      </w:r>
      <w:r w:rsidRPr="00867F56">
        <w:rPr>
          <w:rFonts w:ascii="Times New Roman" w:hAnsi="Times New Roman"/>
          <w:i/>
          <w:sz w:val="24"/>
          <w:szCs w:val="24"/>
        </w:rPr>
        <w:t>Federal Register</w:t>
      </w:r>
      <w:r w:rsidRPr="00867F56">
        <w:rPr>
          <w:rFonts w:ascii="Times New Roman" w:hAnsi="Times New Roman"/>
          <w:sz w:val="24"/>
          <w:szCs w:val="24"/>
        </w:rPr>
        <w:t xml:space="preserve"> on April 24, 2019.</w:t>
      </w:r>
      <w:r w:rsidRPr="00867F56">
        <w:rPr>
          <w:rStyle w:val="FootnoteReference"/>
          <w:rFonts w:ascii="Times New Roman" w:hAnsi="Times New Roman"/>
          <w:sz w:val="24"/>
          <w:szCs w:val="24"/>
          <w:vertAlign w:val="superscript"/>
        </w:rPr>
        <w:footnoteReference w:id="17"/>
      </w:r>
    </w:p>
    <w:p w14:paraId="722F25DF" w14:textId="77777777" w:rsidR="003268E5" w:rsidRPr="00867F56" w:rsidRDefault="003268E5" w:rsidP="00913164">
      <w:pPr>
        <w:pStyle w:val="ListParagraph"/>
        <w:spacing w:after="0" w:line="240" w:lineRule="auto"/>
        <w:ind w:left="0"/>
        <w:rPr>
          <w:rFonts w:ascii="Times New Roman" w:hAnsi="Times New Roman"/>
          <w:b/>
          <w:sz w:val="24"/>
          <w:szCs w:val="24"/>
        </w:rPr>
      </w:pPr>
    </w:p>
    <w:p w14:paraId="15CCD985" w14:textId="77777777" w:rsidR="00F0627E" w:rsidRPr="00867F56" w:rsidRDefault="00F0627E" w:rsidP="00913164">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EXPLAIN ANY PAYMENT OR GIFTS TO RESPONDENTS</w:t>
      </w:r>
    </w:p>
    <w:p w14:paraId="6EC18061" w14:textId="77777777" w:rsidR="00F0627E" w:rsidRPr="00867F56" w:rsidRDefault="00F0627E" w:rsidP="007445A8">
      <w:pPr>
        <w:spacing w:after="0" w:line="240" w:lineRule="auto"/>
        <w:rPr>
          <w:rFonts w:ascii="Times New Roman" w:hAnsi="Times New Roman"/>
          <w:sz w:val="24"/>
          <w:szCs w:val="24"/>
        </w:rPr>
      </w:pPr>
    </w:p>
    <w:p w14:paraId="10670ADE" w14:textId="77777777" w:rsidR="00F0627E" w:rsidRPr="00867F56" w:rsidRDefault="00F0627E" w:rsidP="007445A8">
      <w:pPr>
        <w:spacing w:after="0" w:line="240" w:lineRule="auto"/>
        <w:rPr>
          <w:rFonts w:ascii="Times New Roman" w:hAnsi="Times New Roman"/>
          <w:sz w:val="24"/>
          <w:szCs w:val="24"/>
        </w:rPr>
      </w:pPr>
      <w:r w:rsidRPr="00867F56">
        <w:rPr>
          <w:rFonts w:ascii="Times New Roman" w:hAnsi="Times New Roman"/>
          <w:sz w:val="24"/>
          <w:szCs w:val="24"/>
        </w:rPr>
        <w:t>There are no payments or gifts to respondents.</w:t>
      </w:r>
    </w:p>
    <w:p w14:paraId="5C18A36A" w14:textId="77777777" w:rsidR="00F0627E" w:rsidRPr="00867F56" w:rsidRDefault="00F0627E" w:rsidP="007445A8">
      <w:pPr>
        <w:spacing w:after="0" w:line="240" w:lineRule="auto"/>
        <w:rPr>
          <w:rFonts w:ascii="Times New Roman" w:hAnsi="Times New Roman"/>
          <w:sz w:val="24"/>
          <w:szCs w:val="24"/>
        </w:rPr>
      </w:pPr>
    </w:p>
    <w:p w14:paraId="3841FF43" w14:textId="77777777" w:rsidR="00F0627E" w:rsidRPr="00867F56" w:rsidRDefault="00F0627E" w:rsidP="00913164">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DESCRIBE ANY ASSURANCE OF CONFIDENTIALITY PROVIDED TO RESPONDENTS</w:t>
      </w:r>
    </w:p>
    <w:p w14:paraId="56EA7A71" w14:textId="77777777" w:rsidR="00F0627E" w:rsidRPr="00867F56" w:rsidRDefault="00F0627E" w:rsidP="007445A8">
      <w:pPr>
        <w:spacing w:after="0" w:line="240" w:lineRule="auto"/>
        <w:rPr>
          <w:rFonts w:ascii="Times New Roman" w:hAnsi="Times New Roman"/>
          <w:sz w:val="24"/>
          <w:szCs w:val="24"/>
        </w:rPr>
      </w:pPr>
    </w:p>
    <w:p w14:paraId="7C68175D" w14:textId="77777777" w:rsidR="00F0627E" w:rsidRPr="00867F56" w:rsidRDefault="00F0627E" w:rsidP="007445A8">
      <w:pPr>
        <w:spacing w:after="0" w:line="240" w:lineRule="auto"/>
        <w:rPr>
          <w:rFonts w:ascii="Times New Roman" w:hAnsi="Times New Roman"/>
          <w:sz w:val="24"/>
          <w:szCs w:val="24"/>
        </w:rPr>
      </w:pPr>
      <w:r w:rsidRPr="00867F56">
        <w:rPr>
          <w:rFonts w:ascii="Times New Roman" w:hAnsi="Times New Roman"/>
          <w:sz w:val="24"/>
          <w:szCs w:val="24"/>
        </w:rPr>
        <w:t xml:space="preserve">The Commission does not consider the information collected in filings to be confidential.  However, the Commission will consider specific requests for confidential treatment (e.g. Critical </w:t>
      </w:r>
      <w:r w:rsidR="00084A7F" w:rsidRPr="00867F56">
        <w:rPr>
          <w:rFonts w:ascii="Times New Roman" w:hAnsi="Times New Roman"/>
          <w:sz w:val="24"/>
          <w:szCs w:val="24"/>
        </w:rPr>
        <w:t>Energy/Electric</w:t>
      </w:r>
      <w:r w:rsidRPr="00867F56">
        <w:rPr>
          <w:rFonts w:ascii="Times New Roman" w:hAnsi="Times New Roman"/>
          <w:sz w:val="24"/>
          <w:szCs w:val="24"/>
        </w:rPr>
        <w:t xml:space="preserve"> Infrastructure Information [CEII] or non-public) to the extent permitted by law</w:t>
      </w:r>
      <w:r w:rsidR="00F5582E" w:rsidRPr="00867F56">
        <w:rPr>
          <w:rFonts w:ascii="Times New Roman" w:hAnsi="Times New Roman"/>
          <w:sz w:val="24"/>
          <w:szCs w:val="24"/>
        </w:rPr>
        <w:t xml:space="preserve"> and our regulations</w:t>
      </w:r>
      <w:r w:rsidRPr="00867F56">
        <w:rPr>
          <w:rFonts w:ascii="Times New Roman" w:hAnsi="Times New Roman"/>
          <w:sz w:val="24"/>
          <w:szCs w:val="24"/>
        </w:rPr>
        <w:t>.</w:t>
      </w:r>
      <w:r w:rsidRPr="00867F56">
        <w:rPr>
          <w:rFonts w:ascii="Times New Roman" w:hAnsi="Times New Roman"/>
          <w:b/>
          <w:sz w:val="24"/>
          <w:szCs w:val="24"/>
          <w:vertAlign w:val="superscript"/>
        </w:rPr>
        <w:footnoteReference w:id="18"/>
      </w:r>
      <w:r w:rsidRPr="00867F56">
        <w:rPr>
          <w:rFonts w:ascii="Times New Roman" w:hAnsi="Times New Roman"/>
          <w:sz w:val="24"/>
          <w:szCs w:val="24"/>
        </w:rPr>
        <w:t xml:space="preserve">  The Commission will review each request for confidential treatment on a case-by-case basis.</w:t>
      </w:r>
      <w:r w:rsidR="00084A7F" w:rsidRPr="00867F56">
        <w:rPr>
          <w:rFonts w:ascii="Times New Roman" w:hAnsi="Times New Roman"/>
          <w:sz w:val="24"/>
          <w:szCs w:val="24"/>
        </w:rPr>
        <w:t xml:space="preserve"> </w:t>
      </w:r>
    </w:p>
    <w:p w14:paraId="40555494" w14:textId="77777777" w:rsidR="00F0627E" w:rsidRPr="00867F56" w:rsidRDefault="00F0627E" w:rsidP="007445A8">
      <w:pPr>
        <w:spacing w:after="0" w:line="240" w:lineRule="auto"/>
        <w:rPr>
          <w:rFonts w:ascii="Times New Roman" w:hAnsi="Times New Roman"/>
          <w:sz w:val="24"/>
          <w:szCs w:val="24"/>
        </w:rPr>
      </w:pPr>
    </w:p>
    <w:p w14:paraId="249A8D1B" w14:textId="77777777" w:rsidR="00F0627E" w:rsidRPr="00867F56" w:rsidRDefault="00F0627E" w:rsidP="00913164">
      <w:pPr>
        <w:pStyle w:val="ListParagraph"/>
        <w:numPr>
          <w:ilvl w:val="0"/>
          <w:numId w:val="14"/>
        </w:numPr>
        <w:spacing w:after="0" w:line="240" w:lineRule="auto"/>
        <w:ind w:left="360"/>
        <w:rPr>
          <w:rFonts w:ascii="Times New Roman" w:hAnsi="Times New Roman"/>
          <w:b/>
          <w:sz w:val="24"/>
          <w:szCs w:val="24"/>
        </w:rPr>
      </w:pPr>
      <w:r w:rsidRPr="00867F56">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14:paraId="58240865" w14:textId="77777777" w:rsidR="00F0627E" w:rsidRPr="00867F56" w:rsidRDefault="00F0627E" w:rsidP="007445A8">
      <w:pPr>
        <w:spacing w:after="0" w:line="240" w:lineRule="auto"/>
        <w:rPr>
          <w:rFonts w:ascii="Times New Roman" w:hAnsi="Times New Roman"/>
          <w:sz w:val="24"/>
          <w:szCs w:val="24"/>
        </w:rPr>
      </w:pPr>
    </w:p>
    <w:p w14:paraId="7962DE62" w14:textId="77777777" w:rsidR="00F0627E" w:rsidRPr="00867F56" w:rsidRDefault="00F0627E" w:rsidP="007445A8">
      <w:pPr>
        <w:spacing w:after="0" w:line="240" w:lineRule="auto"/>
        <w:rPr>
          <w:rFonts w:ascii="Times New Roman" w:hAnsi="Times New Roman"/>
          <w:sz w:val="24"/>
          <w:szCs w:val="24"/>
        </w:rPr>
      </w:pPr>
      <w:r w:rsidRPr="00867F56">
        <w:rPr>
          <w:rFonts w:ascii="Times New Roman" w:hAnsi="Times New Roman"/>
          <w:sz w:val="24"/>
          <w:szCs w:val="24"/>
        </w:rPr>
        <w:t xml:space="preserve">There are no questions of a sensitive nature. </w:t>
      </w:r>
    </w:p>
    <w:p w14:paraId="60FA51AE" w14:textId="77777777" w:rsidR="00F0627E" w:rsidRPr="00867F56" w:rsidRDefault="00F0627E" w:rsidP="007445A8">
      <w:pPr>
        <w:spacing w:after="0" w:line="240" w:lineRule="auto"/>
        <w:rPr>
          <w:rFonts w:ascii="Times New Roman" w:hAnsi="Times New Roman"/>
          <w:sz w:val="24"/>
          <w:szCs w:val="24"/>
        </w:rPr>
      </w:pPr>
    </w:p>
    <w:p w14:paraId="7E1C789E" w14:textId="77777777" w:rsidR="00F0627E" w:rsidRPr="00867F56" w:rsidRDefault="00F0627E" w:rsidP="00913164">
      <w:pPr>
        <w:pStyle w:val="ListParagraph"/>
        <w:numPr>
          <w:ilvl w:val="0"/>
          <w:numId w:val="14"/>
        </w:numPr>
        <w:spacing w:after="0" w:line="240" w:lineRule="auto"/>
        <w:ind w:left="360"/>
        <w:rPr>
          <w:rFonts w:ascii="Times New Roman" w:hAnsi="Times New Roman"/>
          <w:sz w:val="24"/>
          <w:szCs w:val="24"/>
        </w:rPr>
      </w:pPr>
      <w:r w:rsidRPr="00867F56">
        <w:rPr>
          <w:rFonts w:ascii="Times New Roman" w:hAnsi="Times New Roman"/>
          <w:b/>
          <w:sz w:val="24"/>
          <w:szCs w:val="24"/>
        </w:rPr>
        <w:t>ESTIMATED BURDEN OF COLLECTION OF INFORMATION</w:t>
      </w:r>
    </w:p>
    <w:p w14:paraId="254C41A2" w14:textId="77777777" w:rsidR="00AD2C01" w:rsidRPr="00867F56" w:rsidRDefault="004A36E5" w:rsidP="007445A8">
      <w:pPr>
        <w:spacing w:after="0" w:line="240" w:lineRule="auto"/>
        <w:rPr>
          <w:rFonts w:ascii="Times New Roman" w:hAnsi="Times New Roman"/>
          <w:sz w:val="24"/>
          <w:szCs w:val="24"/>
        </w:rPr>
      </w:pPr>
      <w:r w:rsidRPr="00867F56">
        <w:rPr>
          <w:rFonts w:ascii="Times New Roman" w:hAnsi="Times New Roman"/>
          <w:sz w:val="24"/>
          <w:szCs w:val="24"/>
        </w:rPr>
        <w:t xml:space="preserve"> </w:t>
      </w:r>
    </w:p>
    <w:p w14:paraId="797E9D9E" w14:textId="77777777" w:rsidR="00916904" w:rsidRPr="00867F56" w:rsidRDefault="00AD2C01" w:rsidP="007445A8">
      <w:pPr>
        <w:spacing w:after="0" w:line="240" w:lineRule="auto"/>
        <w:rPr>
          <w:rFonts w:ascii="Times New Roman" w:hAnsi="Times New Roman"/>
          <w:sz w:val="24"/>
          <w:szCs w:val="24"/>
        </w:rPr>
      </w:pPr>
      <w:r w:rsidRPr="00867F56">
        <w:rPr>
          <w:rFonts w:ascii="Times New Roman" w:hAnsi="Times New Roman"/>
          <w:sz w:val="24"/>
          <w:szCs w:val="24"/>
        </w:rPr>
        <w:t>The estimated changes to the burden and cost of the informati</w:t>
      </w:r>
      <w:r w:rsidR="00916904" w:rsidRPr="00867F56">
        <w:rPr>
          <w:rFonts w:ascii="Times New Roman" w:hAnsi="Times New Roman"/>
          <w:sz w:val="24"/>
          <w:szCs w:val="24"/>
        </w:rPr>
        <w:t>on collections affected by this Final Rule</w:t>
      </w:r>
      <w:r w:rsidR="004C3208" w:rsidRPr="00867F56">
        <w:rPr>
          <w:rFonts w:ascii="Times New Roman" w:hAnsi="Times New Roman"/>
          <w:sz w:val="24"/>
          <w:szCs w:val="24"/>
        </w:rPr>
        <w:t xml:space="preserve"> </w:t>
      </w:r>
      <w:r w:rsidR="00916904" w:rsidRPr="00867F56">
        <w:rPr>
          <w:rFonts w:ascii="Times New Roman" w:hAnsi="Times New Roman"/>
          <w:sz w:val="24"/>
          <w:szCs w:val="24"/>
        </w:rPr>
        <w:t>follow:</w:t>
      </w:r>
    </w:p>
    <w:p w14:paraId="0971B854" w14:textId="77777777" w:rsidR="00AD2C01" w:rsidRPr="00867F56" w:rsidRDefault="00AD2C01" w:rsidP="007445A8">
      <w:pPr>
        <w:spacing w:after="0" w:line="240" w:lineRule="auto"/>
        <w:rPr>
          <w:rFonts w:ascii="Times New Roman" w:hAnsi="Times New Roman"/>
          <w:sz w:val="24"/>
          <w:szCs w:val="24"/>
        </w:rPr>
      </w:pPr>
      <w:r w:rsidRPr="00867F56">
        <w:rPr>
          <w:rFonts w:ascii="Times New Roman" w:hAnsi="Times New Roman"/>
          <w:sz w:val="24"/>
          <w:szCs w:val="24"/>
        </w:rPr>
        <w:t xml:space="preserve">  </w:t>
      </w:r>
    </w:p>
    <w:tbl>
      <w:tblPr>
        <w:tblW w:w="521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8"/>
        <w:gridCol w:w="1623"/>
        <w:gridCol w:w="1599"/>
        <w:gridCol w:w="1697"/>
        <w:gridCol w:w="1599"/>
        <w:gridCol w:w="1994"/>
      </w:tblGrid>
      <w:tr w:rsidR="00BD267F" w:rsidRPr="00867F56" w14:paraId="5B2BE103" w14:textId="77777777" w:rsidTr="00AF5F8A">
        <w:trPr>
          <w:cantSplit/>
          <w:trHeight w:val="241"/>
          <w:tblHeader/>
          <w:jc w:val="right"/>
        </w:trPr>
        <w:tc>
          <w:tcPr>
            <w:tcW w:w="5000" w:type="pct"/>
            <w:gridSpan w:val="6"/>
            <w:tcBorders>
              <w:bottom w:val="single" w:sz="4" w:space="0" w:color="auto"/>
            </w:tcBorders>
            <w:shd w:val="clear" w:color="auto" w:fill="D9D9D9"/>
          </w:tcPr>
          <w:p w14:paraId="6AB920CA" w14:textId="77777777" w:rsidR="00BD267F" w:rsidRPr="00867F56" w:rsidRDefault="00916904" w:rsidP="004A70BD">
            <w:pPr>
              <w:spacing w:after="0" w:line="240" w:lineRule="auto"/>
              <w:jc w:val="center"/>
              <w:rPr>
                <w:rFonts w:ascii="Times New Roman" w:hAnsi="Times New Roman"/>
                <w:b/>
                <w:sz w:val="24"/>
                <w:szCs w:val="24"/>
              </w:rPr>
            </w:pPr>
            <w:r w:rsidRPr="00867F56">
              <w:rPr>
                <w:rFonts w:ascii="Times New Roman" w:hAnsi="Times New Roman"/>
                <w:b/>
                <w:sz w:val="24"/>
                <w:szCs w:val="24"/>
              </w:rPr>
              <w:t>Revisions Due to the Final Rule</w:t>
            </w:r>
            <w:r w:rsidR="00BD267F" w:rsidRPr="00867F56">
              <w:rPr>
                <w:rFonts w:ascii="Times New Roman" w:hAnsi="Times New Roman"/>
                <w:b/>
                <w:sz w:val="24"/>
                <w:szCs w:val="24"/>
              </w:rPr>
              <w:t xml:space="preserve"> in Docket No. RM19-6-000</w:t>
            </w:r>
          </w:p>
        </w:tc>
      </w:tr>
      <w:tr w:rsidR="00BD267F" w:rsidRPr="00867F56" w14:paraId="12CCF654" w14:textId="77777777" w:rsidTr="00BD267F">
        <w:trPr>
          <w:cantSplit/>
          <w:trHeight w:val="1259"/>
          <w:tblHeader/>
          <w:jc w:val="right"/>
        </w:trPr>
        <w:tc>
          <w:tcPr>
            <w:tcW w:w="736" w:type="pct"/>
            <w:shd w:val="clear" w:color="auto" w:fill="D9D9D9"/>
          </w:tcPr>
          <w:p w14:paraId="3D64250E" w14:textId="77777777" w:rsidR="00BD267F" w:rsidRPr="00867F56" w:rsidRDefault="00BD267F" w:rsidP="00BD267F">
            <w:pPr>
              <w:spacing w:after="0" w:line="240" w:lineRule="auto"/>
              <w:rPr>
                <w:rFonts w:ascii="Times New Roman" w:hAnsi="Times New Roman"/>
                <w:b/>
                <w:sz w:val="24"/>
                <w:szCs w:val="24"/>
              </w:rPr>
            </w:pPr>
          </w:p>
        </w:tc>
        <w:tc>
          <w:tcPr>
            <w:tcW w:w="813" w:type="pct"/>
            <w:shd w:val="clear" w:color="auto" w:fill="D9D9D9"/>
            <w:vAlign w:val="bottom"/>
          </w:tcPr>
          <w:p w14:paraId="45EE5251"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No. of Respondents</w:t>
            </w:r>
          </w:p>
          <w:p w14:paraId="62D8CB29"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(1)</w:t>
            </w:r>
          </w:p>
        </w:tc>
        <w:tc>
          <w:tcPr>
            <w:tcW w:w="801" w:type="pct"/>
            <w:shd w:val="clear" w:color="auto" w:fill="D9D9D9"/>
            <w:vAlign w:val="bottom"/>
          </w:tcPr>
          <w:p w14:paraId="31F6C6A7"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No. of Responses</w:t>
            </w:r>
            <w:r w:rsidRPr="00867F56">
              <w:rPr>
                <w:rFonts w:ascii="Times New Roman" w:hAnsi="Times New Roman"/>
                <w:sz w:val="24"/>
                <w:szCs w:val="24"/>
                <w:vertAlign w:val="superscript"/>
              </w:rPr>
              <w:footnoteReference w:id="19"/>
            </w:r>
            <w:r w:rsidRPr="00867F56">
              <w:rPr>
                <w:rFonts w:ascii="Times New Roman" w:hAnsi="Times New Roman"/>
                <w:b/>
                <w:sz w:val="24"/>
                <w:szCs w:val="24"/>
              </w:rPr>
              <w:t xml:space="preserve"> per Respondent</w:t>
            </w:r>
          </w:p>
          <w:p w14:paraId="632FB794"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(2)</w:t>
            </w:r>
          </w:p>
        </w:tc>
        <w:tc>
          <w:tcPr>
            <w:tcW w:w="850" w:type="pct"/>
            <w:shd w:val="clear" w:color="auto" w:fill="D9D9D9"/>
            <w:vAlign w:val="bottom"/>
          </w:tcPr>
          <w:p w14:paraId="38A28A79"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Total No. of Responses</w:t>
            </w:r>
          </w:p>
          <w:p w14:paraId="4EA71867"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(1)X(2)=(3)</w:t>
            </w:r>
          </w:p>
        </w:tc>
        <w:tc>
          <w:tcPr>
            <w:tcW w:w="801" w:type="pct"/>
            <w:shd w:val="clear" w:color="auto" w:fill="D9D9D9"/>
            <w:vAlign w:val="bottom"/>
          </w:tcPr>
          <w:p w14:paraId="7B5FF617"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Avg. Burden Hrs. &amp; Cost Per Response</w:t>
            </w:r>
            <w:r w:rsidRPr="00867F56">
              <w:rPr>
                <w:rFonts w:ascii="Times New Roman" w:hAnsi="Times New Roman"/>
                <w:b/>
                <w:sz w:val="24"/>
                <w:szCs w:val="24"/>
                <w:vertAlign w:val="superscript"/>
              </w:rPr>
              <w:footnoteReference w:id="20"/>
            </w:r>
            <w:r w:rsidRPr="00867F56">
              <w:rPr>
                <w:rFonts w:ascii="Times New Roman" w:hAnsi="Times New Roman"/>
                <w:b/>
                <w:sz w:val="24"/>
                <w:szCs w:val="24"/>
              </w:rPr>
              <w:t xml:space="preserve"> </w:t>
            </w:r>
          </w:p>
          <w:p w14:paraId="2B70C5EB" w14:textId="77777777" w:rsidR="00BD267F" w:rsidRPr="00867F56" w:rsidRDefault="00BD267F" w:rsidP="00BD267F">
            <w:pPr>
              <w:spacing w:after="0" w:line="240" w:lineRule="auto"/>
              <w:rPr>
                <w:rFonts w:ascii="Times New Roman" w:hAnsi="Times New Roman"/>
                <w:b/>
                <w:sz w:val="24"/>
                <w:szCs w:val="24"/>
              </w:rPr>
            </w:pPr>
          </w:p>
          <w:p w14:paraId="2065A210"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(4)</w:t>
            </w:r>
          </w:p>
        </w:tc>
        <w:tc>
          <w:tcPr>
            <w:tcW w:w="999" w:type="pct"/>
            <w:shd w:val="clear" w:color="auto" w:fill="D9D9D9"/>
            <w:vAlign w:val="bottom"/>
          </w:tcPr>
          <w:p w14:paraId="7607038B"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 xml:space="preserve">Total Annual Burden Hours &amp; Total Annual Cost </w:t>
            </w:r>
          </w:p>
          <w:p w14:paraId="061FF37F"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(3)X(4)=5</w:t>
            </w:r>
          </w:p>
        </w:tc>
      </w:tr>
      <w:tr w:rsidR="00BD267F" w:rsidRPr="00867F56" w14:paraId="0B3FAA52" w14:textId="77777777" w:rsidTr="00BD267F">
        <w:trPr>
          <w:cantSplit/>
          <w:trHeight w:val="241"/>
          <w:jc w:val="right"/>
        </w:trPr>
        <w:tc>
          <w:tcPr>
            <w:tcW w:w="736" w:type="pct"/>
          </w:tcPr>
          <w:p w14:paraId="5C12A7EA" w14:textId="77777777" w:rsidR="00BD267F" w:rsidRPr="00867F56" w:rsidRDefault="00C506DE" w:rsidP="00BD267F">
            <w:pPr>
              <w:spacing w:after="0" w:line="240" w:lineRule="auto"/>
              <w:rPr>
                <w:rFonts w:ascii="Times New Roman" w:hAnsi="Times New Roman"/>
                <w:sz w:val="24"/>
                <w:szCs w:val="24"/>
              </w:rPr>
            </w:pPr>
            <w:r w:rsidRPr="00867F56">
              <w:rPr>
                <w:rFonts w:ascii="Times New Roman" w:hAnsi="Times New Roman"/>
                <w:sz w:val="24"/>
                <w:szCs w:val="24"/>
              </w:rPr>
              <w:t>FERC-500</w:t>
            </w:r>
            <w:r w:rsidR="00BD267F" w:rsidRPr="00867F56">
              <w:rPr>
                <w:rFonts w:ascii="Times New Roman" w:hAnsi="Times New Roman"/>
                <w:sz w:val="24"/>
                <w:szCs w:val="24"/>
              </w:rPr>
              <w:t xml:space="preserve"> </w:t>
            </w:r>
          </w:p>
        </w:tc>
        <w:tc>
          <w:tcPr>
            <w:tcW w:w="813" w:type="pct"/>
            <w:vAlign w:val="bottom"/>
          </w:tcPr>
          <w:p w14:paraId="52C0AD13"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5</w:t>
            </w:r>
            <w:r w:rsidRPr="00867F56">
              <w:rPr>
                <w:rFonts w:ascii="Times New Roman" w:hAnsi="Times New Roman"/>
                <w:b/>
                <w:sz w:val="24"/>
                <w:szCs w:val="24"/>
                <w:vertAlign w:val="superscript"/>
              </w:rPr>
              <w:footnoteReference w:id="21"/>
            </w:r>
          </w:p>
        </w:tc>
        <w:tc>
          <w:tcPr>
            <w:tcW w:w="801" w:type="pct"/>
            <w:vAlign w:val="bottom"/>
          </w:tcPr>
          <w:p w14:paraId="44BC8F6A"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1</w:t>
            </w:r>
          </w:p>
        </w:tc>
        <w:tc>
          <w:tcPr>
            <w:tcW w:w="850" w:type="pct"/>
            <w:vAlign w:val="bottom"/>
          </w:tcPr>
          <w:p w14:paraId="10D6A35D"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5</w:t>
            </w:r>
          </w:p>
        </w:tc>
        <w:tc>
          <w:tcPr>
            <w:tcW w:w="801" w:type="pct"/>
            <w:vAlign w:val="bottom"/>
          </w:tcPr>
          <w:p w14:paraId="1545CFB3"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40</w:t>
            </w:r>
            <w:r w:rsidR="000966FD" w:rsidRPr="00867F56">
              <w:rPr>
                <w:rFonts w:ascii="Times New Roman" w:hAnsi="Times New Roman"/>
                <w:sz w:val="24"/>
                <w:szCs w:val="24"/>
              </w:rPr>
              <w:t xml:space="preserve"> hrs.; </w:t>
            </w:r>
            <w:r w:rsidRPr="00867F56">
              <w:rPr>
                <w:rFonts w:ascii="Times New Roman" w:hAnsi="Times New Roman"/>
                <w:sz w:val="24"/>
                <w:szCs w:val="24"/>
              </w:rPr>
              <w:t>$3,160</w:t>
            </w:r>
          </w:p>
        </w:tc>
        <w:tc>
          <w:tcPr>
            <w:tcW w:w="999" w:type="pct"/>
            <w:vAlign w:val="bottom"/>
          </w:tcPr>
          <w:p w14:paraId="323DC03F" w14:textId="77777777" w:rsidR="00A07638"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200 hrs.;</w:t>
            </w:r>
            <w:r w:rsidR="008B404E" w:rsidRPr="00867F56">
              <w:rPr>
                <w:rFonts w:ascii="Times New Roman" w:hAnsi="Times New Roman"/>
                <w:sz w:val="24"/>
                <w:szCs w:val="24"/>
              </w:rPr>
              <w:t xml:space="preserve"> </w:t>
            </w:r>
          </w:p>
          <w:p w14:paraId="06050FE6"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$15,800</w:t>
            </w:r>
          </w:p>
        </w:tc>
      </w:tr>
      <w:tr w:rsidR="00BD267F" w:rsidRPr="00867F56" w14:paraId="35FB6E81" w14:textId="77777777" w:rsidTr="00BD267F">
        <w:trPr>
          <w:cantSplit/>
          <w:trHeight w:val="179"/>
          <w:jc w:val="right"/>
        </w:trPr>
        <w:tc>
          <w:tcPr>
            <w:tcW w:w="736" w:type="pct"/>
          </w:tcPr>
          <w:p w14:paraId="2475D55F" w14:textId="77777777" w:rsidR="00BD267F" w:rsidRPr="00867F56" w:rsidRDefault="00BD267F" w:rsidP="00BD267F">
            <w:pPr>
              <w:spacing w:after="0" w:line="240" w:lineRule="auto"/>
              <w:rPr>
                <w:rFonts w:ascii="Times New Roman" w:hAnsi="Times New Roman"/>
                <w:sz w:val="24"/>
                <w:szCs w:val="24"/>
              </w:rPr>
            </w:pPr>
            <w:r w:rsidRPr="00867F56">
              <w:rPr>
                <w:rFonts w:ascii="Times New Roman" w:hAnsi="Times New Roman"/>
                <w:sz w:val="24"/>
                <w:szCs w:val="24"/>
              </w:rPr>
              <w:t xml:space="preserve">FERC-505 </w:t>
            </w:r>
          </w:p>
        </w:tc>
        <w:tc>
          <w:tcPr>
            <w:tcW w:w="813" w:type="pct"/>
            <w:vAlign w:val="bottom"/>
          </w:tcPr>
          <w:p w14:paraId="57875F39"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5</w:t>
            </w:r>
            <w:r w:rsidRPr="00867F56">
              <w:rPr>
                <w:rFonts w:ascii="Times New Roman" w:hAnsi="Times New Roman"/>
                <w:b/>
                <w:sz w:val="24"/>
                <w:szCs w:val="24"/>
                <w:vertAlign w:val="superscript"/>
              </w:rPr>
              <w:footnoteReference w:id="22"/>
            </w:r>
          </w:p>
        </w:tc>
        <w:tc>
          <w:tcPr>
            <w:tcW w:w="801" w:type="pct"/>
            <w:vAlign w:val="bottom"/>
          </w:tcPr>
          <w:p w14:paraId="7F5CF302"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1</w:t>
            </w:r>
          </w:p>
        </w:tc>
        <w:tc>
          <w:tcPr>
            <w:tcW w:w="850" w:type="pct"/>
            <w:vAlign w:val="bottom"/>
          </w:tcPr>
          <w:p w14:paraId="2BE383BF"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5</w:t>
            </w:r>
          </w:p>
        </w:tc>
        <w:tc>
          <w:tcPr>
            <w:tcW w:w="801" w:type="pct"/>
            <w:vAlign w:val="bottom"/>
          </w:tcPr>
          <w:p w14:paraId="5241FF24"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40 hrs.;</w:t>
            </w:r>
            <w:r w:rsidR="008B404E" w:rsidRPr="00867F56">
              <w:rPr>
                <w:rFonts w:ascii="Times New Roman" w:hAnsi="Times New Roman"/>
                <w:sz w:val="24"/>
                <w:szCs w:val="24"/>
              </w:rPr>
              <w:t xml:space="preserve"> </w:t>
            </w:r>
            <w:r w:rsidRPr="00867F56">
              <w:rPr>
                <w:rFonts w:ascii="Times New Roman" w:hAnsi="Times New Roman"/>
                <w:sz w:val="24"/>
                <w:szCs w:val="24"/>
              </w:rPr>
              <w:t>$3,160</w:t>
            </w:r>
          </w:p>
        </w:tc>
        <w:tc>
          <w:tcPr>
            <w:tcW w:w="999" w:type="pct"/>
            <w:vAlign w:val="bottom"/>
          </w:tcPr>
          <w:p w14:paraId="48E5F03A" w14:textId="77777777" w:rsidR="00A07638"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200 hrs.;</w:t>
            </w:r>
            <w:r w:rsidR="008B404E" w:rsidRPr="00867F56">
              <w:rPr>
                <w:rFonts w:ascii="Times New Roman" w:hAnsi="Times New Roman"/>
                <w:sz w:val="24"/>
                <w:szCs w:val="24"/>
              </w:rPr>
              <w:t xml:space="preserve"> </w:t>
            </w:r>
          </w:p>
          <w:p w14:paraId="383DCD58"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$15,800</w:t>
            </w:r>
          </w:p>
        </w:tc>
      </w:tr>
      <w:tr w:rsidR="00BD267F" w:rsidRPr="00867F56" w14:paraId="7DD7BB39" w14:textId="77777777" w:rsidTr="00BD267F">
        <w:trPr>
          <w:cantSplit/>
          <w:trHeight w:val="179"/>
          <w:jc w:val="right"/>
        </w:trPr>
        <w:tc>
          <w:tcPr>
            <w:tcW w:w="736" w:type="pct"/>
          </w:tcPr>
          <w:p w14:paraId="09CB13EC" w14:textId="77777777" w:rsidR="00BD267F" w:rsidRPr="00867F56" w:rsidRDefault="00BD267F" w:rsidP="00BD267F">
            <w:pPr>
              <w:spacing w:after="0" w:line="240" w:lineRule="auto"/>
              <w:rPr>
                <w:rFonts w:ascii="Times New Roman" w:hAnsi="Times New Roman"/>
                <w:b/>
                <w:sz w:val="24"/>
                <w:szCs w:val="24"/>
              </w:rPr>
            </w:pPr>
            <w:r w:rsidRPr="00867F56">
              <w:rPr>
                <w:rFonts w:ascii="Times New Roman" w:hAnsi="Times New Roman"/>
                <w:b/>
                <w:sz w:val="24"/>
                <w:szCs w:val="24"/>
              </w:rPr>
              <w:t>TOTAL</w:t>
            </w:r>
          </w:p>
        </w:tc>
        <w:tc>
          <w:tcPr>
            <w:tcW w:w="1614" w:type="pct"/>
            <w:gridSpan w:val="2"/>
            <w:shd w:val="clear" w:color="auto" w:fill="BFBFBF" w:themeFill="background1" w:themeFillShade="BF"/>
            <w:vAlign w:val="bottom"/>
          </w:tcPr>
          <w:p w14:paraId="4EC7FC08" w14:textId="77777777" w:rsidR="00BD267F" w:rsidRPr="00867F56" w:rsidRDefault="00BD267F" w:rsidP="004A70BD">
            <w:pPr>
              <w:spacing w:after="0" w:line="240" w:lineRule="auto"/>
              <w:jc w:val="right"/>
              <w:rPr>
                <w:rFonts w:ascii="Times New Roman" w:hAnsi="Times New Roman"/>
                <w:sz w:val="24"/>
                <w:szCs w:val="24"/>
              </w:rPr>
            </w:pPr>
          </w:p>
        </w:tc>
        <w:tc>
          <w:tcPr>
            <w:tcW w:w="850" w:type="pct"/>
            <w:vAlign w:val="bottom"/>
          </w:tcPr>
          <w:p w14:paraId="691C9AB1"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10</w:t>
            </w:r>
          </w:p>
        </w:tc>
        <w:tc>
          <w:tcPr>
            <w:tcW w:w="801" w:type="pct"/>
            <w:shd w:val="clear" w:color="auto" w:fill="BFBFBF" w:themeFill="background1" w:themeFillShade="BF"/>
            <w:vAlign w:val="bottom"/>
          </w:tcPr>
          <w:p w14:paraId="096765B3" w14:textId="77777777" w:rsidR="00BD267F" w:rsidRPr="00867F56" w:rsidRDefault="00BD267F" w:rsidP="004A70BD">
            <w:pPr>
              <w:spacing w:after="0" w:line="240" w:lineRule="auto"/>
              <w:jc w:val="right"/>
              <w:rPr>
                <w:rFonts w:ascii="Times New Roman" w:hAnsi="Times New Roman"/>
                <w:sz w:val="24"/>
                <w:szCs w:val="24"/>
              </w:rPr>
            </w:pPr>
          </w:p>
        </w:tc>
        <w:tc>
          <w:tcPr>
            <w:tcW w:w="999" w:type="pct"/>
            <w:vAlign w:val="bottom"/>
          </w:tcPr>
          <w:p w14:paraId="5EB53EFF" w14:textId="77777777" w:rsidR="00A07638"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400 hrs.;</w:t>
            </w:r>
            <w:r w:rsidR="008B404E" w:rsidRPr="00867F56">
              <w:rPr>
                <w:rFonts w:ascii="Times New Roman" w:hAnsi="Times New Roman"/>
                <w:sz w:val="24"/>
                <w:szCs w:val="24"/>
              </w:rPr>
              <w:t xml:space="preserve"> </w:t>
            </w:r>
          </w:p>
          <w:p w14:paraId="6A3E949A" w14:textId="77777777" w:rsidR="00BD267F" w:rsidRPr="00867F56" w:rsidRDefault="00BD267F" w:rsidP="004A70BD">
            <w:pPr>
              <w:spacing w:after="0" w:line="240" w:lineRule="auto"/>
              <w:jc w:val="right"/>
              <w:rPr>
                <w:rFonts w:ascii="Times New Roman" w:hAnsi="Times New Roman"/>
                <w:sz w:val="24"/>
                <w:szCs w:val="24"/>
              </w:rPr>
            </w:pPr>
            <w:r w:rsidRPr="00867F56">
              <w:rPr>
                <w:rFonts w:ascii="Times New Roman" w:hAnsi="Times New Roman"/>
                <w:sz w:val="24"/>
                <w:szCs w:val="24"/>
              </w:rPr>
              <w:t>$31,600</w:t>
            </w:r>
          </w:p>
        </w:tc>
      </w:tr>
    </w:tbl>
    <w:p w14:paraId="58366D65" w14:textId="77777777" w:rsidR="00AD2C01" w:rsidRPr="00867F56" w:rsidRDefault="00AD2C01" w:rsidP="007445A8">
      <w:pPr>
        <w:spacing w:after="0" w:line="240" w:lineRule="auto"/>
        <w:rPr>
          <w:rFonts w:ascii="Times New Roman" w:hAnsi="Times New Roman"/>
          <w:sz w:val="24"/>
          <w:szCs w:val="24"/>
        </w:rPr>
      </w:pPr>
    </w:p>
    <w:p w14:paraId="3B0FA6EA" w14:textId="77777777" w:rsidR="00974AFC" w:rsidRPr="00867F56" w:rsidRDefault="00974AFC" w:rsidP="007445A8">
      <w:pPr>
        <w:spacing w:after="0" w:line="240" w:lineRule="auto"/>
        <w:rPr>
          <w:rFonts w:ascii="Times New Roman" w:hAnsi="Times New Roman"/>
          <w:b/>
          <w:sz w:val="24"/>
          <w:szCs w:val="24"/>
        </w:rPr>
      </w:pPr>
      <w:r w:rsidRPr="00867F56">
        <w:rPr>
          <w:rFonts w:ascii="Times New Roman" w:hAnsi="Times New Roman"/>
          <w:b/>
          <w:sz w:val="24"/>
          <w:szCs w:val="24"/>
        </w:rPr>
        <w:t>13.</w:t>
      </w:r>
      <w:r w:rsidR="00BF3095" w:rsidRPr="00867F56">
        <w:rPr>
          <w:rFonts w:ascii="Times New Roman" w:hAnsi="Times New Roman"/>
          <w:b/>
          <w:sz w:val="24"/>
          <w:szCs w:val="24"/>
        </w:rPr>
        <w:t xml:space="preserve">   ESTIMATE OF THE TOTAL ANNUAL COST BURDEN TO </w:t>
      </w:r>
      <w:r w:rsidR="00F1537F" w:rsidRPr="00867F56">
        <w:rPr>
          <w:rFonts w:ascii="Times New Roman" w:hAnsi="Times New Roman"/>
          <w:b/>
          <w:sz w:val="24"/>
          <w:szCs w:val="24"/>
        </w:rPr>
        <w:t>RESPONDENTS</w:t>
      </w:r>
      <w:r w:rsidR="00BF3095" w:rsidRPr="00867F56">
        <w:rPr>
          <w:rFonts w:ascii="Times New Roman" w:hAnsi="Times New Roman"/>
          <w:b/>
          <w:sz w:val="24"/>
          <w:szCs w:val="24"/>
        </w:rPr>
        <w:t xml:space="preserve"> </w:t>
      </w:r>
    </w:p>
    <w:p w14:paraId="62833613" w14:textId="77777777" w:rsidR="00974AFC" w:rsidRPr="00867F56" w:rsidRDefault="00974AFC" w:rsidP="007445A8">
      <w:pPr>
        <w:spacing w:after="0" w:line="240" w:lineRule="auto"/>
        <w:rPr>
          <w:rFonts w:ascii="Times New Roman" w:hAnsi="Times New Roman"/>
          <w:sz w:val="24"/>
          <w:szCs w:val="24"/>
        </w:rPr>
      </w:pPr>
    </w:p>
    <w:p w14:paraId="5EBE534A" w14:textId="77777777" w:rsidR="004A36E5" w:rsidRPr="00867F56" w:rsidRDefault="004A36E5" w:rsidP="007445A8">
      <w:pPr>
        <w:spacing w:after="0" w:line="240" w:lineRule="auto"/>
        <w:rPr>
          <w:rFonts w:ascii="Times New Roman" w:hAnsi="Times New Roman"/>
          <w:sz w:val="24"/>
          <w:szCs w:val="24"/>
        </w:rPr>
      </w:pPr>
      <w:r w:rsidRPr="00867F56">
        <w:rPr>
          <w:rFonts w:ascii="Times New Roman" w:hAnsi="Times New Roman"/>
          <w:sz w:val="24"/>
          <w:szCs w:val="24"/>
        </w:rPr>
        <w:t>There are no start-up or other non-labor costs.</w:t>
      </w:r>
    </w:p>
    <w:p w14:paraId="468E164C" w14:textId="77777777" w:rsidR="004A36E5" w:rsidRPr="00867F56" w:rsidRDefault="004A36E5" w:rsidP="007445A8">
      <w:pPr>
        <w:spacing w:after="0" w:line="240" w:lineRule="auto"/>
        <w:rPr>
          <w:rFonts w:ascii="Times New Roman" w:hAnsi="Times New Roman"/>
          <w:sz w:val="24"/>
          <w:szCs w:val="24"/>
        </w:rPr>
      </w:pPr>
    </w:p>
    <w:p w14:paraId="53FA4856" w14:textId="77777777" w:rsidR="004A36E5" w:rsidRPr="00867F56" w:rsidRDefault="004A36E5" w:rsidP="004345EE">
      <w:pPr>
        <w:spacing w:after="0" w:line="240" w:lineRule="auto"/>
        <w:ind w:left="720"/>
        <w:rPr>
          <w:rFonts w:ascii="Times New Roman" w:hAnsi="Times New Roman"/>
          <w:sz w:val="24"/>
          <w:szCs w:val="24"/>
        </w:rPr>
      </w:pPr>
      <w:r w:rsidRPr="00867F56">
        <w:rPr>
          <w:rFonts w:ascii="Times New Roman" w:hAnsi="Times New Roman"/>
          <w:sz w:val="24"/>
          <w:szCs w:val="24"/>
        </w:rPr>
        <w:t>Total Capital and Start-up cost: $0</w:t>
      </w:r>
    </w:p>
    <w:p w14:paraId="43B5E635" w14:textId="77777777" w:rsidR="004A36E5" w:rsidRPr="00867F56" w:rsidRDefault="004A36E5" w:rsidP="004345EE">
      <w:pPr>
        <w:spacing w:after="0" w:line="240" w:lineRule="auto"/>
        <w:ind w:left="720"/>
        <w:rPr>
          <w:rFonts w:ascii="Times New Roman" w:hAnsi="Times New Roman"/>
          <w:sz w:val="24"/>
          <w:szCs w:val="24"/>
        </w:rPr>
      </w:pPr>
      <w:r w:rsidRPr="00867F56">
        <w:rPr>
          <w:rFonts w:ascii="Times New Roman" w:hAnsi="Times New Roman"/>
          <w:sz w:val="24"/>
          <w:szCs w:val="24"/>
        </w:rPr>
        <w:t>Total Operation, Maintenance, and Purchase of Services: $0</w:t>
      </w:r>
    </w:p>
    <w:p w14:paraId="344D465D" w14:textId="77777777" w:rsidR="004A36E5" w:rsidRPr="00867F56" w:rsidRDefault="004A36E5" w:rsidP="007445A8">
      <w:pPr>
        <w:spacing w:after="0" w:line="240" w:lineRule="auto"/>
        <w:rPr>
          <w:rFonts w:ascii="Times New Roman" w:hAnsi="Times New Roman"/>
          <w:sz w:val="24"/>
          <w:szCs w:val="24"/>
        </w:rPr>
      </w:pPr>
    </w:p>
    <w:p w14:paraId="13911FBA" w14:textId="77777777" w:rsidR="004A36E5" w:rsidRPr="00867F56" w:rsidRDefault="004A36E5" w:rsidP="007445A8">
      <w:pPr>
        <w:spacing w:after="0" w:line="240" w:lineRule="auto"/>
        <w:rPr>
          <w:rFonts w:ascii="Times New Roman" w:hAnsi="Times New Roman"/>
          <w:sz w:val="24"/>
          <w:szCs w:val="24"/>
        </w:rPr>
      </w:pPr>
      <w:r w:rsidRPr="00867F56">
        <w:rPr>
          <w:rFonts w:ascii="Times New Roman" w:hAnsi="Times New Roman"/>
          <w:sz w:val="24"/>
          <w:szCs w:val="24"/>
        </w:rPr>
        <w:t>All of the costs in th</w:t>
      </w:r>
      <w:r w:rsidR="00974AFC" w:rsidRPr="00867F56">
        <w:rPr>
          <w:rFonts w:ascii="Times New Roman" w:hAnsi="Times New Roman"/>
          <w:sz w:val="24"/>
          <w:szCs w:val="24"/>
        </w:rPr>
        <w:t>e</w:t>
      </w:r>
      <w:r w:rsidR="009C7060" w:rsidRPr="00867F56">
        <w:rPr>
          <w:rFonts w:ascii="Times New Roman" w:hAnsi="Times New Roman"/>
          <w:sz w:val="24"/>
          <w:szCs w:val="24"/>
        </w:rPr>
        <w:t xml:space="preserve"> information collection</w:t>
      </w:r>
      <w:r w:rsidR="004345EE" w:rsidRPr="00867F56">
        <w:rPr>
          <w:rFonts w:ascii="Times New Roman" w:hAnsi="Times New Roman"/>
          <w:sz w:val="24"/>
          <w:szCs w:val="24"/>
        </w:rPr>
        <w:t>s</w:t>
      </w:r>
      <w:r w:rsidR="009C7060" w:rsidRPr="00867F56">
        <w:rPr>
          <w:rFonts w:ascii="Times New Roman" w:hAnsi="Times New Roman"/>
          <w:sz w:val="24"/>
          <w:szCs w:val="24"/>
        </w:rPr>
        <w:t xml:space="preserve"> </w:t>
      </w:r>
      <w:r w:rsidRPr="00867F56">
        <w:rPr>
          <w:rFonts w:ascii="Times New Roman" w:hAnsi="Times New Roman"/>
          <w:sz w:val="24"/>
          <w:szCs w:val="24"/>
        </w:rPr>
        <w:t xml:space="preserve">are associated with burden hours (labor) and </w:t>
      </w:r>
      <w:r w:rsidR="004345EE" w:rsidRPr="00867F56">
        <w:rPr>
          <w:rFonts w:ascii="Times New Roman" w:hAnsi="Times New Roman"/>
          <w:sz w:val="24"/>
          <w:szCs w:val="24"/>
        </w:rPr>
        <w:t>discussed</w:t>
      </w:r>
      <w:r w:rsidRPr="00867F56">
        <w:rPr>
          <w:rFonts w:ascii="Times New Roman" w:hAnsi="Times New Roman"/>
          <w:sz w:val="24"/>
          <w:szCs w:val="24"/>
        </w:rPr>
        <w:t xml:space="preserve"> in Questions #12 and #15.</w:t>
      </w:r>
    </w:p>
    <w:p w14:paraId="417AD00D" w14:textId="77777777" w:rsidR="00F0627E" w:rsidRPr="00867F56" w:rsidRDefault="00F0627E" w:rsidP="007445A8">
      <w:pPr>
        <w:spacing w:after="0" w:line="240" w:lineRule="auto"/>
        <w:rPr>
          <w:rFonts w:ascii="Times New Roman" w:hAnsi="Times New Roman"/>
          <w:sz w:val="24"/>
          <w:szCs w:val="24"/>
        </w:rPr>
      </w:pPr>
    </w:p>
    <w:p w14:paraId="1F8C6661" w14:textId="77777777" w:rsidR="00F0627E" w:rsidRPr="00867F56" w:rsidRDefault="00974AFC" w:rsidP="007445A8">
      <w:pPr>
        <w:pStyle w:val="ListParagraph"/>
        <w:spacing w:after="0" w:line="240" w:lineRule="auto"/>
        <w:ind w:left="0"/>
        <w:rPr>
          <w:rFonts w:ascii="Times New Roman" w:hAnsi="Times New Roman"/>
          <w:sz w:val="24"/>
          <w:szCs w:val="24"/>
        </w:rPr>
      </w:pPr>
      <w:r w:rsidRPr="00867F56">
        <w:rPr>
          <w:rFonts w:ascii="Times New Roman" w:hAnsi="Times New Roman"/>
          <w:b/>
          <w:sz w:val="24"/>
          <w:szCs w:val="24"/>
        </w:rPr>
        <w:t xml:space="preserve">14.  </w:t>
      </w:r>
      <w:r w:rsidR="00BF3095" w:rsidRPr="00867F56">
        <w:rPr>
          <w:rFonts w:ascii="Times New Roman" w:hAnsi="Times New Roman"/>
          <w:b/>
          <w:sz w:val="24"/>
          <w:szCs w:val="24"/>
        </w:rPr>
        <w:t xml:space="preserve"> </w:t>
      </w:r>
      <w:r w:rsidRPr="00867F56">
        <w:rPr>
          <w:rFonts w:ascii="Times New Roman" w:hAnsi="Times New Roman"/>
          <w:b/>
          <w:sz w:val="24"/>
          <w:szCs w:val="24"/>
        </w:rPr>
        <w:t xml:space="preserve"> </w:t>
      </w:r>
      <w:r w:rsidR="00BF3095" w:rsidRPr="00867F56">
        <w:rPr>
          <w:rFonts w:ascii="Times New Roman" w:hAnsi="Times New Roman"/>
          <w:b/>
          <w:sz w:val="24"/>
          <w:szCs w:val="24"/>
        </w:rPr>
        <w:t>ESTIMATED ANNUALIZED COST TO FEDERAL GOVERNMENT</w:t>
      </w:r>
      <w:r w:rsidRPr="00867F56">
        <w:rPr>
          <w:rFonts w:ascii="Times New Roman" w:hAnsi="Times New Roman"/>
          <w:b/>
          <w:sz w:val="24"/>
          <w:szCs w:val="24"/>
        </w:rPr>
        <w:t xml:space="preserve">   </w:t>
      </w:r>
    </w:p>
    <w:p w14:paraId="6840610A" w14:textId="77777777" w:rsidR="00BF3095" w:rsidRPr="00867F56" w:rsidRDefault="00BF3095" w:rsidP="007445A8">
      <w:pPr>
        <w:pStyle w:val="ListParagraph"/>
        <w:spacing w:after="0" w:line="240" w:lineRule="auto"/>
        <w:ind w:left="0"/>
        <w:rPr>
          <w:rFonts w:ascii="Times New Roman" w:hAnsi="Times New Roman"/>
          <w:sz w:val="24"/>
          <w:szCs w:val="24"/>
        </w:rPr>
      </w:pPr>
    </w:p>
    <w:p w14:paraId="08D7B99E" w14:textId="77777777" w:rsidR="00D30BDB" w:rsidRPr="00867F56" w:rsidRDefault="00247EBC" w:rsidP="00244BC9">
      <w:pPr>
        <w:spacing w:after="0" w:line="240" w:lineRule="auto"/>
        <w:rPr>
          <w:rFonts w:ascii="Times New Roman" w:hAnsi="Times New Roman"/>
          <w:b/>
          <w:sz w:val="24"/>
          <w:szCs w:val="24"/>
        </w:rPr>
      </w:pPr>
      <w:r w:rsidRPr="00867F56">
        <w:rPr>
          <w:rFonts w:ascii="Times New Roman" w:hAnsi="Times New Roman"/>
          <w:b/>
          <w:sz w:val="24"/>
          <w:szCs w:val="24"/>
        </w:rPr>
        <w:t>FERC-500 and FERC-505</w:t>
      </w:r>
    </w:p>
    <w:p w14:paraId="56F894F9" w14:textId="77777777" w:rsidR="00244BC9" w:rsidRPr="00867F56" w:rsidRDefault="00244BC9" w:rsidP="00244BC9">
      <w:pPr>
        <w:spacing w:after="0" w:line="240" w:lineRule="auto"/>
        <w:rPr>
          <w:rFonts w:ascii="Times New Roman" w:hAnsi="Times New Roman"/>
          <w:sz w:val="24"/>
          <w:szCs w:val="24"/>
        </w:rPr>
      </w:pPr>
      <w:r w:rsidRPr="00867F56">
        <w:rPr>
          <w:rFonts w:ascii="Times New Roman" w:hAnsi="Times New Roman"/>
          <w:sz w:val="24"/>
          <w:szCs w:val="24"/>
        </w:rPr>
        <w:t xml:space="preserve">The estimate of the cost for </w:t>
      </w:r>
      <w:r w:rsidR="009912B8">
        <w:rPr>
          <w:rFonts w:ascii="Times New Roman" w:hAnsi="Times New Roman"/>
          <w:sz w:val="24"/>
          <w:szCs w:val="24"/>
        </w:rPr>
        <w:t>“</w:t>
      </w:r>
      <w:r w:rsidRPr="00867F56">
        <w:rPr>
          <w:rFonts w:ascii="Times New Roman" w:hAnsi="Times New Roman"/>
          <w:sz w:val="24"/>
          <w:szCs w:val="24"/>
        </w:rPr>
        <w:t xml:space="preserve">analysis and processing of </w:t>
      </w:r>
      <w:r w:rsidR="00C402F5" w:rsidRPr="00867F56">
        <w:rPr>
          <w:rFonts w:ascii="Times New Roman" w:hAnsi="Times New Roman"/>
          <w:sz w:val="24"/>
          <w:szCs w:val="24"/>
        </w:rPr>
        <w:t>filings”</w:t>
      </w:r>
      <w:r w:rsidR="00247EBC" w:rsidRPr="00867F56">
        <w:rPr>
          <w:rStyle w:val="FootnoteReference"/>
          <w:rFonts w:ascii="Times New Roman" w:hAnsi="Times New Roman"/>
          <w:sz w:val="24"/>
          <w:szCs w:val="24"/>
          <w:vertAlign w:val="superscript"/>
        </w:rPr>
        <w:footnoteReference w:id="23"/>
      </w:r>
      <w:r w:rsidRPr="00867F56">
        <w:rPr>
          <w:rFonts w:ascii="Times New Roman" w:hAnsi="Times New Roman"/>
          <w:sz w:val="24"/>
          <w:szCs w:val="24"/>
          <w:vertAlign w:val="superscript"/>
        </w:rPr>
        <w:t xml:space="preserve"> </w:t>
      </w:r>
      <w:r w:rsidRPr="00867F56">
        <w:rPr>
          <w:rFonts w:ascii="Times New Roman" w:hAnsi="Times New Roman"/>
          <w:sz w:val="24"/>
          <w:szCs w:val="24"/>
        </w:rPr>
        <w:t>is based on salaries and benefits</w:t>
      </w:r>
      <w:r w:rsidR="009912B8">
        <w:rPr>
          <w:rFonts w:ascii="Times New Roman" w:hAnsi="Times New Roman"/>
          <w:sz w:val="24"/>
          <w:szCs w:val="24"/>
        </w:rPr>
        <w:t xml:space="preserve"> for professional and clerical s</w:t>
      </w:r>
      <w:r w:rsidRPr="00867F56">
        <w:rPr>
          <w:rFonts w:ascii="Times New Roman" w:hAnsi="Times New Roman"/>
          <w:sz w:val="24"/>
          <w:szCs w:val="24"/>
        </w:rPr>
        <w:t>upport.  This estimated cost represents staff analysis, decision-making, and review of any actual filings submitted in response to the information collection</w:t>
      </w:r>
      <w:r w:rsidR="008B404E" w:rsidRPr="00867F56">
        <w:rPr>
          <w:rFonts w:ascii="Times New Roman" w:hAnsi="Times New Roman"/>
          <w:sz w:val="24"/>
          <w:szCs w:val="24"/>
        </w:rPr>
        <w:t>s</w:t>
      </w:r>
      <w:r w:rsidRPr="00867F56">
        <w:rPr>
          <w:rFonts w:ascii="Times New Roman" w:hAnsi="Times New Roman"/>
          <w:sz w:val="24"/>
          <w:szCs w:val="24"/>
        </w:rPr>
        <w:t>.</w:t>
      </w:r>
      <w:r w:rsidR="00247EBC" w:rsidRPr="00867F56">
        <w:rPr>
          <w:rFonts w:ascii="Times New Roman" w:hAnsi="Times New Roman"/>
          <w:sz w:val="24"/>
          <w:szCs w:val="24"/>
        </w:rPr>
        <w:t xml:space="preserve">  The estimates for the ‘analysis and processing of filings’ are for the entire FERC-500 and FERC-505, not simply for the areas affected by</w:t>
      </w:r>
      <w:r w:rsidR="001968EA" w:rsidRPr="00867F56">
        <w:rPr>
          <w:rFonts w:ascii="Times New Roman" w:hAnsi="Times New Roman"/>
          <w:sz w:val="24"/>
          <w:szCs w:val="24"/>
        </w:rPr>
        <w:t>,</w:t>
      </w:r>
      <w:r w:rsidR="00247EBC" w:rsidRPr="00867F56">
        <w:rPr>
          <w:rFonts w:ascii="Times New Roman" w:hAnsi="Times New Roman"/>
          <w:sz w:val="24"/>
          <w:szCs w:val="24"/>
        </w:rPr>
        <w:t xml:space="preserve"> or additions due to</w:t>
      </w:r>
      <w:r w:rsidR="001968EA" w:rsidRPr="00867F56">
        <w:rPr>
          <w:rFonts w:ascii="Times New Roman" w:hAnsi="Times New Roman"/>
          <w:sz w:val="24"/>
          <w:szCs w:val="24"/>
        </w:rPr>
        <w:t>,</w:t>
      </w:r>
      <w:r w:rsidR="00247EBC" w:rsidRPr="00867F56">
        <w:rPr>
          <w:rFonts w:ascii="Times New Roman" w:hAnsi="Times New Roman"/>
          <w:sz w:val="24"/>
          <w:szCs w:val="24"/>
        </w:rPr>
        <w:t xml:space="preserve"> the </w:t>
      </w:r>
      <w:r w:rsidR="00916904" w:rsidRPr="00867F56">
        <w:rPr>
          <w:rFonts w:ascii="Times New Roman" w:hAnsi="Times New Roman"/>
          <w:sz w:val="24"/>
          <w:szCs w:val="24"/>
        </w:rPr>
        <w:t>Final Rule</w:t>
      </w:r>
      <w:r w:rsidR="00654909" w:rsidRPr="00867F56">
        <w:rPr>
          <w:rFonts w:ascii="Times New Roman" w:hAnsi="Times New Roman"/>
          <w:sz w:val="24"/>
          <w:szCs w:val="24"/>
        </w:rPr>
        <w:t xml:space="preserve"> </w:t>
      </w:r>
      <w:r w:rsidR="00BD267F" w:rsidRPr="00867F56">
        <w:rPr>
          <w:rFonts w:ascii="Times New Roman" w:hAnsi="Times New Roman"/>
          <w:sz w:val="24"/>
          <w:szCs w:val="24"/>
        </w:rPr>
        <w:t>in RM19-6-000</w:t>
      </w:r>
      <w:r w:rsidR="00247EBC" w:rsidRPr="00867F56">
        <w:rPr>
          <w:rFonts w:ascii="Times New Roman" w:hAnsi="Times New Roman"/>
          <w:sz w:val="24"/>
          <w:szCs w:val="24"/>
        </w:rPr>
        <w:t>.</w:t>
      </w:r>
    </w:p>
    <w:p w14:paraId="1978059A" w14:textId="77777777" w:rsidR="00244BC9" w:rsidRPr="00867F56" w:rsidRDefault="00244BC9" w:rsidP="00244BC9">
      <w:pPr>
        <w:spacing w:after="0" w:line="240" w:lineRule="auto"/>
        <w:rPr>
          <w:rFonts w:ascii="Times New Roman" w:hAnsi="Times New Roman"/>
          <w:sz w:val="24"/>
          <w:szCs w:val="24"/>
        </w:rPr>
      </w:pPr>
    </w:p>
    <w:p w14:paraId="2C7BA310" w14:textId="2F30B720" w:rsidR="00244BC9" w:rsidRPr="00867F56" w:rsidRDefault="00244BC9" w:rsidP="00244BC9">
      <w:pPr>
        <w:spacing w:after="0" w:line="240" w:lineRule="auto"/>
        <w:rPr>
          <w:rFonts w:ascii="Times New Roman" w:hAnsi="Times New Roman"/>
          <w:sz w:val="24"/>
          <w:szCs w:val="24"/>
        </w:rPr>
      </w:pPr>
      <w:r w:rsidRPr="00867F56">
        <w:rPr>
          <w:rFonts w:ascii="Times New Roman" w:hAnsi="Times New Roman"/>
          <w:sz w:val="24"/>
          <w:szCs w:val="24"/>
        </w:rPr>
        <w:t xml:space="preserve">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w:t>
      </w:r>
      <w:r w:rsidRPr="00867F56">
        <w:rPr>
          <w:rFonts w:ascii="Times New Roman" w:hAnsi="Times New Roman"/>
          <w:i/>
          <w:sz w:val="24"/>
          <w:szCs w:val="24"/>
        </w:rPr>
        <w:t>Federal Register</w:t>
      </w:r>
      <w:r w:rsidRPr="00867F56">
        <w:rPr>
          <w:rFonts w:ascii="Times New Roman" w:hAnsi="Times New Roman"/>
          <w:sz w:val="24"/>
          <w:szCs w:val="24"/>
        </w:rPr>
        <w:t>.</w:t>
      </w:r>
    </w:p>
    <w:p w14:paraId="1E2B668B" w14:textId="77777777" w:rsidR="00244BC9" w:rsidRPr="00867F56" w:rsidRDefault="00244BC9" w:rsidP="007445A8">
      <w:pPr>
        <w:spacing w:after="0" w:line="240" w:lineRule="auto"/>
        <w:rPr>
          <w:rFonts w:ascii="Times New Roman" w:hAnsi="Times New Roman"/>
          <w:sz w:val="24"/>
          <w:szCs w:val="24"/>
        </w:rPr>
      </w:pPr>
    </w:p>
    <w:p w14:paraId="0209B226" w14:textId="77777777" w:rsidR="00F0627E" w:rsidRPr="00867F56" w:rsidRDefault="00F0627E" w:rsidP="007445A8">
      <w:pPr>
        <w:spacing w:after="0" w:line="240" w:lineRule="auto"/>
        <w:rPr>
          <w:rFonts w:ascii="Times New Roman" w:hAnsi="Times New Roman"/>
          <w:sz w:val="24"/>
          <w:szCs w:val="24"/>
        </w:rPr>
      </w:pPr>
      <w:r w:rsidRPr="00867F56">
        <w:rPr>
          <w:rFonts w:ascii="Times New Roman" w:hAnsi="Times New Roman"/>
          <w:sz w:val="24"/>
          <w:szCs w:val="24"/>
        </w:rPr>
        <w:t xml:space="preserve">The estimated </w:t>
      </w:r>
      <w:r w:rsidR="00F20B97" w:rsidRPr="00867F56">
        <w:rPr>
          <w:rFonts w:ascii="Times New Roman" w:hAnsi="Times New Roman"/>
          <w:sz w:val="24"/>
          <w:szCs w:val="24"/>
        </w:rPr>
        <w:t xml:space="preserve">annualized </w:t>
      </w:r>
      <w:r w:rsidRPr="00867F56">
        <w:rPr>
          <w:rFonts w:ascii="Times New Roman" w:hAnsi="Times New Roman"/>
          <w:sz w:val="24"/>
          <w:szCs w:val="24"/>
        </w:rPr>
        <w:t>cost</w:t>
      </w:r>
      <w:r w:rsidR="00F20B97" w:rsidRPr="00867F56">
        <w:rPr>
          <w:rFonts w:ascii="Times New Roman" w:hAnsi="Times New Roman"/>
          <w:sz w:val="24"/>
          <w:szCs w:val="24"/>
        </w:rPr>
        <w:t xml:space="preserve"> to the Federal Government</w:t>
      </w:r>
      <w:r w:rsidR="00247EBC" w:rsidRPr="00867F56">
        <w:rPr>
          <w:rFonts w:ascii="Times New Roman" w:hAnsi="Times New Roman"/>
          <w:sz w:val="24"/>
          <w:szCs w:val="24"/>
        </w:rPr>
        <w:t xml:space="preserve"> </w:t>
      </w:r>
      <w:r w:rsidR="00E20CEF" w:rsidRPr="00867F56">
        <w:rPr>
          <w:rFonts w:ascii="Times New Roman" w:hAnsi="Times New Roman"/>
          <w:sz w:val="24"/>
          <w:szCs w:val="24"/>
        </w:rPr>
        <w:t>follows.</w:t>
      </w:r>
      <w:r w:rsidRPr="00867F56">
        <w:rPr>
          <w:rFonts w:ascii="Times New Roman" w:hAnsi="Times New Roman"/>
          <w:sz w:val="24"/>
          <w:szCs w:val="24"/>
        </w:rPr>
        <w:t xml:space="preserve"> </w:t>
      </w:r>
      <w:r w:rsidR="00247EBC" w:rsidRPr="00867F56">
        <w:rPr>
          <w:rFonts w:ascii="Times New Roman" w:hAnsi="Times New Roman"/>
          <w:sz w:val="24"/>
          <w:szCs w:val="24"/>
        </w:rPr>
        <w:t xml:space="preserve"> </w:t>
      </w:r>
    </w:p>
    <w:p w14:paraId="49041281" w14:textId="77777777" w:rsidR="00E20CEF" w:rsidRPr="00867F56" w:rsidRDefault="00E20CEF" w:rsidP="007445A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53"/>
        <w:gridCol w:w="3374"/>
      </w:tblGrid>
      <w:tr w:rsidR="00E20CEF" w:rsidRPr="00867F56" w14:paraId="073FE9EF" w14:textId="77777777" w:rsidTr="00247EBC">
        <w:tc>
          <w:tcPr>
            <w:tcW w:w="2938" w:type="dxa"/>
            <w:shd w:val="clear" w:color="auto" w:fill="CCCCCC"/>
            <w:vAlign w:val="bottom"/>
          </w:tcPr>
          <w:p w14:paraId="3C46A945" w14:textId="77777777" w:rsidR="00E20CEF" w:rsidRPr="00867F56"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867F56">
              <w:rPr>
                <w:rFonts w:ascii="Times New Roman" w:eastAsia="Times New Roman" w:hAnsi="Times New Roman"/>
                <w:b/>
                <w:sz w:val="24"/>
                <w:szCs w:val="24"/>
              </w:rPr>
              <w:t>FERC-500</w:t>
            </w:r>
          </w:p>
        </w:tc>
        <w:tc>
          <w:tcPr>
            <w:tcW w:w="2953" w:type="dxa"/>
            <w:shd w:val="clear" w:color="auto" w:fill="CCCCCC"/>
            <w:vAlign w:val="bottom"/>
          </w:tcPr>
          <w:p w14:paraId="7DD894B4" w14:textId="77777777" w:rsidR="00E20CEF" w:rsidRPr="00867F56"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867F56">
              <w:rPr>
                <w:rFonts w:ascii="Times New Roman" w:eastAsia="Times New Roman" w:hAnsi="Times New Roman"/>
                <w:b/>
                <w:sz w:val="24"/>
                <w:szCs w:val="24"/>
              </w:rPr>
              <w:t>Number of Employees</w:t>
            </w:r>
            <w:r w:rsidR="00247EBC" w:rsidRPr="00867F56">
              <w:rPr>
                <w:rFonts w:ascii="Times New Roman" w:eastAsia="Times New Roman" w:hAnsi="Times New Roman"/>
                <w:b/>
                <w:sz w:val="24"/>
                <w:szCs w:val="24"/>
              </w:rPr>
              <w:t>,</w:t>
            </w:r>
            <w:r w:rsidRPr="00867F56">
              <w:rPr>
                <w:rFonts w:ascii="Times New Roman" w:eastAsia="Times New Roman" w:hAnsi="Times New Roman"/>
                <w:b/>
                <w:sz w:val="24"/>
                <w:szCs w:val="24"/>
              </w:rPr>
              <w:t xml:space="preserve"> </w:t>
            </w:r>
            <w:r w:rsidR="00247EBC" w:rsidRPr="00867F56">
              <w:rPr>
                <w:rFonts w:ascii="Times New Roman" w:eastAsia="Times New Roman" w:hAnsi="Times New Roman"/>
                <w:b/>
                <w:sz w:val="24"/>
                <w:szCs w:val="24"/>
              </w:rPr>
              <w:t xml:space="preserve">Full-Time Equivalents </w:t>
            </w:r>
            <w:r w:rsidRPr="00867F56">
              <w:rPr>
                <w:rFonts w:ascii="Times New Roman" w:eastAsia="Times New Roman" w:hAnsi="Times New Roman"/>
                <w:b/>
                <w:sz w:val="24"/>
                <w:szCs w:val="24"/>
              </w:rPr>
              <w:t>(FTEs)</w:t>
            </w:r>
          </w:p>
        </w:tc>
        <w:tc>
          <w:tcPr>
            <w:tcW w:w="3374" w:type="dxa"/>
            <w:shd w:val="clear" w:color="auto" w:fill="CCCCCC"/>
            <w:vAlign w:val="bottom"/>
          </w:tcPr>
          <w:p w14:paraId="78CDB905" w14:textId="77777777" w:rsidR="00E20CEF" w:rsidRPr="00867F56"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867F56">
              <w:rPr>
                <w:rFonts w:ascii="Times New Roman" w:eastAsia="Times New Roman" w:hAnsi="Times New Roman"/>
                <w:b/>
                <w:sz w:val="24"/>
                <w:szCs w:val="24"/>
              </w:rPr>
              <w:t>Estimated Annual Federal Cost</w:t>
            </w:r>
            <w:r w:rsidR="00247EBC" w:rsidRPr="00867F56">
              <w:rPr>
                <w:rFonts w:ascii="Times New Roman" w:eastAsia="Times New Roman" w:hAnsi="Times New Roman"/>
                <w:b/>
                <w:sz w:val="24"/>
                <w:szCs w:val="24"/>
              </w:rPr>
              <w:t xml:space="preserve"> (rounded)</w:t>
            </w:r>
          </w:p>
        </w:tc>
      </w:tr>
      <w:tr w:rsidR="00E20CEF" w:rsidRPr="00867F56" w14:paraId="10902860" w14:textId="77777777" w:rsidTr="00E20CEF">
        <w:tc>
          <w:tcPr>
            <w:tcW w:w="2938" w:type="dxa"/>
            <w:shd w:val="clear" w:color="auto" w:fill="auto"/>
          </w:tcPr>
          <w:p w14:paraId="39FE25B4" w14:textId="77777777" w:rsidR="00E20CEF" w:rsidRPr="00867F56" w:rsidRDefault="00E20CEF" w:rsidP="00247EBC">
            <w:pPr>
              <w:widowControl w:val="0"/>
              <w:autoSpaceDE w:val="0"/>
              <w:autoSpaceDN w:val="0"/>
              <w:adjustRightInd w:val="0"/>
              <w:spacing w:after="0" w:line="240" w:lineRule="auto"/>
              <w:rPr>
                <w:rFonts w:ascii="Times New Roman" w:eastAsia="Times New Roman" w:hAnsi="Times New Roman"/>
                <w:sz w:val="24"/>
                <w:szCs w:val="24"/>
              </w:rPr>
            </w:pPr>
            <w:r w:rsidRPr="00867F56">
              <w:rPr>
                <w:rFonts w:ascii="Times New Roman" w:eastAsia="Times New Roman" w:hAnsi="Times New Roman"/>
                <w:sz w:val="24"/>
                <w:szCs w:val="24"/>
              </w:rPr>
              <w:t>Analysis and Processing of Filings</w:t>
            </w:r>
          </w:p>
        </w:tc>
        <w:tc>
          <w:tcPr>
            <w:tcW w:w="2953" w:type="dxa"/>
            <w:shd w:val="clear" w:color="auto" w:fill="auto"/>
            <w:vAlign w:val="bottom"/>
          </w:tcPr>
          <w:p w14:paraId="65F946DA" w14:textId="77777777" w:rsidR="00E20CEF" w:rsidRPr="00867F56"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r w:rsidRPr="00867F56">
              <w:rPr>
                <w:rFonts w:ascii="Times New Roman" w:eastAsia="Times New Roman" w:hAnsi="Times New Roman"/>
                <w:sz w:val="24"/>
                <w:szCs w:val="24"/>
              </w:rPr>
              <w:t>18</w:t>
            </w:r>
          </w:p>
        </w:tc>
        <w:tc>
          <w:tcPr>
            <w:tcW w:w="3374" w:type="dxa"/>
            <w:shd w:val="clear" w:color="auto" w:fill="auto"/>
            <w:vAlign w:val="bottom"/>
          </w:tcPr>
          <w:p w14:paraId="271FF895" w14:textId="77777777" w:rsidR="00E20CEF" w:rsidRPr="00867F56" w:rsidRDefault="00E20CEF" w:rsidP="00D53FDE">
            <w:pPr>
              <w:widowControl w:val="0"/>
              <w:autoSpaceDE w:val="0"/>
              <w:autoSpaceDN w:val="0"/>
              <w:adjustRightInd w:val="0"/>
              <w:spacing w:after="0" w:line="240" w:lineRule="auto"/>
              <w:jc w:val="right"/>
              <w:rPr>
                <w:rFonts w:ascii="Times New Roman" w:eastAsia="Times New Roman" w:hAnsi="Times New Roman"/>
                <w:sz w:val="24"/>
                <w:szCs w:val="24"/>
              </w:rPr>
            </w:pPr>
            <w:r w:rsidRPr="00867F56">
              <w:rPr>
                <w:rFonts w:ascii="Times New Roman" w:eastAsia="Times New Roman" w:hAnsi="Times New Roman"/>
                <w:sz w:val="24"/>
                <w:szCs w:val="24"/>
              </w:rPr>
              <w:t>$2,</w:t>
            </w:r>
            <w:r w:rsidR="00D53FDE" w:rsidRPr="00867F56">
              <w:rPr>
                <w:rFonts w:ascii="Times New Roman" w:eastAsia="Times New Roman" w:hAnsi="Times New Roman"/>
                <w:sz w:val="24"/>
                <w:szCs w:val="24"/>
              </w:rPr>
              <w:t>966,760</w:t>
            </w:r>
          </w:p>
        </w:tc>
      </w:tr>
      <w:tr w:rsidR="00E20CEF" w:rsidRPr="00867F56" w14:paraId="7317E769" w14:textId="77777777" w:rsidTr="00E20CEF">
        <w:tc>
          <w:tcPr>
            <w:tcW w:w="2938" w:type="dxa"/>
            <w:shd w:val="clear" w:color="auto" w:fill="auto"/>
          </w:tcPr>
          <w:p w14:paraId="05699FDA" w14:textId="77777777" w:rsidR="00E20CEF" w:rsidRPr="00867F56" w:rsidRDefault="00E20CEF" w:rsidP="00244BC9">
            <w:pPr>
              <w:widowControl w:val="0"/>
              <w:autoSpaceDE w:val="0"/>
              <w:autoSpaceDN w:val="0"/>
              <w:adjustRightInd w:val="0"/>
              <w:spacing w:after="0" w:line="240" w:lineRule="auto"/>
              <w:rPr>
                <w:rFonts w:ascii="Times New Roman" w:eastAsia="Times New Roman" w:hAnsi="Times New Roman"/>
                <w:sz w:val="24"/>
                <w:szCs w:val="24"/>
              </w:rPr>
            </w:pPr>
            <w:r w:rsidRPr="00867F56">
              <w:rPr>
                <w:rFonts w:ascii="Times New Roman" w:eastAsia="Times New Roman" w:hAnsi="Times New Roman"/>
                <w:sz w:val="24"/>
                <w:szCs w:val="24"/>
              </w:rPr>
              <w:t>PRA</w:t>
            </w:r>
            <w:r w:rsidRPr="00867F56">
              <w:rPr>
                <w:rFonts w:ascii="Times New Roman" w:eastAsia="Times New Roman" w:hAnsi="Times New Roman"/>
                <w:b/>
                <w:sz w:val="24"/>
                <w:szCs w:val="24"/>
                <w:vertAlign w:val="superscript"/>
              </w:rPr>
              <w:t xml:space="preserve"> </w:t>
            </w:r>
            <w:r w:rsidRPr="00867F56">
              <w:rPr>
                <w:rFonts w:ascii="Times New Roman" w:eastAsia="Times New Roman" w:hAnsi="Times New Roman"/>
                <w:sz w:val="24"/>
                <w:szCs w:val="24"/>
              </w:rPr>
              <w:t>Administrative Cost</w:t>
            </w:r>
          </w:p>
        </w:tc>
        <w:tc>
          <w:tcPr>
            <w:tcW w:w="2953" w:type="dxa"/>
            <w:shd w:val="clear" w:color="auto" w:fill="auto"/>
            <w:vAlign w:val="bottom"/>
          </w:tcPr>
          <w:p w14:paraId="402631C8" w14:textId="77777777" w:rsidR="00E20CEF" w:rsidRPr="00867F56"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p>
        </w:tc>
        <w:tc>
          <w:tcPr>
            <w:tcW w:w="3374" w:type="dxa"/>
            <w:shd w:val="clear" w:color="auto" w:fill="auto"/>
            <w:vAlign w:val="bottom"/>
          </w:tcPr>
          <w:p w14:paraId="1450995B" w14:textId="77777777" w:rsidR="00E20CEF" w:rsidRPr="00867F56" w:rsidRDefault="00E20CEF" w:rsidP="001B5056">
            <w:pPr>
              <w:widowControl w:val="0"/>
              <w:autoSpaceDE w:val="0"/>
              <w:autoSpaceDN w:val="0"/>
              <w:adjustRightInd w:val="0"/>
              <w:spacing w:after="0" w:line="240" w:lineRule="auto"/>
              <w:jc w:val="right"/>
              <w:rPr>
                <w:rFonts w:ascii="Times New Roman" w:eastAsia="Times New Roman" w:hAnsi="Times New Roman"/>
                <w:sz w:val="24"/>
                <w:szCs w:val="24"/>
              </w:rPr>
            </w:pPr>
            <w:r w:rsidRPr="00867F56">
              <w:rPr>
                <w:rFonts w:ascii="Times New Roman" w:eastAsia="Times New Roman" w:hAnsi="Times New Roman"/>
                <w:sz w:val="24"/>
                <w:szCs w:val="24"/>
              </w:rPr>
              <w:t>$</w:t>
            </w:r>
            <w:r w:rsidR="001B5056" w:rsidRPr="00867F56">
              <w:rPr>
                <w:rFonts w:ascii="Times New Roman" w:eastAsia="Times New Roman" w:hAnsi="Times New Roman"/>
                <w:sz w:val="24"/>
                <w:szCs w:val="24"/>
              </w:rPr>
              <w:t>4,931</w:t>
            </w:r>
          </w:p>
        </w:tc>
      </w:tr>
      <w:tr w:rsidR="00E20CEF" w:rsidRPr="00867F56" w14:paraId="45FABD03" w14:textId="77777777" w:rsidTr="00E20CEF">
        <w:tc>
          <w:tcPr>
            <w:tcW w:w="2938" w:type="dxa"/>
            <w:shd w:val="clear" w:color="auto" w:fill="auto"/>
          </w:tcPr>
          <w:p w14:paraId="77159F8D" w14:textId="77777777" w:rsidR="00E20CEF" w:rsidRPr="00867F56" w:rsidRDefault="00244BC9" w:rsidP="00244BC9">
            <w:pPr>
              <w:widowControl w:val="0"/>
              <w:autoSpaceDE w:val="0"/>
              <w:autoSpaceDN w:val="0"/>
              <w:adjustRightInd w:val="0"/>
              <w:spacing w:after="0" w:line="240" w:lineRule="auto"/>
              <w:rPr>
                <w:rFonts w:ascii="Times New Roman" w:eastAsia="Times New Roman" w:hAnsi="Times New Roman"/>
                <w:b/>
                <w:sz w:val="24"/>
                <w:szCs w:val="24"/>
              </w:rPr>
            </w:pPr>
            <w:r w:rsidRPr="00867F56">
              <w:rPr>
                <w:rFonts w:ascii="Times New Roman" w:eastAsia="Times New Roman" w:hAnsi="Times New Roman"/>
                <w:b/>
                <w:sz w:val="24"/>
                <w:szCs w:val="24"/>
              </w:rPr>
              <w:t xml:space="preserve">Total for </w:t>
            </w:r>
            <w:r w:rsidR="00E20CEF" w:rsidRPr="00867F56">
              <w:rPr>
                <w:rFonts w:ascii="Times New Roman" w:eastAsia="Times New Roman" w:hAnsi="Times New Roman"/>
                <w:b/>
                <w:sz w:val="24"/>
                <w:szCs w:val="24"/>
              </w:rPr>
              <w:t>FERC</w:t>
            </w:r>
            <w:r w:rsidRPr="00867F56">
              <w:rPr>
                <w:rFonts w:ascii="Times New Roman" w:eastAsia="Times New Roman" w:hAnsi="Times New Roman"/>
                <w:b/>
                <w:sz w:val="24"/>
                <w:szCs w:val="24"/>
              </w:rPr>
              <w:t>-500</w:t>
            </w:r>
            <w:r w:rsidR="00E20CEF" w:rsidRPr="00867F56">
              <w:rPr>
                <w:rFonts w:ascii="Times New Roman" w:eastAsia="Times New Roman" w:hAnsi="Times New Roman"/>
                <w:b/>
                <w:sz w:val="24"/>
                <w:szCs w:val="24"/>
              </w:rPr>
              <w:t xml:space="preserve"> </w:t>
            </w:r>
          </w:p>
        </w:tc>
        <w:tc>
          <w:tcPr>
            <w:tcW w:w="2953" w:type="dxa"/>
            <w:shd w:val="clear" w:color="auto" w:fill="auto"/>
            <w:vAlign w:val="bottom"/>
          </w:tcPr>
          <w:p w14:paraId="1396E088" w14:textId="77777777" w:rsidR="00E20CEF" w:rsidRPr="00867F56"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p>
        </w:tc>
        <w:tc>
          <w:tcPr>
            <w:tcW w:w="3374" w:type="dxa"/>
            <w:shd w:val="clear" w:color="auto" w:fill="auto"/>
            <w:vAlign w:val="bottom"/>
          </w:tcPr>
          <w:p w14:paraId="1E308212" w14:textId="77777777" w:rsidR="00E20CEF" w:rsidRPr="00867F56" w:rsidRDefault="00E20CEF" w:rsidP="00D53FDE">
            <w:pPr>
              <w:widowControl w:val="0"/>
              <w:autoSpaceDE w:val="0"/>
              <w:autoSpaceDN w:val="0"/>
              <w:adjustRightInd w:val="0"/>
              <w:spacing w:after="0" w:line="240" w:lineRule="auto"/>
              <w:jc w:val="right"/>
              <w:rPr>
                <w:rFonts w:ascii="Times New Roman" w:eastAsia="Times New Roman" w:hAnsi="Times New Roman"/>
                <w:sz w:val="24"/>
                <w:szCs w:val="24"/>
              </w:rPr>
            </w:pPr>
            <w:r w:rsidRPr="00867F56">
              <w:rPr>
                <w:rFonts w:ascii="Times New Roman" w:eastAsia="Times New Roman" w:hAnsi="Times New Roman"/>
                <w:sz w:val="24"/>
                <w:szCs w:val="24"/>
              </w:rPr>
              <w:t>$2,</w:t>
            </w:r>
            <w:r w:rsidR="00D53FDE" w:rsidRPr="00867F56">
              <w:rPr>
                <w:rFonts w:ascii="Times New Roman" w:eastAsia="Times New Roman" w:hAnsi="Times New Roman"/>
                <w:sz w:val="24"/>
                <w:szCs w:val="24"/>
              </w:rPr>
              <w:t>971,691</w:t>
            </w:r>
          </w:p>
        </w:tc>
      </w:tr>
    </w:tbl>
    <w:p w14:paraId="3F31F914" w14:textId="77777777" w:rsidR="00F20B97" w:rsidRPr="00867F56" w:rsidRDefault="00F20B97" w:rsidP="007445A8">
      <w:pPr>
        <w:spacing w:after="0" w:line="240" w:lineRule="auto"/>
        <w:rPr>
          <w:rFonts w:ascii="Times New Roman" w:hAnsi="Times New Roman"/>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65"/>
        <w:gridCol w:w="2880"/>
        <w:gridCol w:w="3420"/>
      </w:tblGrid>
      <w:tr w:rsidR="00F60F4E" w:rsidRPr="00867F56" w14:paraId="6D370D5E" w14:textId="77777777" w:rsidTr="00247EBC">
        <w:tc>
          <w:tcPr>
            <w:tcW w:w="2965" w:type="dxa"/>
            <w:shd w:val="clear" w:color="auto" w:fill="D9D9D9" w:themeFill="background1" w:themeFillShade="D9"/>
            <w:vAlign w:val="bottom"/>
          </w:tcPr>
          <w:p w14:paraId="7B2D37B3" w14:textId="77777777" w:rsidR="00F60F4E" w:rsidRPr="00867F56" w:rsidRDefault="00F60F4E" w:rsidP="00247EBC">
            <w:pPr>
              <w:spacing w:after="0" w:line="240" w:lineRule="auto"/>
              <w:jc w:val="center"/>
              <w:rPr>
                <w:rFonts w:ascii="Times New Roman" w:hAnsi="Times New Roman"/>
                <w:sz w:val="24"/>
                <w:szCs w:val="24"/>
              </w:rPr>
            </w:pPr>
            <w:r w:rsidRPr="00867F56">
              <w:rPr>
                <w:rFonts w:ascii="Times New Roman" w:hAnsi="Times New Roman"/>
                <w:b/>
                <w:sz w:val="24"/>
                <w:szCs w:val="24"/>
              </w:rPr>
              <w:t>FERC-505</w:t>
            </w:r>
          </w:p>
        </w:tc>
        <w:tc>
          <w:tcPr>
            <w:tcW w:w="2880" w:type="dxa"/>
            <w:shd w:val="clear" w:color="auto" w:fill="D9D9D9"/>
            <w:vAlign w:val="bottom"/>
          </w:tcPr>
          <w:p w14:paraId="10BEBA27" w14:textId="77777777" w:rsidR="00F60F4E" w:rsidRPr="00867F56" w:rsidRDefault="00F60F4E" w:rsidP="00247EBC">
            <w:pPr>
              <w:spacing w:after="0" w:line="240" w:lineRule="auto"/>
              <w:jc w:val="center"/>
              <w:rPr>
                <w:rFonts w:ascii="Times New Roman" w:hAnsi="Times New Roman"/>
                <w:b/>
                <w:sz w:val="24"/>
                <w:szCs w:val="24"/>
              </w:rPr>
            </w:pPr>
            <w:r w:rsidRPr="00867F56">
              <w:rPr>
                <w:rFonts w:ascii="Times New Roman" w:hAnsi="Times New Roman"/>
                <w:b/>
                <w:sz w:val="24"/>
                <w:szCs w:val="24"/>
              </w:rPr>
              <w:t>Number of Employees (FTEs)</w:t>
            </w:r>
          </w:p>
        </w:tc>
        <w:tc>
          <w:tcPr>
            <w:tcW w:w="3420" w:type="dxa"/>
            <w:shd w:val="clear" w:color="auto" w:fill="D9D9D9"/>
            <w:vAlign w:val="bottom"/>
          </w:tcPr>
          <w:p w14:paraId="7FF821D6" w14:textId="77777777" w:rsidR="00F60F4E" w:rsidRPr="00867F56" w:rsidRDefault="00F60F4E" w:rsidP="00247EBC">
            <w:pPr>
              <w:spacing w:after="0" w:line="240" w:lineRule="auto"/>
              <w:jc w:val="center"/>
              <w:rPr>
                <w:rFonts w:ascii="Times New Roman" w:hAnsi="Times New Roman"/>
                <w:b/>
                <w:sz w:val="24"/>
                <w:szCs w:val="24"/>
              </w:rPr>
            </w:pPr>
            <w:r w:rsidRPr="00867F56">
              <w:rPr>
                <w:rFonts w:ascii="Times New Roman" w:hAnsi="Times New Roman"/>
                <w:b/>
                <w:sz w:val="24"/>
                <w:szCs w:val="24"/>
              </w:rPr>
              <w:t>Estimated Annual Federal Cost (rounded)</w:t>
            </w:r>
          </w:p>
        </w:tc>
      </w:tr>
      <w:tr w:rsidR="00F60F4E" w:rsidRPr="00867F56" w14:paraId="623B1FAF" w14:textId="77777777" w:rsidTr="00E20CEF">
        <w:tc>
          <w:tcPr>
            <w:tcW w:w="2965" w:type="dxa"/>
            <w:shd w:val="clear" w:color="auto" w:fill="FFFFFF"/>
            <w:vAlign w:val="bottom"/>
          </w:tcPr>
          <w:p w14:paraId="7408CE73" w14:textId="77777777" w:rsidR="00F60F4E" w:rsidRPr="00867F56" w:rsidRDefault="00F60F4E" w:rsidP="00247EBC">
            <w:pPr>
              <w:spacing w:after="0" w:line="240" w:lineRule="auto"/>
              <w:rPr>
                <w:rFonts w:ascii="Times New Roman" w:hAnsi="Times New Roman"/>
                <w:sz w:val="24"/>
                <w:szCs w:val="24"/>
              </w:rPr>
            </w:pPr>
            <w:r w:rsidRPr="00867F56">
              <w:rPr>
                <w:rFonts w:ascii="Times New Roman" w:hAnsi="Times New Roman"/>
                <w:sz w:val="24"/>
                <w:szCs w:val="24"/>
              </w:rPr>
              <w:t>Analysis and Processing of filings</w:t>
            </w:r>
          </w:p>
        </w:tc>
        <w:tc>
          <w:tcPr>
            <w:tcW w:w="2880" w:type="dxa"/>
            <w:shd w:val="clear" w:color="auto" w:fill="FFFFFF"/>
            <w:vAlign w:val="center"/>
          </w:tcPr>
          <w:p w14:paraId="10E502FF" w14:textId="77777777" w:rsidR="00F60F4E" w:rsidRPr="00867F56" w:rsidRDefault="00916904" w:rsidP="00916904">
            <w:pPr>
              <w:spacing w:after="0" w:line="240" w:lineRule="auto"/>
              <w:jc w:val="right"/>
              <w:rPr>
                <w:rFonts w:ascii="Times New Roman" w:hAnsi="Times New Roman"/>
                <w:sz w:val="24"/>
                <w:szCs w:val="24"/>
              </w:rPr>
            </w:pPr>
            <w:r w:rsidRPr="00867F56">
              <w:rPr>
                <w:rFonts w:ascii="Times New Roman" w:hAnsi="Times New Roman"/>
                <w:sz w:val="24"/>
                <w:szCs w:val="24"/>
              </w:rPr>
              <w:t>8.5</w:t>
            </w:r>
          </w:p>
        </w:tc>
        <w:tc>
          <w:tcPr>
            <w:tcW w:w="3420" w:type="dxa"/>
            <w:shd w:val="clear" w:color="auto" w:fill="FFFFFF"/>
            <w:vAlign w:val="center"/>
          </w:tcPr>
          <w:p w14:paraId="3CB0B5CC" w14:textId="77777777" w:rsidR="00F60F4E" w:rsidRPr="00867F56" w:rsidRDefault="00F60F4E" w:rsidP="00D30BDB">
            <w:pPr>
              <w:spacing w:after="0" w:line="240" w:lineRule="auto"/>
              <w:jc w:val="right"/>
              <w:rPr>
                <w:rFonts w:ascii="Times New Roman" w:hAnsi="Times New Roman"/>
                <w:sz w:val="24"/>
                <w:szCs w:val="24"/>
              </w:rPr>
            </w:pPr>
            <w:r w:rsidRPr="00867F56">
              <w:rPr>
                <w:rFonts w:ascii="Times New Roman" w:hAnsi="Times New Roman"/>
                <w:sz w:val="24"/>
                <w:szCs w:val="24"/>
              </w:rPr>
              <w:t>$</w:t>
            </w:r>
            <w:r w:rsidR="00916904" w:rsidRPr="00867F56">
              <w:rPr>
                <w:rFonts w:ascii="Times New Roman" w:hAnsi="Times New Roman"/>
                <w:sz w:val="24"/>
                <w:szCs w:val="24"/>
              </w:rPr>
              <w:t>1,400,970</w:t>
            </w:r>
          </w:p>
        </w:tc>
      </w:tr>
      <w:tr w:rsidR="00F60F4E" w:rsidRPr="00867F56" w14:paraId="6C64DDC5" w14:textId="77777777" w:rsidTr="00D53FDE">
        <w:tc>
          <w:tcPr>
            <w:tcW w:w="2965" w:type="dxa"/>
            <w:shd w:val="clear" w:color="auto" w:fill="FFFFFF"/>
            <w:vAlign w:val="bottom"/>
          </w:tcPr>
          <w:p w14:paraId="113B6ED8" w14:textId="77777777" w:rsidR="00F60F4E" w:rsidRPr="00867F56" w:rsidRDefault="00F60F4E" w:rsidP="00244BC9">
            <w:pPr>
              <w:spacing w:line="240" w:lineRule="auto"/>
              <w:rPr>
                <w:rFonts w:ascii="Times New Roman" w:hAnsi="Times New Roman"/>
                <w:sz w:val="24"/>
                <w:szCs w:val="24"/>
              </w:rPr>
            </w:pPr>
            <w:r w:rsidRPr="00867F56">
              <w:rPr>
                <w:rFonts w:ascii="Times New Roman" w:hAnsi="Times New Roman"/>
                <w:sz w:val="24"/>
                <w:szCs w:val="24"/>
              </w:rPr>
              <w:t>PRA Administrative Cost</w:t>
            </w:r>
            <w:r w:rsidRPr="00867F56">
              <w:rPr>
                <w:rFonts w:ascii="Times New Roman" w:hAnsi="Times New Roman"/>
                <w:b/>
                <w:sz w:val="24"/>
                <w:szCs w:val="24"/>
              </w:rPr>
              <w:t xml:space="preserve"> </w:t>
            </w:r>
          </w:p>
        </w:tc>
        <w:tc>
          <w:tcPr>
            <w:tcW w:w="2880" w:type="dxa"/>
            <w:shd w:val="clear" w:color="auto" w:fill="FFFFFF"/>
            <w:vAlign w:val="center"/>
          </w:tcPr>
          <w:p w14:paraId="30180805" w14:textId="77777777" w:rsidR="00F60F4E" w:rsidRPr="00867F56" w:rsidRDefault="00F60F4E" w:rsidP="007445A8">
            <w:pPr>
              <w:spacing w:after="0" w:line="240" w:lineRule="auto"/>
              <w:jc w:val="right"/>
              <w:rPr>
                <w:rFonts w:ascii="Times New Roman" w:hAnsi="Times New Roman"/>
                <w:sz w:val="24"/>
                <w:szCs w:val="24"/>
              </w:rPr>
            </w:pPr>
          </w:p>
        </w:tc>
        <w:tc>
          <w:tcPr>
            <w:tcW w:w="3420" w:type="dxa"/>
            <w:shd w:val="clear" w:color="auto" w:fill="auto"/>
            <w:vAlign w:val="center"/>
          </w:tcPr>
          <w:p w14:paraId="24F88075" w14:textId="77777777" w:rsidR="00F60F4E" w:rsidRPr="00867F56" w:rsidRDefault="00F60F4E" w:rsidP="001B5056">
            <w:pPr>
              <w:spacing w:after="0" w:line="240" w:lineRule="auto"/>
              <w:jc w:val="right"/>
              <w:rPr>
                <w:rFonts w:ascii="Times New Roman" w:hAnsi="Times New Roman"/>
                <w:sz w:val="24"/>
                <w:szCs w:val="24"/>
              </w:rPr>
            </w:pPr>
            <w:r w:rsidRPr="00867F56">
              <w:rPr>
                <w:rFonts w:ascii="Times New Roman" w:hAnsi="Times New Roman"/>
                <w:sz w:val="24"/>
                <w:szCs w:val="24"/>
              </w:rPr>
              <w:t>$</w:t>
            </w:r>
            <w:r w:rsidR="001B5056" w:rsidRPr="00867F56">
              <w:rPr>
                <w:rFonts w:ascii="Times New Roman" w:hAnsi="Times New Roman"/>
                <w:sz w:val="24"/>
                <w:szCs w:val="24"/>
              </w:rPr>
              <w:t>4,931</w:t>
            </w:r>
          </w:p>
        </w:tc>
      </w:tr>
      <w:tr w:rsidR="00F60F4E" w:rsidRPr="00867F56" w14:paraId="46B878CB" w14:textId="77777777" w:rsidTr="00D53FDE">
        <w:tc>
          <w:tcPr>
            <w:tcW w:w="2965" w:type="dxa"/>
            <w:shd w:val="clear" w:color="auto" w:fill="FFFFFF"/>
            <w:vAlign w:val="bottom"/>
          </w:tcPr>
          <w:p w14:paraId="749CC387" w14:textId="77777777" w:rsidR="00F60F4E" w:rsidRPr="00867F56" w:rsidRDefault="00244BC9" w:rsidP="00244BC9">
            <w:pPr>
              <w:spacing w:after="0" w:line="240" w:lineRule="auto"/>
              <w:rPr>
                <w:rFonts w:ascii="Times New Roman" w:hAnsi="Times New Roman"/>
                <w:b/>
                <w:sz w:val="24"/>
                <w:szCs w:val="24"/>
              </w:rPr>
            </w:pPr>
            <w:r w:rsidRPr="00867F56">
              <w:rPr>
                <w:rFonts w:ascii="Times New Roman" w:hAnsi="Times New Roman"/>
                <w:b/>
                <w:sz w:val="24"/>
                <w:szCs w:val="24"/>
              </w:rPr>
              <w:t xml:space="preserve">Total for </w:t>
            </w:r>
            <w:r w:rsidR="00D30BDB" w:rsidRPr="00867F56">
              <w:rPr>
                <w:rFonts w:ascii="Times New Roman" w:hAnsi="Times New Roman"/>
                <w:b/>
                <w:sz w:val="24"/>
                <w:szCs w:val="24"/>
              </w:rPr>
              <w:t>FERC-505</w:t>
            </w:r>
          </w:p>
        </w:tc>
        <w:tc>
          <w:tcPr>
            <w:tcW w:w="2880" w:type="dxa"/>
            <w:shd w:val="clear" w:color="auto" w:fill="FFFFFF"/>
            <w:vAlign w:val="center"/>
          </w:tcPr>
          <w:p w14:paraId="3D0600B6" w14:textId="77777777" w:rsidR="00F60F4E" w:rsidRPr="00867F56" w:rsidRDefault="00F60F4E" w:rsidP="007445A8">
            <w:pPr>
              <w:spacing w:after="0" w:line="240" w:lineRule="auto"/>
              <w:jc w:val="right"/>
              <w:rPr>
                <w:rFonts w:ascii="Times New Roman" w:hAnsi="Times New Roman"/>
                <w:sz w:val="24"/>
                <w:szCs w:val="24"/>
              </w:rPr>
            </w:pPr>
          </w:p>
        </w:tc>
        <w:tc>
          <w:tcPr>
            <w:tcW w:w="3420" w:type="dxa"/>
            <w:shd w:val="clear" w:color="auto" w:fill="auto"/>
            <w:vAlign w:val="center"/>
          </w:tcPr>
          <w:p w14:paraId="2A562AE6" w14:textId="77777777" w:rsidR="00F60F4E" w:rsidRPr="00867F56" w:rsidRDefault="00F60F4E" w:rsidP="00943EBC">
            <w:pPr>
              <w:spacing w:after="0" w:line="240" w:lineRule="auto"/>
              <w:jc w:val="right"/>
              <w:rPr>
                <w:rFonts w:ascii="Times New Roman" w:hAnsi="Times New Roman"/>
                <w:sz w:val="24"/>
                <w:szCs w:val="24"/>
              </w:rPr>
            </w:pPr>
            <w:r w:rsidRPr="00867F56">
              <w:rPr>
                <w:rFonts w:ascii="Times New Roman" w:hAnsi="Times New Roman"/>
                <w:sz w:val="24"/>
                <w:szCs w:val="24"/>
              </w:rPr>
              <w:t>$</w:t>
            </w:r>
            <w:r w:rsidR="00916904" w:rsidRPr="00867F56">
              <w:rPr>
                <w:rFonts w:ascii="Times New Roman" w:hAnsi="Times New Roman"/>
                <w:sz w:val="24"/>
                <w:szCs w:val="24"/>
              </w:rPr>
              <w:t>1,405,901</w:t>
            </w:r>
          </w:p>
        </w:tc>
      </w:tr>
    </w:tbl>
    <w:p w14:paraId="2DFEE946" w14:textId="77777777" w:rsidR="00F20B97" w:rsidRPr="00867F56" w:rsidRDefault="00F20B97" w:rsidP="007445A8">
      <w:pPr>
        <w:spacing w:after="0" w:line="240" w:lineRule="auto"/>
        <w:rPr>
          <w:rFonts w:ascii="Times New Roman" w:hAnsi="Times New Roman"/>
          <w:sz w:val="24"/>
          <w:szCs w:val="24"/>
        </w:rPr>
      </w:pPr>
    </w:p>
    <w:p w14:paraId="274800FE" w14:textId="77777777" w:rsidR="00F20B97" w:rsidRPr="00867F56" w:rsidRDefault="00F20B97" w:rsidP="007445A8">
      <w:pPr>
        <w:spacing w:after="0" w:line="240" w:lineRule="auto"/>
        <w:rPr>
          <w:rFonts w:ascii="Times New Roman" w:hAnsi="Times New Roman"/>
          <w:b/>
          <w:sz w:val="24"/>
          <w:szCs w:val="24"/>
        </w:rPr>
      </w:pPr>
      <w:r w:rsidRPr="00867F56">
        <w:rPr>
          <w:rFonts w:ascii="Times New Roman" w:hAnsi="Times New Roman"/>
          <w:b/>
          <w:sz w:val="24"/>
          <w:szCs w:val="24"/>
        </w:rPr>
        <w:t>15. REASONS FOR CHANGES IN BURDEN INCLUDING THE NEED FOR ANY INCREASE</w:t>
      </w:r>
    </w:p>
    <w:p w14:paraId="105ACC98" w14:textId="77777777" w:rsidR="00F20B97" w:rsidRPr="00867F56" w:rsidRDefault="00F20B97" w:rsidP="007445A8">
      <w:pPr>
        <w:spacing w:after="0" w:line="240" w:lineRule="auto"/>
        <w:rPr>
          <w:rFonts w:ascii="Times New Roman" w:hAnsi="Times New Roman"/>
          <w:sz w:val="24"/>
          <w:szCs w:val="24"/>
        </w:rPr>
      </w:pPr>
    </w:p>
    <w:p w14:paraId="06679F2A" w14:textId="77777777" w:rsidR="00DF26B5" w:rsidRPr="00867F56" w:rsidRDefault="00DF26B5" w:rsidP="00450F57">
      <w:pPr>
        <w:spacing w:after="0" w:line="240" w:lineRule="auto"/>
        <w:rPr>
          <w:rFonts w:ascii="Times New Roman" w:hAnsi="Times New Roman"/>
          <w:sz w:val="24"/>
          <w:szCs w:val="24"/>
        </w:rPr>
      </w:pPr>
      <w:r w:rsidRPr="00867F56">
        <w:rPr>
          <w:rFonts w:ascii="Times New Roman" w:hAnsi="Times New Roman"/>
          <w:sz w:val="24"/>
          <w:szCs w:val="24"/>
        </w:rPr>
        <w:t>As directed by Congress in the AWIA, t</w:t>
      </w:r>
      <w:r w:rsidR="00450F57" w:rsidRPr="00867F56">
        <w:rPr>
          <w:rFonts w:ascii="Times New Roman" w:hAnsi="Times New Roman"/>
          <w:sz w:val="24"/>
          <w:szCs w:val="24"/>
        </w:rPr>
        <w:t xml:space="preserve">he Commission </w:t>
      </w:r>
      <w:r w:rsidR="00916904" w:rsidRPr="00867F56">
        <w:rPr>
          <w:rFonts w:ascii="Times New Roman" w:hAnsi="Times New Roman"/>
          <w:sz w:val="24"/>
          <w:szCs w:val="24"/>
        </w:rPr>
        <w:t>revises</w:t>
      </w:r>
      <w:r w:rsidR="001A068C" w:rsidRPr="00867F56">
        <w:rPr>
          <w:rFonts w:ascii="Times New Roman" w:hAnsi="Times New Roman"/>
          <w:sz w:val="24"/>
          <w:szCs w:val="24"/>
        </w:rPr>
        <w:t xml:space="preserve"> </w:t>
      </w:r>
      <w:r w:rsidR="00450F57" w:rsidRPr="00867F56">
        <w:rPr>
          <w:rFonts w:ascii="Times New Roman" w:hAnsi="Times New Roman"/>
          <w:sz w:val="24"/>
          <w:szCs w:val="24"/>
        </w:rPr>
        <w:t>its regulations (affecting FERC-500 and FERC-505) to</w:t>
      </w:r>
      <w:r w:rsidR="00AF5F8A" w:rsidRPr="00867F56">
        <w:rPr>
          <w:rFonts w:ascii="Times New Roman" w:hAnsi="Times New Roman"/>
          <w:sz w:val="24"/>
          <w:szCs w:val="24"/>
        </w:rPr>
        <w:t xml:space="preserve"> incorporate </w:t>
      </w:r>
      <w:r w:rsidR="001A068C" w:rsidRPr="00867F56">
        <w:rPr>
          <w:rFonts w:ascii="Times New Roman" w:hAnsi="Times New Roman"/>
          <w:sz w:val="24"/>
          <w:szCs w:val="24"/>
        </w:rPr>
        <w:t xml:space="preserve">an </w:t>
      </w:r>
      <w:r w:rsidR="00AF5F8A" w:rsidRPr="00867F56">
        <w:rPr>
          <w:rFonts w:ascii="Times New Roman" w:hAnsi="Times New Roman"/>
          <w:sz w:val="24"/>
          <w:szCs w:val="24"/>
        </w:rPr>
        <w:t>expedited</w:t>
      </w:r>
      <w:r w:rsidR="001A068C" w:rsidRPr="00867F56">
        <w:rPr>
          <w:rFonts w:ascii="Times New Roman" w:hAnsi="Times New Roman"/>
          <w:sz w:val="24"/>
          <w:szCs w:val="24"/>
        </w:rPr>
        <w:t xml:space="preserve"> licensing</w:t>
      </w:r>
      <w:r w:rsidR="00AF5F8A" w:rsidRPr="00867F56">
        <w:rPr>
          <w:rFonts w:ascii="Times New Roman" w:hAnsi="Times New Roman"/>
          <w:sz w:val="24"/>
          <w:szCs w:val="24"/>
        </w:rPr>
        <w:t xml:space="preserve"> process</w:t>
      </w:r>
      <w:r w:rsidR="001A068C" w:rsidRPr="00867F56">
        <w:rPr>
          <w:rFonts w:ascii="Times New Roman" w:hAnsi="Times New Roman"/>
          <w:sz w:val="24"/>
          <w:szCs w:val="24"/>
        </w:rPr>
        <w:t xml:space="preserve"> for two types of hydroelectric projects</w:t>
      </w:r>
      <w:r w:rsidRPr="00867F56">
        <w:rPr>
          <w:rFonts w:ascii="Times New Roman" w:hAnsi="Times New Roman"/>
          <w:sz w:val="24"/>
          <w:szCs w:val="24"/>
        </w:rPr>
        <w:t xml:space="preserve">:  (1) </w:t>
      </w:r>
      <w:r w:rsidR="001A068C" w:rsidRPr="00867F56">
        <w:rPr>
          <w:rFonts w:ascii="Times New Roman" w:hAnsi="Times New Roman"/>
          <w:sz w:val="24"/>
          <w:szCs w:val="24"/>
        </w:rPr>
        <w:t>qualifying facilities at nonpowered dams</w:t>
      </w:r>
      <w:r w:rsidRPr="00867F56">
        <w:rPr>
          <w:rFonts w:ascii="Times New Roman" w:hAnsi="Times New Roman"/>
          <w:sz w:val="24"/>
          <w:szCs w:val="24"/>
        </w:rPr>
        <w:t>,</w:t>
      </w:r>
      <w:r w:rsidR="001A068C" w:rsidRPr="00867F56">
        <w:rPr>
          <w:rFonts w:ascii="Times New Roman" w:hAnsi="Times New Roman"/>
          <w:sz w:val="24"/>
          <w:szCs w:val="24"/>
        </w:rPr>
        <w:t xml:space="preserve"> and </w:t>
      </w:r>
      <w:r w:rsidRPr="00867F56">
        <w:rPr>
          <w:rFonts w:ascii="Times New Roman" w:hAnsi="Times New Roman"/>
          <w:sz w:val="24"/>
          <w:szCs w:val="24"/>
        </w:rPr>
        <w:t xml:space="preserve">(2) </w:t>
      </w:r>
      <w:r w:rsidR="001A068C" w:rsidRPr="00867F56">
        <w:rPr>
          <w:rFonts w:ascii="Times New Roman" w:hAnsi="Times New Roman"/>
          <w:sz w:val="24"/>
          <w:szCs w:val="24"/>
        </w:rPr>
        <w:t>closed-loop pumped storage projects.</w:t>
      </w:r>
      <w:r w:rsidRPr="00867F56">
        <w:rPr>
          <w:rFonts w:ascii="Times New Roman" w:hAnsi="Times New Roman"/>
          <w:sz w:val="24"/>
          <w:szCs w:val="24"/>
        </w:rPr>
        <w:t xml:space="preserve">  The expedited licensing process i</w:t>
      </w:r>
      <w:r w:rsidR="00916904" w:rsidRPr="00867F56">
        <w:rPr>
          <w:rFonts w:ascii="Times New Roman" w:hAnsi="Times New Roman"/>
          <w:sz w:val="24"/>
          <w:szCs w:val="24"/>
        </w:rPr>
        <w:t>s an optional process that will</w:t>
      </w:r>
      <w:r w:rsidRPr="00867F56" w:rsidDel="00DF26B5">
        <w:rPr>
          <w:rFonts w:ascii="Times New Roman" w:hAnsi="Times New Roman"/>
          <w:sz w:val="24"/>
          <w:szCs w:val="24"/>
        </w:rPr>
        <w:t xml:space="preserve"> </w:t>
      </w:r>
      <w:r w:rsidRPr="00867F56">
        <w:rPr>
          <w:rFonts w:ascii="Times New Roman" w:hAnsi="Times New Roman"/>
          <w:sz w:val="24"/>
          <w:szCs w:val="24"/>
        </w:rPr>
        <w:t>affect only those entities that file applications with the Commission for these two project types along with a request to use the expedited process.  The associated inc</w:t>
      </w:r>
      <w:r w:rsidR="00916904" w:rsidRPr="00867F56">
        <w:rPr>
          <w:rFonts w:ascii="Times New Roman" w:hAnsi="Times New Roman"/>
          <w:sz w:val="24"/>
          <w:szCs w:val="24"/>
        </w:rPr>
        <w:t>rease in burden is slight (i.e.</w:t>
      </w:r>
      <w:r w:rsidRPr="00867F56">
        <w:rPr>
          <w:rFonts w:ascii="Times New Roman" w:hAnsi="Times New Roman"/>
          <w:sz w:val="24"/>
          <w:szCs w:val="24"/>
        </w:rPr>
        <w:t xml:space="preserve"> filing the request to use the expedited licensing process).  As noted above, the requirement that an applicant file a request for authorization to use the expedited process concurrently with its license application is necessary for the Commission to carry out its responsibilities under the FPA, as amended by the AWIA.  This information will enable the Commission to review the features of the proposed project and make a determination on whether the proposed project meets the statutory criteria enumerated in the AWIA, as well as the early consultation requirements that the Commission has determined will help it seek to ensure that the proposed project’s license application will be acted on no later than two years after the date of application filing.</w:t>
      </w:r>
    </w:p>
    <w:p w14:paraId="5051CDB9" w14:textId="77777777" w:rsidR="00450F57" w:rsidRPr="00867F56" w:rsidRDefault="00450F57" w:rsidP="00450F57">
      <w:pPr>
        <w:spacing w:after="0" w:line="240" w:lineRule="auto"/>
        <w:rPr>
          <w:rFonts w:ascii="Times New Roman" w:hAnsi="Times New Roman"/>
          <w:b/>
          <w:bCs/>
          <w:sz w:val="24"/>
          <w:szCs w:val="24"/>
          <w:u w:val="single"/>
        </w:rPr>
      </w:pPr>
      <w:bookmarkStart w:id="1" w:name="_bmk1"/>
    </w:p>
    <w:p w14:paraId="6D4E0646" w14:textId="77777777" w:rsidR="00ED6497" w:rsidRPr="00867F56" w:rsidRDefault="006955A3" w:rsidP="00ED6497">
      <w:pPr>
        <w:spacing w:after="0" w:line="240" w:lineRule="auto"/>
        <w:rPr>
          <w:rFonts w:ascii="Times New Roman" w:hAnsi="Times New Roman"/>
          <w:bCs/>
          <w:sz w:val="24"/>
          <w:szCs w:val="24"/>
        </w:rPr>
      </w:pPr>
      <w:r w:rsidRPr="00867F56">
        <w:rPr>
          <w:rFonts w:ascii="Times New Roman" w:hAnsi="Times New Roman"/>
          <w:bCs/>
          <w:sz w:val="24"/>
          <w:szCs w:val="24"/>
        </w:rPr>
        <w:t>The following table</w:t>
      </w:r>
      <w:r w:rsidR="00C731FD" w:rsidRPr="00867F56">
        <w:rPr>
          <w:rFonts w:ascii="Times New Roman" w:hAnsi="Times New Roman"/>
          <w:bCs/>
          <w:sz w:val="24"/>
          <w:szCs w:val="24"/>
        </w:rPr>
        <w:t>s</w:t>
      </w:r>
      <w:r w:rsidRPr="00867F56">
        <w:rPr>
          <w:rFonts w:ascii="Times New Roman" w:hAnsi="Times New Roman"/>
          <w:bCs/>
          <w:sz w:val="24"/>
          <w:szCs w:val="24"/>
        </w:rPr>
        <w:t xml:space="preserve"> show </w:t>
      </w:r>
      <w:r w:rsidR="00C731FD" w:rsidRPr="00867F56">
        <w:rPr>
          <w:rFonts w:ascii="Times New Roman" w:hAnsi="Times New Roman"/>
          <w:bCs/>
          <w:sz w:val="24"/>
          <w:szCs w:val="24"/>
        </w:rPr>
        <w:t xml:space="preserve">the </w:t>
      </w:r>
      <w:r w:rsidRPr="00867F56">
        <w:rPr>
          <w:rFonts w:ascii="Times New Roman" w:hAnsi="Times New Roman"/>
          <w:bCs/>
          <w:sz w:val="24"/>
          <w:szCs w:val="24"/>
        </w:rPr>
        <w:t>changes and are based on ROCIS (and reginfo.gov) metadata</w:t>
      </w:r>
      <w:r w:rsidR="00C731FD" w:rsidRPr="00867F56">
        <w:rPr>
          <w:rFonts w:ascii="Times New Roman" w:hAnsi="Times New Roman"/>
          <w:bCs/>
          <w:sz w:val="24"/>
          <w:szCs w:val="24"/>
        </w:rPr>
        <w:t>.</w:t>
      </w:r>
      <w:bookmarkEnd w:id="1"/>
    </w:p>
    <w:p w14:paraId="6553A3FD" w14:textId="77777777" w:rsidR="00940746" w:rsidRPr="00867F56" w:rsidRDefault="00940746" w:rsidP="00ED6497">
      <w:pPr>
        <w:spacing w:after="0" w:line="240" w:lineRule="auto"/>
        <w:rPr>
          <w:rFonts w:ascii="Times New Roman" w:hAnsi="Times New Roman"/>
          <w:bCs/>
          <w:sz w:val="24"/>
          <w:szCs w:val="24"/>
        </w:rPr>
      </w:pPr>
    </w:p>
    <w:tbl>
      <w:tblPr>
        <w:tblW w:w="103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333"/>
        <w:gridCol w:w="1416"/>
        <w:gridCol w:w="1916"/>
        <w:gridCol w:w="1583"/>
        <w:gridCol w:w="2354"/>
      </w:tblGrid>
      <w:tr w:rsidR="00CB50F7" w:rsidRPr="00867F56" w14:paraId="54E669E5" w14:textId="77777777" w:rsidTr="00B80B04">
        <w:trPr>
          <w:trHeight w:val="885"/>
        </w:trPr>
        <w:tc>
          <w:tcPr>
            <w:tcW w:w="1728" w:type="dxa"/>
            <w:shd w:val="clear" w:color="auto" w:fill="D9D9D9"/>
            <w:vAlign w:val="bottom"/>
          </w:tcPr>
          <w:p w14:paraId="54C704CA" w14:textId="77777777" w:rsidR="007D2C7C" w:rsidRPr="00867F56" w:rsidRDefault="007D2C7C" w:rsidP="00ED6497">
            <w:pPr>
              <w:spacing w:after="0" w:line="240" w:lineRule="auto"/>
              <w:jc w:val="center"/>
              <w:rPr>
                <w:rFonts w:ascii="Times New Roman" w:hAnsi="Times New Roman"/>
                <w:b/>
                <w:sz w:val="24"/>
                <w:szCs w:val="24"/>
              </w:rPr>
            </w:pPr>
            <w:r w:rsidRPr="00867F56">
              <w:rPr>
                <w:rFonts w:ascii="Times New Roman" w:hAnsi="Times New Roman"/>
                <w:b/>
                <w:sz w:val="24"/>
                <w:szCs w:val="24"/>
              </w:rPr>
              <w:t>FERC-500</w:t>
            </w:r>
          </w:p>
        </w:tc>
        <w:tc>
          <w:tcPr>
            <w:tcW w:w="1333" w:type="dxa"/>
            <w:shd w:val="clear" w:color="auto" w:fill="D9D9D9"/>
            <w:vAlign w:val="bottom"/>
          </w:tcPr>
          <w:p w14:paraId="720F9817" w14:textId="77777777" w:rsidR="007D2C7C" w:rsidRPr="00867F56" w:rsidRDefault="007D2C7C" w:rsidP="00ED6497">
            <w:pPr>
              <w:spacing w:after="0" w:line="240" w:lineRule="auto"/>
              <w:jc w:val="center"/>
              <w:rPr>
                <w:rFonts w:ascii="Times New Roman" w:hAnsi="Times New Roman"/>
                <w:b/>
                <w:sz w:val="24"/>
                <w:szCs w:val="24"/>
              </w:rPr>
            </w:pPr>
            <w:r w:rsidRPr="00867F56">
              <w:rPr>
                <w:rFonts w:ascii="Times New Roman" w:hAnsi="Times New Roman"/>
                <w:b/>
                <w:sz w:val="24"/>
                <w:szCs w:val="24"/>
              </w:rPr>
              <w:t>Total Request</w:t>
            </w:r>
          </w:p>
        </w:tc>
        <w:tc>
          <w:tcPr>
            <w:tcW w:w="1416" w:type="dxa"/>
            <w:shd w:val="clear" w:color="auto" w:fill="D9D9D9"/>
            <w:vAlign w:val="bottom"/>
          </w:tcPr>
          <w:p w14:paraId="5B4A9AF9" w14:textId="77777777" w:rsidR="007D2C7C" w:rsidRPr="00867F56" w:rsidRDefault="007D2C7C" w:rsidP="00ED6497">
            <w:pPr>
              <w:spacing w:after="0" w:line="240" w:lineRule="auto"/>
              <w:jc w:val="center"/>
              <w:rPr>
                <w:rFonts w:ascii="Times New Roman" w:hAnsi="Times New Roman"/>
                <w:b/>
                <w:sz w:val="24"/>
                <w:szCs w:val="24"/>
              </w:rPr>
            </w:pPr>
            <w:r w:rsidRPr="00867F56">
              <w:rPr>
                <w:rFonts w:ascii="Times New Roman" w:hAnsi="Times New Roman"/>
                <w:b/>
                <w:sz w:val="24"/>
                <w:szCs w:val="24"/>
              </w:rPr>
              <w:t>Previously Approved</w:t>
            </w:r>
          </w:p>
        </w:tc>
        <w:tc>
          <w:tcPr>
            <w:tcW w:w="1916" w:type="dxa"/>
            <w:shd w:val="clear" w:color="auto" w:fill="D9D9D9"/>
            <w:vAlign w:val="bottom"/>
          </w:tcPr>
          <w:p w14:paraId="58281C98" w14:textId="77777777" w:rsidR="007D2C7C" w:rsidRPr="00867F56" w:rsidRDefault="000F6A1E" w:rsidP="00ED6497">
            <w:pPr>
              <w:spacing w:after="0" w:line="240" w:lineRule="auto"/>
              <w:jc w:val="center"/>
              <w:rPr>
                <w:rFonts w:ascii="Times New Roman" w:hAnsi="Times New Roman"/>
                <w:b/>
                <w:sz w:val="24"/>
                <w:szCs w:val="24"/>
              </w:rPr>
            </w:pPr>
            <w:r w:rsidRPr="00867F56">
              <w:rPr>
                <w:rFonts w:ascii="Times New Roman" w:hAnsi="Times New Roman"/>
                <w:b/>
                <w:sz w:val="24"/>
                <w:szCs w:val="24"/>
              </w:rPr>
              <w:t>Program Change Due to New Statute</w:t>
            </w:r>
          </w:p>
        </w:tc>
        <w:tc>
          <w:tcPr>
            <w:tcW w:w="1583" w:type="dxa"/>
            <w:shd w:val="clear" w:color="auto" w:fill="D9D9D9"/>
            <w:vAlign w:val="bottom"/>
          </w:tcPr>
          <w:p w14:paraId="15DDE0C4" w14:textId="77777777" w:rsidR="007D2C7C" w:rsidRPr="00867F56" w:rsidRDefault="007D2C7C" w:rsidP="00ED6497">
            <w:pPr>
              <w:spacing w:after="0" w:line="240" w:lineRule="auto"/>
              <w:jc w:val="center"/>
              <w:rPr>
                <w:rFonts w:ascii="Times New Roman" w:hAnsi="Times New Roman"/>
                <w:b/>
                <w:sz w:val="24"/>
                <w:szCs w:val="24"/>
              </w:rPr>
            </w:pPr>
            <w:r w:rsidRPr="00867F56">
              <w:rPr>
                <w:rFonts w:ascii="Times New Roman" w:hAnsi="Times New Roman"/>
                <w:b/>
                <w:sz w:val="24"/>
                <w:szCs w:val="24"/>
              </w:rPr>
              <w:t>Change Due to Agency Discretion</w:t>
            </w:r>
          </w:p>
        </w:tc>
        <w:tc>
          <w:tcPr>
            <w:tcW w:w="2354" w:type="dxa"/>
            <w:shd w:val="clear" w:color="auto" w:fill="D9D9D9"/>
          </w:tcPr>
          <w:p w14:paraId="7C04881B" w14:textId="77777777" w:rsidR="007D2C7C" w:rsidRPr="00867F56" w:rsidRDefault="000F6A1E" w:rsidP="00ED6497">
            <w:pPr>
              <w:spacing w:after="0" w:line="240" w:lineRule="auto"/>
              <w:jc w:val="center"/>
              <w:rPr>
                <w:rFonts w:ascii="Times New Roman" w:hAnsi="Times New Roman"/>
                <w:b/>
                <w:sz w:val="24"/>
                <w:szCs w:val="24"/>
              </w:rPr>
            </w:pPr>
            <w:r w:rsidRPr="00867F56">
              <w:rPr>
                <w:rFonts w:ascii="Times New Roman" w:hAnsi="Times New Roman"/>
                <w:b/>
                <w:sz w:val="24"/>
                <w:szCs w:val="24"/>
              </w:rPr>
              <w:t>Change due to Adjustment in Estimate</w:t>
            </w:r>
          </w:p>
        </w:tc>
      </w:tr>
      <w:tr w:rsidR="00CB50F7" w:rsidRPr="00867F56" w14:paraId="55E34DE7" w14:textId="77777777" w:rsidTr="00CB50F7">
        <w:trPr>
          <w:trHeight w:val="758"/>
        </w:trPr>
        <w:tc>
          <w:tcPr>
            <w:tcW w:w="1728" w:type="dxa"/>
            <w:shd w:val="clear" w:color="auto" w:fill="auto"/>
            <w:vAlign w:val="bottom"/>
          </w:tcPr>
          <w:p w14:paraId="26795A39" w14:textId="77777777" w:rsidR="007D2C7C" w:rsidRPr="00867F56" w:rsidRDefault="007D2C7C" w:rsidP="00ED6497">
            <w:pPr>
              <w:spacing w:line="240" w:lineRule="auto"/>
              <w:jc w:val="center"/>
              <w:rPr>
                <w:rFonts w:ascii="Times New Roman" w:hAnsi="Times New Roman"/>
                <w:sz w:val="24"/>
                <w:szCs w:val="24"/>
              </w:rPr>
            </w:pPr>
            <w:r w:rsidRPr="00867F56">
              <w:rPr>
                <w:rFonts w:ascii="Times New Roman" w:hAnsi="Times New Roman"/>
                <w:sz w:val="24"/>
                <w:szCs w:val="24"/>
              </w:rPr>
              <w:t>Annual Number of Responses</w:t>
            </w:r>
          </w:p>
        </w:tc>
        <w:tc>
          <w:tcPr>
            <w:tcW w:w="1333" w:type="dxa"/>
            <w:shd w:val="clear" w:color="auto" w:fill="auto"/>
            <w:vAlign w:val="bottom"/>
          </w:tcPr>
          <w:p w14:paraId="188702FE" w14:textId="77777777" w:rsidR="007D2C7C" w:rsidRPr="00867F56" w:rsidRDefault="007D2C7C" w:rsidP="00130FC3">
            <w:pPr>
              <w:spacing w:after="0" w:line="240" w:lineRule="auto"/>
              <w:jc w:val="right"/>
              <w:rPr>
                <w:rFonts w:ascii="Times New Roman" w:hAnsi="Times New Roman"/>
                <w:sz w:val="24"/>
                <w:szCs w:val="24"/>
              </w:rPr>
            </w:pPr>
            <w:r w:rsidRPr="00867F56">
              <w:rPr>
                <w:rFonts w:ascii="Times New Roman" w:hAnsi="Times New Roman"/>
                <w:sz w:val="24"/>
                <w:szCs w:val="24"/>
              </w:rPr>
              <w:t>520</w:t>
            </w:r>
          </w:p>
        </w:tc>
        <w:tc>
          <w:tcPr>
            <w:tcW w:w="1416" w:type="dxa"/>
            <w:shd w:val="clear" w:color="auto" w:fill="auto"/>
            <w:vAlign w:val="bottom"/>
          </w:tcPr>
          <w:p w14:paraId="0E8A8C4A" w14:textId="77777777" w:rsidR="007D2C7C" w:rsidRPr="00867F56" w:rsidRDefault="007D2C7C" w:rsidP="00ED6497">
            <w:pPr>
              <w:spacing w:after="0" w:line="240" w:lineRule="auto"/>
              <w:jc w:val="right"/>
              <w:rPr>
                <w:rFonts w:ascii="Times New Roman" w:hAnsi="Times New Roman"/>
                <w:sz w:val="24"/>
                <w:szCs w:val="24"/>
              </w:rPr>
            </w:pPr>
            <w:r w:rsidRPr="00867F56">
              <w:rPr>
                <w:rFonts w:ascii="Times New Roman" w:hAnsi="Times New Roman"/>
                <w:sz w:val="24"/>
                <w:szCs w:val="24"/>
              </w:rPr>
              <w:t>515</w:t>
            </w:r>
          </w:p>
        </w:tc>
        <w:tc>
          <w:tcPr>
            <w:tcW w:w="1916" w:type="dxa"/>
            <w:shd w:val="clear" w:color="auto" w:fill="auto"/>
            <w:vAlign w:val="bottom"/>
          </w:tcPr>
          <w:p w14:paraId="7434A754" w14:textId="77777777" w:rsidR="007D2C7C" w:rsidRPr="00867F56" w:rsidRDefault="000F6A1E" w:rsidP="00ED6497">
            <w:pPr>
              <w:spacing w:after="0" w:line="240" w:lineRule="auto"/>
              <w:jc w:val="right"/>
              <w:rPr>
                <w:rFonts w:ascii="Times New Roman" w:hAnsi="Times New Roman"/>
                <w:sz w:val="24"/>
                <w:szCs w:val="24"/>
              </w:rPr>
            </w:pPr>
            <w:r w:rsidRPr="00867F56">
              <w:rPr>
                <w:rFonts w:ascii="Times New Roman" w:hAnsi="Times New Roman"/>
                <w:sz w:val="24"/>
                <w:szCs w:val="24"/>
              </w:rPr>
              <w:t>5</w:t>
            </w:r>
          </w:p>
        </w:tc>
        <w:tc>
          <w:tcPr>
            <w:tcW w:w="1583" w:type="dxa"/>
            <w:shd w:val="clear" w:color="auto" w:fill="auto"/>
            <w:vAlign w:val="bottom"/>
          </w:tcPr>
          <w:p w14:paraId="2304476A" w14:textId="77777777" w:rsidR="007D2C7C" w:rsidRPr="00867F56" w:rsidRDefault="000F6A1E" w:rsidP="00130FC3">
            <w:pPr>
              <w:spacing w:after="0" w:line="240" w:lineRule="auto"/>
              <w:jc w:val="right"/>
              <w:rPr>
                <w:rFonts w:ascii="Times New Roman" w:hAnsi="Times New Roman"/>
                <w:sz w:val="24"/>
                <w:szCs w:val="24"/>
              </w:rPr>
            </w:pPr>
            <w:r w:rsidRPr="00867F56">
              <w:rPr>
                <w:rFonts w:ascii="Times New Roman" w:hAnsi="Times New Roman"/>
                <w:sz w:val="24"/>
                <w:szCs w:val="24"/>
              </w:rPr>
              <w:t>0</w:t>
            </w:r>
          </w:p>
        </w:tc>
        <w:tc>
          <w:tcPr>
            <w:tcW w:w="2354" w:type="dxa"/>
            <w:vAlign w:val="bottom"/>
          </w:tcPr>
          <w:p w14:paraId="763477C2" w14:textId="77777777" w:rsidR="007D2C7C" w:rsidRPr="00867F56" w:rsidRDefault="000F6A1E" w:rsidP="000F6A1E">
            <w:pPr>
              <w:spacing w:after="0" w:line="240" w:lineRule="auto"/>
              <w:jc w:val="right"/>
              <w:rPr>
                <w:rFonts w:ascii="Times New Roman" w:hAnsi="Times New Roman"/>
                <w:sz w:val="24"/>
                <w:szCs w:val="24"/>
              </w:rPr>
            </w:pPr>
            <w:r w:rsidRPr="00867F56">
              <w:rPr>
                <w:rFonts w:ascii="Times New Roman" w:hAnsi="Times New Roman"/>
                <w:sz w:val="24"/>
                <w:szCs w:val="24"/>
              </w:rPr>
              <w:t>0</w:t>
            </w:r>
          </w:p>
        </w:tc>
      </w:tr>
      <w:tr w:rsidR="00CB50F7" w:rsidRPr="00867F56" w14:paraId="16E6C5C3" w14:textId="77777777" w:rsidTr="00CB50F7">
        <w:trPr>
          <w:trHeight w:val="548"/>
        </w:trPr>
        <w:tc>
          <w:tcPr>
            <w:tcW w:w="1728" w:type="dxa"/>
            <w:shd w:val="clear" w:color="auto" w:fill="auto"/>
            <w:vAlign w:val="bottom"/>
          </w:tcPr>
          <w:p w14:paraId="0C307DA6" w14:textId="77777777" w:rsidR="007D2C7C" w:rsidRPr="00867F56" w:rsidRDefault="007D2C7C" w:rsidP="00ED6497">
            <w:pPr>
              <w:spacing w:line="240" w:lineRule="auto"/>
              <w:jc w:val="center"/>
              <w:rPr>
                <w:rFonts w:ascii="Times New Roman" w:hAnsi="Times New Roman"/>
                <w:sz w:val="24"/>
                <w:szCs w:val="24"/>
              </w:rPr>
            </w:pPr>
            <w:r w:rsidRPr="00867F56">
              <w:rPr>
                <w:rFonts w:ascii="Times New Roman" w:hAnsi="Times New Roman"/>
                <w:sz w:val="24"/>
                <w:szCs w:val="24"/>
              </w:rPr>
              <w:t>Annual Time Burden (Hr.)</w:t>
            </w:r>
          </w:p>
        </w:tc>
        <w:tc>
          <w:tcPr>
            <w:tcW w:w="1333" w:type="dxa"/>
            <w:shd w:val="clear" w:color="auto" w:fill="auto"/>
            <w:vAlign w:val="bottom"/>
          </w:tcPr>
          <w:p w14:paraId="3B50FDE8" w14:textId="77777777" w:rsidR="007D2C7C" w:rsidRPr="00867F56" w:rsidRDefault="007D2C7C" w:rsidP="00ED6497">
            <w:pPr>
              <w:spacing w:after="0" w:line="240" w:lineRule="auto"/>
              <w:jc w:val="right"/>
              <w:rPr>
                <w:rFonts w:ascii="Times New Roman" w:hAnsi="Times New Roman"/>
                <w:sz w:val="24"/>
                <w:szCs w:val="24"/>
              </w:rPr>
            </w:pPr>
            <w:r w:rsidRPr="00867F56">
              <w:rPr>
                <w:rFonts w:ascii="Times New Roman" w:hAnsi="Times New Roman"/>
                <w:sz w:val="24"/>
                <w:szCs w:val="24"/>
              </w:rPr>
              <w:t>321,922</w:t>
            </w:r>
          </w:p>
        </w:tc>
        <w:tc>
          <w:tcPr>
            <w:tcW w:w="1416" w:type="dxa"/>
            <w:shd w:val="clear" w:color="auto" w:fill="auto"/>
            <w:vAlign w:val="bottom"/>
          </w:tcPr>
          <w:p w14:paraId="2D297464" w14:textId="77777777" w:rsidR="007D2C7C" w:rsidRPr="00867F56" w:rsidRDefault="007D2C7C" w:rsidP="00ED6497">
            <w:pPr>
              <w:spacing w:after="0" w:line="240" w:lineRule="auto"/>
              <w:jc w:val="right"/>
              <w:rPr>
                <w:rFonts w:ascii="Times New Roman" w:hAnsi="Times New Roman"/>
                <w:sz w:val="24"/>
                <w:szCs w:val="24"/>
              </w:rPr>
            </w:pPr>
            <w:r w:rsidRPr="00867F56">
              <w:rPr>
                <w:rFonts w:ascii="Times New Roman" w:hAnsi="Times New Roman"/>
                <w:sz w:val="24"/>
                <w:szCs w:val="24"/>
              </w:rPr>
              <w:t>321,722</w:t>
            </w:r>
          </w:p>
        </w:tc>
        <w:tc>
          <w:tcPr>
            <w:tcW w:w="1916" w:type="dxa"/>
            <w:shd w:val="clear" w:color="auto" w:fill="auto"/>
            <w:vAlign w:val="bottom"/>
          </w:tcPr>
          <w:p w14:paraId="2A62E244" w14:textId="77777777" w:rsidR="007D2C7C" w:rsidRPr="00867F56" w:rsidRDefault="000F6A1E" w:rsidP="00ED6497">
            <w:pPr>
              <w:spacing w:after="0" w:line="240" w:lineRule="auto"/>
              <w:jc w:val="right"/>
              <w:rPr>
                <w:rFonts w:ascii="Times New Roman" w:hAnsi="Times New Roman"/>
                <w:sz w:val="24"/>
                <w:szCs w:val="24"/>
              </w:rPr>
            </w:pPr>
            <w:r w:rsidRPr="00867F56">
              <w:rPr>
                <w:rFonts w:ascii="Times New Roman" w:hAnsi="Times New Roman"/>
                <w:sz w:val="24"/>
                <w:szCs w:val="24"/>
              </w:rPr>
              <w:t>200</w:t>
            </w:r>
          </w:p>
        </w:tc>
        <w:tc>
          <w:tcPr>
            <w:tcW w:w="1583" w:type="dxa"/>
            <w:shd w:val="clear" w:color="auto" w:fill="auto"/>
            <w:vAlign w:val="bottom"/>
          </w:tcPr>
          <w:p w14:paraId="2E8F1E8D" w14:textId="77777777" w:rsidR="007D2C7C" w:rsidRPr="00867F56" w:rsidRDefault="000F6A1E" w:rsidP="00ED6497">
            <w:pPr>
              <w:spacing w:after="0" w:line="240" w:lineRule="auto"/>
              <w:jc w:val="right"/>
              <w:rPr>
                <w:rFonts w:ascii="Times New Roman" w:hAnsi="Times New Roman"/>
                <w:sz w:val="24"/>
                <w:szCs w:val="24"/>
              </w:rPr>
            </w:pPr>
            <w:r w:rsidRPr="00867F56">
              <w:rPr>
                <w:rFonts w:ascii="Times New Roman" w:hAnsi="Times New Roman"/>
                <w:sz w:val="24"/>
                <w:szCs w:val="24"/>
              </w:rPr>
              <w:t>0</w:t>
            </w:r>
          </w:p>
        </w:tc>
        <w:tc>
          <w:tcPr>
            <w:tcW w:w="2354" w:type="dxa"/>
            <w:vAlign w:val="bottom"/>
          </w:tcPr>
          <w:p w14:paraId="4393C484" w14:textId="77777777" w:rsidR="007D2C7C" w:rsidRPr="00867F56" w:rsidRDefault="000F6A1E" w:rsidP="000F6A1E">
            <w:pPr>
              <w:spacing w:after="0" w:line="240" w:lineRule="auto"/>
              <w:jc w:val="right"/>
              <w:rPr>
                <w:rFonts w:ascii="Times New Roman" w:hAnsi="Times New Roman"/>
                <w:sz w:val="24"/>
                <w:szCs w:val="24"/>
              </w:rPr>
            </w:pPr>
            <w:r w:rsidRPr="00867F56">
              <w:rPr>
                <w:rFonts w:ascii="Times New Roman" w:hAnsi="Times New Roman"/>
                <w:sz w:val="24"/>
                <w:szCs w:val="24"/>
              </w:rPr>
              <w:t>0</w:t>
            </w:r>
          </w:p>
        </w:tc>
      </w:tr>
      <w:tr w:rsidR="00CB50F7" w:rsidRPr="00867F56" w14:paraId="203ECE97" w14:textId="77777777" w:rsidTr="00CB50F7">
        <w:trPr>
          <w:trHeight w:val="475"/>
        </w:trPr>
        <w:tc>
          <w:tcPr>
            <w:tcW w:w="1728" w:type="dxa"/>
            <w:shd w:val="clear" w:color="auto" w:fill="auto"/>
            <w:vAlign w:val="bottom"/>
          </w:tcPr>
          <w:p w14:paraId="2E3D7A18" w14:textId="77777777" w:rsidR="007D2C7C" w:rsidRPr="00867F56" w:rsidRDefault="007D2C7C" w:rsidP="00ED6497">
            <w:pPr>
              <w:spacing w:line="240" w:lineRule="auto"/>
              <w:jc w:val="center"/>
              <w:rPr>
                <w:rFonts w:ascii="Times New Roman" w:hAnsi="Times New Roman"/>
                <w:sz w:val="24"/>
                <w:szCs w:val="24"/>
              </w:rPr>
            </w:pPr>
            <w:r w:rsidRPr="00867F56">
              <w:rPr>
                <w:rFonts w:ascii="Times New Roman" w:hAnsi="Times New Roman"/>
                <w:sz w:val="24"/>
                <w:szCs w:val="24"/>
              </w:rPr>
              <w:t>Annual Cost Burden ($)</w:t>
            </w:r>
          </w:p>
        </w:tc>
        <w:tc>
          <w:tcPr>
            <w:tcW w:w="1333" w:type="dxa"/>
            <w:shd w:val="clear" w:color="auto" w:fill="auto"/>
            <w:vAlign w:val="bottom"/>
          </w:tcPr>
          <w:p w14:paraId="0781C3AA" w14:textId="77777777" w:rsidR="007D2C7C" w:rsidRPr="00867F56" w:rsidRDefault="007D2C7C" w:rsidP="00ED6497">
            <w:pPr>
              <w:spacing w:line="240" w:lineRule="auto"/>
              <w:jc w:val="right"/>
              <w:rPr>
                <w:rFonts w:ascii="Times New Roman" w:hAnsi="Times New Roman"/>
                <w:sz w:val="24"/>
                <w:szCs w:val="24"/>
              </w:rPr>
            </w:pPr>
            <w:r w:rsidRPr="00867F56">
              <w:rPr>
                <w:rFonts w:ascii="Times New Roman" w:hAnsi="Times New Roman"/>
                <w:sz w:val="24"/>
                <w:szCs w:val="24"/>
              </w:rPr>
              <w:t>$ 0</w:t>
            </w:r>
          </w:p>
        </w:tc>
        <w:tc>
          <w:tcPr>
            <w:tcW w:w="1416" w:type="dxa"/>
            <w:shd w:val="clear" w:color="auto" w:fill="auto"/>
            <w:vAlign w:val="bottom"/>
          </w:tcPr>
          <w:p w14:paraId="183BF52D" w14:textId="77777777" w:rsidR="007D2C7C" w:rsidRPr="00867F56" w:rsidRDefault="007D2C7C" w:rsidP="00ED6497">
            <w:pPr>
              <w:spacing w:line="240" w:lineRule="auto"/>
              <w:jc w:val="right"/>
              <w:rPr>
                <w:rFonts w:ascii="Times New Roman" w:hAnsi="Times New Roman"/>
                <w:sz w:val="24"/>
                <w:szCs w:val="24"/>
              </w:rPr>
            </w:pPr>
            <w:r w:rsidRPr="00867F56">
              <w:rPr>
                <w:rFonts w:ascii="Times New Roman" w:hAnsi="Times New Roman"/>
                <w:sz w:val="24"/>
                <w:szCs w:val="24"/>
              </w:rPr>
              <w:t>$ 0</w:t>
            </w:r>
          </w:p>
        </w:tc>
        <w:tc>
          <w:tcPr>
            <w:tcW w:w="1916" w:type="dxa"/>
            <w:shd w:val="clear" w:color="auto" w:fill="auto"/>
            <w:vAlign w:val="bottom"/>
          </w:tcPr>
          <w:p w14:paraId="4F397D76" w14:textId="77777777" w:rsidR="007D2C7C" w:rsidRPr="00867F56" w:rsidRDefault="007D2C7C" w:rsidP="00ED6497">
            <w:pPr>
              <w:spacing w:line="240" w:lineRule="auto"/>
              <w:jc w:val="right"/>
              <w:rPr>
                <w:rFonts w:ascii="Times New Roman" w:hAnsi="Times New Roman"/>
                <w:sz w:val="24"/>
                <w:szCs w:val="24"/>
              </w:rPr>
            </w:pPr>
            <w:r w:rsidRPr="00867F56">
              <w:rPr>
                <w:rFonts w:ascii="Times New Roman" w:hAnsi="Times New Roman"/>
                <w:sz w:val="24"/>
                <w:szCs w:val="24"/>
              </w:rPr>
              <w:t>$ 0</w:t>
            </w:r>
          </w:p>
        </w:tc>
        <w:tc>
          <w:tcPr>
            <w:tcW w:w="1583" w:type="dxa"/>
            <w:shd w:val="clear" w:color="auto" w:fill="auto"/>
            <w:vAlign w:val="bottom"/>
          </w:tcPr>
          <w:p w14:paraId="6B8F07F5" w14:textId="77777777" w:rsidR="007D2C7C" w:rsidRPr="00867F56" w:rsidRDefault="007D2C7C" w:rsidP="00ED6497">
            <w:pPr>
              <w:spacing w:line="240" w:lineRule="auto"/>
              <w:jc w:val="right"/>
              <w:rPr>
                <w:rFonts w:ascii="Times New Roman" w:hAnsi="Times New Roman"/>
                <w:sz w:val="24"/>
                <w:szCs w:val="24"/>
              </w:rPr>
            </w:pPr>
            <w:r w:rsidRPr="00867F56">
              <w:rPr>
                <w:rFonts w:ascii="Times New Roman" w:hAnsi="Times New Roman"/>
                <w:sz w:val="24"/>
                <w:szCs w:val="24"/>
              </w:rPr>
              <w:t>$ 0</w:t>
            </w:r>
          </w:p>
        </w:tc>
        <w:tc>
          <w:tcPr>
            <w:tcW w:w="2354" w:type="dxa"/>
          </w:tcPr>
          <w:p w14:paraId="69313804" w14:textId="77777777" w:rsidR="007D2C7C" w:rsidRPr="00867F56" w:rsidRDefault="007D2C7C" w:rsidP="00ED6497">
            <w:pPr>
              <w:spacing w:line="240" w:lineRule="auto"/>
              <w:jc w:val="right"/>
              <w:rPr>
                <w:rFonts w:ascii="Times New Roman" w:hAnsi="Times New Roman"/>
                <w:sz w:val="24"/>
                <w:szCs w:val="24"/>
              </w:rPr>
            </w:pPr>
          </w:p>
        </w:tc>
      </w:tr>
    </w:tbl>
    <w:p w14:paraId="2488483B" w14:textId="77777777" w:rsidR="00587AD0" w:rsidRPr="00867F56" w:rsidRDefault="00587AD0" w:rsidP="00ED6497">
      <w:pPr>
        <w:spacing w:after="0" w:line="240" w:lineRule="auto"/>
        <w:rPr>
          <w:rFonts w:ascii="Times New Roman" w:hAnsi="Times New Roman"/>
          <w:b/>
          <w:sz w:val="24"/>
          <w:szCs w:val="24"/>
        </w:rPr>
      </w:pPr>
    </w:p>
    <w:tbl>
      <w:tblPr>
        <w:tblW w:w="103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1340"/>
        <w:gridCol w:w="1423"/>
        <w:gridCol w:w="1926"/>
        <w:gridCol w:w="1591"/>
        <w:gridCol w:w="2366"/>
      </w:tblGrid>
      <w:tr w:rsidR="00CB50F7" w:rsidRPr="00867F56" w14:paraId="7FAA1958" w14:textId="77777777" w:rsidTr="00B80B04">
        <w:trPr>
          <w:trHeight w:val="849"/>
        </w:trPr>
        <w:tc>
          <w:tcPr>
            <w:tcW w:w="1737" w:type="dxa"/>
            <w:shd w:val="clear" w:color="auto" w:fill="D9D9D9"/>
            <w:vAlign w:val="bottom"/>
          </w:tcPr>
          <w:p w14:paraId="1B47BCF4" w14:textId="77777777" w:rsidR="000F6A1E" w:rsidRPr="00867F56" w:rsidRDefault="000F6A1E" w:rsidP="007445A8">
            <w:pPr>
              <w:spacing w:after="0" w:line="240" w:lineRule="auto"/>
              <w:jc w:val="center"/>
              <w:rPr>
                <w:rFonts w:ascii="Times New Roman" w:hAnsi="Times New Roman"/>
                <w:b/>
                <w:sz w:val="24"/>
                <w:szCs w:val="24"/>
              </w:rPr>
            </w:pPr>
            <w:r w:rsidRPr="00867F56">
              <w:rPr>
                <w:rFonts w:ascii="Times New Roman" w:hAnsi="Times New Roman"/>
                <w:b/>
                <w:sz w:val="24"/>
                <w:szCs w:val="24"/>
              </w:rPr>
              <w:t>FERC-505</w:t>
            </w:r>
          </w:p>
        </w:tc>
        <w:tc>
          <w:tcPr>
            <w:tcW w:w="1340" w:type="dxa"/>
            <w:shd w:val="clear" w:color="auto" w:fill="D9D9D9"/>
            <w:vAlign w:val="bottom"/>
          </w:tcPr>
          <w:p w14:paraId="2A2894FD" w14:textId="77777777" w:rsidR="000F6A1E" w:rsidRPr="00867F56" w:rsidRDefault="000F6A1E" w:rsidP="007445A8">
            <w:pPr>
              <w:spacing w:after="0" w:line="240" w:lineRule="auto"/>
              <w:jc w:val="center"/>
              <w:rPr>
                <w:rFonts w:ascii="Times New Roman" w:hAnsi="Times New Roman"/>
                <w:b/>
                <w:sz w:val="24"/>
                <w:szCs w:val="24"/>
              </w:rPr>
            </w:pPr>
            <w:r w:rsidRPr="00867F56">
              <w:rPr>
                <w:rFonts w:ascii="Times New Roman" w:hAnsi="Times New Roman"/>
                <w:b/>
                <w:sz w:val="24"/>
                <w:szCs w:val="24"/>
              </w:rPr>
              <w:t>Total Request</w:t>
            </w:r>
          </w:p>
        </w:tc>
        <w:tc>
          <w:tcPr>
            <w:tcW w:w="1423" w:type="dxa"/>
            <w:shd w:val="clear" w:color="auto" w:fill="D9D9D9"/>
            <w:vAlign w:val="bottom"/>
          </w:tcPr>
          <w:p w14:paraId="71E87829" w14:textId="77777777" w:rsidR="000F6A1E" w:rsidRPr="00867F56" w:rsidRDefault="000F6A1E" w:rsidP="007445A8">
            <w:pPr>
              <w:spacing w:after="0" w:line="240" w:lineRule="auto"/>
              <w:jc w:val="center"/>
              <w:rPr>
                <w:rFonts w:ascii="Times New Roman" w:hAnsi="Times New Roman"/>
                <w:b/>
                <w:sz w:val="24"/>
                <w:szCs w:val="24"/>
              </w:rPr>
            </w:pPr>
            <w:r w:rsidRPr="00867F56">
              <w:rPr>
                <w:rFonts w:ascii="Times New Roman" w:hAnsi="Times New Roman"/>
                <w:b/>
                <w:sz w:val="24"/>
                <w:szCs w:val="24"/>
              </w:rPr>
              <w:t>Previously Approved</w:t>
            </w:r>
          </w:p>
        </w:tc>
        <w:tc>
          <w:tcPr>
            <w:tcW w:w="1926" w:type="dxa"/>
            <w:shd w:val="clear" w:color="auto" w:fill="D9D9D9"/>
            <w:vAlign w:val="bottom"/>
          </w:tcPr>
          <w:p w14:paraId="7E56BD51" w14:textId="77777777" w:rsidR="000F6A1E" w:rsidRPr="00867F56" w:rsidRDefault="000F6A1E" w:rsidP="007445A8">
            <w:pPr>
              <w:spacing w:after="0" w:line="240" w:lineRule="auto"/>
              <w:jc w:val="center"/>
              <w:rPr>
                <w:rFonts w:ascii="Times New Roman" w:hAnsi="Times New Roman"/>
                <w:b/>
                <w:sz w:val="24"/>
                <w:szCs w:val="24"/>
              </w:rPr>
            </w:pPr>
            <w:r w:rsidRPr="00867F56">
              <w:rPr>
                <w:rFonts w:ascii="Times New Roman" w:hAnsi="Times New Roman"/>
                <w:b/>
                <w:sz w:val="24"/>
                <w:szCs w:val="24"/>
              </w:rPr>
              <w:t>Program Change Due to New Statute</w:t>
            </w:r>
          </w:p>
        </w:tc>
        <w:tc>
          <w:tcPr>
            <w:tcW w:w="1591" w:type="dxa"/>
            <w:shd w:val="clear" w:color="auto" w:fill="D9D9D9"/>
            <w:vAlign w:val="bottom"/>
          </w:tcPr>
          <w:p w14:paraId="60A9D984" w14:textId="77777777" w:rsidR="000F6A1E" w:rsidRPr="00867F56" w:rsidRDefault="000F6A1E" w:rsidP="007445A8">
            <w:pPr>
              <w:spacing w:after="0" w:line="240" w:lineRule="auto"/>
              <w:jc w:val="center"/>
              <w:rPr>
                <w:rFonts w:ascii="Times New Roman" w:hAnsi="Times New Roman"/>
                <w:b/>
                <w:sz w:val="24"/>
                <w:szCs w:val="24"/>
              </w:rPr>
            </w:pPr>
            <w:r w:rsidRPr="00867F56">
              <w:rPr>
                <w:rFonts w:ascii="Times New Roman" w:hAnsi="Times New Roman"/>
                <w:b/>
                <w:sz w:val="24"/>
                <w:szCs w:val="24"/>
              </w:rPr>
              <w:t>Change Due to Agency Discretion</w:t>
            </w:r>
          </w:p>
        </w:tc>
        <w:tc>
          <w:tcPr>
            <w:tcW w:w="2366" w:type="dxa"/>
            <w:shd w:val="clear" w:color="auto" w:fill="D9D9D9"/>
          </w:tcPr>
          <w:p w14:paraId="6F0A77FD" w14:textId="77777777" w:rsidR="000F6A1E" w:rsidRPr="00867F56" w:rsidRDefault="000F6A1E" w:rsidP="007445A8">
            <w:pPr>
              <w:spacing w:after="0" w:line="240" w:lineRule="auto"/>
              <w:jc w:val="center"/>
              <w:rPr>
                <w:rFonts w:ascii="Times New Roman" w:hAnsi="Times New Roman"/>
                <w:b/>
                <w:sz w:val="24"/>
                <w:szCs w:val="24"/>
              </w:rPr>
            </w:pPr>
            <w:r w:rsidRPr="00867F56">
              <w:rPr>
                <w:rFonts w:ascii="Times New Roman" w:hAnsi="Times New Roman"/>
                <w:b/>
                <w:sz w:val="24"/>
                <w:szCs w:val="24"/>
              </w:rPr>
              <w:t>Change due to Adjustment in Estimate</w:t>
            </w:r>
          </w:p>
        </w:tc>
      </w:tr>
      <w:tr w:rsidR="00CB50F7" w:rsidRPr="00867F56" w14:paraId="3DCBE213" w14:textId="77777777" w:rsidTr="00CB50F7">
        <w:trPr>
          <w:trHeight w:val="728"/>
        </w:trPr>
        <w:tc>
          <w:tcPr>
            <w:tcW w:w="1737" w:type="dxa"/>
            <w:shd w:val="clear" w:color="auto" w:fill="auto"/>
            <w:vAlign w:val="bottom"/>
          </w:tcPr>
          <w:p w14:paraId="3B9B4FA9" w14:textId="77777777" w:rsidR="000F6A1E" w:rsidRPr="00867F56" w:rsidRDefault="000F6A1E" w:rsidP="007445A8">
            <w:pPr>
              <w:spacing w:line="240" w:lineRule="auto"/>
              <w:jc w:val="center"/>
              <w:rPr>
                <w:rFonts w:ascii="Times New Roman" w:hAnsi="Times New Roman"/>
                <w:sz w:val="24"/>
                <w:szCs w:val="24"/>
              </w:rPr>
            </w:pPr>
            <w:r w:rsidRPr="00867F56">
              <w:rPr>
                <w:rFonts w:ascii="Times New Roman" w:hAnsi="Times New Roman"/>
                <w:sz w:val="24"/>
                <w:szCs w:val="24"/>
              </w:rPr>
              <w:t>Annual Number of Responses</w:t>
            </w:r>
          </w:p>
        </w:tc>
        <w:tc>
          <w:tcPr>
            <w:tcW w:w="1340" w:type="dxa"/>
            <w:shd w:val="clear" w:color="auto" w:fill="auto"/>
            <w:vAlign w:val="bottom"/>
          </w:tcPr>
          <w:p w14:paraId="504BE8A0" w14:textId="77777777" w:rsidR="000F6A1E" w:rsidRPr="00867F56" w:rsidRDefault="00916904" w:rsidP="007445A8">
            <w:pPr>
              <w:spacing w:after="0" w:line="240" w:lineRule="auto"/>
              <w:jc w:val="right"/>
              <w:rPr>
                <w:rFonts w:ascii="Times New Roman" w:hAnsi="Times New Roman"/>
                <w:sz w:val="24"/>
                <w:szCs w:val="24"/>
              </w:rPr>
            </w:pPr>
            <w:r w:rsidRPr="00867F56">
              <w:rPr>
                <w:rFonts w:ascii="Times New Roman" w:hAnsi="Times New Roman"/>
                <w:sz w:val="24"/>
                <w:szCs w:val="24"/>
              </w:rPr>
              <w:t>324</w:t>
            </w:r>
          </w:p>
        </w:tc>
        <w:tc>
          <w:tcPr>
            <w:tcW w:w="1423" w:type="dxa"/>
            <w:shd w:val="clear" w:color="auto" w:fill="auto"/>
            <w:vAlign w:val="bottom"/>
          </w:tcPr>
          <w:p w14:paraId="0B2820FD" w14:textId="77777777" w:rsidR="000F6A1E" w:rsidRPr="00867F56" w:rsidRDefault="00916904" w:rsidP="007445A8">
            <w:pPr>
              <w:spacing w:after="0" w:line="240" w:lineRule="auto"/>
              <w:jc w:val="right"/>
              <w:rPr>
                <w:rFonts w:ascii="Times New Roman" w:hAnsi="Times New Roman"/>
                <w:sz w:val="24"/>
                <w:szCs w:val="24"/>
              </w:rPr>
            </w:pPr>
            <w:r w:rsidRPr="00867F56">
              <w:rPr>
                <w:rFonts w:ascii="Times New Roman" w:hAnsi="Times New Roman"/>
                <w:sz w:val="24"/>
                <w:szCs w:val="24"/>
              </w:rPr>
              <w:t>319</w:t>
            </w:r>
          </w:p>
        </w:tc>
        <w:tc>
          <w:tcPr>
            <w:tcW w:w="1926" w:type="dxa"/>
            <w:shd w:val="clear" w:color="auto" w:fill="auto"/>
            <w:vAlign w:val="bottom"/>
          </w:tcPr>
          <w:p w14:paraId="1D863BBD" w14:textId="77777777" w:rsidR="000F6A1E" w:rsidRPr="00867F56" w:rsidRDefault="000F6A1E" w:rsidP="007445A8">
            <w:pPr>
              <w:spacing w:after="0" w:line="240" w:lineRule="auto"/>
              <w:jc w:val="right"/>
              <w:rPr>
                <w:rFonts w:ascii="Times New Roman" w:hAnsi="Times New Roman"/>
                <w:sz w:val="24"/>
                <w:szCs w:val="24"/>
              </w:rPr>
            </w:pPr>
            <w:r w:rsidRPr="00867F56">
              <w:rPr>
                <w:rFonts w:ascii="Times New Roman" w:hAnsi="Times New Roman"/>
                <w:sz w:val="24"/>
                <w:szCs w:val="24"/>
              </w:rPr>
              <w:t>5</w:t>
            </w:r>
          </w:p>
        </w:tc>
        <w:tc>
          <w:tcPr>
            <w:tcW w:w="1591" w:type="dxa"/>
            <w:shd w:val="clear" w:color="auto" w:fill="auto"/>
            <w:vAlign w:val="bottom"/>
          </w:tcPr>
          <w:p w14:paraId="41AE937B" w14:textId="77777777" w:rsidR="000F6A1E" w:rsidRPr="00867F56" w:rsidRDefault="000F6A1E" w:rsidP="00DA1081">
            <w:pPr>
              <w:spacing w:after="0" w:line="240" w:lineRule="auto"/>
              <w:jc w:val="right"/>
              <w:rPr>
                <w:rFonts w:ascii="Times New Roman" w:hAnsi="Times New Roman"/>
                <w:sz w:val="24"/>
                <w:szCs w:val="24"/>
              </w:rPr>
            </w:pPr>
            <w:r w:rsidRPr="00867F56">
              <w:rPr>
                <w:rFonts w:ascii="Times New Roman" w:hAnsi="Times New Roman"/>
                <w:sz w:val="24"/>
                <w:szCs w:val="24"/>
              </w:rPr>
              <w:t>0</w:t>
            </w:r>
          </w:p>
        </w:tc>
        <w:tc>
          <w:tcPr>
            <w:tcW w:w="2366" w:type="dxa"/>
            <w:vAlign w:val="bottom"/>
          </w:tcPr>
          <w:p w14:paraId="615CBD02" w14:textId="77777777" w:rsidR="000F6A1E" w:rsidRPr="00867F56" w:rsidRDefault="000F6A1E" w:rsidP="000F6A1E">
            <w:pPr>
              <w:spacing w:after="0" w:line="240" w:lineRule="auto"/>
              <w:jc w:val="right"/>
              <w:rPr>
                <w:rFonts w:ascii="Times New Roman" w:hAnsi="Times New Roman"/>
                <w:sz w:val="24"/>
                <w:szCs w:val="24"/>
              </w:rPr>
            </w:pPr>
            <w:r w:rsidRPr="00867F56">
              <w:rPr>
                <w:rFonts w:ascii="Times New Roman" w:hAnsi="Times New Roman"/>
                <w:sz w:val="24"/>
                <w:szCs w:val="24"/>
              </w:rPr>
              <w:t>0</w:t>
            </w:r>
          </w:p>
        </w:tc>
      </w:tr>
      <w:tr w:rsidR="00CB50F7" w:rsidRPr="00867F56" w14:paraId="41A21B96" w14:textId="77777777" w:rsidTr="00CB50F7">
        <w:trPr>
          <w:trHeight w:val="587"/>
        </w:trPr>
        <w:tc>
          <w:tcPr>
            <w:tcW w:w="1737" w:type="dxa"/>
            <w:shd w:val="clear" w:color="auto" w:fill="auto"/>
            <w:vAlign w:val="bottom"/>
          </w:tcPr>
          <w:p w14:paraId="51ACBF67" w14:textId="77777777" w:rsidR="000F6A1E" w:rsidRPr="00867F56" w:rsidRDefault="000F6A1E" w:rsidP="007445A8">
            <w:pPr>
              <w:spacing w:line="240" w:lineRule="auto"/>
              <w:jc w:val="center"/>
              <w:rPr>
                <w:rFonts w:ascii="Times New Roman" w:hAnsi="Times New Roman"/>
                <w:sz w:val="24"/>
                <w:szCs w:val="24"/>
              </w:rPr>
            </w:pPr>
            <w:r w:rsidRPr="00867F56">
              <w:rPr>
                <w:rFonts w:ascii="Times New Roman" w:hAnsi="Times New Roman"/>
                <w:sz w:val="24"/>
                <w:szCs w:val="24"/>
              </w:rPr>
              <w:t>Annual Time Burden (Hr.)</w:t>
            </w:r>
          </w:p>
        </w:tc>
        <w:tc>
          <w:tcPr>
            <w:tcW w:w="1340" w:type="dxa"/>
            <w:shd w:val="clear" w:color="auto" w:fill="auto"/>
            <w:vAlign w:val="bottom"/>
          </w:tcPr>
          <w:p w14:paraId="6B37BDB7" w14:textId="77777777" w:rsidR="000F6A1E" w:rsidRPr="00867F56" w:rsidRDefault="00916904" w:rsidP="007445A8">
            <w:pPr>
              <w:spacing w:after="0" w:line="240" w:lineRule="auto"/>
              <w:jc w:val="right"/>
              <w:rPr>
                <w:rFonts w:ascii="Times New Roman" w:hAnsi="Times New Roman"/>
                <w:sz w:val="24"/>
                <w:szCs w:val="24"/>
              </w:rPr>
            </w:pPr>
            <w:r w:rsidRPr="00867F56">
              <w:rPr>
                <w:rFonts w:ascii="Times New Roman" w:hAnsi="Times New Roman"/>
                <w:sz w:val="24"/>
                <w:szCs w:val="24"/>
              </w:rPr>
              <w:t>24,635</w:t>
            </w:r>
          </w:p>
        </w:tc>
        <w:tc>
          <w:tcPr>
            <w:tcW w:w="1423" w:type="dxa"/>
            <w:shd w:val="clear" w:color="auto" w:fill="auto"/>
            <w:vAlign w:val="bottom"/>
          </w:tcPr>
          <w:p w14:paraId="5475F384" w14:textId="77777777" w:rsidR="000F6A1E" w:rsidRPr="00867F56" w:rsidRDefault="00916904" w:rsidP="007445A8">
            <w:pPr>
              <w:spacing w:after="0" w:line="240" w:lineRule="auto"/>
              <w:jc w:val="right"/>
              <w:rPr>
                <w:rFonts w:ascii="Times New Roman" w:hAnsi="Times New Roman"/>
                <w:b/>
                <w:sz w:val="24"/>
                <w:szCs w:val="24"/>
              </w:rPr>
            </w:pPr>
            <w:r w:rsidRPr="00867F56">
              <w:rPr>
                <w:rFonts w:ascii="Times New Roman" w:hAnsi="Times New Roman"/>
                <w:sz w:val="24"/>
                <w:szCs w:val="24"/>
              </w:rPr>
              <w:t>24,435</w:t>
            </w:r>
          </w:p>
        </w:tc>
        <w:tc>
          <w:tcPr>
            <w:tcW w:w="1926" w:type="dxa"/>
            <w:shd w:val="clear" w:color="auto" w:fill="auto"/>
            <w:vAlign w:val="bottom"/>
          </w:tcPr>
          <w:p w14:paraId="4C0BE74B" w14:textId="77777777" w:rsidR="000F6A1E" w:rsidRPr="00867F56" w:rsidRDefault="000F6A1E" w:rsidP="007445A8">
            <w:pPr>
              <w:spacing w:after="0" w:line="240" w:lineRule="auto"/>
              <w:jc w:val="right"/>
              <w:rPr>
                <w:rFonts w:ascii="Times New Roman" w:hAnsi="Times New Roman"/>
                <w:sz w:val="24"/>
                <w:szCs w:val="24"/>
              </w:rPr>
            </w:pPr>
            <w:r w:rsidRPr="00867F56">
              <w:rPr>
                <w:rFonts w:ascii="Times New Roman" w:hAnsi="Times New Roman"/>
                <w:sz w:val="24"/>
                <w:szCs w:val="24"/>
              </w:rPr>
              <w:t>200</w:t>
            </w:r>
          </w:p>
        </w:tc>
        <w:tc>
          <w:tcPr>
            <w:tcW w:w="1591" w:type="dxa"/>
            <w:shd w:val="clear" w:color="auto" w:fill="auto"/>
            <w:vAlign w:val="bottom"/>
          </w:tcPr>
          <w:p w14:paraId="7FB50800" w14:textId="77777777" w:rsidR="000F6A1E" w:rsidRPr="00867F56" w:rsidRDefault="000F6A1E" w:rsidP="007445A8">
            <w:pPr>
              <w:spacing w:after="0" w:line="240" w:lineRule="auto"/>
              <w:jc w:val="right"/>
              <w:rPr>
                <w:rFonts w:ascii="Times New Roman" w:hAnsi="Times New Roman"/>
                <w:sz w:val="24"/>
                <w:szCs w:val="24"/>
              </w:rPr>
            </w:pPr>
            <w:r w:rsidRPr="00867F56">
              <w:rPr>
                <w:rFonts w:ascii="Times New Roman" w:hAnsi="Times New Roman"/>
                <w:sz w:val="24"/>
                <w:szCs w:val="24"/>
              </w:rPr>
              <w:t>0</w:t>
            </w:r>
          </w:p>
        </w:tc>
        <w:tc>
          <w:tcPr>
            <w:tcW w:w="2366" w:type="dxa"/>
            <w:vAlign w:val="bottom"/>
          </w:tcPr>
          <w:p w14:paraId="5F00ED72" w14:textId="77777777" w:rsidR="000F6A1E" w:rsidRPr="00867F56" w:rsidRDefault="000F6A1E" w:rsidP="000F6A1E">
            <w:pPr>
              <w:spacing w:after="0" w:line="240" w:lineRule="auto"/>
              <w:jc w:val="right"/>
              <w:rPr>
                <w:rFonts w:ascii="Times New Roman" w:hAnsi="Times New Roman"/>
                <w:sz w:val="24"/>
                <w:szCs w:val="24"/>
              </w:rPr>
            </w:pPr>
            <w:r w:rsidRPr="00867F56">
              <w:rPr>
                <w:rFonts w:ascii="Times New Roman" w:hAnsi="Times New Roman"/>
                <w:sz w:val="24"/>
                <w:szCs w:val="24"/>
              </w:rPr>
              <w:t>0</w:t>
            </w:r>
          </w:p>
        </w:tc>
      </w:tr>
      <w:tr w:rsidR="00CB50F7" w:rsidRPr="00867F56" w14:paraId="60975E25" w14:textId="77777777" w:rsidTr="00CB50F7">
        <w:trPr>
          <w:trHeight w:val="456"/>
        </w:trPr>
        <w:tc>
          <w:tcPr>
            <w:tcW w:w="1737" w:type="dxa"/>
            <w:shd w:val="clear" w:color="auto" w:fill="auto"/>
            <w:vAlign w:val="bottom"/>
          </w:tcPr>
          <w:p w14:paraId="030915EC" w14:textId="77777777" w:rsidR="000F6A1E" w:rsidRPr="00867F56" w:rsidRDefault="000F6A1E" w:rsidP="007445A8">
            <w:pPr>
              <w:spacing w:line="240" w:lineRule="auto"/>
              <w:jc w:val="center"/>
              <w:rPr>
                <w:rFonts w:ascii="Times New Roman" w:hAnsi="Times New Roman"/>
                <w:sz w:val="24"/>
                <w:szCs w:val="24"/>
              </w:rPr>
            </w:pPr>
            <w:r w:rsidRPr="00867F56">
              <w:rPr>
                <w:rFonts w:ascii="Times New Roman" w:hAnsi="Times New Roman"/>
                <w:sz w:val="24"/>
                <w:szCs w:val="24"/>
              </w:rPr>
              <w:t>Annual Cost Burden ($)</w:t>
            </w:r>
          </w:p>
        </w:tc>
        <w:tc>
          <w:tcPr>
            <w:tcW w:w="1340" w:type="dxa"/>
            <w:shd w:val="clear" w:color="auto" w:fill="auto"/>
            <w:vAlign w:val="bottom"/>
          </w:tcPr>
          <w:p w14:paraId="0E9ABCB4" w14:textId="77777777" w:rsidR="000F6A1E" w:rsidRPr="00867F56" w:rsidRDefault="000F6A1E" w:rsidP="007445A8">
            <w:pPr>
              <w:spacing w:line="240" w:lineRule="auto"/>
              <w:jc w:val="right"/>
              <w:rPr>
                <w:rFonts w:ascii="Times New Roman" w:hAnsi="Times New Roman"/>
                <w:sz w:val="24"/>
                <w:szCs w:val="24"/>
              </w:rPr>
            </w:pPr>
            <w:r w:rsidRPr="00867F56">
              <w:rPr>
                <w:rFonts w:ascii="Times New Roman" w:hAnsi="Times New Roman"/>
                <w:sz w:val="24"/>
                <w:szCs w:val="24"/>
              </w:rPr>
              <w:t>$ 0</w:t>
            </w:r>
          </w:p>
        </w:tc>
        <w:tc>
          <w:tcPr>
            <w:tcW w:w="1423" w:type="dxa"/>
            <w:shd w:val="clear" w:color="auto" w:fill="auto"/>
            <w:vAlign w:val="bottom"/>
          </w:tcPr>
          <w:p w14:paraId="6146012F" w14:textId="77777777" w:rsidR="000F6A1E" w:rsidRPr="00867F56" w:rsidRDefault="000F6A1E" w:rsidP="007445A8">
            <w:pPr>
              <w:spacing w:line="240" w:lineRule="auto"/>
              <w:jc w:val="right"/>
              <w:rPr>
                <w:rFonts w:ascii="Times New Roman" w:hAnsi="Times New Roman"/>
                <w:sz w:val="24"/>
                <w:szCs w:val="24"/>
              </w:rPr>
            </w:pPr>
            <w:r w:rsidRPr="00867F56">
              <w:rPr>
                <w:rFonts w:ascii="Times New Roman" w:hAnsi="Times New Roman"/>
                <w:sz w:val="24"/>
                <w:szCs w:val="24"/>
              </w:rPr>
              <w:t>$ 0</w:t>
            </w:r>
          </w:p>
        </w:tc>
        <w:tc>
          <w:tcPr>
            <w:tcW w:w="1926" w:type="dxa"/>
            <w:shd w:val="clear" w:color="auto" w:fill="auto"/>
            <w:vAlign w:val="bottom"/>
          </w:tcPr>
          <w:p w14:paraId="55A856F8" w14:textId="77777777" w:rsidR="000F6A1E" w:rsidRPr="00867F56" w:rsidRDefault="000F6A1E" w:rsidP="007445A8">
            <w:pPr>
              <w:spacing w:line="240" w:lineRule="auto"/>
              <w:jc w:val="right"/>
              <w:rPr>
                <w:rFonts w:ascii="Times New Roman" w:hAnsi="Times New Roman"/>
                <w:sz w:val="24"/>
                <w:szCs w:val="24"/>
              </w:rPr>
            </w:pPr>
            <w:r w:rsidRPr="00867F56">
              <w:rPr>
                <w:rFonts w:ascii="Times New Roman" w:hAnsi="Times New Roman"/>
                <w:sz w:val="24"/>
                <w:szCs w:val="24"/>
              </w:rPr>
              <w:t>$ 0</w:t>
            </w:r>
          </w:p>
        </w:tc>
        <w:tc>
          <w:tcPr>
            <w:tcW w:w="1591" w:type="dxa"/>
            <w:shd w:val="clear" w:color="auto" w:fill="auto"/>
            <w:vAlign w:val="bottom"/>
          </w:tcPr>
          <w:p w14:paraId="361D3B57" w14:textId="77777777" w:rsidR="000F6A1E" w:rsidRPr="00867F56" w:rsidRDefault="000F6A1E" w:rsidP="007445A8">
            <w:pPr>
              <w:spacing w:line="240" w:lineRule="auto"/>
              <w:jc w:val="right"/>
              <w:rPr>
                <w:rFonts w:ascii="Times New Roman" w:hAnsi="Times New Roman"/>
                <w:sz w:val="24"/>
                <w:szCs w:val="24"/>
              </w:rPr>
            </w:pPr>
            <w:r w:rsidRPr="00867F56">
              <w:rPr>
                <w:rFonts w:ascii="Times New Roman" w:hAnsi="Times New Roman"/>
                <w:sz w:val="24"/>
                <w:szCs w:val="24"/>
              </w:rPr>
              <w:t>$ 0</w:t>
            </w:r>
          </w:p>
        </w:tc>
        <w:tc>
          <w:tcPr>
            <w:tcW w:w="2366" w:type="dxa"/>
          </w:tcPr>
          <w:p w14:paraId="1A7A4AE1" w14:textId="77777777" w:rsidR="000F6A1E" w:rsidRPr="00867F56" w:rsidRDefault="000F6A1E" w:rsidP="007445A8">
            <w:pPr>
              <w:spacing w:line="240" w:lineRule="auto"/>
              <w:jc w:val="right"/>
              <w:rPr>
                <w:rFonts w:ascii="Times New Roman" w:hAnsi="Times New Roman"/>
                <w:sz w:val="24"/>
                <w:szCs w:val="24"/>
              </w:rPr>
            </w:pPr>
          </w:p>
        </w:tc>
      </w:tr>
    </w:tbl>
    <w:p w14:paraId="2A03AB6D" w14:textId="77777777" w:rsidR="00471F97" w:rsidRPr="00867F56" w:rsidRDefault="00471F97" w:rsidP="00ED6497">
      <w:pPr>
        <w:spacing w:after="0" w:line="240" w:lineRule="auto"/>
        <w:rPr>
          <w:rFonts w:ascii="Times New Roman" w:hAnsi="Times New Roman"/>
          <w:sz w:val="24"/>
          <w:szCs w:val="24"/>
        </w:rPr>
      </w:pPr>
    </w:p>
    <w:p w14:paraId="69D44358" w14:textId="77777777" w:rsidR="00F0627E" w:rsidRPr="00867F56" w:rsidRDefault="00F20B97" w:rsidP="007445A8">
      <w:pPr>
        <w:spacing w:after="0" w:line="240" w:lineRule="auto"/>
        <w:rPr>
          <w:rFonts w:ascii="Times New Roman" w:hAnsi="Times New Roman"/>
          <w:b/>
          <w:sz w:val="24"/>
          <w:szCs w:val="24"/>
        </w:rPr>
      </w:pPr>
      <w:r w:rsidRPr="00867F56">
        <w:rPr>
          <w:rFonts w:ascii="Times New Roman" w:hAnsi="Times New Roman"/>
          <w:b/>
          <w:sz w:val="24"/>
          <w:szCs w:val="24"/>
        </w:rPr>
        <w:t xml:space="preserve">16. </w:t>
      </w:r>
      <w:r w:rsidR="00F0627E" w:rsidRPr="00867F56">
        <w:rPr>
          <w:rFonts w:ascii="Times New Roman" w:hAnsi="Times New Roman"/>
          <w:b/>
          <w:sz w:val="24"/>
          <w:szCs w:val="24"/>
        </w:rPr>
        <w:t>TIME SCHEDULE FOR PUBLICATION OF DATA</w:t>
      </w:r>
    </w:p>
    <w:p w14:paraId="0F288381" w14:textId="77777777" w:rsidR="00F0627E" w:rsidRPr="00867F56" w:rsidRDefault="00F0627E" w:rsidP="007445A8">
      <w:pPr>
        <w:spacing w:after="0" w:line="240" w:lineRule="auto"/>
        <w:rPr>
          <w:rFonts w:ascii="Times New Roman" w:hAnsi="Times New Roman"/>
          <w:sz w:val="24"/>
          <w:szCs w:val="24"/>
        </w:rPr>
      </w:pPr>
    </w:p>
    <w:p w14:paraId="20499AFF" w14:textId="77777777" w:rsidR="001D289D" w:rsidRPr="00867F56" w:rsidRDefault="001D289D" w:rsidP="007445A8">
      <w:pPr>
        <w:spacing w:after="0" w:line="240" w:lineRule="auto"/>
        <w:rPr>
          <w:rFonts w:ascii="Times New Roman" w:hAnsi="Times New Roman"/>
          <w:sz w:val="24"/>
          <w:szCs w:val="24"/>
        </w:rPr>
      </w:pPr>
      <w:r w:rsidRPr="00867F56">
        <w:rPr>
          <w:rFonts w:ascii="Times New Roman" w:hAnsi="Times New Roman"/>
          <w:sz w:val="24"/>
          <w:szCs w:val="24"/>
        </w:rPr>
        <w:t xml:space="preserve">There is no publication of </w:t>
      </w:r>
      <w:r w:rsidR="00587AD0" w:rsidRPr="00867F56">
        <w:rPr>
          <w:rFonts w:ascii="Times New Roman" w:hAnsi="Times New Roman"/>
          <w:sz w:val="24"/>
          <w:szCs w:val="24"/>
        </w:rPr>
        <w:t>data</w:t>
      </w:r>
      <w:r w:rsidRPr="00867F56">
        <w:rPr>
          <w:rFonts w:ascii="Times New Roman" w:hAnsi="Times New Roman"/>
          <w:sz w:val="24"/>
          <w:szCs w:val="24"/>
        </w:rPr>
        <w:t xml:space="preserve">. </w:t>
      </w:r>
    </w:p>
    <w:p w14:paraId="42CBE5C7" w14:textId="77777777" w:rsidR="00F20B97" w:rsidRPr="00867F56" w:rsidRDefault="00F20B97" w:rsidP="007445A8">
      <w:pPr>
        <w:spacing w:after="0" w:line="240" w:lineRule="auto"/>
        <w:rPr>
          <w:rFonts w:ascii="Times New Roman" w:hAnsi="Times New Roman"/>
          <w:sz w:val="24"/>
          <w:szCs w:val="24"/>
        </w:rPr>
      </w:pPr>
    </w:p>
    <w:p w14:paraId="233AE587" w14:textId="77777777" w:rsidR="00F0627E" w:rsidRPr="00867F56" w:rsidRDefault="00F20B97" w:rsidP="007445A8">
      <w:pPr>
        <w:spacing w:after="0" w:line="240" w:lineRule="auto"/>
        <w:rPr>
          <w:rFonts w:ascii="Times New Roman" w:hAnsi="Times New Roman"/>
          <w:b/>
          <w:sz w:val="24"/>
          <w:szCs w:val="24"/>
        </w:rPr>
      </w:pPr>
      <w:r w:rsidRPr="00867F56">
        <w:rPr>
          <w:rFonts w:ascii="Times New Roman" w:hAnsi="Times New Roman"/>
          <w:b/>
          <w:sz w:val="24"/>
          <w:szCs w:val="24"/>
        </w:rPr>
        <w:t xml:space="preserve">17. </w:t>
      </w:r>
      <w:r w:rsidR="00F0627E" w:rsidRPr="00867F56">
        <w:rPr>
          <w:rFonts w:ascii="Times New Roman" w:hAnsi="Times New Roman"/>
          <w:b/>
          <w:sz w:val="24"/>
          <w:szCs w:val="24"/>
        </w:rPr>
        <w:t>DISPLAY OF EXPIRATION DATE</w:t>
      </w:r>
    </w:p>
    <w:p w14:paraId="2584248A" w14:textId="77777777" w:rsidR="00F0627E" w:rsidRPr="00867F56" w:rsidRDefault="00F0627E" w:rsidP="007445A8">
      <w:pPr>
        <w:spacing w:after="0" w:line="240" w:lineRule="auto"/>
        <w:rPr>
          <w:rFonts w:ascii="Times New Roman" w:hAnsi="Times New Roman"/>
          <w:sz w:val="24"/>
          <w:szCs w:val="24"/>
        </w:rPr>
      </w:pPr>
    </w:p>
    <w:p w14:paraId="597A9A52" w14:textId="77777777" w:rsidR="00027DC9" w:rsidRPr="00867F56" w:rsidRDefault="001D289D" w:rsidP="007445A8">
      <w:pPr>
        <w:spacing w:after="0" w:line="240" w:lineRule="auto"/>
        <w:rPr>
          <w:rFonts w:ascii="Times New Roman" w:hAnsi="Times New Roman"/>
          <w:sz w:val="24"/>
          <w:szCs w:val="24"/>
        </w:rPr>
      </w:pPr>
      <w:r w:rsidRPr="00867F56">
        <w:rPr>
          <w:rFonts w:ascii="Times New Roman" w:eastAsia="Times New Roman" w:hAnsi="Times New Roman"/>
          <w:sz w:val="24"/>
          <w:szCs w:val="24"/>
        </w:rPr>
        <w:t xml:space="preserve"> </w:t>
      </w:r>
      <w:r w:rsidRPr="00867F56">
        <w:rPr>
          <w:rFonts w:ascii="Times New Roman" w:hAnsi="Times New Roman"/>
          <w:sz w:val="24"/>
          <w:szCs w:val="24"/>
        </w:rPr>
        <w:t xml:space="preserve">The expiration dates are posted on ferc.gov at </w:t>
      </w:r>
      <w:hyperlink r:id="rId14" w:history="1">
        <w:r w:rsidRPr="00867F56">
          <w:rPr>
            <w:rStyle w:val="Hyperlink"/>
            <w:rFonts w:ascii="Times New Roman" w:hAnsi="Times New Roman"/>
            <w:sz w:val="24"/>
            <w:szCs w:val="24"/>
          </w:rPr>
          <w:t>http://www.ferc.gov/docs-filing/info-collections.asp</w:t>
        </w:r>
      </w:hyperlink>
      <w:r w:rsidRPr="00867F56">
        <w:rPr>
          <w:rFonts w:ascii="Times New Roman" w:hAnsi="Times New Roman"/>
          <w:sz w:val="24"/>
          <w:szCs w:val="24"/>
        </w:rPr>
        <w:t xml:space="preserve">  </w:t>
      </w:r>
    </w:p>
    <w:p w14:paraId="4F7F33F9" w14:textId="77777777" w:rsidR="00027DC9" w:rsidRPr="00867F56" w:rsidRDefault="00027DC9" w:rsidP="007445A8">
      <w:pPr>
        <w:spacing w:after="0" w:line="240" w:lineRule="auto"/>
        <w:rPr>
          <w:rFonts w:ascii="Times New Roman" w:hAnsi="Times New Roman"/>
          <w:sz w:val="24"/>
          <w:szCs w:val="24"/>
        </w:rPr>
      </w:pPr>
    </w:p>
    <w:p w14:paraId="5DF9BEC8" w14:textId="77777777" w:rsidR="00F0627E" w:rsidRPr="00867F56" w:rsidRDefault="00F20B97" w:rsidP="007445A8">
      <w:pPr>
        <w:spacing w:after="0" w:line="240" w:lineRule="auto"/>
        <w:rPr>
          <w:rFonts w:ascii="Times New Roman" w:hAnsi="Times New Roman"/>
          <w:b/>
          <w:sz w:val="24"/>
          <w:szCs w:val="24"/>
        </w:rPr>
      </w:pPr>
      <w:r w:rsidRPr="00867F56">
        <w:rPr>
          <w:rFonts w:ascii="Times New Roman" w:hAnsi="Times New Roman"/>
          <w:b/>
          <w:sz w:val="24"/>
          <w:szCs w:val="24"/>
        </w:rPr>
        <w:t xml:space="preserve">18.  </w:t>
      </w:r>
      <w:r w:rsidR="00F0627E" w:rsidRPr="00867F56">
        <w:rPr>
          <w:rFonts w:ascii="Times New Roman" w:hAnsi="Times New Roman"/>
          <w:b/>
          <w:sz w:val="24"/>
          <w:szCs w:val="24"/>
        </w:rPr>
        <w:t>EXCEPTIONS TO THE CERTIFICATION STATEMENT</w:t>
      </w:r>
    </w:p>
    <w:p w14:paraId="5118EB00" w14:textId="77777777" w:rsidR="001D289D" w:rsidRPr="00867F56" w:rsidRDefault="001D289D" w:rsidP="007445A8">
      <w:pPr>
        <w:spacing w:after="0" w:line="240" w:lineRule="auto"/>
        <w:rPr>
          <w:rFonts w:ascii="Times New Roman" w:hAnsi="Times New Roman"/>
          <w:b/>
          <w:sz w:val="24"/>
          <w:szCs w:val="24"/>
        </w:rPr>
      </w:pPr>
    </w:p>
    <w:p w14:paraId="43FC51DD" w14:textId="77777777" w:rsidR="00F0627E" w:rsidRPr="00867F56" w:rsidRDefault="001D289D" w:rsidP="007445A8">
      <w:pPr>
        <w:spacing w:after="160" w:line="240" w:lineRule="auto"/>
        <w:rPr>
          <w:rFonts w:ascii="Times New Roman" w:hAnsi="Times New Roman"/>
          <w:sz w:val="24"/>
          <w:szCs w:val="24"/>
        </w:rPr>
      </w:pPr>
      <w:r w:rsidRPr="00867F56">
        <w:rPr>
          <w:rFonts w:ascii="Times New Roman" w:hAnsi="Times New Roman"/>
          <w:sz w:val="24"/>
          <w:szCs w:val="24"/>
        </w:rPr>
        <w:t xml:space="preserve"> There are no exception</w:t>
      </w:r>
      <w:r w:rsidR="000836EF" w:rsidRPr="00867F56">
        <w:rPr>
          <w:rFonts w:ascii="Times New Roman" w:hAnsi="Times New Roman"/>
          <w:sz w:val="24"/>
          <w:szCs w:val="24"/>
        </w:rPr>
        <w:t>s</w:t>
      </w:r>
      <w:r w:rsidRPr="00867F56">
        <w:rPr>
          <w:rFonts w:ascii="Times New Roman" w:hAnsi="Times New Roman"/>
          <w:sz w:val="24"/>
          <w:szCs w:val="24"/>
        </w:rPr>
        <w:t xml:space="preserve">. </w:t>
      </w:r>
      <w:r w:rsidR="00F0627E" w:rsidRPr="00867F56">
        <w:rPr>
          <w:rFonts w:ascii="Times New Roman" w:hAnsi="Times New Roman"/>
          <w:sz w:val="24"/>
          <w:szCs w:val="24"/>
        </w:rPr>
        <w:br w:type="page"/>
      </w:r>
    </w:p>
    <w:p w14:paraId="41DD7695" w14:textId="77777777" w:rsidR="00F0627E" w:rsidRPr="00867F56" w:rsidRDefault="00F0627E" w:rsidP="00B5132F">
      <w:pPr>
        <w:spacing w:after="0" w:line="240" w:lineRule="auto"/>
        <w:jc w:val="right"/>
        <w:rPr>
          <w:rFonts w:ascii="Times New Roman" w:hAnsi="Times New Roman"/>
          <w:sz w:val="24"/>
          <w:szCs w:val="24"/>
        </w:rPr>
      </w:pPr>
      <w:r w:rsidRPr="00867F56">
        <w:rPr>
          <w:rFonts w:ascii="Times New Roman" w:eastAsia="Times New Roman" w:hAnsi="Times New Roman"/>
          <w:b/>
          <w:sz w:val="24"/>
          <w:szCs w:val="24"/>
        </w:rPr>
        <w:t>Attachment A</w:t>
      </w:r>
    </w:p>
    <w:p w14:paraId="681B1029" w14:textId="77777777" w:rsidR="00554E46" w:rsidRPr="00867F56" w:rsidRDefault="00554E46" w:rsidP="006E5D79">
      <w:pPr>
        <w:spacing w:after="160" w:line="259" w:lineRule="auto"/>
        <w:rPr>
          <w:rFonts w:ascii="Times New Roman" w:hAnsi="Times New Roman"/>
          <w:sz w:val="24"/>
          <w:szCs w:val="24"/>
        </w:rPr>
      </w:pPr>
    </w:p>
    <w:p w14:paraId="7147F385" w14:textId="022C1AB4" w:rsidR="006E5D79" w:rsidRPr="00867F56" w:rsidRDefault="00554E46" w:rsidP="00554E46">
      <w:pPr>
        <w:spacing w:after="0" w:line="240" w:lineRule="auto"/>
        <w:rPr>
          <w:rFonts w:ascii="Times New Roman" w:hAnsi="Times New Roman"/>
          <w:sz w:val="24"/>
          <w:szCs w:val="24"/>
        </w:rPr>
      </w:pPr>
      <w:r w:rsidRPr="00867F56">
        <w:rPr>
          <w:rFonts w:ascii="Times New Roman" w:hAnsi="Times New Roman"/>
          <w:sz w:val="24"/>
          <w:szCs w:val="24"/>
        </w:rPr>
        <w:t>Note</w:t>
      </w:r>
      <w:r w:rsidR="00B5132F" w:rsidRPr="00867F56">
        <w:rPr>
          <w:rFonts w:ascii="Times New Roman" w:hAnsi="Times New Roman"/>
          <w:sz w:val="24"/>
          <w:szCs w:val="24"/>
        </w:rPr>
        <w:t xml:space="preserve"> that some of the </w:t>
      </w:r>
      <w:r w:rsidRPr="00867F56">
        <w:rPr>
          <w:rFonts w:ascii="Times New Roman" w:hAnsi="Times New Roman"/>
          <w:sz w:val="24"/>
          <w:szCs w:val="24"/>
        </w:rPr>
        <w:t xml:space="preserve">following </w:t>
      </w:r>
      <w:r w:rsidR="00B5132F" w:rsidRPr="00867F56">
        <w:rPr>
          <w:rFonts w:ascii="Times New Roman" w:hAnsi="Times New Roman"/>
          <w:sz w:val="24"/>
          <w:szCs w:val="24"/>
        </w:rPr>
        <w:t>references cover both major (FERC-500) and minor (FERC-505) hydro project applicatio</w:t>
      </w:r>
      <w:r w:rsidR="00EB2701">
        <w:rPr>
          <w:rFonts w:ascii="Times New Roman" w:hAnsi="Times New Roman"/>
          <w:sz w:val="24"/>
          <w:szCs w:val="24"/>
        </w:rPr>
        <w:t>ns and reporting requirements.</w:t>
      </w:r>
    </w:p>
    <w:p w14:paraId="70563478" w14:textId="77777777" w:rsidR="00B5132F" w:rsidRPr="00867F56" w:rsidRDefault="00B5132F" w:rsidP="006E5D79">
      <w:pPr>
        <w:spacing w:after="160" w:line="259" w:lineRule="auto"/>
        <w:rPr>
          <w:rFonts w:ascii="Times New Roman" w:hAnsi="Times New Roman"/>
          <w:sz w:val="24"/>
          <w:szCs w:val="24"/>
        </w:rPr>
      </w:pPr>
    </w:p>
    <w:p w14:paraId="3627C2E0" w14:textId="77777777" w:rsidR="00B5132F" w:rsidRPr="00867F56" w:rsidRDefault="006E5D79" w:rsidP="00B5132F">
      <w:pPr>
        <w:spacing w:after="160" w:line="259" w:lineRule="auto"/>
        <w:rPr>
          <w:rFonts w:ascii="Times New Roman" w:hAnsi="Times New Roman"/>
          <w:sz w:val="24"/>
          <w:szCs w:val="24"/>
        </w:rPr>
      </w:pPr>
      <w:r w:rsidRPr="00867F56">
        <w:rPr>
          <w:rFonts w:ascii="Times New Roman" w:hAnsi="Times New Roman"/>
          <w:b/>
          <w:sz w:val="24"/>
          <w:szCs w:val="24"/>
        </w:rPr>
        <w:t>FERC-500</w:t>
      </w:r>
      <w:r w:rsidRPr="00867F56">
        <w:rPr>
          <w:rFonts w:ascii="Times New Roman" w:hAnsi="Times New Roman"/>
          <w:sz w:val="24"/>
          <w:szCs w:val="24"/>
        </w:rPr>
        <w:t xml:space="preserve"> </w:t>
      </w:r>
      <w:r w:rsidR="00B5132F" w:rsidRPr="00867F56">
        <w:rPr>
          <w:rFonts w:ascii="Times New Roman" w:hAnsi="Times New Roman"/>
          <w:sz w:val="24"/>
          <w:szCs w:val="24"/>
        </w:rPr>
        <w:t>has information collection requirements described in the following sections in 18 C.F.R.:</w:t>
      </w:r>
    </w:p>
    <w:p w14:paraId="2E6BD8C7"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2.19</w:t>
      </w:r>
    </w:p>
    <w:p w14:paraId="7A68161E"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4.201</w:t>
      </w:r>
    </w:p>
    <w:p w14:paraId="06257636"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4.202</w:t>
      </w:r>
    </w:p>
    <w:p w14:paraId="6634AC17"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4.301</w:t>
      </w:r>
    </w:p>
    <w:p w14:paraId="0DBACA39"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 xml:space="preserve">4.303  </w:t>
      </w:r>
    </w:p>
    <w:p w14:paraId="51EC9458"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4.35</w:t>
      </w:r>
    </w:p>
    <w:p w14:paraId="7C03D12D"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4.38</w:t>
      </w:r>
    </w:p>
    <w:p w14:paraId="397CAA0D"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4.40</w:t>
      </w:r>
    </w:p>
    <w:p w14:paraId="7E94948D"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4.41</w:t>
      </w:r>
    </w:p>
    <w:p w14:paraId="2513F1A4"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4.50</w:t>
      </w:r>
    </w:p>
    <w:p w14:paraId="0929E358"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4.51</w:t>
      </w:r>
    </w:p>
    <w:p w14:paraId="27035461"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5.11</w:t>
      </w:r>
    </w:p>
    <w:p w14:paraId="45C8C390"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5.13</w:t>
      </w:r>
    </w:p>
    <w:p w14:paraId="4203393D"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5.16</w:t>
      </w:r>
    </w:p>
    <w:p w14:paraId="10B7AF68"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5.17</w:t>
      </w:r>
    </w:p>
    <w:p w14:paraId="71D0DEE0"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5.18</w:t>
      </w:r>
    </w:p>
    <w:p w14:paraId="75033D1E"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5.2</w:t>
      </w:r>
    </w:p>
    <w:p w14:paraId="184CB0F2"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5.20</w:t>
      </w:r>
    </w:p>
    <w:p w14:paraId="512CEFEE"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5.21</w:t>
      </w:r>
    </w:p>
    <w:p w14:paraId="43FD6A42"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5.27</w:t>
      </w:r>
    </w:p>
    <w:p w14:paraId="6BE235EC"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5.4</w:t>
      </w:r>
    </w:p>
    <w:p w14:paraId="603B97AB"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5.5</w:t>
      </w:r>
    </w:p>
    <w:p w14:paraId="69365B8D"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5.6</w:t>
      </w:r>
    </w:p>
    <w:p w14:paraId="656327A8"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8.1</w:t>
      </w:r>
    </w:p>
    <w:p w14:paraId="27F54667"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8.2</w:t>
      </w:r>
    </w:p>
    <w:p w14:paraId="079AA641"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16.10</w:t>
      </w:r>
    </w:p>
    <w:p w14:paraId="52E8AE01"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16.11</w:t>
      </w:r>
    </w:p>
    <w:p w14:paraId="43684484"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16.12</w:t>
      </w:r>
    </w:p>
    <w:p w14:paraId="121941DD"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16.14</w:t>
      </w:r>
    </w:p>
    <w:p w14:paraId="6E0080D1"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16.19</w:t>
      </w:r>
    </w:p>
    <w:p w14:paraId="245AC159"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16.20</w:t>
      </w:r>
    </w:p>
    <w:p w14:paraId="48B82AB4"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16.26</w:t>
      </w:r>
    </w:p>
    <w:p w14:paraId="5C4B1E25" w14:textId="77777777" w:rsidR="006E5D79" w:rsidRPr="00867F56" w:rsidRDefault="006E5D79" w:rsidP="00B5132F">
      <w:pPr>
        <w:pStyle w:val="ListParagraph"/>
        <w:numPr>
          <w:ilvl w:val="0"/>
          <w:numId w:val="17"/>
        </w:numPr>
        <w:spacing w:after="0" w:line="240" w:lineRule="auto"/>
        <w:rPr>
          <w:rFonts w:ascii="Times New Roman" w:hAnsi="Times New Roman"/>
          <w:sz w:val="24"/>
          <w:szCs w:val="24"/>
        </w:rPr>
      </w:pPr>
      <w:r w:rsidRPr="00867F56">
        <w:rPr>
          <w:rFonts w:ascii="Times New Roman" w:hAnsi="Times New Roman"/>
          <w:sz w:val="24"/>
          <w:szCs w:val="24"/>
        </w:rPr>
        <w:t>16.4</w:t>
      </w:r>
    </w:p>
    <w:p w14:paraId="48D05AB7"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16.6</w:t>
      </w:r>
    </w:p>
    <w:p w14:paraId="7C35002F"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16.7</w:t>
      </w:r>
    </w:p>
    <w:p w14:paraId="185505E2"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16.8</w:t>
      </w:r>
    </w:p>
    <w:p w14:paraId="10CF7DDB"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16.9</w:t>
      </w:r>
    </w:p>
    <w:p w14:paraId="031BEA5E"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141.15</w:t>
      </w:r>
    </w:p>
    <w:p w14:paraId="60FAC747"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4.36(b)</w:t>
      </w:r>
    </w:p>
    <w:p w14:paraId="0FBBD24E"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4.36(c)</w:t>
      </w:r>
    </w:p>
    <w:p w14:paraId="337FA6D8"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5.15(b)</w:t>
      </w:r>
    </w:p>
    <w:p w14:paraId="43308243"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5.15(c)</w:t>
      </w:r>
    </w:p>
    <w:p w14:paraId="37021D5B"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5.15(d)</w:t>
      </w:r>
    </w:p>
    <w:p w14:paraId="672CFDCE"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5.15(e)</w:t>
      </w:r>
    </w:p>
    <w:p w14:paraId="4411A832"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5.15(f)</w:t>
      </w:r>
    </w:p>
    <w:p w14:paraId="746E5044"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5.18(d)</w:t>
      </w:r>
    </w:p>
    <w:p w14:paraId="470A3332"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5.23(b)</w:t>
      </w:r>
    </w:p>
    <w:p w14:paraId="6D5ACD9E"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5.3(c)(1)</w:t>
      </w:r>
    </w:p>
    <w:p w14:paraId="4F8F190A"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5.3(c)(2)</w:t>
      </w:r>
    </w:p>
    <w:p w14:paraId="3FC06B2D" w14:textId="77777777" w:rsidR="006E5D79" w:rsidRPr="00867F56" w:rsidRDefault="006E5D79" w:rsidP="00B5132F">
      <w:pPr>
        <w:pStyle w:val="ListParagraph"/>
        <w:numPr>
          <w:ilvl w:val="0"/>
          <w:numId w:val="16"/>
        </w:numPr>
        <w:spacing w:after="0" w:line="240" w:lineRule="auto"/>
        <w:rPr>
          <w:rFonts w:ascii="Times New Roman" w:hAnsi="Times New Roman"/>
          <w:sz w:val="24"/>
          <w:szCs w:val="24"/>
        </w:rPr>
      </w:pPr>
      <w:r w:rsidRPr="00867F56">
        <w:rPr>
          <w:rFonts w:ascii="Times New Roman" w:hAnsi="Times New Roman"/>
          <w:sz w:val="24"/>
          <w:szCs w:val="24"/>
        </w:rPr>
        <w:t>5.3(d)(1)</w:t>
      </w:r>
    </w:p>
    <w:p w14:paraId="53DC6F51" w14:textId="77777777" w:rsidR="006E5D79" w:rsidRPr="00867F56" w:rsidRDefault="006E5D79" w:rsidP="00B5132F">
      <w:pPr>
        <w:pStyle w:val="ListParagraph"/>
        <w:numPr>
          <w:ilvl w:val="0"/>
          <w:numId w:val="16"/>
        </w:numPr>
        <w:spacing w:after="160" w:line="259" w:lineRule="auto"/>
        <w:rPr>
          <w:rFonts w:ascii="Times New Roman" w:hAnsi="Times New Roman"/>
          <w:sz w:val="24"/>
          <w:szCs w:val="24"/>
        </w:rPr>
      </w:pPr>
      <w:r w:rsidRPr="00867F56">
        <w:rPr>
          <w:rFonts w:ascii="Times New Roman" w:hAnsi="Times New Roman"/>
          <w:sz w:val="24"/>
          <w:szCs w:val="24"/>
        </w:rPr>
        <w:t>292.208</w:t>
      </w:r>
    </w:p>
    <w:p w14:paraId="4AA76BB0" w14:textId="77777777" w:rsidR="006E5D79" w:rsidRPr="00867F56" w:rsidRDefault="006E5D79">
      <w:pPr>
        <w:spacing w:after="160" w:line="259" w:lineRule="auto"/>
        <w:rPr>
          <w:rFonts w:ascii="Times New Roman" w:hAnsi="Times New Roman"/>
          <w:sz w:val="24"/>
          <w:szCs w:val="24"/>
        </w:rPr>
      </w:pPr>
    </w:p>
    <w:p w14:paraId="13DB230B" w14:textId="77777777" w:rsidR="00F0627E" w:rsidRPr="00867F56" w:rsidRDefault="00F0627E" w:rsidP="007445A8">
      <w:pPr>
        <w:spacing w:after="0" w:line="240" w:lineRule="auto"/>
        <w:rPr>
          <w:rFonts w:ascii="Times New Roman" w:hAnsi="Times New Roman"/>
          <w:sz w:val="24"/>
          <w:szCs w:val="24"/>
        </w:rPr>
      </w:pPr>
      <w:r w:rsidRPr="00867F56">
        <w:rPr>
          <w:rFonts w:ascii="Times New Roman" w:hAnsi="Times New Roman"/>
          <w:b/>
          <w:sz w:val="24"/>
          <w:szCs w:val="24"/>
        </w:rPr>
        <w:t>FERC-505</w:t>
      </w:r>
      <w:r w:rsidRPr="00867F56">
        <w:rPr>
          <w:rFonts w:ascii="Times New Roman" w:hAnsi="Times New Roman"/>
          <w:sz w:val="24"/>
          <w:szCs w:val="24"/>
        </w:rPr>
        <w:t xml:space="preserve"> has information collection requirements described in the following sections in 18 C</w:t>
      </w:r>
      <w:r w:rsidR="004C3C5F" w:rsidRPr="00867F56">
        <w:rPr>
          <w:rFonts w:ascii="Times New Roman" w:hAnsi="Times New Roman"/>
          <w:sz w:val="24"/>
          <w:szCs w:val="24"/>
        </w:rPr>
        <w:t>.</w:t>
      </w:r>
      <w:r w:rsidRPr="00867F56">
        <w:rPr>
          <w:rFonts w:ascii="Times New Roman" w:hAnsi="Times New Roman"/>
          <w:sz w:val="24"/>
          <w:szCs w:val="24"/>
        </w:rPr>
        <w:t>F</w:t>
      </w:r>
      <w:r w:rsidR="004C3C5F" w:rsidRPr="00867F56">
        <w:rPr>
          <w:rFonts w:ascii="Times New Roman" w:hAnsi="Times New Roman"/>
          <w:sz w:val="24"/>
          <w:szCs w:val="24"/>
        </w:rPr>
        <w:t>.</w:t>
      </w:r>
      <w:r w:rsidRPr="00867F56">
        <w:rPr>
          <w:rFonts w:ascii="Times New Roman" w:hAnsi="Times New Roman"/>
          <w:sz w:val="24"/>
          <w:szCs w:val="24"/>
        </w:rPr>
        <w:t>R</w:t>
      </w:r>
      <w:r w:rsidR="004C3C5F" w:rsidRPr="00867F56">
        <w:rPr>
          <w:rFonts w:ascii="Times New Roman" w:hAnsi="Times New Roman"/>
          <w:sz w:val="24"/>
          <w:szCs w:val="24"/>
        </w:rPr>
        <w:t>.</w:t>
      </w:r>
      <w:r w:rsidRPr="00867F56">
        <w:rPr>
          <w:rFonts w:ascii="Times New Roman" w:hAnsi="Times New Roman"/>
          <w:sz w:val="24"/>
          <w:szCs w:val="24"/>
        </w:rPr>
        <w:t>:</w:t>
      </w:r>
    </w:p>
    <w:p w14:paraId="58DC2A3F" w14:textId="77777777" w:rsidR="00CB2F25" w:rsidRPr="00867F56" w:rsidRDefault="00CB2F25" w:rsidP="007445A8">
      <w:pPr>
        <w:spacing w:after="0" w:line="240" w:lineRule="auto"/>
        <w:rPr>
          <w:rFonts w:ascii="Times New Roman" w:hAnsi="Times New Roman"/>
          <w:sz w:val="24"/>
          <w:szCs w:val="24"/>
        </w:rPr>
      </w:pPr>
    </w:p>
    <w:p w14:paraId="114D9725"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2.19</w:t>
      </w:r>
    </w:p>
    <w:p w14:paraId="68AC1B44"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4.32</w:t>
      </w:r>
    </w:p>
    <w:p w14:paraId="2D9EDBB7"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4.35</w:t>
      </w:r>
    </w:p>
    <w:p w14:paraId="425FD76B"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4.36 (b) and (c)</w:t>
      </w:r>
    </w:p>
    <w:p w14:paraId="71D7F8D6"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4.61</w:t>
      </w:r>
    </w:p>
    <w:p w14:paraId="05722933"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4.71</w:t>
      </w:r>
    </w:p>
    <w:p w14:paraId="07A33BF5"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4.93</w:t>
      </w:r>
    </w:p>
    <w:p w14:paraId="1C3FE2D9"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4.107</w:t>
      </w:r>
    </w:p>
    <w:p w14:paraId="59EE6530"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4.108</w:t>
      </w:r>
    </w:p>
    <w:p w14:paraId="29ACD1C8"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4.201</w:t>
      </w:r>
    </w:p>
    <w:p w14:paraId="65F8BC59"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4.202</w:t>
      </w:r>
    </w:p>
    <w:p w14:paraId="125E823E"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4.400</w:t>
      </w:r>
    </w:p>
    <w:p w14:paraId="4EB74B2E"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4.401</w:t>
      </w:r>
    </w:p>
    <w:p w14:paraId="68CC0890"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Part 5</w:t>
      </w:r>
    </w:p>
    <w:p w14:paraId="767168E1"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8.1</w:t>
      </w:r>
    </w:p>
    <w:p w14:paraId="77D18781"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8.2</w:t>
      </w:r>
    </w:p>
    <w:p w14:paraId="3C486529"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16.1</w:t>
      </w:r>
    </w:p>
    <w:p w14:paraId="405DB521"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16.6</w:t>
      </w:r>
    </w:p>
    <w:p w14:paraId="65FA87A8"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16.7</w:t>
      </w:r>
    </w:p>
    <w:p w14:paraId="57331B9C"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16.8</w:t>
      </w:r>
    </w:p>
    <w:p w14:paraId="5EB718DF"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16.9</w:t>
      </w:r>
    </w:p>
    <w:p w14:paraId="3141FDC0"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16.10</w:t>
      </w:r>
    </w:p>
    <w:p w14:paraId="4BB08751"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16.11</w:t>
      </w:r>
    </w:p>
    <w:p w14:paraId="4E43FCBA"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16.12</w:t>
      </w:r>
    </w:p>
    <w:p w14:paraId="21433E4B"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16.14</w:t>
      </w:r>
    </w:p>
    <w:p w14:paraId="2BB98B1B"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16.19</w:t>
      </w:r>
    </w:p>
    <w:p w14:paraId="081A45B5"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16.20</w:t>
      </w:r>
    </w:p>
    <w:p w14:paraId="72F0DB63"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16.22</w:t>
      </w:r>
    </w:p>
    <w:p w14:paraId="1D1D4C5E"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292.203</w:t>
      </w:r>
    </w:p>
    <w:p w14:paraId="08077F1B" w14:textId="77777777" w:rsidR="00F0627E" w:rsidRPr="00867F56" w:rsidRDefault="00F0627E" w:rsidP="007445A8">
      <w:pPr>
        <w:numPr>
          <w:ilvl w:val="0"/>
          <w:numId w:val="13"/>
        </w:numPr>
        <w:spacing w:after="0" w:line="240" w:lineRule="auto"/>
        <w:rPr>
          <w:rFonts w:ascii="Times New Roman" w:hAnsi="Times New Roman"/>
          <w:sz w:val="24"/>
          <w:szCs w:val="24"/>
        </w:rPr>
      </w:pPr>
      <w:r w:rsidRPr="00867F56">
        <w:rPr>
          <w:rFonts w:ascii="Times New Roman" w:hAnsi="Times New Roman"/>
          <w:sz w:val="24"/>
          <w:szCs w:val="24"/>
        </w:rPr>
        <w:t>292.208</w:t>
      </w:r>
    </w:p>
    <w:p w14:paraId="79DFAFC8" w14:textId="710926A8" w:rsidR="004A70BD" w:rsidRPr="00867F56" w:rsidRDefault="004A70BD" w:rsidP="00EB2701">
      <w:pPr>
        <w:pStyle w:val="ListParagraph"/>
        <w:spacing w:after="0" w:line="240" w:lineRule="auto"/>
        <w:rPr>
          <w:rFonts w:ascii="Times New Roman" w:hAnsi="Times New Roman"/>
          <w:sz w:val="24"/>
          <w:szCs w:val="24"/>
        </w:rPr>
      </w:pPr>
    </w:p>
    <w:sectPr w:rsidR="004A70BD" w:rsidRPr="00867F5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15402" w14:textId="77777777" w:rsidR="00134D4F" w:rsidRDefault="00134D4F" w:rsidP="009C7F55">
      <w:pPr>
        <w:spacing w:after="0" w:line="240" w:lineRule="auto"/>
      </w:pPr>
      <w:r>
        <w:separator/>
      </w:r>
    </w:p>
  </w:endnote>
  <w:endnote w:type="continuationSeparator" w:id="0">
    <w:p w14:paraId="52E2CAEF" w14:textId="77777777" w:rsidR="00134D4F" w:rsidRDefault="00134D4F" w:rsidP="009C7F55">
      <w:pPr>
        <w:spacing w:after="0" w:line="240" w:lineRule="auto"/>
      </w:pPr>
      <w:r>
        <w:continuationSeparator/>
      </w:r>
    </w:p>
  </w:endnote>
  <w:endnote w:type="continuationNotice" w:id="1">
    <w:p w14:paraId="6D2EB3D8" w14:textId="77777777" w:rsidR="00134D4F" w:rsidRDefault="00134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11ADFF0A" w14:textId="77777777" w:rsidR="00102B0B" w:rsidRDefault="00102B0B">
        <w:pPr>
          <w:pStyle w:val="Footer"/>
          <w:jc w:val="right"/>
        </w:pPr>
        <w:r>
          <w:fldChar w:fldCharType="begin"/>
        </w:r>
        <w:r>
          <w:instrText xml:space="preserve"> PAGE   \* MERGEFORMAT </w:instrText>
        </w:r>
        <w:r>
          <w:fldChar w:fldCharType="separate"/>
        </w:r>
        <w:r w:rsidR="00857663">
          <w:rPr>
            <w:noProof/>
          </w:rPr>
          <w:t>1</w:t>
        </w:r>
        <w:r>
          <w:rPr>
            <w:noProof/>
          </w:rPr>
          <w:fldChar w:fldCharType="end"/>
        </w:r>
      </w:p>
    </w:sdtContent>
  </w:sdt>
  <w:p w14:paraId="5B1DD9B4" w14:textId="77777777" w:rsidR="00102B0B" w:rsidRDefault="00102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763F2" w14:textId="77777777" w:rsidR="00134D4F" w:rsidRDefault="00134D4F" w:rsidP="009C7F55">
      <w:pPr>
        <w:spacing w:after="0" w:line="240" w:lineRule="auto"/>
      </w:pPr>
      <w:r>
        <w:separator/>
      </w:r>
    </w:p>
  </w:footnote>
  <w:footnote w:type="continuationSeparator" w:id="0">
    <w:p w14:paraId="3D75BC4C" w14:textId="77777777" w:rsidR="00134D4F" w:rsidRDefault="00134D4F" w:rsidP="009C7F55">
      <w:pPr>
        <w:spacing w:after="0" w:line="240" w:lineRule="auto"/>
      </w:pPr>
      <w:r>
        <w:continuationSeparator/>
      </w:r>
    </w:p>
  </w:footnote>
  <w:footnote w:type="continuationNotice" w:id="1">
    <w:p w14:paraId="7D4531CD" w14:textId="77777777" w:rsidR="00134D4F" w:rsidRDefault="00134D4F">
      <w:pPr>
        <w:spacing w:after="0" w:line="240" w:lineRule="auto"/>
      </w:pPr>
    </w:p>
  </w:footnote>
  <w:footnote w:id="2">
    <w:p w14:paraId="576C486F" w14:textId="77777777" w:rsidR="00102B0B" w:rsidRPr="00D30BDB" w:rsidRDefault="00102B0B">
      <w:pPr>
        <w:pStyle w:val="FootnoteText"/>
      </w:pPr>
      <w:r w:rsidRPr="00D30BDB">
        <w:rPr>
          <w:rStyle w:val="FootnoteReference"/>
        </w:rPr>
        <w:footnoteRef/>
      </w:r>
      <w:r w:rsidRPr="00D30BDB">
        <w:t xml:space="preserve"> </w:t>
      </w:r>
      <w:r>
        <w:t>The Final Rule,</w:t>
      </w:r>
      <w:r w:rsidRPr="00D30BDB">
        <w:t xml:space="preserve"> posted </w:t>
      </w:r>
      <w:hyperlink r:id="rId1" w:history="1">
        <w:r w:rsidRPr="00A97596">
          <w:rPr>
            <w:rStyle w:val="Hyperlink"/>
          </w:rPr>
          <w:t>here</w:t>
        </w:r>
      </w:hyperlink>
      <w:r>
        <w:t xml:space="preserve"> </w:t>
      </w:r>
      <w:r w:rsidRPr="00D30BDB">
        <w:t>on FERC’s eLibrary</w:t>
      </w:r>
      <w:r>
        <w:t>, was</w:t>
      </w:r>
      <w:r w:rsidRPr="00D30BDB">
        <w:t xml:space="preserve"> published in the </w:t>
      </w:r>
      <w:r w:rsidRPr="000B29FC">
        <w:rPr>
          <w:i/>
        </w:rPr>
        <w:t>Federal Register</w:t>
      </w:r>
      <w:r>
        <w:t xml:space="preserve"> on April 24, 2019. 84 FR 17064</w:t>
      </w:r>
      <w:r w:rsidRPr="00D30BDB">
        <w:t>.</w:t>
      </w:r>
    </w:p>
  </w:footnote>
  <w:footnote w:id="3">
    <w:p w14:paraId="7023B864" w14:textId="77777777" w:rsidR="00102B0B" w:rsidRPr="00D30BDB" w:rsidRDefault="00102B0B" w:rsidP="007E0D8A">
      <w:pPr>
        <w:pStyle w:val="FootnoteText"/>
      </w:pPr>
      <w:r w:rsidRPr="00D30BDB">
        <w:rPr>
          <w:rStyle w:val="FootnoteReference"/>
        </w:rPr>
        <w:footnoteRef/>
      </w:r>
      <w:r w:rsidRPr="00D30BDB">
        <w:t xml:space="preserve"> 16 U.S.C. §§</w:t>
      </w:r>
      <w:r>
        <w:t xml:space="preserve"> </w:t>
      </w:r>
      <w:r w:rsidRPr="00D30BDB">
        <w:t>791a-825r (2012).</w:t>
      </w:r>
    </w:p>
  </w:footnote>
  <w:footnote w:id="4">
    <w:p w14:paraId="2565CE03" w14:textId="77777777" w:rsidR="00102B0B" w:rsidRPr="00D30BDB" w:rsidRDefault="00102B0B" w:rsidP="00F0627E">
      <w:pPr>
        <w:pStyle w:val="FootnoteText"/>
      </w:pPr>
      <w:r w:rsidRPr="00D30BDB">
        <w:rPr>
          <w:rStyle w:val="FootnoteReference"/>
        </w:rPr>
        <w:footnoteRef/>
      </w:r>
      <w:r w:rsidRPr="00D30BDB">
        <w:t xml:space="preserve"> Pub. L. No. 99-495, 100 Stat. 1243 (1986).</w:t>
      </w:r>
    </w:p>
  </w:footnote>
  <w:footnote w:id="5">
    <w:p w14:paraId="4D9D2254" w14:textId="77777777" w:rsidR="00102B0B" w:rsidRPr="00D30BDB" w:rsidRDefault="00102B0B" w:rsidP="004C3C5F">
      <w:pPr>
        <w:pStyle w:val="FootnoteText"/>
        <w:tabs>
          <w:tab w:val="left" w:pos="2760"/>
        </w:tabs>
      </w:pPr>
      <w:r w:rsidRPr="00D30BDB">
        <w:rPr>
          <w:rStyle w:val="FootnoteReference"/>
        </w:rPr>
        <w:footnoteRef/>
      </w:r>
      <w:r w:rsidRPr="00D30BDB">
        <w:t xml:space="preserve"> 16 USC </w:t>
      </w:r>
      <w:r>
        <w:t>803(a)</w:t>
      </w:r>
      <w:r w:rsidRPr="00D30BDB">
        <w:t xml:space="preserve"> (2012).</w:t>
      </w:r>
    </w:p>
  </w:footnote>
  <w:footnote w:id="6">
    <w:p w14:paraId="203AD72B" w14:textId="77777777" w:rsidR="00102B0B" w:rsidRDefault="00102B0B">
      <w:pPr>
        <w:pStyle w:val="FootnoteText"/>
      </w:pPr>
      <w:r>
        <w:rPr>
          <w:rStyle w:val="FootnoteReference"/>
        </w:rPr>
        <w:footnoteRef/>
      </w:r>
      <w:r>
        <w:t xml:space="preserve"> 16 U.S.C. 797(e) and 803(j) (2012).</w:t>
      </w:r>
    </w:p>
  </w:footnote>
  <w:footnote w:id="7">
    <w:p w14:paraId="0C5D609F" w14:textId="77777777" w:rsidR="00102B0B" w:rsidRDefault="00102B0B" w:rsidP="0002057C">
      <w:pPr>
        <w:pStyle w:val="FootnoteText"/>
      </w:pPr>
      <w:r>
        <w:rPr>
          <w:rStyle w:val="FootnoteReference"/>
        </w:rPr>
        <w:footnoteRef/>
      </w:r>
      <w:r>
        <w:t xml:space="preserve"> 42 U.S.C. 4332(C) (2012)</w:t>
      </w:r>
    </w:p>
  </w:footnote>
  <w:footnote w:id="8">
    <w:p w14:paraId="755058A0" w14:textId="77777777" w:rsidR="00102B0B" w:rsidRPr="00D30BDB" w:rsidRDefault="00102B0B" w:rsidP="00D631E3">
      <w:pPr>
        <w:pStyle w:val="FootnoteText"/>
      </w:pPr>
      <w:r w:rsidRPr="00D30BDB">
        <w:rPr>
          <w:rStyle w:val="FootnoteReference"/>
        </w:rPr>
        <w:footnoteRef/>
      </w:r>
      <w:r w:rsidRPr="00D30BDB">
        <w:t xml:space="preserve"> Annual conveyance reports are filed for both major and minor licenses.  </w:t>
      </w:r>
      <w:r>
        <w:t>Eighty percent</w:t>
      </w:r>
      <w:r w:rsidRPr="00D30BDB">
        <w:t xml:space="preserve"> of the reports are related to major licenses.  </w:t>
      </w:r>
    </w:p>
  </w:footnote>
  <w:footnote w:id="9">
    <w:p w14:paraId="2664DA0D" w14:textId="77777777" w:rsidR="00102B0B" w:rsidRPr="00D30BDB" w:rsidRDefault="00102B0B" w:rsidP="00EC7734">
      <w:pPr>
        <w:pStyle w:val="FootnoteText"/>
      </w:pPr>
      <w:r w:rsidRPr="00D30BDB">
        <w:rPr>
          <w:rStyle w:val="FootnoteReference"/>
        </w:rPr>
        <w:footnoteRef/>
      </w:r>
      <w:r w:rsidRPr="00D30BDB">
        <w:t xml:space="preserve"> More information on the licensing process</w:t>
      </w:r>
      <w:r>
        <w:t>es</w:t>
      </w:r>
      <w:r w:rsidRPr="00D30BDB">
        <w:t xml:space="preserve"> is available at http://www.ferc.gov/industries/hydropower/gen-info/licensing.asp.</w:t>
      </w:r>
    </w:p>
  </w:footnote>
  <w:footnote w:id="10">
    <w:p w14:paraId="060DFC2B" w14:textId="77777777" w:rsidR="00102B0B" w:rsidRPr="00D30BDB" w:rsidDel="006A5850" w:rsidRDefault="00102B0B" w:rsidP="00471F97">
      <w:pPr>
        <w:pStyle w:val="FootnoteText"/>
      </w:pPr>
      <w:r w:rsidRPr="00D30BDB" w:rsidDel="006A5850">
        <w:rPr>
          <w:rStyle w:val="FootnoteReference"/>
        </w:rPr>
        <w:footnoteRef/>
      </w:r>
      <w:r w:rsidRPr="00D30BDB" w:rsidDel="006A5850">
        <w:t xml:space="preserve"> Minor water power projects are those that have a total installed capacity of 1.5 MW or less.  Major water power projects have a total installed capacity of greater than 1.5 MW.   </w:t>
      </w:r>
    </w:p>
  </w:footnote>
  <w:footnote w:id="11">
    <w:p w14:paraId="618FB01F" w14:textId="77777777" w:rsidR="00102B0B" w:rsidRPr="00D30BDB" w:rsidRDefault="00102B0B" w:rsidP="00471F97">
      <w:pPr>
        <w:pStyle w:val="FootnoteText"/>
      </w:pPr>
      <w:r w:rsidRPr="00D30BDB">
        <w:rPr>
          <w:rStyle w:val="FootnoteReference"/>
        </w:rPr>
        <w:footnoteRef/>
      </w:r>
      <w:r w:rsidRPr="00D30BDB">
        <w:t xml:space="preserve"> 16 U.S.C. 823a (2012), amended by, Hydropower Regulatory Efficiency Act of</w:t>
      </w:r>
      <w:r>
        <w:t xml:space="preserve"> </w:t>
      </w:r>
      <w:r w:rsidRPr="00D30BDB">
        <w:t>2013, Pub. L. No. 113-23, 4, 127 Stat. 493 (2013).</w:t>
      </w:r>
    </w:p>
  </w:footnote>
  <w:footnote w:id="12">
    <w:p w14:paraId="60647F6F" w14:textId="77777777" w:rsidR="00102B0B" w:rsidRPr="00D30BDB" w:rsidRDefault="00102B0B" w:rsidP="00471F97">
      <w:pPr>
        <w:pStyle w:val="FootnoteText"/>
      </w:pPr>
      <w:r w:rsidRPr="00D30BDB">
        <w:rPr>
          <w:rStyle w:val="FootnoteReference"/>
        </w:rPr>
        <w:footnoteRef/>
      </w:r>
      <w:r w:rsidRPr="00D30BDB">
        <w:t xml:space="preserve"> 16 U.S.C. 2708 (2012).</w:t>
      </w:r>
    </w:p>
  </w:footnote>
  <w:footnote w:id="13">
    <w:p w14:paraId="0A79ADED" w14:textId="77777777" w:rsidR="00102B0B" w:rsidRDefault="00102B0B">
      <w:pPr>
        <w:pStyle w:val="FootnoteText"/>
      </w:pPr>
      <w:r>
        <w:rPr>
          <w:rStyle w:val="FootnoteReference"/>
        </w:rPr>
        <w:footnoteRef/>
      </w:r>
      <w:r>
        <w:t xml:space="preserve"> 16 U.S.C. 823a (2012).  </w:t>
      </w:r>
      <w:r w:rsidRPr="00102B0B">
        <w:rPr>
          <w:i/>
        </w:rPr>
        <w:t>See also</w:t>
      </w:r>
      <w:r>
        <w:t xml:space="preserve"> 18 C.F.R. Part 4, Subpart N (2018) (Commission’s implementing regulations).</w:t>
      </w:r>
    </w:p>
  </w:footnote>
  <w:footnote w:id="14">
    <w:p w14:paraId="79122673" w14:textId="77777777" w:rsidR="00102B0B" w:rsidRPr="00D30BDB" w:rsidRDefault="00102B0B">
      <w:pPr>
        <w:pStyle w:val="FootnoteText"/>
      </w:pPr>
      <w:r w:rsidRPr="00D30BDB">
        <w:rPr>
          <w:rStyle w:val="FootnoteReference"/>
        </w:rPr>
        <w:footnoteRef/>
      </w:r>
      <w:r w:rsidRPr="00D30BDB">
        <w:t xml:space="preserve"> </w:t>
      </w:r>
      <w:r>
        <w:t>Pub. L. No. 115-270, 132 Stat. 3765 (2018) (AWIA).</w:t>
      </w:r>
    </w:p>
  </w:footnote>
  <w:footnote w:id="15">
    <w:p w14:paraId="485A0350" w14:textId="77777777" w:rsidR="00102B0B" w:rsidRPr="00D30BDB" w:rsidRDefault="00102B0B" w:rsidP="007151CF">
      <w:pPr>
        <w:pStyle w:val="FootnoteText"/>
      </w:pPr>
      <w:r w:rsidRPr="00D30BDB">
        <w:rPr>
          <w:rStyle w:val="FootnoteReference"/>
        </w:rPr>
        <w:footnoteRef/>
      </w:r>
      <w:r w:rsidRPr="00D30BDB">
        <w:t xml:space="preserve"> </w:t>
      </w:r>
      <w:r>
        <w:t>Final Rule at PP 33-45 (statutory criteria), 46-84 (FERC-defined criteria); see also sections 7.1 and 7.2 of the Final Rule.</w:t>
      </w:r>
    </w:p>
  </w:footnote>
  <w:footnote w:id="16">
    <w:p w14:paraId="403DDF84" w14:textId="77777777" w:rsidR="00102B0B" w:rsidRPr="00D30BDB" w:rsidRDefault="00102B0B">
      <w:pPr>
        <w:pStyle w:val="FootnoteText"/>
      </w:pPr>
      <w:r w:rsidRPr="00D30BDB">
        <w:rPr>
          <w:rStyle w:val="FootnoteReference"/>
        </w:rPr>
        <w:footnoteRef/>
      </w:r>
      <w:r>
        <w:t xml:space="preserve"> 84 </w:t>
      </w:r>
      <w:r w:rsidRPr="00EF66F1">
        <w:t xml:space="preserve">FR </w:t>
      </w:r>
      <w:r>
        <w:t>2469</w:t>
      </w:r>
      <w:r w:rsidRPr="00EF66F1">
        <w:t>.</w:t>
      </w:r>
      <w:r>
        <w:t xml:space="preserve"> </w:t>
      </w:r>
    </w:p>
  </w:footnote>
  <w:footnote w:id="17">
    <w:p w14:paraId="20B4A16C" w14:textId="77777777" w:rsidR="00102B0B" w:rsidRPr="00D30BDB" w:rsidRDefault="00102B0B" w:rsidP="003268E5">
      <w:pPr>
        <w:pStyle w:val="FootnoteText"/>
      </w:pPr>
      <w:r w:rsidRPr="00D30BDB">
        <w:rPr>
          <w:rStyle w:val="FootnoteReference"/>
        </w:rPr>
        <w:footnoteRef/>
      </w:r>
      <w:r>
        <w:t xml:space="preserve"> 84 </w:t>
      </w:r>
      <w:r w:rsidRPr="00EF66F1">
        <w:t>FR 17064.</w:t>
      </w:r>
      <w:r>
        <w:t xml:space="preserve"> </w:t>
      </w:r>
    </w:p>
  </w:footnote>
  <w:footnote w:id="18">
    <w:p w14:paraId="4CA1773D" w14:textId="77777777" w:rsidR="00102B0B" w:rsidRPr="00D30BDB" w:rsidRDefault="00102B0B" w:rsidP="00F0627E">
      <w:pPr>
        <w:pStyle w:val="FootnoteText"/>
      </w:pPr>
      <w:r w:rsidRPr="00D30BDB">
        <w:rPr>
          <w:rStyle w:val="FootnoteReference"/>
        </w:rPr>
        <w:footnoteRef/>
      </w:r>
      <w:r w:rsidR="009912B8">
        <w:t xml:space="preserve"> 18 C.F.R. </w:t>
      </w:r>
      <w:r w:rsidRPr="00D30BDB">
        <w:t xml:space="preserve">388.112.  More information on the CEII definition, program and requirements is posted at </w:t>
      </w:r>
      <w:hyperlink r:id="rId2" w:history="1">
        <w:r w:rsidRPr="00D30BDB">
          <w:rPr>
            <w:rStyle w:val="Hyperlink"/>
          </w:rPr>
          <w:t>http://www.ferc.gov/legal/ceii-foia/ceii.asp</w:t>
        </w:r>
      </w:hyperlink>
      <w:r w:rsidRPr="00D30BDB">
        <w:t xml:space="preserve">. </w:t>
      </w:r>
    </w:p>
  </w:footnote>
  <w:footnote w:id="19">
    <w:p w14:paraId="6968322E" w14:textId="77777777" w:rsidR="00102B0B" w:rsidRPr="00D30BDB" w:rsidRDefault="00102B0B" w:rsidP="00BD267F">
      <w:pPr>
        <w:pStyle w:val="FootnoteText"/>
      </w:pPr>
      <w:r w:rsidRPr="00D30BDB">
        <w:rPr>
          <w:rStyle w:val="FootnoteReference"/>
        </w:rPr>
        <w:footnoteRef/>
      </w:r>
      <w:r w:rsidRPr="00D30BDB">
        <w:t xml:space="preserve"> We consider the filing of an application to be a “response.” </w:t>
      </w:r>
    </w:p>
  </w:footnote>
  <w:footnote w:id="20">
    <w:p w14:paraId="5D59F270" w14:textId="77777777" w:rsidR="00102B0B" w:rsidRPr="00D30BDB" w:rsidRDefault="00102B0B" w:rsidP="00BD267F">
      <w:pPr>
        <w:pStyle w:val="FootnoteText"/>
      </w:pPr>
      <w:r w:rsidRPr="00D30BDB">
        <w:rPr>
          <w:rStyle w:val="FootnoteReference"/>
        </w:rPr>
        <w:footnoteRef/>
      </w:r>
      <w:r w:rsidRPr="00D30BDB">
        <w:t xml:space="preserve"> Commission staff assumes that respondents </w:t>
      </w:r>
      <w:r>
        <w:t>cost (for wages plus benefits) a similar amount</w:t>
      </w:r>
      <w:r w:rsidRPr="00D30BDB">
        <w:t xml:space="preserve"> to FERC employees.  The estimates for cost per response are derived using the following formula: Average Burden Hours per Response * $79 per Hour = Average Cost per Response.  The hourly cost figure of $79 is the 2018 average FERC employee wage plus benefits.  </w:t>
      </w:r>
    </w:p>
  </w:footnote>
  <w:footnote w:id="21">
    <w:p w14:paraId="5EB6A9D2" w14:textId="77777777" w:rsidR="00102B0B" w:rsidRPr="00D30BDB" w:rsidRDefault="00102B0B" w:rsidP="00BD267F">
      <w:pPr>
        <w:pStyle w:val="FootnoteText"/>
      </w:pPr>
      <w:r w:rsidRPr="00D30BDB">
        <w:rPr>
          <w:rStyle w:val="FootnoteReference"/>
        </w:rPr>
        <w:footnoteRef/>
      </w:r>
      <w:r w:rsidRPr="00D30BDB">
        <w:t xml:space="preserve"> After implementation of this rule, we estimate five applications for closed-loop pumped storage projects will be filed, alongside a request to use the expedited licensing process, per year.  We estimate that all of these applications will be for projects with more than 5 MW capacity.</w:t>
      </w:r>
    </w:p>
  </w:footnote>
  <w:footnote w:id="22">
    <w:p w14:paraId="209DD627" w14:textId="77777777" w:rsidR="00102B0B" w:rsidRPr="00D30BDB" w:rsidRDefault="00102B0B" w:rsidP="00BD267F">
      <w:pPr>
        <w:pStyle w:val="FootnoteText"/>
      </w:pPr>
      <w:r w:rsidRPr="00D30BDB">
        <w:rPr>
          <w:rStyle w:val="FootnoteReference"/>
        </w:rPr>
        <w:footnoteRef/>
      </w:r>
      <w:r w:rsidRPr="00D30BDB">
        <w:t xml:space="preserve"> After implementation of this rule, we estimate five applications for qualifying facilities at existing nonpowered dams will be filed, alongside a request to use the expedited licensing process, per year.  We estimate that all of these applications will be for projects with 5 MW or less capacity. </w:t>
      </w:r>
    </w:p>
  </w:footnote>
  <w:footnote w:id="23">
    <w:p w14:paraId="622D491E" w14:textId="77777777" w:rsidR="00102B0B" w:rsidRPr="00D30BDB" w:rsidRDefault="00102B0B">
      <w:pPr>
        <w:pStyle w:val="FootnoteText"/>
      </w:pPr>
      <w:r w:rsidRPr="00D30BDB">
        <w:rPr>
          <w:rStyle w:val="FootnoteReference"/>
        </w:rPr>
        <w:footnoteRef/>
      </w:r>
      <w:r w:rsidRPr="00D30BDB">
        <w:t xml:space="preserve"> The estimate uses the FERC’s FY 2018 average annual salary plus benefits of one FERC FTE (full-time equivalent [$164,820 per year or $79.00 per hour]).  (These estimates were updated in May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D2B93" w14:textId="77777777" w:rsidR="00102B0B" w:rsidRPr="0003147A" w:rsidRDefault="00102B0B">
    <w:pPr>
      <w:pStyle w:val="Head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0" allowOverlap="1" wp14:anchorId="546B53E1" wp14:editId="347DC145">
              <wp:simplePos x="0" y="0"/>
              <wp:positionH relativeFrom="page">
                <wp:posOffset>0</wp:posOffset>
              </wp:positionH>
              <wp:positionV relativeFrom="page">
                <wp:posOffset>190500</wp:posOffset>
              </wp:positionV>
              <wp:extent cx="7757160" cy="266700"/>
              <wp:effectExtent l="0" t="0" r="0" b="0"/>
              <wp:wrapNone/>
              <wp:docPr id="1" name="MSIPCM2038497a9af7519159b12497"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5716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81628D" w14:textId="77777777" w:rsidR="00102B0B" w:rsidRPr="00DE0C15" w:rsidRDefault="00102B0B" w:rsidP="00DE0C15">
                          <w:pPr>
                            <w:spacing w:after="0"/>
                            <w:jc w:val="center"/>
                            <w:rPr>
                              <w:rFonts w:ascii="Times New Roman" w:hAnsi="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MSIPCM2038497a9af7519159b12497" o:spid="_x0000_s1026" type="#_x0000_t202" alt="{&quot;HashCode&quot;:-175139966,&quot;Height&quot;:792.0,&quot;Width&quot;:612.0,&quot;Placement&quot;:&quot;Header&quot;,&quot;Index&quot;:&quot;Primary&quot;,&quot;Section&quot;:1,&quot;Top&quot;:0.0,&quot;Left&quot;:0.0}" style="position:absolute;margin-left:0;margin-top:15pt;width:610.8pt;height:21pt;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" o:allowincell="f" filled="f" stroked="f" strokeweight=".5pt">
              <v:textbox inset=",0,,0">
                <w:txbxContent>
                  <w:p w14:paraId="7A81628D" w14:textId="77777777" w:rsidR="00102B0B" w:rsidRPr="00DE0C15" w:rsidRDefault="00102B0B" w:rsidP="00DE0C15">
                    <w:pPr>
                      <w:spacing w:after="0"/>
                      <w:jc w:val="center"/>
                      <w:rPr>
                        <w:rFonts w:ascii="Times New Roman" w:hAnsi="Times New Roman"/>
                        <w:color w:val="A80000"/>
                        <w:sz w:val="26"/>
                      </w:rPr>
                    </w:pPr>
                  </w:p>
                </w:txbxContent>
              </v:textbox>
              <w10:wrap anchorx="page" anchory="page"/>
            </v:shape>
          </w:pict>
        </mc:Fallback>
      </mc:AlternateContent>
    </w:r>
    <w:r w:rsidRPr="0003147A">
      <w:rPr>
        <w:rFonts w:ascii="Times New Roman" w:hAnsi="Times New Roman"/>
        <w:sz w:val="24"/>
        <w:szCs w:val="24"/>
      </w:rPr>
      <w:t xml:space="preserve">FERC-500 </w:t>
    </w:r>
    <w:r>
      <w:rPr>
        <w:rFonts w:ascii="Times New Roman" w:hAnsi="Times New Roman"/>
        <w:sz w:val="24"/>
        <w:szCs w:val="24"/>
      </w:rPr>
      <w:t xml:space="preserve">(OMB Control No. 1902-0058) </w:t>
    </w:r>
    <w:r w:rsidRPr="0003147A">
      <w:rPr>
        <w:rFonts w:ascii="Times New Roman" w:hAnsi="Times New Roman"/>
        <w:sz w:val="24"/>
        <w:szCs w:val="24"/>
      </w:rPr>
      <w:t xml:space="preserve">and FERC-505 </w:t>
    </w:r>
    <w:r>
      <w:rPr>
        <w:rFonts w:ascii="Times New Roman" w:hAnsi="Times New Roman"/>
        <w:sz w:val="24"/>
        <w:szCs w:val="24"/>
      </w:rPr>
      <w:t xml:space="preserve">(OMB Control No. 1902-0115) </w:t>
    </w:r>
  </w:p>
  <w:p w14:paraId="4E6D7740" w14:textId="77777777" w:rsidR="00102B0B" w:rsidRDefault="00102B0B">
    <w:pPr>
      <w:pStyle w:val="Header"/>
      <w:rPr>
        <w:rFonts w:ascii="Times New Roman" w:hAnsi="Times New Roman"/>
        <w:sz w:val="24"/>
        <w:szCs w:val="24"/>
      </w:rPr>
    </w:pPr>
    <w:r>
      <w:rPr>
        <w:rFonts w:ascii="Times New Roman" w:hAnsi="Times New Roman"/>
        <w:sz w:val="24"/>
        <w:szCs w:val="24"/>
      </w:rPr>
      <w:t xml:space="preserve">Final Rule </w:t>
    </w:r>
    <w:r w:rsidRPr="0003147A">
      <w:rPr>
        <w:rFonts w:ascii="Times New Roman" w:hAnsi="Times New Roman"/>
        <w:sz w:val="24"/>
        <w:szCs w:val="24"/>
      </w:rPr>
      <w:t xml:space="preserve">(issued </w:t>
    </w:r>
    <w:r>
      <w:rPr>
        <w:rFonts w:ascii="Times New Roman" w:hAnsi="Times New Roman"/>
        <w:sz w:val="24"/>
        <w:szCs w:val="24"/>
      </w:rPr>
      <w:t>4/18</w:t>
    </w:r>
    <w:r w:rsidRPr="0003147A">
      <w:rPr>
        <w:rFonts w:ascii="Times New Roman" w:hAnsi="Times New Roman"/>
        <w:sz w:val="24"/>
        <w:szCs w:val="24"/>
      </w:rPr>
      <w:t>/201</w:t>
    </w:r>
    <w:r>
      <w:rPr>
        <w:rFonts w:ascii="Times New Roman" w:hAnsi="Times New Roman"/>
        <w:sz w:val="24"/>
        <w:szCs w:val="24"/>
      </w:rPr>
      <w:t>9</w:t>
    </w:r>
    <w:r w:rsidRPr="0003147A">
      <w:rPr>
        <w:rFonts w:ascii="Times New Roman" w:hAnsi="Times New Roman"/>
        <w:sz w:val="24"/>
        <w:szCs w:val="24"/>
      </w:rPr>
      <w:t>)</w:t>
    </w:r>
    <w:r w:rsidRPr="007E7453">
      <w:rPr>
        <w:rFonts w:ascii="Times New Roman" w:hAnsi="Times New Roman"/>
        <w:sz w:val="24"/>
        <w:szCs w:val="24"/>
      </w:rPr>
      <w:t xml:space="preserve"> in Docket</w:t>
    </w:r>
    <w:r w:rsidRPr="0048721A">
      <w:rPr>
        <w:rFonts w:ascii="Times New Roman" w:hAnsi="Times New Roman"/>
        <w:sz w:val="24"/>
        <w:szCs w:val="24"/>
      </w:rPr>
      <w:t xml:space="preserve"> No. </w:t>
    </w:r>
    <w:r>
      <w:rPr>
        <w:rFonts w:ascii="Times New Roman" w:hAnsi="Times New Roman"/>
        <w:sz w:val="24"/>
        <w:szCs w:val="24"/>
      </w:rPr>
      <w:t>RM19-6-000</w:t>
    </w:r>
    <w:r w:rsidRPr="00A33CDF">
      <w:rPr>
        <w:rFonts w:ascii="Times New Roman" w:hAnsi="Times New Roman"/>
        <w:sz w:val="24"/>
        <w:szCs w:val="24"/>
      </w:rPr>
      <w:t xml:space="preserve"> </w:t>
    </w:r>
  </w:p>
  <w:p w14:paraId="5884ABB7" w14:textId="77777777" w:rsidR="00102B0B" w:rsidRPr="0048721A" w:rsidRDefault="00102B0B">
    <w:pPr>
      <w:pStyle w:val="Header"/>
      <w:rPr>
        <w:rFonts w:ascii="Times New Roman" w:hAnsi="Times New Roman"/>
        <w:sz w:val="24"/>
        <w:szCs w:val="24"/>
      </w:rPr>
    </w:pPr>
    <w:r w:rsidRPr="00A33CDF">
      <w:rPr>
        <w:rFonts w:ascii="Times New Roman" w:hAnsi="Times New Roman"/>
        <w:sz w:val="24"/>
        <w:szCs w:val="24"/>
      </w:rPr>
      <w:t>RIN</w:t>
    </w:r>
    <w:r>
      <w:rPr>
        <w:rFonts w:ascii="Times New Roman" w:hAnsi="Times New Roman"/>
        <w:sz w:val="24"/>
        <w:szCs w:val="24"/>
      </w:rPr>
      <w:t>: 1902-AF59</w:t>
    </w:r>
  </w:p>
  <w:p w14:paraId="74BC60AC" w14:textId="77777777" w:rsidR="00102B0B" w:rsidRPr="002953E1" w:rsidRDefault="00102B0B">
    <w:pPr>
      <w:pStyle w:val="Head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303BC1"/>
    <w:multiLevelType w:val="hybridMultilevel"/>
    <w:tmpl w:val="492A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AC76AA"/>
    <w:multiLevelType w:val="hybridMultilevel"/>
    <w:tmpl w:val="560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E07A68"/>
    <w:multiLevelType w:val="hybridMultilevel"/>
    <w:tmpl w:val="67AA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3C7DBB"/>
    <w:multiLevelType w:val="hybridMultilevel"/>
    <w:tmpl w:val="736A2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11"/>
  </w:num>
  <w:num w:numId="4">
    <w:abstractNumId w:val="16"/>
  </w:num>
  <w:num w:numId="5">
    <w:abstractNumId w:val="2"/>
  </w:num>
  <w:num w:numId="6">
    <w:abstractNumId w:val="18"/>
  </w:num>
  <w:num w:numId="7">
    <w:abstractNumId w:val="3"/>
  </w:num>
  <w:num w:numId="8">
    <w:abstractNumId w:val="0"/>
  </w:num>
  <w:num w:numId="9">
    <w:abstractNumId w:val="10"/>
  </w:num>
  <w:num w:numId="10">
    <w:abstractNumId w:val="7"/>
  </w:num>
  <w:num w:numId="11">
    <w:abstractNumId w:val="13"/>
  </w:num>
  <w:num w:numId="12">
    <w:abstractNumId w:val="9"/>
  </w:num>
  <w:num w:numId="13">
    <w:abstractNumId w:val="1"/>
  </w:num>
  <w:num w:numId="14">
    <w:abstractNumId w:val="19"/>
  </w:num>
  <w:num w:numId="15">
    <w:abstractNumId w:val="8"/>
  </w:num>
  <w:num w:numId="16">
    <w:abstractNumId w:val="14"/>
  </w:num>
  <w:num w:numId="17">
    <w:abstractNumId w:val="5"/>
  </w:num>
  <w:num w:numId="18">
    <w:abstractNumId w:val="17"/>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963"/>
    <w:rsid w:val="000138C9"/>
    <w:rsid w:val="000201FB"/>
    <w:rsid w:val="0002057C"/>
    <w:rsid w:val="00027DC9"/>
    <w:rsid w:val="00030D70"/>
    <w:rsid w:val="0003147A"/>
    <w:rsid w:val="00034599"/>
    <w:rsid w:val="000375DA"/>
    <w:rsid w:val="000707A1"/>
    <w:rsid w:val="000746EA"/>
    <w:rsid w:val="000762E1"/>
    <w:rsid w:val="000836EF"/>
    <w:rsid w:val="00084A7F"/>
    <w:rsid w:val="0009171A"/>
    <w:rsid w:val="000930CB"/>
    <w:rsid w:val="000951BE"/>
    <w:rsid w:val="000966FD"/>
    <w:rsid w:val="00097623"/>
    <w:rsid w:val="000A667A"/>
    <w:rsid w:val="000B14F8"/>
    <w:rsid w:val="000B2241"/>
    <w:rsid w:val="000B29FC"/>
    <w:rsid w:val="000B2DFD"/>
    <w:rsid w:val="000B51EA"/>
    <w:rsid w:val="000C759A"/>
    <w:rsid w:val="000D1D54"/>
    <w:rsid w:val="000D3F25"/>
    <w:rsid w:val="000F1377"/>
    <w:rsid w:val="000F6A1E"/>
    <w:rsid w:val="000F7994"/>
    <w:rsid w:val="001021F0"/>
    <w:rsid w:val="00102B0B"/>
    <w:rsid w:val="0010332E"/>
    <w:rsid w:val="001072E3"/>
    <w:rsid w:val="00107DA8"/>
    <w:rsid w:val="001121AE"/>
    <w:rsid w:val="00113FAD"/>
    <w:rsid w:val="00116CF2"/>
    <w:rsid w:val="00120221"/>
    <w:rsid w:val="00124A2C"/>
    <w:rsid w:val="001263E8"/>
    <w:rsid w:val="00130FC3"/>
    <w:rsid w:val="00134224"/>
    <w:rsid w:val="00134D4F"/>
    <w:rsid w:val="001360DE"/>
    <w:rsid w:val="0013718A"/>
    <w:rsid w:val="00140C95"/>
    <w:rsid w:val="00141686"/>
    <w:rsid w:val="00141ED0"/>
    <w:rsid w:val="0016119E"/>
    <w:rsid w:val="0016204B"/>
    <w:rsid w:val="00163942"/>
    <w:rsid w:val="00176A41"/>
    <w:rsid w:val="0018080F"/>
    <w:rsid w:val="0018596B"/>
    <w:rsid w:val="001902A4"/>
    <w:rsid w:val="00195668"/>
    <w:rsid w:val="0019650B"/>
    <w:rsid w:val="001968EA"/>
    <w:rsid w:val="001A068C"/>
    <w:rsid w:val="001A450A"/>
    <w:rsid w:val="001A5362"/>
    <w:rsid w:val="001B5056"/>
    <w:rsid w:val="001B647D"/>
    <w:rsid w:val="001C2A53"/>
    <w:rsid w:val="001C2D08"/>
    <w:rsid w:val="001C34B8"/>
    <w:rsid w:val="001C5646"/>
    <w:rsid w:val="001D02D9"/>
    <w:rsid w:val="001D289D"/>
    <w:rsid w:val="001E3E6B"/>
    <w:rsid w:val="001E55A1"/>
    <w:rsid w:val="001F1AB5"/>
    <w:rsid w:val="001F4044"/>
    <w:rsid w:val="00200C36"/>
    <w:rsid w:val="00200CB5"/>
    <w:rsid w:val="002062CD"/>
    <w:rsid w:val="002122FB"/>
    <w:rsid w:val="002200D8"/>
    <w:rsid w:val="002209E1"/>
    <w:rsid w:val="002213AA"/>
    <w:rsid w:val="00221430"/>
    <w:rsid w:val="00221EB9"/>
    <w:rsid w:val="00222BC5"/>
    <w:rsid w:val="00227F0E"/>
    <w:rsid w:val="00230706"/>
    <w:rsid w:val="00233478"/>
    <w:rsid w:val="00233B57"/>
    <w:rsid w:val="002356D9"/>
    <w:rsid w:val="00236DFB"/>
    <w:rsid w:val="00244BC9"/>
    <w:rsid w:val="00247EBC"/>
    <w:rsid w:val="00250F41"/>
    <w:rsid w:val="0025132E"/>
    <w:rsid w:val="00253703"/>
    <w:rsid w:val="0026269A"/>
    <w:rsid w:val="00275442"/>
    <w:rsid w:val="00276BFE"/>
    <w:rsid w:val="00280930"/>
    <w:rsid w:val="002823A4"/>
    <w:rsid w:val="00283BFF"/>
    <w:rsid w:val="00286355"/>
    <w:rsid w:val="00295050"/>
    <w:rsid w:val="002953E1"/>
    <w:rsid w:val="0029756D"/>
    <w:rsid w:val="002A2277"/>
    <w:rsid w:val="002A352B"/>
    <w:rsid w:val="002A60BA"/>
    <w:rsid w:val="002A725B"/>
    <w:rsid w:val="002C657F"/>
    <w:rsid w:val="002C6C18"/>
    <w:rsid w:val="002D0023"/>
    <w:rsid w:val="002D5CAD"/>
    <w:rsid w:val="002E00F8"/>
    <w:rsid w:val="002E034F"/>
    <w:rsid w:val="002E4B4A"/>
    <w:rsid w:val="002E562C"/>
    <w:rsid w:val="002F0CAD"/>
    <w:rsid w:val="002F190E"/>
    <w:rsid w:val="002F3E65"/>
    <w:rsid w:val="002F641C"/>
    <w:rsid w:val="003147DE"/>
    <w:rsid w:val="003268E5"/>
    <w:rsid w:val="00326EC2"/>
    <w:rsid w:val="00344C60"/>
    <w:rsid w:val="00353E6D"/>
    <w:rsid w:val="00357CB9"/>
    <w:rsid w:val="00361948"/>
    <w:rsid w:val="003856AE"/>
    <w:rsid w:val="00391450"/>
    <w:rsid w:val="00392DF3"/>
    <w:rsid w:val="00395E45"/>
    <w:rsid w:val="00397094"/>
    <w:rsid w:val="003A23FA"/>
    <w:rsid w:val="003A2DF8"/>
    <w:rsid w:val="003A3B72"/>
    <w:rsid w:val="003B14D9"/>
    <w:rsid w:val="003B49ED"/>
    <w:rsid w:val="003B4C01"/>
    <w:rsid w:val="003C2BF1"/>
    <w:rsid w:val="003D08BB"/>
    <w:rsid w:val="003D33F0"/>
    <w:rsid w:val="003D59E6"/>
    <w:rsid w:val="003D6C80"/>
    <w:rsid w:val="003D79BB"/>
    <w:rsid w:val="003E46B6"/>
    <w:rsid w:val="003E6B4D"/>
    <w:rsid w:val="003F25BB"/>
    <w:rsid w:val="00403E0E"/>
    <w:rsid w:val="00413357"/>
    <w:rsid w:val="00413C13"/>
    <w:rsid w:val="00414464"/>
    <w:rsid w:val="004173E7"/>
    <w:rsid w:val="004345EE"/>
    <w:rsid w:val="0044394A"/>
    <w:rsid w:val="00443C44"/>
    <w:rsid w:val="00444888"/>
    <w:rsid w:val="00450C3A"/>
    <w:rsid w:val="00450F03"/>
    <w:rsid w:val="00450F57"/>
    <w:rsid w:val="00452350"/>
    <w:rsid w:val="00455370"/>
    <w:rsid w:val="004576A8"/>
    <w:rsid w:val="00457B93"/>
    <w:rsid w:val="004632B9"/>
    <w:rsid w:val="00471F97"/>
    <w:rsid w:val="004750D0"/>
    <w:rsid w:val="00480D2F"/>
    <w:rsid w:val="0048414C"/>
    <w:rsid w:val="0048677D"/>
    <w:rsid w:val="0048719A"/>
    <w:rsid w:val="0048721A"/>
    <w:rsid w:val="00490C21"/>
    <w:rsid w:val="00490D11"/>
    <w:rsid w:val="00494814"/>
    <w:rsid w:val="00496E6B"/>
    <w:rsid w:val="004A36E5"/>
    <w:rsid w:val="004A70BD"/>
    <w:rsid w:val="004B28C1"/>
    <w:rsid w:val="004B7E8E"/>
    <w:rsid w:val="004B7E9C"/>
    <w:rsid w:val="004C3208"/>
    <w:rsid w:val="004C3C5F"/>
    <w:rsid w:val="004D5407"/>
    <w:rsid w:val="004E2A6E"/>
    <w:rsid w:val="004E7CD2"/>
    <w:rsid w:val="004F4BCE"/>
    <w:rsid w:val="00503CC3"/>
    <w:rsid w:val="005041EE"/>
    <w:rsid w:val="0050747B"/>
    <w:rsid w:val="00510615"/>
    <w:rsid w:val="00513CC8"/>
    <w:rsid w:val="00515869"/>
    <w:rsid w:val="00515F5E"/>
    <w:rsid w:val="00520245"/>
    <w:rsid w:val="00525BA7"/>
    <w:rsid w:val="005272E1"/>
    <w:rsid w:val="005444A1"/>
    <w:rsid w:val="005513D0"/>
    <w:rsid w:val="00554E46"/>
    <w:rsid w:val="00556300"/>
    <w:rsid w:val="00560167"/>
    <w:rsid w:val="00563726"/>
    <w:rsid w:val="00570BB8"/>
    <w:rsid w:val="0057694B"/>
    <w:rsid w:val="00582C1C"/>
    <w:rsid w:val="00587AD0"/>
    <w:rsid w:val="00587F63"/>
    <w:rsid w:val="005900E2"/>
    <w:rsid w:val="00590632"/>
    <w:rsid w:val="0059069E"/>
    <w:rsid w:val="00595FCA"/>
    <w:rsid w:val="005A33F0"/>
    <w:rsid w:val="005A6433"/>
    <w:rsid w:val="005A7AF4"/>
    <w:rsid w:val="005B0A94"/>
    <w:rsid w:val="005B0E94"/>
    <w:rsid w:val="005C5DAB"/>
    <w:rsid w:val="005C6DD2"/>
    <w:rsid w:val="005C72E0"/>
    <w:rsid w:val="005D1C9E"/>
    <w:rsid w:val="005D3BC2"/>
    <w:rsid w:val="005E77C1"/>
    <w:rsid w:val="005F1EFB"/>
    <w:rsid w:val="005F2689"/>
    <w:rsid w:val="00600BD2"/>
    <w:rsid w:val="00607A71"/>
    <w:rsid w:val="006128B2"/>
    <w:rsid w:val="00613ECA"/>
    <w:rsid w:val="0062026C"/>
    <w:rsid w:val="006241F8"/>
    <w:rsid w:val="00631DA8"/>
    <w:rsid w:val="006377D8"/>
    <w:rsid w:val="00644E09"/>
    <w:rsid w:val="0065233D"/>
    <w:rsid w:val="00654909"/>
    <w:rsid w:val="00663C3C"/>
    <w:rsid w:val="0067145A"/>
    <w:rsid w:val="0067602B"/>
    <w:rsid w:val="00680C13"/>
    <w:rsid w:val="00683407"/>
    <w:rsid w:val="00687C23"/>
    <w:rsid w:val="006941D9"/>
    <w:rsid w:val="006955A3"/>
    <w:rsid w:val="006A16B8"/>
    <w:rsid w:val="006A5647"/>
    <w:rsid w:val="006A5850"/>
    <w:rsid w:val="006A70B5"/>
    <w:rsid w:val="006B1CEB"/>
    <w:rsid w:val="006B48FF"/>
    <w:rsid w:val="006B6375"/>
    <w:rsid w:val="006C0AA8"/>
    <w:rsid w:val="006C4D26"/>
    <w:rsid w:val="006C725D"/>
    <w:rsid w:val="006D22CF"/>
    <w:rsid w:val="006D6EBD"/>
    <w:rsid w:val="006E159B"/>
    <w:rsid w:val="006E1DFD"/>
    <w:rsid w:val="006E3432"/>
    <w:rsid w:val="006E5D79"/>
    <w:rsid w:val="006F33DA"/>
    <w:rsid w:val="006F5CD1"/>
    <w:rsid w:val="00701724"/>
    <w:rsid w:val="007060B2"/>
    <w:rsid w:val="00710E7C"/>
    <w:rsid w:val="007151CF"/>
    <w:rsid w:val="0072348C"/>
    <w:rsid w:val="007240D0"/>
    <w:rsid w:val="00725E44"/>
    <w:rsid w:val="00736C27"/>
    <w:rsid w:val="00742B28"/>
    <w:rsid w:val="007445A8"/>
    <w:rsid w:val="00752770"/>
    <w:rsid w:val="00756BE0"/>
    <w:rsid w:val="00782DCD"/>
    <w:rsid w:val="00783687"/>
    <w:rsid w:val="007867C7"/>
    <w:rsid w:val="0078772D"/>
    <w:rsid w:val="007A0C61"/>
    <w:rsid w:val="007A5244"/>
    <w:rsid w:val="007B529B"/>
    <w:rsid w:val="007B5BF7"/>
    <w:rsid w:val="007C32BF"/>
    <w:rsid w:val="007D2C7C"/>
    <w:rsid w:val="007E0D8A"/>
    <w:rsid w:val="007E640A"/>
    <w:rsid w:val="007E7453"/>
    <w:rsid w:val="007F1D30"/>
    <w:rsid w:val="007F72B6"/>
    <w:rsid w:val="008143EC"/>
    <w:rsid w:val="00820173"/>
    <w:rsid w:val="008309CE"/>
    <w:rsid w:val="00833400"/>
    <w:rsid w:val="00841F27"/>
    <w:rsid w:val="00851C0A"/>
    <w:rsid w:val="00855994"/>
    <w:rsid w:val="00857663"/>
    <w:rsid w:val="00862D80"/>
    <w:rsid w:val="008634BD"/>
    <w:rsid w:val="00867F56"/>
    <w:rsid w:val="00883041"/>
    <w:rsid w:val="00884342"/>
    <w:rsid w:val="008856F9"/>
    <w:rsid w:val="008A0C69"/>
    <w:rsid w:val="008A4914"/>
    <w:rsid w:val="008A4A43"/>
    <w:rsid w:val="008B404E"/>
    <w:rsid w:val="008B5F43"/>
    <w:rsid w:val="008C00AE"/>
    <w:rsid w:val="008C01DA"/>
    <w:rsid w:val="008C4024"/>
    <w:rsid w:val="008C49E0"/>
    <w:rsid w:val="008C6BC7"/>
    <w:rsid w:val="008E712F"/>
    <w:rsid w:val="008F3DCF"/>
    <w:rsid w:val="008F7312"/>
    <w:rsid w:val="00900535"/>
    <w:rsid w:val="00910026"/>
    <w:rsid w:val="00913164"/>
    <w:rsid w:val="00916904"/>
    <w:rsid w:val="00920F04"/>
    <w:rsid w:val="0092390A"/>
    <w:rsid w:val="0092686E"/>
    <w:rsid w:val="00932D78"/>
    <w:rsid w:val="00937683"/>
    <w:rsid w:val="00940746"/>
    <w:rsid w:val="009413AF"/>
    <w:rsid w:val="009435D7"/>
    <w:rsid w:val="0094390D"/>
    <w:rsid w:val="00943EBC"/>
    <w:rsid w:val="00953EDD"/>
    <w:rsid w:val="00973E82"/>
    <w:rsid w:val="00974AFC"/>
    <w:rsid w:val="009844B9"/>
    <w:rsid w:val="00985790"/>
    <w:rsid w:val="009869DB"/>
    <w:rsid w:val="009912B8"/>
    <w:rsid w:val="00996031"/>
    <w:rsid w:val="009A1489"/>
    <w:rsid w:val="009A5C0C"/>
    <w:rsid w:val="009B00E9"/>
    <w:rsid w:val="009B11E7"/>
    <w:rsid w:val="009B513C"/>
    <w:rsid w:val="009C3C8E"/>
    <w:rsid w:val="009C4EB7"/>
    <w:rsid w:val="009C7060"/>
    <w:rsid w:val="009C7F55"/>
    <w:rsid w:val="009D589B"/>
    <w:rsid w:val="009D5AC4"/>
    <w:rsid w:val="009F6D6D"/>
    <w:rsid w:val="009F79B7"/>
    <w:rsid w:val="00A0138C"/>
    <w:rsid w:val="00A04B1E"/>
    <w:rsid w:val="00A06841"/>
    <w:rsid w:val="00A06AF1"/>
    <w:rsid w:val="00A07638"/>
    <w:rsid w:val="00A10FBC"/>
    <w:rsid w:val="00A22DB2"/>
    <w:rsid w:val="00A238DB"/>
    <w:rsid w:val="00A23DF1"/>
    <w:rsid w:val="00A24B3E"/>
    <w:rsid w:val="00A27B71"/>
    <w:rsid w:val="00A30C96"/>
    <w:rsid w:val="00A33CDF"/>
    <w:rsid w:val="00A357C8"/>
    <w:rsid w:val="00A35A64"/>
    <w:rsid w:val="00A3739B"/>
    <w:rsid w:val="00A37EC4"/>
    <w:rsid w:val="00A46A58"/>
    <w:rsid w:val="00A556F9"/>
    <w:rsid w:val="00A618C7"/>
    <w:rsid w:val="00A62730"/>
    <w:rsid w:val="00A74849"/>
    <w:rsid w:val="00A76380"/>
    <w:rsid w:val="00A84F60"/>
    <w:rsid w:val="00A9668A"/>
    <w:rsid w:val="00A97596"/>
    <w:rsid w:val="00AA05FF"/>
    <w:rsid w:val="00AA41E6"/>
    <w:rsid w:val="00AA4C7C"/>
    <w:rsid w:val="00AB1C50"/>
    <w:rsid w:val="00AB3680"/>
    <w:rsid w:val="00AB42C6"/>
    <w:rsid w:val="00AB4EF3"/>
    <w:rsid w:val="00AB53F0"/>
    <w:rsid w:val="00AB6724"/>
    <w:rsid w:val="00AB6AC1"/>
    <w:rsid w:val="00AB7D6C"/>
    <w:rsid w:val="00AC60DF"/>
    <w:rsid w:val="00AC66B6"/>
    <w:rsid w:val="00AD2C01"/>
    <w:rsid w:val="00AD3683"/>
    <w:rsid w:val="00AE228A"/>
    <w:rsid w:val="00AE6820"/>
    <w:rsid w:val="00AF2AA1"/>
    <w:rsid w:val="00AF3755"/>
    <w:rsid w:val="00AF3ABB"/>
    <w:rsid w:val="00AF5F8A"/>
    <w:rsid w:val="00AF7046"/>
    <w:rsid w:val="00B05CEF"/>
    <w:rsid w:val="00B076F0"/>
    <w:rsid w:val="00B11F7F"/>
    <w:rsid w:val="00B1273C"/>
    <w:rsid w:val="00B13D59"/>
    <w:rsid w:val="00B14711"/>
    <w:rsid w:val="00B14E3F"/>
    <w:rsid w:val="00B303A5"/>
    <w:rsid w:val="00B3207B"/>
    <w:rsid w:val="00B3462E"/>
    <w:rsid w:val="00B35A8A"/>
    <w:rsid w:val="00B44E6B"/>
    <w:rsid w:val="00B5113E"/>
    <w:rsid w:val="00B5132F"/>
    <w:rsid w:val="00B6311A"/>
    <w:rsid w:val="00B74E8B"/>
    <w:rsid w:val="00B75FEE"/>
    <w:rsid w:val="00B770B2"/>
    <w:rsid w:val="00B80B04"/>
    <w:rsid w:val="00B853F3"/>
    <w:rsid w:val="00BA0479"/>
    <w:rsid w:val="00BA7959"/>
    <w:rsid w:val="00BB4271"/>
    <w:rsid w:val="00BB4625"/>
    <w:rsid w:val="00BC6B84"/>
    <w:rsid w:val="00BD1E81"/>
    <w:rsid w:val="00BD267F"/>
    <w:rsid w:val="00BD7A22"/>
    <w:rsid w:val="00BE264B"/>
    <w:rsid w:val="00BF189C"/>
    <w:rsid w:val="00BF3095"/>
    <w:rsid w:val="00BF4F9F"/>
    <w:rsid w:val="00C03403"/>
    <w:rsid w:val="00C0630F"/>
    <w:rsid w:val="00C1232D"/>
    <w:rsid w:val="00C21D1A"/>
    <w:rsid w:val="00C23FBA"/>
    <w:rsid w:val="00C402F5"/>
    <w:rsid w:val="00C414D4"/>
    <w:rsid w:val="00C4624A"/>
    <w:rsid w:val="00C47938"/>
    <w:rsid w:val="00C506DE"/>
    <w:rsid w:val="00C5088F"/>
    <w:rsid w:val="00C519C1"/>
    <w:rsid w:val="00C532EB"/>
    <w:rsid w:val="00C561C1"/>
    <w:rsid w:val="00C56B84"/>
    <w:rsid w:val="00C65AF9"/>
    <w:rsid w:val="00C70452"/>
    <w:rsid w:val="00C731FD"/>
    <w:rsid w:val="00C740BC"/>
    <w:rsid w:val="00C75FFF"/>
    <w:rsid w:val="00C7769F"/>
    <w:rsid w:val="00C823A9"/>
    <w:rsid w:val="00C8338F"/>
    <w:rsid w:val="00C840B9"/>
    <w:rsid w:val="00CA637C"/>
    <w:rsid w:val="00CA6D90"/>
    <w:rsid w:val="00CA7B4A"/>
    <w:rsid w:val="00CB2A58"/>
    <w:rsid w:val="00CB2F25"/>
    <w:rsid w:val="00CB50F7"/>
    <w:rsid w:val="00CB7C09"/>
    <w:rsid w:val="00CC23B2"/>
    <w:rsid w:val="00CC52A8"/>
    <w:rsid w:val="00CC6A15"/>
    <w:rsid w:val="00CD146E"/>
    <w:rsid w:val="00CD4025"/>
    <w:rsid w:val="00CD5F6C"/>
    <w:rsid w:val="00D02998"/>
    <w:rsid w:val="00D042E5"/>
    <w:rsid w:val="00D12C80"/>
    <w:rsid w:val="00D13613"/>
    <w:rsid w:val="00D16CCB"/>
    <w:rsid w:val="00D26A54"/>
    <w:rsid w:val="00D30297"/>
    <w:rsid w:val="00D30BDB"/>
    <w:rsid w:val="00D354B7"/>
    <w:rsid w:val="00D36922"/>
    <w:rsid w:val="00D44FCA"/>
    <w:rsid w:val="00D52E91"/>
    <w:rsid w:val="00D53FDE"/>
    <w:rsid w:val="00D576E6"/>
    <w:rsid w:val="00D62D87"/>
    <w:rsid w:val="00D631E3"/>
    <w:rsid w:val="00D65C43"/>
    <w:rsid w:val="00D66646"/>
    <w:rsid w:val="00D66E7C"/>
    <w:rsid w:val="00D70BE5"/>
    <w:rsid w:val="00D75D8A"/>
    <w:rsid w:val="00D82C56"/>
    <w:rsid w:val="00D83183"/>
    <w:rsid w:val="00D91827"/>
    <w:rsid w:val="00D946D9"/>
    <w:rsid w:val="00D951D7"/>
    <w:rsid w:val="00D966A1"/>
    <w:rsid w:val="00DA0EDC"/>
    <w:rsid w:val="00DA1081"/>
    <w:rsid w:val="00DA5459"/>
    <w:rsid w:val="00DB039F"/>
    <w:rsid w:val="00DB2FC9"/>
    <w:rsid w:val="00DB5705"/>
    <w:rsid w:val="00DB684E"/>
    <w:rsid w:val="00DB73BF"/>
    <w:rsid w:val="00DC2DF2"/>
    <w:rsid w:val="00DE0C15"/>
    <w:rsid w:val="00DE2213"/>
    <w:rsid w:val="00DE45F5"/>
    <w:rsid w:val="00DE6ABC"/>
    <w:rsid w:val="00DE7112"/>
    <w:rsid w:val="00DF015E"/>
    <w:rsid w:val="00DF26B5"/>
    <w:rsid w:val="00DF2EAD"/>
    <w:rsid w:val="00DF3EFB"/>
    <w:rsid w:val="00DF4368"/>
    <w:rsid w:val="00DF4375"/>
    <w:rsid w:val="00E039F7"/>
    <w:rsid w:val="00E046F3"/>
    <w:rsid w:val="00E05827"/>
    <w:rsid w:val="00E14A9B"/>
    <w:rsid w:val="00E156BE"/>
    <w:rsid w:val="00E20CEF"/>
    <w:rsid w:val="00E220E3"/>
    <w:rsid w:val="00E25207"/>
    <w:rsid w:val="00E256BA"/>
    <w:rsid w:val="00E25E23"/>
    <w:rsid w:val="00E26B01"/>
    <w:rsid w:val="00E32DCE"/>
    <w:rsid w:val="00E363A1"/>
    <w:rsid w:val="00E36635"/>
    <w:rsid w:val="00E41507"/>
    <w:rsid w:val="00E44B9E"/>
    <w:rsid w:val="00E46625"/>
    <w:rsid w:val="00E53F53"/>
    <w:rsid w:val="00E55FFB"/>
    <w:rsid w:val="00E72FAA"/>
    <w:rsid w:val="00E77277"/>
    <w:rsid w:val="00E83743"/>
    <w:rsid w:val="00E837F5"/>
    <w:rsid w:val="00E85BFA"/>
    <w:rsid w:val="00E90F63"/>
    <w:rsid w:val="00E95B5E"/>
    <w:rsid w:val="00EA13DC"/>
    <w:rsid w:val="00EA483D"/>
    <w:rsid w:val="00EB1F54"/>
    <w:rsid w:val="00EB2701"/>
    <w:rsid w:val="00EB790F"/>
    <w:rsid w:val="00EC2F1A"/>
    <w:rsid w:val="00EC5D69"/>
    <w:rsid w:val="00EC6593"/>
    <w:rsid w:val="00EC7734"/>
    <w:rsid w:val="00ED01A9"/>
    <w:rsid w:val="00ED6497"/>
    <w:rsid w:val="00EE00C5"/>
    <w:rsid w:val="00EE0D26"/>
    <w:rsid w:val="00EE16E8"/>
    <w:rsid w:val="00EE2A51"/>
    <w:rsid w:val="00EE7917"/>
    <w:rsid w:val="00EF5BE3"/>
    <w:rsid w:val="00EF66F1"/>
    <w:rsid w:val="00F00E71"/>
    <w:rsid w:val="00F0261A"/>
    <w:rsid w:val="00F0627E"/>
    <w:rsid w:val="00F10302"/>
    <w:rsid w:val="00F10457"/>
    <w:rsid w:val="00F129D8"/>
    <w:rsid w:val="00F1537F"/>
    <w:rsid w:val="00F15908"/>
    <w:rsid w:val="00F16E26"/>
    <w:rsid w:val="00F176BF"/>
    <w:rsid w:val="00F20B97"/>
    <w:rsid w:val="00F20FF3"/>
    <w:rsid w:val="00F22C78"/>
    <w:rsid w:val="00F24965"/>
    <w:rsid w:val="00F2523E"/>
    <w:rsid w:val="00F33D5A"/>
    <w:rsid w:val="00F35B01"/>
    <w:rsid w:val="00F37DB4"/>
    <w:rsid w:val="00F5582E"/>
    <w:rsid w:val="00F56391"/>
    <w:rsid w:val="00F60F4E"/>
    <w:rsid w:val="00F63B33"/>
    <w:rsid w:val="00F81C64"/>
    <w:rsid w:val="00F84151"/>
    <w:rsid w:val="00F86CDB"/>
    <w:rsid w:val="00F90E4B"/>
    <w:rsid w:val="00F958BA"/>
    <w:rsid w:val="00F97AD7"/>
    <w:rsid w:val="00FA078E"/>
    <w:rsid w:val="00FB3897"/>
    <w:rsid w:val="00FB4533"/>
    <w:rsid w:val="00FB5639"/>
    <w:rsid w:val="00FC45E4"/>
    <w:rsid w:val="00FC514F"/>
    <w:rsid w:val="00FE0BC0"/>
    <w:rsid w:val="00FE19F4"/>
    <w:rsid w:val="00FE21F2"/>
    <w:rsid w:val="00FE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04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semiHidden/>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semiHidden/>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character" w:styleId="FollowedHyperlink">
    <w:name w:val="FollowedHyperlink"/>
    <w:basedOn w:val="DefaultParagraphFont"/>
    <w:uiPriority w:val="99"/>
    <w:semiHidden/>
    <w:unhideWhenUsed/>
    <w:rsid w:val="00A7484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semiHidden/>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semiHidden/>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character" w:styleId="FollowedHyperlink">
    <w:name w:val="FollowedHyperlink"/>
    <w:basedOn w:val="DefaultParagraphFont"/>
    <w:uiPriority w:val="99"/>
    <w:semiHidden/>
    <w:unhideWhenUsed/>
    <w:rsid w:val="00A748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erc.gov/legal/ceii-foia/ceii.asp" TargetMode="External"/><Relationship Id="rId1" Type="http://schemas.openxmlformats.org/officeDocument/2006/relationships/hyperlink" Target="https://elibrary.ferc.gov/idmws/common/OpenNat.asp?fileID=152215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500</_x0031__x002e__x0020_Collection_x0020_Number>
    <Date xmlns="d6eefc7d-9817-4fa6-84d5-3bc009be21b8">2019-06-07T00:00:00-04:00</Date>
    <Status xmlns="d6eefc7d-9817-4fa6-84d5-3bc009be21b8">Final</Status>
    <_x0032__x002e__x0020_Docket_x0020_Number xmlns="d6eefc7d-9817-4fa6-84d5-3bc009be21b8" xsi:nil="true"/>
    <_x0032__x002e__x0020_Collection_x0020_Number xmlns="d6eefc7d-9817-4fa6-84d5-3bc009be21b8">505</_x0032__x002e__x0020_Collection_x0020_Number>
    <_x0031__x002e__x0020_Docket_x0020_Number xmlns="d6eefc7d-9817-4fa6-84d5-3bc009be21b8">RM19-6</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2.xml><?xml version="1.0" encoding="utf-8"?>
<ds:datastoreItem xmlns:ds="http://schemas.openxmlformats.org/officeDocument/2006/customXml" ds:itemID="{9DF57017-6D35-4700-942D-9BCDC1A55FC4}">
  <ds:schemaRefs>
    <ds:schemaRef ds:uri="http://purl.org/dc/dcmitype/"/>
    <ds:schemaRef ds:uri="http://purl.org/dc/terms/"/>
    <ds:schemaRef ds:uri="d6eefc7d-9817-4fa6-84d5-3bc009be21b8"/>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5F9462E-972E-4D81-A55F-66DDE4DB3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F0CA10-DC75-45B7-B0F0-F122A89FBB6A}">
  <ds:schemaRefs>
    <ds:schemaRef ds:uri="http://schemas.microsoft.com/office/2006/metadata/customXsn"/>
  </ds:schemaRefs>
</ds:datastoreItem>
</file>

<file path=customXml/itemProps5.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6.xml><?xml version="1.0" encoding="utf-8"?>
<ds:datastoreItem xmlns:ds="http://schemas.openxmlformats.org/officeDocument/2006/customXml" ds:itemID="{6102BE42-2B00-4E65-8F7B-4EA6C177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4304</Words>
  <Characters>24537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RM19-6-000 Final Rule</vt:lpstr>
    </vt:vector>
  </TitlesOfParts>
  <Company>FERC</Company>
  <LinksUpToDate>false</LinksUpToDate>
  <CharactersWithSpaces>28784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RM19-6-000 Final Rule</dc:title>
  <dc:subject/>
  <dc:creator>Michele Chambers</dc:creator>
  <cp:keywords/>
  <dc:description/>
  <cp:lastModifiedBy>SYSTEM</cp:lastModifiedBy>
  <cp:revision>2</cp:revision>
  <cp:lastPrinted>2018-01-23T15:21:00Z</cp:lastPrinted>
  <dcterms:created xsi:type="dcterms:W3CDTF">2019-06-07T14:36:00Z</dcterms:created>
  <dcterms:modified xsi:type="dcterms:W3CDTF">2019-06-07T14:36:00Z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e120c11f-7d21-4fdf-9d04-b34a9c1c3979_Enabled">
    <vt:lpwstr>False</vt:lpwstr>
  </property>
  <property fmtid="{D5CDD505-2E9C-101B-9397-08002B2CF9AE}" pid="4" name="MSIP_Label_e120c11f-7d21-4fdf-9d04-b34a9c1c3979_SiteId">
    <vt:lpwstr>19caa9e9-04ff-43fa-885f-d77fac387903</vt:lpwstr>
  </property>
  <property fmtid="{D5CDD505-2E9C-101B-9397-08002B2CF9AE}" pid="5" name="MSIP_Label_e120c11f-7d21-4fdf-9d04-b34a9c1c3979_Owner">
    <vt:lpwstr>Kenneth.Yu@ferc.gov</vt:lpwstr>
  </property>
  <property fmtid="{D5CDD505-2E9C-101B-9397-08002B2CF9AE}" pid="6" name="MSIP_Label_e120c11f-7d21-4fdf-9d04-b34a9c1c3979_SetDate">
    <vt:lpwstr>2019-03-20T19:54:19.8837025Z</vt:lpwstr>
  </property>
  <property fmtid="{D5CDD505-2E9C-101B-9397-08002B2CF9AE}" pid="7" name="MSIP_Label_e120c11f-7d21-4fdf-9d04-b34a9c1c3979_Name">
    <vt:lpwstr>CUI</vt:lpwstr>
  </property>
  <property fmtid="{D5CDD505-2E9C-101B-9397-08002B2CF9AE}" pid="8" name="MSIP_Label_e120c11f-7d21-4fdf-9d04-b34a9c1c3979_Application">
    <vt:lpwstr>Microsoft Azure Information Protection</vt:lpwstr>
  </property>
  <property fmtid="{D5CDD505-2E9C-101B-9397-08002B2CF9AE}" pid="9" name="MSIP_Label_e120c11f-7d21-4fdf-9d04-b34a9c1c3979_Extended_MSFT_Method">
    <vt:lpwstr>Manual</vt:lpwstr>
  </property>
</Properties>
</file>