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175EA309" w:rsidR="00A2604E" w:rsidRDefault="004F0724" w:rsidP="00A2604E">
      <w:pPr>
        <w:jc w:val="center"/>
      </w:pPr>
      <w:bookmarkStart w:id="0" w:name="_GoBack"/>
      <w:bookmarkEnd w:id="0"/>
      <w:r>
        <w:t>1</w:t>
      </w:r>
      <w:r w:rsidR="00A2604E">
        <w:t>UNITED STATES OF AMERICA</w:t>
      </w:r>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8D6C53E" w:rsidR="00A2604E" w:rsidRDefault="00A2604E" w:rsidP="00A2604E">
      <w:pPr>
        <w:jc w:val="center"/>
      </w:pPr>
      <w:r w:rsidRPr="00AC750B">
        <w:t xml:space="preserve">[Docket No. </w:t>
      </w:r>
      <w:r w:rsidR="00D54C51">
        <w:t>IC19-22-000</w:t>
      </w:r>
      <w:r w:rsidRPr="00AC750B">
        <w:t>]</w:t>
      </w:r>
    </w:p>
    <w:p w14:paraId="37A99FB4" w14:textId="77777777" w:rsidR="00A2604E" w:rsidRDefault="00A2604E" w:rsidP="00A2604E"/>
    <w:p w14:paraId="60921D2B" w14:textId="77777777" w:rsidR="00961BCD" w:rsidRDefault="00A2604E" w:rsidP="00A2604E">
      <w:pPr>
        <w:jc w:val="center"/>
      </w:pPr>
      <w:r>
        <w:t xml:space="preserve">COMMISSION INFORMATION COLLECTION ACTIVITIES </w:t>
      </w:r>
    </w:p>
    <w:p w14:paraId="0160830D" w14:textId="1259D67C" w:rsidR="00A2604E" w:rsidRDefault="00A2604E" w:rsidP="00A2604E">
      <w:pPr>
        <w:jc w:val="center"/>
      </w:pPr>
      <w:r>
        <w:t>(</w:t>
      </w:r>
      <w:r w:rsidR="0095311D">
        <w:t>FERC</w:t>
      </w:r>
      <w:r w:rsidR="00961BCD">
        <w:t xml:space="preserve"> Form Nos. </w:t>
      </w:r>
      <w:r w:rsidR="00D54C51">
        <w:t>1, 1-F, and 3-Q</w:t>
      </w:r>
      <w:r>
        <w:t>);</w:t>
      </w:r>
    </w:p>
    <w:p w14:paraId="6E904836" w14:textId="77777777" w:rsidR="00A2604E" w:rsidRDefault="00A2604E" w:rsidP="00A2604E">
      <w:pPr>
        <w:jc w:val="center"/>
      </w:pPr>
      <w:r>
        <w:t>COMMENT REQUEST; EXTENSION</w:t>
      </w:r>
    </w:p>
    <w:p w14:paraId="6FC67CE5" w14:textId="1157AFF8" w:rsidR="00810D18" w:rsidRDefault="00810D18" w:rsidP="00810D18"/>
    <w:p w14:paraId="05CFF23D" w14:textId="64CF49E0" w:rsidR="006E10F4" w:rsidRPr="00B7744C" w:rsidRDefault="00B7744C" w:rsidP="00B7744C">
      <w:pPr>
        <w:jc w:val="center"/>
      </w:pPr>
      <w:r w:rsidRPr="00B7744C">
        <w:t>(July 1</w:t>
      </w:r>
      <w:r w:rsidR="00914D90">
        <w:t>1</w:t>
      </w:r>
      <w:r w:rsidRPr="00B7744C">
        <w:t>, 2019)</w:t>
      </w:r>
    </w:p>
    <w:p w14:paraId="2099E1FA" w14:textId="77777777" w:rsidR="00B7744C" w:rsidRPr="00B7744C" w:rsidRDefault="00B7744C" w:rsidP="00B7744C"/>
    <w:p w14:paraId="2B06BEDA" w14:textId="77777777" w:rsidR="00A2604E" w:rsidRDefault="00A2604E" w:rsidP="00A2604E">
      <w:r w:rsidRPr="00B7744C">
        <w:rPr>
          <w:u w:val="single"/>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6EE81399" w:rsidR="00A2604E" w:rsidRDefault="00A2604E" w:rsidP="00A2604E">
      <w:pPr>
        <w:spacing w:line="480" w:lineRule="auto"/>
      </w:pPr>
      <w:r w:rsidRPr="00B7744C">
        <w:rPr>
          <w:u w:val="single"/>
        </w:rPr>
        <w:t>ACTION</w:t>
      </w:r>
      <w:r w:rsidRPr="00CE64F2">
        <w:rPr>
          <w:b/>
        </w:rPr>
        <w:t>:</w:t>
      </w:r>
      <w:r>
        <w:t xml:space="preserve">  Notice of information collection</w:t>
      </w:r>
      <w:r w:rsidR="00266F69">
        <w:t>s</w:t>
      </w:r>
      <w:r>
        <w:t xml:space="preserve"> and request for comments.</w:t>
      </w:r>
    </w:p>
    <w:p w14:paraId="124637F9" w14:textId="58551218" w:rsidR="00A2604E" w:rsidRDefault="00A2604E" w:rsidP="00F8646E">
      <w:pPr>
        <w:spacing w:line="480" w:lineRule="auto"/>
      </w:pPr>
      <w:r w:rsidRPr="00B7744C">
        <w:rPr>
          <w:u w:val="single"/>
        </w:rPr>
        <w:t>SUMMARY</w:t>
      </w:r>
      <w:r w:rsidRPr="00CE64F2">
        <w:rPr>
          <w:b/>
        </w:rPr>
        <w:t>:</w:t>
      </w:r>
      <w:r>
        <w:t xml:space="preserve">  In compliance with the requirements of the Paperwork Reduction Act of 1995</w:t>
      </w:r>
      <w:r w:rsidR="00182B97">
        <w:t xml:space="preserve"> (PRA)</w:t>
      </w:r>
      <w:r>
        <w:t>, the Federal Energy Regulatory Commission (Commission or FERC) is soliciting public comment on the currently approved information collection</w:t>
      </w:r>
      <w:r w:rsidR="00266F69">
        <w:t>s</w:t>
      </w:r>
      <w:r>
        <w:t xml:space="preserve"> </w:t>
      </w:r>
      <w:r w:rsidR="00D54C51" w:rsidRPr="00D54C51">
        <w:t>FERC Form Nos. 1 (Annual Report of Major Electric Utilities, Licensees, and Others), 1-F (Annual Report for Nonmajor Public Utilities and Licensees), and 3-Q (Quarterly Financial Report of Electric Utilities, Licensees, and Natural Gas Companies)</w:t>
      </w:r>
      <w:r w:rsidR="009C2703">
        <w:t>,</w:t>
      </w:r>
      <w:r w:rsidR="006A3161">
        <w:t xml:space="preserve"> </w:t>
      </w:r>
      <w:r w:rsidR="00642602" w:rsidRPr="00642602">
        <w:t>and submitting the information collection</w:t>
      </w:r>
      <w:r w:rsidR="00266F69">
        <w:t>s</w:t>
      </w:r>
      <w:r w:rsidR="00642602" w:rsidRPr="00642602">
        <w:t xml:space="preserve"> to the Office of Management and Budget (OMB) for review.  Any interested person may file comments directly with OMB and should address a copy of those comments to the Commission as </w:t>
      </w:r>
      <w:r w:rsidR="00642602" w:rsidRPr="00C81A97">
        <w:t xml:space="preserve">explained </w:t>
      </w:r>
      <w:r w:rsidR="00642602" w:rsidRPr="00D62D2E">
        <w:t xml:space="preserve">below. </w:t>
      </w:r>
      <w:r w:rsidR="00F63759" w:rsidRPr="00D62D2E">
        <w:t xml:space="preserve"> </w:t>
      </w:r>
      <w:r w:rsidR="00BA0FBC" w:rsidRPr="00D62D2E">
        <w:t xml:space="preserve">On </w:t>
      </w:r>
      <w:r w:rsidR="00412B24" w:rsidRPr="00D62D2E">
        <w:t>May 7, 2019</w:t>
      </w:r>
      <w:r w:rsidR="00BA0FBC" w:rsidRPr="00D62D2E">
        <w:t>, t</w:t>
      </w:r>
      <w:r w:rsidR="00642602" w:rsidRPr="00D62D2E">
        <w:t>he</w:t>
      </w:r>
      <w:r w:rsidR="00642602" w:rsidRPr="00C81A97">
        <w:t xml:space="preserve"> Commission published a Notice in the Federal Register in Docket No. </w:t>
      </w:r>
      <w:r w:rsidR="00D54C51">
        <w:t>IC19-22-000</w:t>
      </w:r>
      <w:r w:rsidR="00F63759">
        <w:t xml:space="preserve"> </w:t>
      </w:r>
      <w:r w:rsidR="00642602" w:rsidRPr="00C81A97">
        <w:t xml:space="preserve">requesting public </w:t>
      </w:r>
      <w:r w:rsidR="00642602" w:rsidRPr="00954E2F">
        <w:t xml:space="preserve">comments.  </w:t>
      </w:r>
      <w:r w:rsidR="00485A51" w:rsidRPr="00954E2F">
        <w:t xml:space="preserve">The Commission received </w:t>
      </w:r>
      <w:r w:rsidR="00C83A37" w:rsidRPr="00954E2F">
        <w:t xml:space="preserve">one </w:t>
      </w:r>
      <w:r w:rsidR="00C81A97" w:rsidRPr="00954E2F">
        <w:t xml:space="preserve">public </w:t>
      </w:r>
      <w:r w:rsidR="00485A51" w:rsidRPr="00954E2F">
        <w:t>comment</w:t>
      </w:r>
      <w:r w:rsidR="00266F69" w:rsidRPr="00954E2F">
        <w:t xml:space="preserve"> and will indicate that in its </w:t>
      </w:r>
      <w:r w:rsidR="00C81A97" w:rsidRPr="00954E2F">
        <w:t>submittal</w:t>
      </w:r>
      <w:r w:rsidR="00266F69" w:rsidRPr="00954E2F">
        <w:t>s</w:t>
      </w:r>
      <w:r w:rsidR="00C81A97" w:rsidRPr="00954E2F">
        <w:t xml:space="preserve"> to OMB</w:t>
      </w:r>
      <w:r w:rsidR="007C6AC2" w:rsidRPr="00954E2F">
        <w:t>.</w:t>
      </w:r>
    </w:p>
    <w:p w14:paraId="442CCE36" w14:textId="462300D6" w:rsidR="007C1916" w:rsidRPr="007C1916" w:rsidRDefault="00A2604E" w:rsidP="007C1916">
      <w:pPr>
        <w:spacing w:line="480" w:lineRule="auto"/>
      </w:pPr>
      <w:r w:rsidRPr="00B7744C">
        <w:rPr>
          <w:u w:val="single"/>
        </w:rPr>
        <w:t>DATES</w:t>
      </w:r>
      <w:r w:rsidRPr="00CE64F2">
        <w:rPr>
          <w:b/>
        </w:rPr>
        <w:t>:</w:t>
      </w:r>
      <w:r>
        <w:t xml:space="preserve">  Comments on the collection</w:t>
      </w:r>
      <w:r w:rsidR="00F63759">
        <w:t>s</w:t>
      </w:r>
      <w:r>
        <w:t xml:space="preserve"> of information are due </w:t>
      </w:r>
      <w:bookmarkStart w:id="1" w:name="OLE_LINK1"/>
      <w:r w:rsidR="007C1916" w:rsidRPr="007C1916">
        <w:rPr>
          <w:b/>
        </w:rPr>
        <w:t>[</w:t>
      </w:r>
      <w:r w:rsidR="00B7744C">
        <w:rPr>
          <w:b/>
        </w:rPr>
        <w:t>I</w:t>
      </w:r>
      <w:r w:rsidR="00B7744C" w:rsidRPr="00F11631">
        <w:rPr>
          <w:b/>
        </w:rPr>
        <w:t xml:space="preserve">nsert date 30 days after </w:t>
      </w:r>
      <w:r w:rsidR="00B7744C">
        <w:rPr>
          <w:b/>
        </w:rPr>
        <w:t xml:space="preserve">date of </w:t>
      </w:r>
      <w:r w:rsidR="00B7744C" w:rsidRPr="00F11631">
        <w:rPr>
          <w:b/>
        </w:rPr>
        <w:t xml:space="preserve">publication in the </w:t>
      </w:r>
      <w:r w:rsidR="00B7744C">
        <w:rPr>
          <w:b/>
        </w:rPr>
        <w:t>F</w:t>
      </w:r>
      <w:r w:rsidR="00B7744C" w:rsidRPr="00F11631">
        <w:rPr>
          <w:b/>
        </w:rPr>
        <w:t xml:space="preserve">ederal </w:t>
      </w:r>
      <w:r w:rsidR="00B7744C">
        <w:rPr>
          <w:b/>
        </w:rPr>
        <w:t>R</w:t>
      </w:r>
      <w:r w:rsidR="00B7744C" w:rsidRPr="00F11631">
        <w:rPr>
          <w:b/>
        </w:rPr>
        <w:t>egister</w:t>
      </w:r>
      <w:r w:rsidR="007C1916" w:rsidRPr="00F11631">
        <w:rPr>
          <w:b/>
          <w:caps/>
        </w:rPr>
        <w:t>]</w:t>
      </w:r>
      <w:r w:rsidR="00B65A09" w:rsidRPr="00F11631">
        <w:rPr>
          <w:b/>
          <w:caps/>
        </w:rPr>
        <w:t>.</w:t>
      </w:r>
      <w:r w:rsidR="00B65A09" w:rsidRPr="00F11631">
        <w:rPr>
          <w:caps/>
        </w:rPr>
        <w:t xml:space="preserve">  </w:t>
      </w:r>
    </w:p>
    <w:p w14:paraId="05EFC9C8" w14:textId="709F8E92" w:rsidR="007C1916" w:rsidRPr="007C1916" w:rsidRDefault="007C1916" w:rsidP="00687F79">
      <w:pPr>
        <w:spacing w:line="480" w:lineRule="auto"/>
      </w:pPr>
      <w:r w:rsidRPr="00B7744C">
        <w:rPr>
          <w:u w:val="single"/>
        </w:rPr>
        <w:lastRenderedPageBreak/>
        <w:t>ADDRESSES</w:t>
      </w:r>
      <w:r w:rsidRPr="007C1916">
        <w:rPr>
          <w:b/>
        </w:rPr>
        <w:t>:</w:t>
      </w:r>
      <w:r w:rsidRPr="007C1916">
        <w:t xml:space="preserve">  Comments filed with OMB, identified by OMB Control </w:t>
      </w:r>
      <w:r w:rsidR="00687F79">
        <w:t xml:space="preserve">Nos.: </w:t>
      </w:r>
      <w:r w:rsidR="00936464" w:rsidRPr="00936464">
        <w:t>1902-0021</w:t>
      </w:r>
      <w:r w:rsidR="00687F79">
        <w:t xml:space="preserve"> (FERC Form No. </w:t>
      </w:r>
      <w:r w:rsidR="00936464">
        <w:t>1</w:t>
      </w:r>
      <w:r w:rsidR="00687F79">
        <w:t>)</w:t>
      </w:r>
      <w:r w:rsidR="00936464">
        <w:t>,</w:t>
      </w:r>
      <w:r w:rsidR="00687F79">
        <w:t xml:space="preserve"> </w:t>
      </w:r>
      <w:r w:rsidR="00936464" w:rsidRPr="00936464">
        <w:t>1902-0029</w:t>
      </w:r>
      <w:r w:rsidR="00687F79">
        <w:t xml:space="preserve"> (FERC Form No. </w:t>
      </w:r>
      <w:r w:rsidR="00936464">
        <w:t>1-F</w:t>
      </w:r>
      <w:r w:rsidR="00687F79">
        <w:t>)</w:t>
      </w:r>
      <w:r w:rsidRPr="007C1916">
        <w:t>,</w:t>
      </w:r>
      <w:r w:rsidR="00936464">
        <w:t xml:space="preserve"> and 1902-0205 (FERC Form No. 3-Q)</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342D58E5" w:rsidR="007C1916" w:rsidRPr="007C1916" w:rsidRDefault="007C1916" w:rsidP="007C1916">
      <w:pPr>
        <w:spacing w:line="480" w:lineRule="auto"/>
      </w:pPr>
      <w:r w:rsidRPr="007C1916">
        <w:t xml:space="preserve">A copy of the comments should also be sent to the Commission, in Docket No. </w:t>
      </w:r>
      <w:r w:rsidR="00D54C51">
        <w:t>IC19-22-000</w:t>
      </w:r>
      <w:r w:rsidRPr="007C1916">
        <w:t>, by either of the following methods:</w:t>
      </w:r>
    </w:p>
    <w:p w14:paraId="792B5B58" w14:textId="77777777" w:rsidR="007C1916" w:rsidRPr="007C1916" w:rsidRDefault="007C1916" w:rsidP="00F63759">
      <w:pPr>
        <w:numPr>
          <w:ilvl w:val="0"/>
          <w:numId w:val="2"/>
        </w:numPr>
        <w:tabs>
          <w:tab w:val="clear" w:pos="1500"/>
          <w:tab w:val="num" w:pos="900"/>
        </w:tabs>
        <w:spacing w:line="480" w:lineRule="auto"/>
        <w:ind w:left="900"/>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F63759">
      <w:pPr>
        <w:numPr>
          <w:ilvl w:val="0"/>
          <w:numId w:val="2"/>
        </w:numPr>
        <w:tabs>
          <w:tab w:val="clear" w:pos="1500"/>
          <w:tab w:val="num" w:pos="900"/>
        </w:tabs>
        <w:spacing w:line="480" w:lineRule="auto"/>
        <w:ind w:left="900"/>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C923BBE" w:rsidR="00A2604E" w:rsidRDefault="00A2604E" w:rsidP="00A2604E">
      <w:pPr>
        <w:spacing w:line="480" w:lineRule="auto"/>
      </w:pPr>
      <w:r w:rsidRPr="00B7744C">
        <w:rPr>
          <w:u w:val="single"/>
        </w:rPr>
        <w:t>FOR FURTHER INFORMATION</w:t>
      </w:r>
      <w:r w:rsidR="00B56882" w:rsidRPr="00B7744C">
        <w:rPr>
          <w:u w:val="single"/>
        </w:rPr>
        <w:t xml:space="preserve"> CONTACT</w:t>
      </w:r>
      <w:r w:rsidRPr="00656DF0">
        <w:rPr>
          <w:b/>
        </w:rPr>
        <w:t>:</w:t>
      </w:r>
      <w:r>
        <w:t xml:space="preserve">  </w:t>
      </w:r>
      <w:r w:rsidRPr="007731D6">
        <w:t>Ellen Brown</w:t>
      </w:r>
      <w:r>
        <w:t xml:space="preserve"> by e-mail at </w:t>
      </w:r>
      <w:hyperlink r:id="rId18" w:history="1">
        <w:r w:rsidRPr="00006D4B">
          <w:rPr>
            <w:rStyle w:val="Hyperlink"/>
          </w:rPr>
          <w:t>DataClearance@FERC.gov</w:t>
        </w:r>
      </w:hyperlink>
      <w:r>
        <w:t>, telephone at (202) 502-8663, and fax at (202) 273-0873.</w:t>
      </w:r>
    </w:p>
    <w:p w14:paraId="207E09F9" w14:textId="77777777" w:rsidR="0031604C" w:rsidRDefault="0031604C" w:rsidP="00C1124F">
      <w:pPr>
        <w:tabs>
          <w:tab w:val="left" w:pos="7880"/>
        </w:tabs>
        <w:spacing w:line="480" w:lineRule="auto"/>
        <w:rPr>
          <w:u w:val="single"/>
        </w:rPr>
      </w:pPr>
    </w:p>
    <w:p w14:paraId="1FD98A75" w14:textId="77777777" w:rsidR="0031604C" w:rsidRDefault="0031604C" w:rsidP="00C1124F">
      <w:pPr>
        <w:tabs>
          <w:tab w:val="left" w:pos="7880"/>
        </w:tabs>
        <w:spacing w:line="480" w:lineRule="auto"/>
        <w:rPr>
          <w:u w:val="single"/>
        </w:rPr>
      </w:pPr>
    </w:p>
    <w:p w14:paraId="0DE723AE" w14:textId="77777777" w:rsidR="0031604C" w:rsidRDefault="0031604C" w:rsidP="00C1124F">
      <w:pPr>
        <w:tabs>
          <w:tab w:val="left" w:pos="7880"/>
        </w:tabs>
        <w:spacing w:line="480" w:lineRule="auto"/>
        <w:rPr>
          <w:u w:val="single"/>
        </w:rPr>
      </w:pPr>
    </w:p>
    <w:p w14:paraId="6614759F" w14:textId="34FA9396" w:rsidR="00A2604E" w:rsidRPr="00853ABC" w:rsidRDefault="00A2604E" w:rsidP="00C1124F">
      <w:pPr>
        <w:tabs>
          <w:tab w:val="left" w:pos="7880"/>
        </w:tabs>
        <w:spacing w:line="480" w:lineRule="auto"/>
      </w:pPr>
      <w:r w:rsidRPr="00B7744C">
        <w:rPr>
          <w:u w:val="single"/>
        </w:rPr>
        <w:lastRenderedPageBreak/>
        <w:t xml:space="preserve"> SUPPLEMENTARY INFORMATION</w:t>
      </w:r>
      <w:r w:rsidRPr="001C3703">
        <w:rPr>
          <w:b/>
        </w:rPr>
        <w:t>:</w:t>
      </w:r>
      <w:r>
        <w:t xml:space="preserve">  </w:t>
      </w:r>
    </w:p>
    <w:p w14:paraId="62BDE04D" w14:textId="6D2FB9F8" w:rsidR="00C26571" w:rsidRDefault="00C26571" w:rsidP="00C26571">
      <w:pPr>
        <w:spacing w:line="480" w:lineRule="auto"/>
        <w:rPr>
          <w:i/>
        </w:rPr>
      </w:pPr>
      <w:r>
        <w:rPr>
          <w:i/>
        </w:rPr>
        <w:t xml:space="preserve">Titles: </w:t>
      </w:r>
      <w:r>
        <w:t xml:space="preserve">FERC Form Nos. </w:t>
      </w:r>
      <w:r w:rsidR="009A7175">
        <w:t>1</w:t>
      </w:r>
      <w:r>
        <w:t xml:space="preserve"> (</w:t>
      </w:r>
      <w:r w:rsidR="009A7175" w:rsidRPr="009A7175">
        <w:t>Annual Report of Major Electric Utilities, Licensees, and Others</w:t>
      </w:r>
      <w:r>
        <w:t>)</w:t>
      </w:r>
      <w:r w:rsidR="009A7175">
        <w:t xml:space="preserve">, </w:t>
      </w:r>
      <w:r w:rsidR="009A7175" w:rsidRPr="009A7175">
        <w:t xml:space="preserve">1-F </w:t>
      </w:r>
      <w:r w:rsidR="00AD6699">
        <w:t>(</w:t>
      </w:r>
      <w:r w:rsidR="009A7175" w:rsidRPr="009A7175">
        <w:t xml:space="preserve">Annual Report for </w:t>
      </w:r>
      <w:r w:rsidR="006C6DC0">
        <w:t>Nonmajor</w:t>
      </w:r>
      <w:r w:rsidR="009A7175" w:rsidRPr="009A7175">
        <w:t xml:space="preserve"> Public Utilities and Licensees</w:t>
      </w:r>
      <w:r w:rsidR="00AD6699">
        <w:t xml:space="preserve">), </w:t>
      </w:r>
      <w:r>
        <w:t xml:space="preserve">and </w:t>
      </w:r>
      <w:r w:rsidR="00AD6699">
        <w:t>3</w:t>
      </w:r>
      <w:r>
        <w:t>-Q</w:t>
      </w:r>
      <w:r w:rsidRPr="006765C9">
        <w:t xml:space="preserve"> </w:t>
      </w:r>
      <w:r>
        <w:t>(</w:t>
      </w:r>
      <w:r w:rsidR="00AD6699" w:rsidRPr="00AD6699">
        <w:t>Quarterly Financial Report of Electric Utilities, Licensees, and Natural Gas Companies</w:t>
      </w:r>
      <w:r>
        <w:t>).</w:t>
      </w:r>
    </w:p>
    <w:p w14:paraId="6B22A6B6" w14:textId="189FA4E0" w:rsidR="00C26571" w:rsidRDefault="00C26571" w:rsidP="00C26571">
      <w:pPr>
        <w:spacing w:line="480" w:lineRule="auto"/>
      </w:pPr>
      <w:r>
        <w:rPr>
          <w:i/>
        </w:rPr>
        <w:t>OMB Control Nos.:</w:t>
      </w:r>
      <w:r w:rsidRPr="00F50EDA">
        <w:t xml:space="preserve"> </w:t>
      </w:r>
      <w:r w:rsidRPr="006765C9">
        <w:t>1902-0</w:t>
      </w:r>
      <w:r>
        <w:t>02</w:t>
      </w:r>
      <w:r w:rsidR="009A7175">
        <w:t>1</w:t>
      </w:r>
      <w:r>
        <w:t xml:space="preserve"> (FERC Form No. </w:t>
      </w:r>
      <w:r w:rsidR="009A7175">
        <w:t>1</w:t>
      </w:r>
      <w:r>
        <w:t>)</w:t>
      </w:r>
      <w:r w:rsidR="00AD6699">
        <w:t xml:space="preserve">, </w:t>
      </w:r>
      <w:r w:rsidR="00AD6699" w:rsidRPr="00AD6699">
        <w:t>1902-0029</w:t>
      </w:r>
      <w:r w:rsidR="00AD6699">
        <w:t xml:space="preserve"> (FERC Form No. 1-F), </w:t>
      </w:r>
      <w:r>
        <w:t>and 1902-020</w:t>
      </w:r>
      <w:r w:rsidR="00AD6699">
        <w:t>5</w:t>
      </w:r>
      <w:r>
        <w:t xml:space="preserve"> (FERC Form No.</w:t>
      </w:r>
      <w:r w:rsidR="00AD6699">
        <w:t xml:space="preserve"> 3</w:t>
      </w:r>
      <w:r>
        <w:t>-Q)</w:t>
      </w:r>
      <w:r w:rsidR="0028785E">
        <w:t>.</w:t>
      </w:r>
    </w:p>
    <w:p w14:paraId="7B23D61C" w14:textId="4BCF7870" w:rsidR="00C26571" w:rsidRPr="00B5364C" w:rsidRDefault="00C26571" w:rsidP="00C26571">
      <w:pPr>
        <w:spacing w:line="480" w:lineRule="auto"/>
      </w:pPr>
      <w:r>
        <w:rPr>
          <w:i/>
        </w:rPr>
        <w:t>Type of Request:</w:t>
      </w:r>
      <w:r>
        <w:t xml:space="preserve"> Three-year extension</w:t>
      </w:r>
      <w:r w:rsidR="007D34F5">
        <w:t>s</w:t>
      </w:r>
      <w:r>
        <w:t xml:space="preserve"> of </w:t>
      </w:r>
      <w:r w:rsidR="00CC5F52">
        <w:t xml:space="preserve">the </w:t>
      </w:r>
      <w:r>
        <w:t xml:space="preserve">FERC Form Nos. </w:t>
      </w:r>
      <w:r w:rsidR="00D54C51">
        <w:t>1, 1-F, and 3-Q</w:t>
      </w:r>
      <w:r>
        <w:t xml:space="preserve"> with no changes to the current reporting and recordkeeping requirements.</w:t>
      </w:r>
      <w:r>
        <w:rPr>
          <w:rStyle w:val="FootnoteReference"/>
        </w:rPr>
        <w:footnoteReference w:id="1"/>
      </w:r>
    </w:p>
    <w:p w14:paraId="2B696DA0" w14:textId="77777777" w:rsidR="00BF0676" w:rsidRPr="00BF0676" w:rsidRDefault="00BF0676" w:rsidP="00BF0676">
      <w:pPr>
        <w:spacing w:line="480" w:lineRule="auto"/>
        <w:rPr>
          <w:b/>
          <w:i/>
        </w:rPr>
      </w:pPr>
      <w:r w:rsidRPr="00BF0676">
        <w:rPr>
          <w:b/>
        </w:rPr>
        <w:t>FERC Form No. 1, Annual Report of Major Electric Utilities, Licensees, and Others</w:t>
      </w:r>
    </w:p>
    <w:p w14:paraId="0B33BA46" w14:textId="704A8C4C" w:rsidR="00BF0676" w:rsidRDefault="00BF0676" w:rsidP="00BF0676">
      <w:pPr>
        <w:spacing w:line="480" w:lineRule="auto"/>
      </w:pPr>
      <w:r>
        <w:rPr>
          <w:i/>
        </w:rPr>
        <w:t xml:space="preserve">Abstract:  </w:t>
      </w:r>
      <w:r>
        <w:t>The FERC Form No. 1 is a comprehensive financial and operating report submitted annually for electric rate regulation, market oversight analysis, and financial audits by Major electric utilities, licensees and others.  Major is defined as having in each of the last three consecutive calendar years, sales or transmission services that exceed one of the following:  (1) one million megawatt-hours of total sales; (2) 100 megawatt-hours of sales for resale; (3) 500 megawatt-hours of power exchanges delivered; or (4) 500 megawatt-hours of wheeling for others (deliveries plus losses).</w:t>
      </w:r>
      <w:r>
        <w:rPr>
          <w:rStyle w:val="FootnoteReference"/>
        </w:rPr>
        <w:footnoteReference w:id="2"/>
      </w:r>
      <w:r>
        <w:t xml:space="preserve"> </w:t>
      </w:r>
    </w:p>
    <w:p w14:paraId="5A7DB438" w14:textId="77777777" w:rsidR="00BF0676" w:rsidRDefault="00BF0676" w:rsidP="00BF0676">
      <w:pPr>
        <w:spacing w:line="480" w:lineRule="auto"/>
      </w:pPr>
      <w:r>
        <w:tab/>
      </w:r>
      <w:r w:rsidRPr="00010B8D">
        <w:t>The FERC Form No.1 is designed to collect financial and operational information and is made available</w:t>
      </w:r>
      <w:r>
        <w:t xml:space="preserve"> to the </w:t>
      </w:r>
      <w:r w:rsidRPr="005B19E0">
        <w:t>public</w:t>
      </w:r>
      <w:r w:rsidRPr="001E4321">
        <w:t>.  The FERC Form No.1 includes a b</w:t>
      </w:r>
      <w:r>
        <w:t xml:space="preserve">asic set of financial statements:  </w:t>
      </w:r>
    </w:p>
    <w:p w14:paraId="2377A94E" w14:textId="77777777" w:rsidR="00BF0676" w:rsidRDefault="00BF0676" w:rsidP="00BF0676">
      <w:pPr>
        <w:pStyle w:val="ListParagraph"/>
        <w:numPr>
          <w:ilvl w:val="0"/>
          <w:numId w:val="4"/>
        </w:numPr>
        <w:spacing w:line="480" w:lineRule="auto"/>
      </w:pPr>
      <w:r>
        <w:t xml:space="preserve">Comparative Balance Sheet, </w:t>
      </w:r>
    </w:p>
    <w:p w14:paraId="40A6CA76" w14:textId="77777777" w:rsidR="00BF0676" w:rsidRDefault="00BF0676" w:rsidP="00BF0676">
      <w:pPr>
        <w:pStyle w:val="ListParagraph"/>
        <w:numPr>
          <w:ilvl w:val="0"/>
          <w:numId w:val="4"/>
        </w:numPr>
        <w:spacing w:line="480" w:lineRule="auto"/>
      </w:pPr>
      <w:r>
        <w:t xml:space="preserve">Statement of Income, </w:t>
      </w:r>
    </w:p>
    <w:p w14:paraId="59B1E263" w14:textId="77777777" w:rsidR="00BF0676" w:rsidRDefault="00BF0676" w:rsidP="00BF0676">
      <w:pPr>
        <w:pStyle w:val="ListParagraph"/>
        <w:numPr>
          <w:ilvl w:val="0"/>
          <w:numId w:val="4"/>
        </w:numPr>
        <w:spacing w:line="480" w:lineRule="auto"/>
      </w:pPr>
      <w:r>
        <w:t xml:space="preserve">Statement of Retained Earnings, </w:t>
      </w:r>
    </w:p>
    <w:p w14:paraId="1846E1C9" w14:textId="77777777" w:rsidR="00BF0676" w:rsidRDefault="00BF0676" w:rsidP="00BF0676">
      <w:pPr>
        <w:pStyle w:val="ListParagraph"/>
        <w:numPr>
          <w:ilvl w:val="0"/>
          <w:numId w:val="4"/>
        </w:numPr>
        <w:spacing w:line="480" w:lineRule="auto"/>
      </w:pPr>
      <w:r>
        <w:t xml:space="preserve">Statement of Cash Flows, </w:t>
      </w:r>
    </w:p>
    <w:p w14:paraId="72508C1F" w14:textId="77777777" w:rsidR="00BF0676" w:rsidRDefault="00BF0676" w:rsidP="00BF0676">
      <w:pPr>
        <w:pStyle w:val="ListParagraph"/>
        <w:numPr>
          <w:ilvl w:val="0"/>
          <w:numId w:val="4"/>
        </w:numPr>
        <w:spacing w:line="480" w:lineRule="auto"/>
      </w:pPr>
      <w:r>
        <w:t xml:space="preserve">Statements of Accumulated Comprehensive Income, </w:t>
      </w:r>
    </w:p>
    <w:p w14:paraId="171C72A2" w14:textId="77777777" w:rsidR="00BF0676" w:rsidRDefault="00BF0676" w:rsidP="00BF0676">
      <w:pPr>
        <w:pStyle w:val="ListParagraph"/>
        <w:numPr>
          <w:ilvl w:val="0"/>
          <w:numId w:val="4"/>
        </w:numPr>
        <w:spacing w:line="480" w:lineRule="auto"/>
      </w:pPr>
      <w:r>
        <w:t xml:space="preserve">Comprehensive Income, and Hedging Activities, and </w:t>
      </w:r>
    </w:p>
    <w:p w14:paraId="39665D96" w14:textId="77777777" w:rsidR="00BF0676" w:rsidRDefault="00BF0676" w:rsidP="00BF0676">
      <w:pPr>
        <w:pStyle w:val="ListParagraph"/>
        <w:numPr>
          <w:ilvl w:val="0"/>
          <w:numId w:val="4"/>
        </w:numPr>
        <w:spacing w:line="480" w:lineRule="auto"/>
      </w:pPr>
      <w:r>
        <w:t xml:space="preserve">Notes to Financial Statements.  </w:t>
      </w:r>
    </w:p>
    <w:p w14:paraId="272107D4" w14:textId="77777777" w:rsidR="00BF0676" w:rsidRDefault="00BF0676" w:rsidP="00BF0676">
      <w:pPr>
        <w:pStyle w:val="ListParagraph"/>
        <w:spacing w:line="480" w:lineRule="auto"/>
        <w:ind w:left="0"/>
      </w:pPr>
      <w:r>
        <w:t xml:space="preserve">Supporting schedules contain: </w:t>
      </w:r>
    </w:p>
    <w:p w14:paraId="39361CAB" w14:textId="77777777" w:rsidR="00BF0676" w:rsidRDefault="00BF0676" w:rsidP="00BF0676">
      <w:pPr>
        <w:pStyle w:val="ListParagraph"/>
        <w:numPr>
          <w:ilvl w:val="0"/>
          <w:numId w:val="5"/>
        </w:numPr>
        <w:spacing w:line="480" w:lineRule="auto"/>
      </w:pPr>
      <w:r>
        <w:t>Supplementary information and outlines of corporate structure and governance,</w:t>
      </w:r>
    </w:p>
    <w:p w14:paraId="6BF69EFD" w14:textId="77777777" w:rsidR="00BF0676" w:rsidRDefault="00BF0676" w:rsidP="00BF0676">
      <w:pPr>
        <w:pStyle w:val="ListParagraph"/>
        <w:numPr>
          <w:ilvl w:val="0"/>
          <w:numId w:val="5"/>
        </w:numPr>
        <w:spacing w:line="480" w:lineRule="auto"/>
      </w:pPr>
      <w:r>
        <w:t xml:space="preserve">Information on formula rates, and </w:t>
      </w:r>
    </w:p>
    <w:p w14:paraId="6F3E4C10" w14:textId="77777777" w:rsidR="00BF0676" w:rsidRDefault="00BF0676" w:rsidP="00BF0676">
      <w:pPr>
        <w:pStyle w:val="ListParagraph"/>
        <w:numPr>
          <w:ilvl w:val="0"/>
          <w:numId w:val="5"/>
        </w:numPr>
        <w:spacing w:line="480" w:lineRule="auto"/>
      </w:pPr>
      <w:r>
        <w:t xml:space="preserve">Description of important changes during the year.  </w:t>
      </w:r>
    </w:p>
    <w:p w14:paraId="43F90144" w14:textId="77777777" w:rsidR="00BF0676" w:rsidRDefault="00BF0676" w:rsidP="00BF0676">
      <w:pPr>
        <w:spacing w:line="480" w:lineRule="auto"/>
      </w:pPr>
      <w:r>
        <w:t>Other schedules provide:</w:t>
      </w:r>
    </w:p>
    <w:p w14:paraId="42B2667E" w14:textId="77777777" w:rsidR="00BF0676" w:rsidRDefault="00BF0676" w:rsidP="00BF0676">
      <w:pPr>
        <w:pStyle w:val="ListParagraph"/>
        <w:numPr>
          <w:ilvl w:val="0"/>
          <w:numId w:val="6"/>
        </w:numPr>
        <w:spacing w:line="480" w:lineRule="auto"/>
        <w:ind w:left="720"/>
      </w:pPr>
      <w:r>
        <w:t xml:space="preserve">Information on revenues and the related quantities of electric sales and electricity transmitted, </w:t>
      </w:r>
    </w:p>
    <w:p w14:paraId="5112D2FA" w14:textId="77777777" w:rsidR="00BF0676" w:rsidRDefault="00BF0676" w:rsidP="00BF0676">
      <w:pPr>
        <w:pStyle w:val="ListParagraph"/>
        <w:numPr>
          <w:ilvl w:val="0"/>
          <w:numId w:val="6"/>
        </w:numPr>
        <w:spacing w:line="480" w:lineRule="auto"/>
        <w:ind w:left="720"/>
      </w:pPr>
      <w:r>
        <w:t xml:space="preserve">Account balances for all electric operation and maintenance expenses, </w:t>
      </w:r>
    </w:p>
    <w:p w14:paraId="5A34AD8A" w14:textId="77777777" w:rsidR="00BF0676" w:rsidRDefault="00BF0676" w:rsidP="00BF0676">
      <w:pPr>
        <w:pStyle w:val="ListParagraph"/>
        <w:numPr>
          <w:ilvl w:val="0"/>
          <w:numId w:val="6"/>
        </w:numPr>
        <w:spacing w:line="480" w:lineRule="auto"/>
        <w:ind w:left="720"/>
      </w:pPr>
      <w:r>
        <w:t xml:space="preserve">Selected plant cost data, and </w:t>
      </w:r>
    </w:p>
    <w:p w14:paraId="31F2767A" w14:textId="77777777" w:rsidR="00BF0676" w:rsidRDefault="00BF0676" w:rsidP="00BF0676">
      <w:pPr>
        <w:pStyle w:val="ListParagraph"/>
        <w:numPr>
          <w:ilvl w:val="0"/>
          <w:numId w:val="6"/>
        </w:numPr>
        <w:spacing w:line="480" w:lineRule="auto"/>
        <w:ind w:left="720"/>
      </w:pPr>
      <w:r>
        <w:t>Other statistical information.</w:t>
      </w:r>
    </w:p>
    <w:p w14:paraId="3DB7FD03" w14:textId="77777777" w:rsidR="00BF0676" w:rsidRDefault="00BF0676" w:rsidP="00BF0676">
      <w:pPr>
        <w:spacing w:line="480" w:lineRule="auto"/>
      </w:pPr>
      <w:r w:rsidRPr="006A0F34">
        <w:rPr>
          <w:i/>
        </w:rPr>
        <w:t>Type of Respondent:</w:t>
      </w:r>
      <w:r>
        <w:t xml:space="preserve"> Major electric utilities</w:t>
      </w:r>
    </w:p>
    <w:p w14:paraId="56723BFF" w14:textId="77777777" w:rsidR="00BF0676" w:rsidRDefault="00BF0676" w:rsidP="00BF0676">
      <w:pPr>
        <w:spacing w:line="480" w:lineRule="auto"/>
      </w:pPr>
      <w:r>
        <w:rPr>
          <w:i/>
        </w:rPr>
        <w:t>Estimate of Annual Burden</w:t>
      </w:r>
      <w:r>
        <w:rPr>
          <w:rStyle w:val="FootnoteReference"/>
          <w:i/>
        </w:rPr>
        <w:footnoteReference w:id="3"/>
      </w:r>
      <w:r>
        <w:rPr>
          <w:i/>
        </w:rPr>
        <w:t xml:space="preserve">: </w:t>
      </w:r>
      <w:r>
        <w:t>The Commission estimates the annual burden and cost</w:t>
      </w:r>
      <w:r w:rsidRPr="0029242B">
        <w:rPr>
          <w:rStyle w:val="FootnoteReference"/>
        </w:rPr>
        <w:footnoteReference w:id="4"/>
      </w:r>
      <w:r w:rsidRPr="0029242B">
        <w:t xml:space="preserve"> </w:t>
      </w:r>
      <w:r>
        <w:t>for FERC Form No. 1 as follows: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BF0676" w:rsidRPr="00AA3C2A" w14:paraId="4E2B1BE2" w14:textId="77777777" w:rsidTr="00B233EE">
        <w:trPr>
          <w:trHeight w:val="347"/>
          <w:jc w:val="center"/>
        </w:trPr>
        <w:tc>
          <w:tcPr>
            <w:tcW w:w="9550" w:type="dxa"/>
            <w:gridSpan w:val="6"/>
            <w:shd w:val="clear" w:color="auto" w:fill="D9D9D9"/>
            <w:vAlign w:val="bottom"/>
          </w:tcPr>
          <w:p w14:paraId="777492A8" w14:textId="77777777" w:rsidR="00BF0676" w:rsidRPr="00F077B1" w:rsidRDefault="00BF0676" w:rsidP="00B233EE">
            <w:pPr>
              <w:jc w:val="center"/>
              <w:rPr>
                <w:b/>
                <w:smallCaps/>
                <w:sz w:val="20"/>
                <w:szCs w:val="20"/>
              </w:rPr>
            </w:pPr>
            <w:r w:rsidRPr="009B763B">
              <w:rPr>
                <w:b/>
                <w:sz w:val="20"/>
                <w:szCs w:val="20"/>
              </w:rPr>
              <w:t>FERC Form No. 1</w:t>
            </w:r>
          </w:p>
        </w:tc>
      </w:tr>
      <w:tr w:rsidR="00BF0676" w:rsidRPr="00AA3C2A" w14:paraId="30303FB5" w14:textId="77777777" w:rsidTr="00B233EE">
        <w:trPr>
          <w:trHeight w:val="638"/>
          <w:jc w:val="center"/>
        </w:trPr>
        <w:tc>
          <w:tcPr>
            <w:tcW w:w="1540" w:type="dxa"/>
            <w:shd w:val="clear" w:color="auto" w:fill="D9D9D9"/>
            <w:vAlign w:val="bottom"/>
          </w:tcPr>
          <w:p w14:paraId="66D999D2" w14:textId="77777777" w:rsidR="00BF0676" w:rsidRDefault="00BF0676" w:rsidP="00B233EE">
            <w:pPr>
              <w:jc w:val="center"/>
              <w:rPr>
                <w:b/>
                <w:sz w:val="20"/>
                <w:szCs w:val="20"/>
              </w:rPr>
            </w:pPr>
            <w:r w:rsidRPr="00AA3C2A">
              <w:rPr>
                <w:b/>
                <w:sz w:val="20"/>
                <w:szCs w:val="20"/>
              </w:rPr>
              <w:t>Number of Respondents</w:t>
            </w:r>
          </w:p>
          <w:p w14:paraId="44EEFCA2" w14:textId="77777777" w:rsidR="00BF0676" w:rsidRPr="00AA3C2A" w:rsidRDefault="00BF0676" w:rsidP="00B233EE">
            <w:pPr>
              <w:jc w:val="center"/>
              <w:rPr>
                <w:b/>
                <w:sz w:val="20"/>
                <w:szCs w:val="20"/>
              </w:rPr>
            </w:pPr>
            <w:r>
              <w:rPr>
                <w:b/>
                <w:sz w:val="20"/>
                <w:szCs w:val="20"/>
              </w:rPr>
              <w:t>(1</w:t>
            </w:r>
            <w:r w:rsidRPr="00AA3C2A">
              <w:rPr>
                <w:b/>
                <w:sz w:val="20"/>
                <w:szCs w:val="20"/>
              </w:rPr>
              <w:t>)</w:t>
            </w:r>
          </w:p>
        </w:tc>
        <w:tc>
          <w:tcPr>
            <w:tcW w:w="1530" w:type="dxa"/>
            <w:shd w:val="clear" w:color="auto" w:fill="D9D9D9"/>
            <w:vAlign w:val="bottom"/>
          </w:tcPr>
          <w:p w14:paraId="1F5EA98C" w14:textId="77777777" w:rsidR="00BF0676" w:rsidRDefault="00BF0676" w:rsidP="00B233EE">
            <w:pPr>
              <w:jc w:val="center"/>
              <w:rPr>
                <w:b/>
                <w:sz w:val="20"/>
                <w:szCs w:val="20"/>
              </w:rPr>
            </w:pPr>
            <w:r w:rsidRPr="00AA3C2A">
              <w:rPr>
                <w:b/>
                <w:sz w:val="20"/>
                <w:szCs w:val="20"/>
              </w:rPr>
              <w:t>Number of Responses Per Respondent</w:t>
            </w:r>
          </w:p>
          <w:p w14:paraId="0D9B1968" w14:textId="77777777" w:rsidR="00BF0676" w:rsidRPr="00AA3C2A" w:rsidRDefault="00BF0676" w:rsidP="00B233EE">
            <w:pPr>
              <w:jc w:val="center"/>
              <w:rPr>
                <w:b/>
                <w:sz w:val="20"/>
                <w:szCs w:val="20"/>
              </w:rPr>
            </w:pPr>
            <w:r>
              <w:rPr>
                <w:b/>
                <w:sz w:val="20"/>
                <w:szCs w:val="20"/>
              </w:rPr>
              <w:t>(2)</w:t>
            </w:r>
          </w:p>
        </w:tc>
        <w:tc>
          <w:tcPr>
            <w:tcW w:w="1440" w:type="dxa"/>
            <w:shd w:val="clear" w:color="auto" w:fill="D9D9D9"/>
            <w:vAlign w:val="bottom"/>
          </w:tcPr>
          <w:p w14:paraId="122A7171" w14:textId="77777777" w:rsidR="00BF0676" w:rsidRDefault="00BF0676" w:rsidP="00B233EE">
            <w:pPr>
              <w:jc w:val="center"/>
              <w:rPr>
                <w:b/>
                <w:sz w:val="20"/>
                <w:szCs w:val="20"/>
              </w:rPr>
            </w:pPr>
            <w:r w:rsidRPr="00AA3C2A">
              <w:rPr>
                <w:b/>
                <w:sz w:val="20"/>
                <w:szCs w:val="20"/>
              </w:rPr>
              <w:t>Total Number of Responses</w:t>
            </w:r>
          </w:p>
          <w:p w14:paraId="014EBA8C" w14:textId="77777777" w:rsidR="00BF0676" w:rsidRPr="00AA3C2A" w:rsidRDefault="00BF0676" w:rsidP="00B233EE">
            <w:pPr>
              <w:ind w:left="72"/>
              <w:jc w:val="center"/>
              <w:rPr>
                <w:b/>
                <w:sz w:val="20"/>
                <w:szCs w:val="20"/>
              </w:rPr>
            </w:pPr>
            <w:r>
              <w:rPr>
                <w:b/>
                <w:sz w:val="20"/>
                <w:szCs w:val="20"/>
              </w:rPr>
              <w:t>(1) x (2</w:t>
            </w:r>
            <w:r w:rsidRPr="00AA3C2A">
              <w:rPr>
                <w:b/>
                <w:sz w:val="20"/>
                <w:szCs w:val="20"/>
              </w:rPr>
              <w:t>)</w:t>
            </w:r>
            <w:r>
              <w:rPr>
                <w:b/>
                <w:sz w:val="20"/>
                <w:szCs w:val="20"/>
              </w:rPr>
              <w:t xml:space="preserve"> </w:t>
            </w:r>
            <w:r w:rsidRPr="00AA3C2A">
              <w:rPr>
                <w:b/>
                <w:sz w:val="20"/>
                <w:szCs w:val="20"/>
              </w:rPr>
              <w:t>=</w:t>
            </w:r>
            <w:r>
              <w:rPr>
                <w:b/>
                <w:sz w:val="20"/>
                <w:szCs w:val="20"/>
              </w:rPr>
              <w:t xml:space="preserve"> (3</w:t>
            </w:r>
            <w:r w:rsidRPr="00AA3C2A">
              <w:rPr>
                <w:b/>
                <w:sz w:val="20"/>
                <w:szCs w:val="20"/>
              </w:rPr>
              <w:t>)</w:t>
            </w:r>
          </w:p>
        </w:tc>
        <w:tc>
          <w:tcPr>
            <w:tcW w:w="1710" w:type="dxa"/>
            <w:shd w:val="clear" w:color="auto" w:fill="D9D9D9"/>
            <w:vAlign w:val="bottom"/>
          </w:tcPr>
          <w:p w14:paraId="44572CB4" w14:textId="77777777" w:rsidR="00BF0676" w:rsidRDefault="00BF0676" w:rsidP="00B233EE">
            <w:pPr>
              <w:jc w:val="center"/>
              <w:rPr>
                <w:b/>
                <w:sz w:val="20"/>
                <w:szCs w:val="20"/>
              </w:rPr>
            </w:pPr>
            <w:r w:rsidRPr="00AA3C2A">
              <w:rPr>
                <w:b/>
                <w:sz w:val="20"/>
                <w:szCs w:val="20"/>
              </w:rPr>
              <w:t xml:space="preserve">Average Burden </w:t>
            </w:r>
            <w:r>
              <w:rPr>
                <w:b/>
                <w:sz w:val="20"/>
                <w:szCs w:val="20"/>
              </w:rPr>
              <w:t>Hours &amp; Average Cost per Response ($)</w:t>
            </w:r>
          </w:p>
          <w:p w14:paraId="5F5AD6CC" w14:textId="77777777" w:rsidR="00BF0676" w:rsidRPr="00AA3C2A" w:rsidRDefault="00BF0676" w:rsidP="00B233EE">
            <w:pPr>
              <w:jc w:val="center"/>
              <w:rPr>
                <w:b/>
                <w:sz w:val="20"/>
                <w:szCs w:val="20"/>
              </w:rPr>
            </w:pPr>
            <w:r>
              <w:rPr>
                <w:b/>
                <w:sz w:val="20"/>
                <w:szCs w:val="20"/>
              </w:rPr>
              <w:t>(4</w:t>
            </w:r>
            <w:r w:rsidRPr="00AA3C2A">
              <w:rPr>
                <w:b/>
                <w:sz w:val="20"/>
                <w:szCs w:val="20"/>
              </w:rPr>
              <w:t>)</w:t>
            </w:r>
          </w:p>
        </w:tc>
        <w:tc>
          <w:tcPr>
            <w:tcW w:w="1800" w:type="dxa"/>
            <w:shd w:val="clear" w:color="auto" w:fill="D9D9D9"/>
            <w:vAlign w:val="bottom"/>
          </w:tcPr>
          <w:p w14:paraId="3AEF3A82" w14:textId="77777777" w:rsidR="00BF0676" w:rsidRDefault="00BF0676" w:rsidP="00B233EE">
            <w:pPr>
              <w:jc w:val="center"/>
              <w:rPr>
                <w:b/>
                <w:sz w:val="20"/>
                <w:szCs w:val="20"/>
              </w:rPr>
            </w:pPr>
            <w:r w:rsidRPr="00AA3C2A">
              <w:rPr>
                <w:b/>
                <w:sz w:val="20"/>
                <w:szCs w:val="20"/>
              </w:rPr>
              <w:t>Total Annual Burden</w:t>
            </w:r>
            <w:r>
              <w:rPr>
                <w:b/>
                <w:sz w:val="20"/>
                <w:szCs w:val="20"/>
              </w:rPr>
              <w:t xml:space="preserve"> Hours &amp; Total Annual Cost ($)</w:t>
            </w:r>
          </w:p>
          <w:p w14:paraId="06A4645F" w14:textId="77777777" w:rsidR="00BF0676" w:rsidRPr="00AA3C2A" w:rsidRDefault="00BF0676" w:rsidP="00B233EE">
            <w:pPr>
              <w:jc w:val="center"/>
              <w:rPr>
                <w:b/>
                <w:sz w:val="20"/>
                <w:szCs w:val="20"/>
              </w:rPr>
            </w:pPr>
            <w:r>
              <w:rPr>
                <w:b/>
                <w:sz w:val="20"/>
                <w:szCs w:val="20"/>
              </w:rPr>
              <w:t>(3</w:t>
            </w:r>
            <w:r w:rsidRPr="00AA3C2A">
              <w:rPr>
                <w:b/>
                <w:sz w:val="20"/>
                <w:szCs w:val="20"/>
              </w:rPr>
              <w:t>)</w:t>
            </w:r>
            <w:r>
              <w:rPr>
                <w:b/>
                <w:sz w:val="20"/>
                <w:szCs w:val="20"/>
              </w:rPr>
              <w:t xml:space="preserve"> </w:t>
            </w:r>
            <w:r w:rsidRPr="00AA3C2A">
              <w:rPr>
                <w:b/>
                <w:sz w:val="20"/>
                <w:szCs w:val="20"/>
              </w:rPr>
              <w:t>x</w:t>
            </w:r>
            <w:r>
              <w:rPr>
                <w:b/>
                <w:sz w:val="20"/>
                <w:szCs w:val="20"/>
              </w:rPr>
              <w:t xml:space="preserve"> (4) = (5)</w:t>
            </w:r>
          </w:p>
        </w:tc>
        <w:tc>
          <w:tcPr>
            <w:tcW w:w="1530" w:type="dxa"/>
            <w:shd w:val="clear" w:color="auto" w:fill="D9D9D9"/>
            <w:vAlign w:val="bottom"/>
          </w:tcPr>
          <w:p w14:paraId="6BAB4D80" w14:textId="77777777" w:rsidR="00BF0676" w:rsidRDefault="00BF0676" w:rsidP="00B233EE">
            <w:pPr>
              <w:jc w:val="center"/>
              <w:rPr>
                <w:b/>
                <w:sz w:val="20"/>
                <w:szCs w:val="20"/>
              </w:rPr>
            </w:pPr>
            <w:r>
              <w:rPr>
                <w:b/>
                <w:sz w:val="20"/>
                <w:szCs w:val="20"/>
              </w:rPr>
              <w:t>Cost per Respondent ($)</w:t>
            </w:r>
          </w:p>
          <w:p w14:paraId="25C92229" w14:textId="77777777" w:rsidR="00BF0676" w:rsidRPr="00AA3C2A" w:rsidRDefault="00BF0676" w:rsidP="00B233EE">
            <w:pPr>
              <w:jc w:val="center"/>
              <w:rPr>
                <w:b/>
                <w:sz w:val="20"/>
                <w:szCs w:val="20"/>
              </w:rPr>
            </w:pPr>
            <w:r>
              <w:rPr>
                <w:b/>
                <w:sz w:val="20"/>
                <w:szCs w:val="20"/>
              </w:rPr>
              <w:t>(5</w:t>
            </w:r>
            <w:r w:rsidRPr="00482D43">
              <w:rPr>
                <w:b/>
                <w:sz w:val="20"/>
                <w:szCs w:val="20"/>
              </w:rPr>
              <w:t>)</w:t>
            </w:r>
            <w:r w:rsidRPr="00482D43">
              <w:rPr>
                <w:rFonts w:eastAsia="Calibri"/>
                <w:b/>
                <w:sz w:val="20"/>
                <w:szCs w:val="20"/>
              </w:rPr>
              <w:t xml:space="preserve"> ÷ (1)</w:t>
            </w:r>
            <w:r>
              <w:rPr>
                <w:rFonts w:eastAsia="Calibri"/>
                <w:b/>
                <w:sz w:val="20"/>
                <w:szCs w:val="20"/>
              </w:rPr>
              <w:t xml:space="preserve"> = (6)</w:t>
            </w:r>
          </w:p>
        </w:tc>
      </w:tr>
      <w:tr w:rsidR="00BF0676" w:rsidRPr="00AA3C2A" w14:paraId="44D5DC83" w14:textId="77777777" w:rsidTr="00B233EE">
        <w:trPr>
          <w:jc w:val="center"/>
        </w:trPr>
        <w:tc>
          <w:tcPr>
            <w:tcW w:w="1540" w:type="dxa"/>
            <w:vAlign w:val="bottom"/>
          </w:tcPr>
          <w:p w14:paraId="4608E12A"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207</w:t>
            </w:r>
          </w:p>
        </w:tc>
        <w:tc>
          <w:tcPr>
            <w:tcW w:w="1530" w:type="dxa"/>
            <w:vAlign w:val="bottom"/>
          </w:tcPr>
          <w:p w14:paraId="5DB2DD00"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1</w:t>
            </w:r>
          </w:p>
        </w:tc>
        <w:tc>
          <w:tcPr>
            <w:tcW w:w="1440" w:type="dxa"/>
            <w:vAlign w:val="bottom"/>
          </w:tcPr>
          <w:p w14:paraId="31D5338D"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207</w:t>
            </w:r>
          </w:p>
        </w:tc>
        <w:tc>
          <w:tcPr>
            <w:tcW w:w="1710" w:type="dxa"/>
            <w:vAlign w:val="bottom"/>
          </w:tcPr>
          <w:p w14:paraId="5B2766F0"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1,168 hrs.; $92,272</w:t>
            </w:r>
          </w:p>
        </w:tc>
        <w:tc>
          <w:tcPr>
            <w:tcW w:w="1800" w:type="dxa"/>
            <w:vAlign w:val="bottom"/>
          </w:tcPr>
          <w:p w14:paraId="11A4E04E"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241,776 hrs.; $19,100,304</w:t>
            </w:r>
          </w:p>
        </w:tc>
        <w:tc>
          <w:tcPr>
            <w:tcW w:w="1530" w:type="dxa"/>
            <w:vAlign w:val="bottom"/>
          </w:tcPr>
          <w:p w14:paraId="7D3DBF03" w14:textId="77777777" w:rsidR="00BF0676" w:rsidRPr="00EF1939" w:rsidRDefault="00BF0676" w:rsidP="00B233EE">
            <w:pPr>
              <w:pStyle w:val="LegalFormat"/>
              <w:numPr>
                <w:ilvl w:val="0"/>
                <w:numId w:val="0"/>
              </w:numPr>
              <w:spacing w:line="276" w:lineRule="auto"/>
              <w:jc w:val="right"/>
              <w:rPr>
                <w:sz w:val="20"/>
                <w:szCs w:val="20"/>
                <w:u w:val="none"/>
              </w:rPr>
            </w:pPr>
            <w:r>
              <w:rPr>
                <w:sz w:val="20"/>
                <w:szCs w:val="20"/>
                <w:u w:val="none"/>
              </w:rPr>
              <w:t>$92,272</w:t>
            </w:r>
          </w:p>
        </w:tc>
      </w:tr>
    </w:tbl>
    <w:p w14:paraId="7A59A4E9" w14:textId="639F1128" w:rsidR="00C26571" w:rsidRPr="00BF0676" w:rsidRDefault="00C26571" w:rsidP="00C26571">
      <w:pPr>
        <w:tabs>
          <w:tab w:val="left" w:pos="-1440"/>
        </w:tabs>
        <w:spacing w:line="480" w:lineRule="auto"/>
        <w:rPr>
          <w:strike/>
          <w:szCs w:val="26"/>
        </w:rPr>
      </w:pPr>
    </w:p>
    <w:p w14:paraId="420267F9" w14:textId="6D2CC6C5" w:rsidR="00BF0676" w:rsidRPr="00266D48" w:rsidRDefault="00BF0676" w:rsidP="00BF0676">
      <w:pPr>
        <w:spacing w:line="480" w:lineRule="auto"/>
        <w:rPr>
          <w:b/>
        </w:rPr>
      </w:pPr>
      <w:r w:rsidRPr="00266D48">
        <w:rPr>
          <w:b/>
        </w:rPr>
        <w:t xml:space="preserve">FERC Form No. 1-F, Annual Report for </w:t>
      </w:r>
      <w:r w:rsidR="006C6DC0">
        <w:rPr>
          <w:b/>
        </w:rPr>
        <w:t>Nonmajor</w:t>
      </w:r>
      <w:r w:rsidRPr="00266D48">
        <w:rPr>
          <w:b/>
        </w:rPr>
        <w:t xml:space="preserve"> Public Utilities and Licensees</w:t>
      </w:r>
    </w:p>
    <w:p w14:paraId="715B857C" w14:textId="77777777" w:rsidR="00BF0676" w:rsidRPr="00266D48" w:rsidRDefault="00BF0676" w:rsidP="00BF0676">
      <w:pPr>
        <w:spacing w:line="480" w:lineRule="auto"/>
      </w:pPr>
      <w:r w:rsidRPr="00266D48">
        <w:rPr>
          <w:i/>
        </w:rPr>
        <w:t xml:space="preserve">OMB Control No.: </w:t>
      </w:r>
      <w:r w:rsidRPr="00266D48">
        <w:t>1902-0029</w:t>
      </w:r>
    </w:p>
    <w:p w14:paraId="5F1CD191" w14:textId="0FB3FAF9" w:rsidR="00BF0676" w:rsidRPr="00266D48" w:rsidRDefault="00BF0676" w:rsidP="00BF0676">
      <w:pPr>
        <w:tabs>
          <w:tab w:val="num" w:pos="1080"/>
        </w:tabs>
        <w:spacing w:line="480" w:lineRule="auto"/>
      </w:pPr>
      <w:r w:rsidRPr="00266D48">
        <w:rPr>
          <w:i/>
        </w:rPr>
        <w:t xml:space="preserve">Abstract: </w:t>
      </w:r>
      <w:r w:rsidRPr="00266D48">
        <w:t xml:space="preserve">The FERC Form No. 1-F is a financial and operating report submitted annually for electric rate regulation, market oversight analysis, and financial audits by </w:t>
      </w:r>
      <w:r w:rsidR="006C6DC0">
        <w:t>Nonmajor</w:t>
      </w:r>
      <w:r w:rsidRPr="00266D48">
        <w:t xml:space="preserve"> electric utilities and licensees.  </w:t>
      </w:r>
      <w:r w:rsidR="006C6DC0">
        <w:t>Nonmajor</w:t>
      </w:r>
      <w:r w:rsidRPr="00266D48">
        <w:t xml:space="preserve"> is defined as </w:t>
      </w:r>
      <w:r>
        <w:t xml:space="preserve">utilities and licensees that are not classified as Major, and </w:t>
      </w:r>
      <w:r w:rsidRPr="00266D48">
        <w:t xml:space="preserve">having total sales </w:t>
      </w:r>
      <w:r>
        <w:t xml:space="preserve">in each of the last three consecutive years of </w:t>
      </w:r>
      <w:r w:rsidRPr="00266D48">
        <w:t>10,000 megawatt-hours</w:t>
      </w:r>
      <w:r>
        <w:t xml:space="preserve"> or more</w:t>
      </w:r>
      <w:r w:rsidRPr="00266D48">
        <w:t>.</w:t>
      </w:r>
      <w:r w:rsidRPr="00266D48">
        <w:rPr>
          <w:b/>
          <w:szCs w:val="26"/>
          <w:vertAlign w:val="superscript"/>
        </w:rPr>
        <w:footnoteReference w:id="5"/>
      </w:r>
      <w:r w:rsidR="00733EDE">
        <w:t xml:space="preserve"> </w:t>
      </w:r>
      <w:r w:rsidR="00556AE2">
        <w:t xml:space="preserve"> </w:t>
      </w:r>
    </w:p>
    <w:p w14:paraId="6FA09AB0" w14:textId="77777777" w:rsidR="00BF0676" w:rsidRDefault="00BF0676" w:rsidP="00BF0676">
      <w:pPr>
        <w:spacing w:line="480" w:lineRule="auto"/>
        <w:rPr>
          <w:szCs w:val="26"/>
        </w:rPr>
      </w:pPr>
      <w:r w:rsidRPr="00266D48">
        <w:rPr>
          <w:szCs w:val="26"/>
        </w:rPr>
        <w:tab/>
        <w:t xml:space="preserve">The </w:t>
      </w:r>
      <w:r>
        <w:rPr>
          <w:szCs w:val="26"/>
        </w:rPr>
        <w:t xml:space="preserve">FERC </w:t>
      </w:r>
      <w:r w:rsidRPr="00266D48">
        <w:rPr>
          <w:szCs w:val="26"/>
        </w:rPr>
        <w:t xml:space="preserve">Form No.1-F is designed to collect financial and operational information and is </w:t>
      </w:r>
      <w:r>
        <w:rPr>
          <w:szCs w:val="26"/>
        </w:rPr>
        <w:t>made available to the public</w:t>
      </w:r>
      <w:r w:rsidRPr="00266D48">
        <w:rPr>
          <w:szCs w:val="26"/>
        </w:rPr>
        <w:t xml:space="preserve">.  The </w:t>
      </w:r>
      <w:r>
        <w:rPr>
          <w:szCs w:val="26"/>
        </w:rPr>
        <w:t xml:space="preserve">FERC </w:t>
      </w:r>
      <w:r w:rsidRPr="00266D48">
        <w:rPr>
          <w:szCs w:val="26"/>
        </w:rPr>
        <w:t xml:space="preserve">Form No.1-F includes a basic set of financial statements:  </w:t>
      </w:r>
    </w:p>
    <w:p w14:paraId="7F5B4B2B" w14:textId="77777777" w:rsidR="00BF0676" w:rsidRPr="00A47AD6" w:rsidRDefault="00BF0676" w:rsidP="00BF0676">
      <w:pPr>
        <w:pStyle w:val="ListParagraph"/>
        <w:numPr>
          <w:ilvl w:val="0"/>
          <w:numId w:val="7"/>
        </w:numPr>
        <w:spacing w:line="480" w:lineRule="auto"/>
      </w:pPr>
      <w:r w:rsidRPr="00A47AD6">
        <w:rPr>
          <w:szCs w:val="26"/>
        </w:rPr>
        <w:t xml:space="preserve">Comparative Balance Sheet, </w:t>
      </w:r>
    </w:p>
    <w:p w14:paraId="6C5FACED" w14:textId="77777777" w:rsidR="00BF0676" w:rsidRPr="00A47AD6" w:rsidRDefault="00BF0676" w:rsidP="00BF0676">
      <w:pPr>
        <w:pStyle w:val="ListParagraph"/>
        <w:numPr>
          <w:ilvl w:val="0"/>
          <w:numId w:val="7"/>
        </w:numPr>
        <w:spacing w:line="480" w:lineRule="auto"/>
      </w:pPr>
      <w:r w:rsidRPr="00A47AD6">
        <w:rPr>
          <w:szCs w:val="26"/>
        </w:rPr>
        <w:t xml:space="preserve">Statement of Retained Earnings, </w:t>
      </w:r>
    </w:p>
    <w:p w14:paraId="2D79E720" w14:textId="77777777" w:rsidR="00BF0676" w:rsidRPr="00A47AD6" w:rsidRDefault="00BF0676" w:rsidP="00BF0676">
      <w:pPr>
        <w:pStyle w:val="ListParagraph"/>
        <w:numPr>
          <w:ilvl w:val="0"/>
          <w:numId w:val="7"/>
        </w:numPr>
        <w:spacing w:line="480" w:lineRule="auto"/>
      </w:pPr>
      <w:r w:rsidRPr="00A47AD6">
        <w:rPr>
          <w:szCs w:val="26"/>
        </w:rPr>
        <w:t xml:space="preserve">Statement of Cash Flows, </w:t>
      </w:r>
    </w:p>
    <w:p w14:paraId="38A4872C" w14:textId="77777777" w:rsidR="00BF0676" w:rsidRPr="00A47AD6" w:rsidRDefault="00BF0676" w:rsidP="00BF0676">
      <w:pPr>
        <w:pStyle w:val="ListParagraph"/>
        <w:numPr>
          <w:ilvl w:val="0"/>
          <w:numId w:val="7"/>
        </w:numPr>
        <w:spacing w:line="480" w:lineRule="auto"/>
      </w:pPr>
      <w:r w:rsidRPr="00A47AD6">
        <w:rPr>
          <w:szCs w:val="26"/>
        </w:rPr>
        <w:t xml:space="preserve">Statement of Comprehensive Income and Hedging Activities, and </w:t>
      </w:r>
    </w:p>
    <w:p w14:paraId="1AE286F1" w14:textId="77777777" w:rsidR="00BF0676" w:rsidRPr="00A47AD6" w:rsidRDefault="00BF0676" w:rsidP="00BF0676">
      <w:pPr>
        <w:pStyle w:val="ListParagraph"/>
        <w:numPr>
          <w:ilvl w:val="0"/>
          <w:numId w:val="7"/>
        </w:numPr>
        <w:spacing w:line="480" w:lineRule="auto"/>
      </w:pPr>
      <w:r w:rsidRPr="00A47AD6">
        <w:rPr>
          <w:szCs w:val="26"/>
        </w:rPr>
        <w:t xml:space="preserve">Notes to Financial Statements. </w:t>
      </w:r>
    </w:p>
    <w:p w14:paraId="7F5F8ADD" w14:textId="77777777" w:rsidR="00BF0676" w:rsidRDefault="00BF0676" w:rsidP="00BF0676">
      <w:pPr>
        <w:pStyle w:val="ListParagraph"/>
        <w:spacing w:line="480" w:lineRule="auto"/>
        <w:ind w:left="0"/>
        <w:rPr>
          <w:szCs w:val="26"/>
        </w:rPr>
      </w:pPr>
      <w:r w:rsidRPr="00A47AD6">
        <w:rPr>
          <w:szCs w:val="26"/>
        </w:rPr>
        <w:t>Supporting schedules contain</w:t>
      </w:r>
      <w:r>
        <w:rPr>
          <w:szCs w:val="26"/>
        </w:rPr>
        <w:t>:</w:t>
      </w:r>
    </w:p>
    <w:p w14:paraId="0F5F2CC9" w14:textId="77777777" w:rsidR="00BF0676" w:rsidRPr="00A47AD6" w:rsidRDefault="00BF0676" w:rsidP="00BF0676">
      <w:pPr>
        <w:pStyle w:val="ListParagraph"/>
        <w:numPr>
          <w:ilvl w:val="0"/>
          <w:numId w:val="8"/>
        </w:numPr>
        <w:spacing w:line="480" w:lineRule="auto"/>
        <w:ind w:left="720"/>
      </w:pPr>
      <w:r>
        <w:rPr>
          <w:szCs w:val="26"/>
        </w:rPr>
        <w:t>S</w:t>
      </w:r>
      <w:r w:rsidRPr="00A47AD6">
        <w:rPr>
          <w:szCs w:val="26"/>
        </w:rPr>
        <w:t>upplementary information and include revenues and the related quantities of electric sales and electricity transmitted</w:t>
      </w:r>
      <w:r>
        <w:rPr>
          <w:szCs w:val="26"/>
        </w:rPr>
        <w:t>,</w:t>
      </w:r>
      <w:r w:rsidRPr="00A47AD6">
        <w:rPr>
          <w:szCs w:val="26"/>
        </w:rPr>
        <w:t xml:space="preserve"> </w:t>
      </w:r>
    </w:p>
    <w:p w14:paraId="5145CF18" w14:textId="77777777" w:rsidR="00BF0676" w:rsidRPr="00A47AD6" w:rsidRDefault="00BF0676" w:rsidP="00BF0676">
      <w:pPr>
        <w:pStyle w:val="ListParagraph"/>
        <w:numPr>
          <w:ilvl w:val="0"/>
          <w:numId w:val="8"/>
        </w:numPr>
        <w:spacing w:line="480" w:lineRule="auto"/>
        <w:ind w:left="720"/>
      </w:pPr>
      <w:r>
        <w:rPr>
          <w:szCs w:val="26"/>
        </w:rPr>
        <w:t>A</w:t>
      </w:r>
      <w:r w:rsidRPr="00A47AD6">
        <w:rPr>
          <w:szCs w:val="26"/>
        </w:rPr>
        <w:t>ccount balances for all electric operation and maintenance expenses</w:t>
      </w:r>
      <w:r>
        <w:rPr>
          <w:szCs w:val="26"/>
        </w:rPr>
        <w:t>,</w:t>
      </w:r>
    </w:p>
    <w:p w14:paraId="7E26AEC5" w14:textId="77777777" w:rsidR="00BF0676" w:rsidRPr="00A47AD6" w:rsidRDefault="00BF0676" w:rsidP="00BF0676">
      <w:pPr>
        <w:pStyle w:val="ListParagraph"/>
        <w:numPr>
          <w:ilvl w:val="0"/>
          <w:numId w:val="8"/>
        </w:numPr>
        <w:spacing w:line="480" w:lineRule="auto"/>
        <w:ind w:left="720"/>
      </w:pPr>
      <w:r>
        <w:rPr>
          <w:szCs w:val="26"/>
        </w:rPr>
        <w:t>S</w:t>
      </w:r>
      <w:r w:rsidRPr="00A47AD6">
        <w:rPr>
          <w:szCs w:val="26"/>
        </w:rPr>
        <w:t xml:space="preserve">elected plant cost data; and </w:t>
      </w:r>
    </w:p>
    <w:p w14:paraId="2D0BC0B7" w14:textId="77777777" w:rsidR="00BF0676" w:rsidRPr="00266D48" w:rsidRDefault="00BF0676" w:rsidP="00BF0676">
      <w:pPr>
        <w:pStyle w:val="ListParagraph"/>
        <w:numPr>
          <w:ilvl w:val="0"/>
          <w:numId w:val="8"/>
        </w:numPr>
        <w:spacing w:line="480" w:lineRule="auto"/>
        <w:ind w:left="720"/>
      </w:pPr>
      <w:r>
        <w:rPr>
          <w:szCs w:val="26"/>
        </w:rPr>
        <w:t>O</w:t>
      </w:r>
      <w:r w:rsidRPr="00A47AD6">
        <w:rPr>
          <w:szCs w:val="26"/>
        </w:rPr>
        <w:t>ther statistical information.</w:t>
      </w:r>
    </w:p>
    <w:p w14:paraId="36ECFDC7" w14:textId="7D4A89E5" w:rsidR="00BF0676" w:rsidRDefault="00BF0676" w:rsidP="00BF0676">
      <w:pPr>
        <w:spacing w:line="480" w:lineRule="auto"/>
      </w:pPr>
      <w:r w:rsidRPr="00266D48">
        <w:rPr>
          <w:i/>
        </w:rPr>
        <w:t xml:space="preserve">Type of Respondent: </w:t>
      </w:r>
      <w:r w:rsidR="006C6DC0">
        <w:t>Nonmajor</w:t>
      </w:r>
      <w:r w:rsidRPr="00266D48">
        <w:t xml:space="preserve"> electric utilities</w:t>
      </w:r>
    </w:p>
    <w:p w14:paraId="3CD09834" w14:textId="77777777" w:rsidR="00BF0676" w:rsidRPr="00266D48" w:rsidRDefault="00BF0676" w:rsidP="00BF0676">
      <w:pPr>
        <w:spacing w:line="480" w:lineRule="auto"/>
      </w:pPr>
      <w:r w:rsidRPr="00266D48">
        <w:rPr>
          <w:i/>
        </w:rPr>
        <w:t xml:space="preserve">Estimate of Annual Burden: </w:t>
      </w:r>
      <w:r w:rsidRPr="00266D48">
        <w:t xml:space="preserve">The estimated annual burden and cost follow.  (The estimated hourly cost used for the </w:t>
      </w:r>
      <w:r>
        <w:t xml:space="preserve">FERC </w:t>
      </w:r>
      <w:r w:rsidRPr="00266D48">
        <w:t>Form No. 1-F is $</w:t>
      </w:r>
      <w:r>
        <w:t>79</w:t>
      </w:r>
      <w:r w:rsidRPr="00266D48">
        <w:t xml:space="preserve"> (</w:t>
      </w:r>
      <w:r>
        <w:t xml:space="preserve">for </w:t>
      </w:r>
      <w:r w:rsidRPr="00266D48">
        <w:t xml:space="preserve">wages plus benefits) and is described above, under the </w:t>
      </w:r>
      <w:r>
        <w:t xml:space="preserve">FERC </w:t>
      </w:r>
      <w:r w:rsidRPr="00266D48">
        <w:t>Form No. 1.):</w:t>
      </w:r>
    </w:p>
    <w:tbl>
      <w:tblPr>
        <w:tblW w:w="484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532"/>
        <w:gridCol w:w="1250"/>
        <w:gridCol w:w="1753"/>
        <w:gridCol w:w="1750"/>
        <w:gridCol w:w="1477"/>
      </w:tblGrid>
      <w:tr w:rsidR="00BF0676" w:rsidRPr="00240A3E" w14:paraId="2B58B417" w14:textId="77777777" w:rsidTr="00B233EE">
        <w:trPr>
          <w:cantSplit/>
        </w:trPr>
        <w:tc>
          <w:tcPr>
            <w:tcW w:w="5000" w:type="pct"/>
            <w:gridSpan w:val="6"/>
            <w:tcBorders>
              <w:bottom w:val="single" w:sz="4" w:space="0" w:color="auto"/>
            </w:tcBorders>
            <w:shd w:val="clear" w:color="auto" w:fill="D9D9D9"/>
          </w:tcPr>
          <w:p w14:paraId="296BE5B9" w14:textId="77777777" w:rsidR="00BF0676" w:rsidRPr="00240A3E" w:rsidRDefault="00BF0676" w:rsidP="00B233EE">
            <w:pPr>
              <w:jc w:val="center"/>
              <w:rPr>
                <w:rFonts w:eastAsia="Calibri"/>
                <w:b/>
                <w:sz w:val="20"/>
                <w:szCs w:val="20"/>
              </w:rPr>
            </w:pPr>
            <w:r w:rsidRPr="00240A3E">
              <w:rPr>
                <w:rFonts w:eastAsia="Calibri"/>
                <w:b/>
                <w:sz w:val="20"/>
                <w:szCs w:val="20"/>
              </w:rPr>
              <w:t>FERC Form No. 1-F</w:t>
            </w:r>
          </w:p>
        </w:tc>
      </w:tr>
      <w:tr w:rsidR="00BF0676" w:rsidRPr="00240A3E" w14:paraId="17C5C4B0" w14:textId="77777777" w:rsidTr="00B233EE">
        <w:trPr>
          <w:cantSplit/>
        </w:trPr>
        <w:tc>
          <w:tcPr>
            <w:tcW w:w="821" w:type="pct"/>
            <w:shd w:val="clear" w:color="auto" w:fill="D9D9D9"/>
            <w:vAlign w:val="bottom"/>
          </w:tcPr>
          <w:p w14:paraId="05018D95" w14:textId="77777777" w:rsidR="00BF0676" w:rsidRPr="00240A3E" w:rsidRDefault="00BF0676" w:rsidP="00B233EE">
            <w:pPr>
              <w:jc w:val="center"/>
              <w:rPr>
                <w:rFonts w:eastAsia="Calibri"/>
                <w:b/>
                <w:sz w:val="20"/>
                <w:szCs w:val="20"/>
              </w:rPr>
            </w:pPr>
            <w:r w:rsidRPr="00240A3E">
              <w:rPr>
                <w:rFonts w:eastAsia="Calibri"/>
                <w:b/>
                <w:sz w:val="20"/>
                <w:szCs w:val="20"/>
              </w:rPr>
              <w:t>Number of Respondents</w:t>
            </w:r>
            <w:r w:rsidRPr="00240A3E">
              <w:rPr>
                <w:rFonts w:eastAsia="Calibri"/>
                <w:b/>
                <w:sz w:val="20"/>
                <w:szCs w:val="20"/>
              </w:rPr>
              <w:br/>
              <w:t>(1)</w:t>
            </w:r>
          </w:p>
        </w:tc>
        <w:tc>
          <w:tcPr>
            <w:tcW w:w="825" w:type="pct"/>
            <w:shd w:val="clear" w:color="auto" w:fill="D9D9D9"/>
            <w:vAlign w:val="bottom"/>
          </w:tcPr>
          <w:p w14:paraId="27A13B96" w14:textId="77777777" w:rsidR="00BF0676" w:rsidRPr="00240A3E" w:rsidRDefault="00BF0676" w:rsidP="00B233EE">
            <w:pPr>
              <w:jc w:val="center"/>
              <w:rPr>
                <w:rFonts w:eastAsia="Calibri"/>
                <w:b/>
                <w:sz w:val="20"/>
                <w:szCs w:val="20"/>
              </w:rPr>
            </w:pPr>
            <w:r w:rsidRPr="00240A3E">
              <w:rPr>
                <w:rFonts w:eastAsia="Calibri"/>
                <w:b/>
                <w:sz w:val="20"/>
                <w:szCs w:val="20"/>
              </w:rPr>
              <w:t>Annual Number of Responses per Respondent</w:t>
            </w:r>
          </w:p>
          <w:p w14:paraId="6F77B4A5" w14:textId="77777777" w:rsidR="00BF0676" w:rsidRPr="00240A3E" w:rsidRDefault="00BF0676" w:rsidP="00B233EE">
            <w:pPr>
              <w:jc w:val="center"/>
              <w:rPr>
                <w:rFonts w:eastAsia="Calibri"/>
                <w:b/>
                <w:sz w:val="20"/>
                <w:szCs w:val="20"/>
              </w:rPr>
            </w:pPr>
            <w:r w:rsidRPr="00240A3E">
              <w:rPr>
                <w:rFonts w:eastAsia="Calibri"/>
                <w:b/>
                <w:sz w:val="20"/>
                <w:szCs w:val="20"/>
              </w:rPr>
              <w:t>(2)</w:t>
            </w:r>
          </w:p>
        </w:tc>
        <w:tc>
          <w:tcPr>
            <w:tcW w:w="673" w:type="pct"/>
            <w:shd w:val="clear" w:color="auto" w:fill="D9D9D9"/>
            <w:vAlign w:val="bottom"/>
          </w:tcPr>
          <w:p w14:paraId="5E59FEE6" w14:textId="77777777" w:rsidR="00BF0676" w:rsidRPr="00240A3E" w:rsidRDefault="00BF0676" w:rsidP="00B233EE">
            <w:pPr>
              <w:jc w:val="center"/>
              <w:rPr>
                <w:rFonts w:eastAsia="Calibri"/>
                <w:b/>
                <w:sz w:val="20"/>
                <w:szCs w:val="20"/>
              </w:rPr>
            </w:pPr>
            <w:r w:rsidRPr="00240A3E">
              <w:rPr>
                <w:rFonts w:eastAsia="Calibri"/>
                <w:b/>
                <w:sz w:val="20"/>
                <w:szCs w:val="20"/>
              </w:rPr>
              <w:t>Total Number of Responses (1)*(2)=(3)</w:t>
            </w:r>
          </w:p>
        </w:tc>
        <w:tc>
          <w:tcPr>
            <w:tcW w:w="944" w:type="pct"/>
            <w:shd w:val="clear" w:color="auto" w:fill="D9D9D9"/>
            <w:vAlign w:val="bottom"/>
          </w:tcPr>
          <w:p w14:paraId="3D949931" w14:textId="77777777" w:rsidR="00BF0676" w:rsidRPr="00240A3E" w:rsidRDefault="00BF0676" w:rsidP="00B233EE">
            <w:pPr>
              <w:jc w:val="center"/>
              <w:rPr>
                <w:rFonts w:eastAsia="Calibri"/>
                <w:b/>
                <w:sz w:val="20"/>
                <w:szCs w:val="20"/>
              </w:rPr>
            </w:pPr>
            <w:r w:rsidRPr="00240A3E">
              <w:rPr>
                <w:rFonts w:eastAsia="Calibri"/>
                <w:b/>
                <w:sz w:val="20"/>
                <w:szCs w:val="20"/>
              </w:rPr>
              <w:t>Average Burden Hours &amp; Cost Per Response</w:t>
            </w:r>
          </w:p>
          <w:p w14:paraId="08C5CC43" w14:textId="77777777" w:rsidR="00BF0676" w:rsidRPr="00240A3E" w:rsidRDefault="00BF0676" w:rsidP="00B233EE">
            <w:pPr>
              <w:jc w:val="center"/>
              <w:rPr>
                <w:rFonts w:eastAsia="Calibri"/>
                <w:b/>
                <w:sz w:val="20"/>
                <w:szCs w:val="20"/>
              </w:rPr>
            </w:pPr>
            <w:r w:rsidRPr="00240A3E">
              <w:rPr>
                <w:rFonts w:eastAsia="Calibri"/>
                <w:b/>
                <w:sz w:val="20"/>
                <w:szCs w:val="20"/>
              </w:rPr>
              <w:t>(4)</w:t>
            </w:r>
          </w:p>
        </w:tc>
        <w:tc>
          <w:tcPr>
            <w:tcW w:w="942" w:type="pct"/>
            <w:shd w:val="clear" w:color="auto" w:fill="D9D9D9"/>
            <w:vAlign w:val="bottom"/>
          </w:tcPr>
          <w:p w14:paraId="2739E98D" w14:textId="77777777" w:rsidR="00BF0676" w:rsidRPr="00240A3E" w:rsidRDefault="00BF0676" w:rsidP="00B233EE">
            <w:pPr>
              <w:jc w:val="center"/>
              <w:rPr>
                <w:rFonts w:eastAsia="Calibri"/>
                <w:b/>
                <w:sz w:val="20"/>
                <w:szCs w:val="20"/>
              </w:rPr>
            </w:pPr>
            <w:r w:rsidRPr="00240A3E">
              <w:rPr>
                <w:rFonts w:eastAsia="Calibri"/>
                <w:b/>
                <w:sz w:val="20"/>
                <w:szCs w:val="20"/>
              </w:rPr>
              <w:t>Total Annual Burden Hours &amp; Total Annual Cost</w:t>
            </w:r>
          </w:p>
          <w:p w14:paraId="73C19D70" w14:textId="77777777" w:rsidR="00BF0676" w:rsidRPr="00240A3E" w:rsidRDefault="00BF0676" w:rsidP="00B233EE">
            <w:pPr>
              <w:jc w:val="center"/>
              <w:rPr>
                <w:rFonts w:eastAsia="Calibri"/>
                <w:b/>
                <w:sz w:val="20"/>
                <w:szCs w:val="20"/>
              </w:rPr>
            </w:pPr>
            <w:r w:rsidRPr="00240A3E">
              <w:rPr>
                <w:rFonts w:eastAsia="Calibri"/>
                <w:b/>
                <w:sz w:val="20"/>
                <w:szCs w:val="20"/>
              </w:rPr>
              <w:t>(3)*(4)=(5)</w:t>
            </w:r>
          </w:p>
        </w:tc>
        <w:tc>
          <w:tcPr>
            <w:tcW w:w="795" w:type="pct"/>
            <w:shd w:val="clear" w:color="auto" w:fill="D9D9D9"/>
            <w:vAlign w:val="bottom"/>
          </w:tcPr>
          <w:p w14:paraId="65C1BC02" w14:textId="77777777" w:rsidR="00BF0676" w:rsidRPr="00240A3E" w:rsidRDefault="00BF0676" w:rsidP="00B233EE">
            <w:pPr>
              <w:jc w:val="center"/>
              <w:rPr>
                <w:rFonts w:eastAsia="Calibri"/>
                <w:b/>
                <w:sz w:val="20"/>
                <w:szCs w:val="20"/>
              </w:rPr>
            </w:pPr>
            <w:r w:rsidRPr="00240A3E">
              <w:rPr>
                <w:rFonts w:eastAsia="Calibri"/>
                <w:b/>
                <w:sz w:val="20"/>
                <w:szCs w:val="20"/>
              </w:rPr>
              <w:t>Cost per Respondent ($)</w:t>
            </w:r>
          </w:p>
          <w:p w14:paraId="54568F56" w14:textId="77777777" w:rsidR="00BF0676" w:rsidRPr="00240A3E" w:rsidRDefault="00BF0676" w:rsidP="00B233EE">
            <w:pPr>
              <w:jc w:val="center"/>
              <w:rPr>
                <w:rFonts w:eastAsia="Calibri"/>
                <w:b/>
                <w:sz w:val="20"/>
                <w:szCs w:val="20"/>
              </w:rPr>
            </w:pPr>
            <w:r w:rsidRPr="00240A3E">
              <w:rPr>
                <w:rFonts w:eastAsia="Calibri"/>
                <w:b/>
                <w:sz w:val="20"/>
                <w:szCs w:val="20"/>
              </w:rPr>
              <w:t>(5)÷(1)</w:t>
            </w:r>
          </w:p>
        </w:tc>
      </w:tr>
      <w:tr w:rsidR="00BF0676" w:rsidRPr="00240A3E" w14:paraId="7CF56DAA" w14:textId="77777777" w:rsidTr="00B233EE">
        <w:trPr>
          <w:cantSplit/>
        </w:trPr>
        <w:tc>
          <w:tcPr>
            <w:tcW w:w="821" w:type="pct"/>
            <w:vAlign w:val="bottom"/>
          </w:tcPr>
          <w:p w14:paraId="191763BD" w14:textId="77777777" w:rsidR="00BF0676" w:rsidRPr="00B23182" w:rsidRDefault="00BF0676" w:rsidP="00B233EE">
            <w:pPr>
              <w:jc w:val="right"/>
              <w:rPr>
                <w:rFonts w:eastAsia="Calibri"/>
                <w:sz w:val="20"/>
                <w:szCs w:val="20"/>
              </w:rPr>
            </w:pPr>
            <w:r w:rsidRPr="00B23182">
              <w:rPr>
                <w:rFonts w:eastAsia="Calibri"/>
                <w:sz w:val="20"/>
                <w:szCs w:val="20"/>
              </w:rPr>
              <w:t>5</w:t>
            </w:r>
          </w:p>
        </w:tc>
        <w:tc>
          <w:tcPr>
            <w:tcW w:w="825" w:type="pct"/>
            <w:vAlign w:val="bottom"/>
          </w:tcPr>
          <w:p w14:paraId="315A0E4C" w14:textId="77777777" w:rsidR="00BF0676" w:rsidRPr="00B23182" w:rsidRDefault="00BF0676" w:rsidP="00B233EE">
            <w:pPr>
              <w:jc w:val="right"/>
              <w:rPr>
                <w:rFonts w:eastAsia="Calibri"/>
                <w:sz w:val="20"/>
                <w:szCs w:val="20"/>
              </w:rPr>
            </w:pPr>
            <w:r w:rsidRPr="00B23182">
              <w:rPr>
                <w:rFonts w:eastAsia="Calibri"/>
                <w:sz w:val="20"/>
                <w:szCs w:val="20"/>
              </w:rPr>
              <w:t>1</w:t>
            </w:r>
          </w:p>
        </w:tc>
        <w:tc>
          <w:tcPr>
            <w:tcW w:w="673" w:type="pct"/>
            <w:vAlign w:val="bottom"/>
          </w:tcPr>
          <w:p w14:paraId="66E33BC5" w14:textId="77777777" w:rsidR="00BF0676" w:rsidRPr="00B23182" w:rsidRDefault="00BF0676" w:rsidP="00B233EE">
            <w:pPr>
              <w:jc w:val="right"/>
              <w:rPr>
                <w:rFonts w:eastAsia="Calibri"/>
                <w:sz w:val="20"/>
                <w:szCs w:val="20"/>
              </w:rPr>
            </w:pPr>
            <w:r w:rsidRPr="00B23182">
              <w:rPr>
                <w:rFonts w:eastAsia="Calibri"/>
                <w:sz w:val="20"/>
                <w:szCs w:val="20"/>
              </w:rPr>
              <w:t>5</w:t>
            </w:r>
          </w:p>
        </w:tc>
        <w:tc>
          <w:tcPr>
            <w:tcW w:w="944" w:type="pct"/>
            <w:vAlign w:val="bottom"/>
          </w:tcPr>
          <w:p w14:paraId="3678DD51" w14:textId="77777777" w:rsidR="00BF0676" w:rsidRDefault="00BF0676" w:rsidP="00B233EE">
            <w:pPr>
              <w:jc w:val="right"/>
              <w:rPr>
                <w:rFonts w:eastAsia="Calibri"/>
                <w:sz w:val="20"/>
                <w:szCs w:val="20"/>
              </w:rPr>
            </w:pPr>
            <w:r w:rsidRPr="00B23182">
              <w:rPr>
                <w:rFonts w:eastAsia="Calibri"/>
                <w:sz w:val="20"/>
                <w:szCs w:val="20"/>
              </w:rPr>
              <w:t xml:space="preserve">122 hrs.; </w:t>
            </w:r>
          </w:p>
          <w:p w14:paraId="55CF43B7" w14:textId="77777777" w:rsidR="00BF0676" w:rsidRPr="00B23182" w:rsidRDefault="00BF0676" w:rsidP="00B233EE">
            <w:pPr>
              <w:jc w:val="right"/>
              <w:rPr>
                <w:rFonts w:eastAsia="Calibri"/>
                <w:sz w:val="20"/>
                <w:szCs w:val="20"/>
              </w:rPr>
            </w:pPr>
            <w:r w:rsidRPr="00B23182">
              <w:rPr>
                <w:rFonts w:eastAsia="Calibri"/>
                <w:sz w:val="20"/>
                <w:szCs w:val="20"/>
              </w:rPr>
              <w:t>$9,638</w:t>
            </w:r>
          </w:p>
        </w:tc>
        <w:tc>
          <w:tcPr>
            <w:tcW w:w="942" w:type="pct"/>
            <w:vAlign w:val="bottom"/>
          </w:tcPr>
          <w:p w14:paraId="0B65B4C7" w14:textId="77777777" w:rsidR="00BF0676" w:rsidRDefault="00BF0676" w:rsidP="00B233EE">
            <w:pPr>
              <w:jc w:val="right"/>
              <w:rPr>
                <w:rFonts w:eastAsia="Calibri"/>
                <w:sz w:val="20"/>
                <w:szCs w:val="20"/>
              </w:rPr>
            </w:pPr>
            <w:r>
              <w:rPr>
                <w:rFonts w:eastAsia="Calibri"/>
                <w:sz w:val="20"/>
                <w:szCs w:val="20"/>
              </w:rPr>
              <w:t xml:space="preserve">610 </w:t>
            </w:r>
            <w:r w:rsidRPr="00B23182">
              <w:rPr>
                <w:rFonts w:eastAsia="Calibri"/>
                <w:sz w:val="20"/>
                <w:szCs w:val="20"/>
              </w:rPr>
              <w:t>hrs.;</w:t>
            </w:r>
            <w:r>
              <w:rPr>
                <w:rFonts w:eastAsia="Calibri"/>
                <w:sz w:val="20"/>
                <w:szCs w:val="20"/>
              </w:rPr>
              <w:t xml:space="preserve"> </w:t>
            </w:r>
          </w:p>
          <w:p w14:paraId="57D4DBFB" w14:textId="77777777" w:rsidR="00BF0676" w:rsidRPr="00B23182" w:rsidRDefault="00BF0676" w:rsidP="00B233EE">
            <w:pPr>
              <w:jc w:val="right"/>
              <w:rPr>
                <w:rFonts w:eastAsia="Calibri"/>
                <w:sz w:val="20"/>
                <w:szCs w:val="20"/>
              </w:rPr>
            </w:pPr>
            <w:r>
              <w:rPr>
                <w:rFonts w:eastAsia="Calibri"/>
                <w:sz w:val="20"/>
                <w:szCs w:val="20"/>
              </w:rPr>
              <w:t>$48,190</w:t>
            </w:r>
          </w:p>
        </w:tc>
        <w:tc>
          <w:tcPr>
            <w:tcW w:w="795" w:type="pct"/>
            <w:vAlign w:val="bottom"/>
          </w:tcPr>
          <w:p w14:paraId="1C081409" w14:textId="77777777" w:rsidR="00BF0676" w:rsidRPr="00B23182" w:rsidRDefault="00BF0676" w:rsidP="00B233EE">
            <w:pPr>
              <w:jc w:val="right"/>
              <w:rPr>
                <w:rFonts w:eastAsia="Calibri"/>
                <w:sz w:val="20"/>
                <w:szCs w:val="20"/>
              </w:rPr>
            </w:pPr>
            <w:r>
              <w:rPr>
                <w:rFonts w:eastAsia="Calibri"/>
                <w:sz w:val="20"/>
                <w:szCs w:val="20"/>
              </w:rPr>
              <w:t>$9,638</w:t>
            </w:r>
          </w:p>
        </w:tc>
      </w:tr>
    </w:tbl>
    <w:p w14:paraId="2C2B37FF" w14:textId="77777777" w:rsidR="00C40064" w:rsidRPr="00C40064" w:rsidRDefault="00C40064" w:rsidP="00C40064">
      <w:pPr>
        <w:pStyle w:val="ListParagraph"/>
        <w:ind w:left="0"/>
        <w:rPr>
          <w:rFonts w:eastAsia="Calibri"/>
          <w:i/>
          <w:szCs w:val="26"/>
        </w:rPr>
      </w:pPr>
      <w:r w:rsidRPr="00C40064">
        <w:rPr>
          <w:rFonts w:eastAsia="Calibri"/>
          <w:i/>
          <w:szCs w:val="26"/>
        </w:rPr>
        <w:t>Comments:</w:t>
      </w:r>
    </w:p>
    <w:p w14:paraId="11100F13" w14:textId="77777777" w:rsidR="00C40064" w:rsidRPr="00C40064" w:rsidRDefault="00C40064" w:rsidP="00C40064">
      <w:pPr>
        <w:contextualSpacing/>
        <w:rPr>
          <w:rFonts w:eastAsia="Calibri"/>
          <w:szCs w:val="26"/>
        </w:rPr>
      </w:pPr>
    </w:p>
    <w:p w14:paraId="301F12C9" w14:textId="79C7612E" w:rsidR="00C40064" w:rsidRPr="00C40064" w:rsidRDefault="00C40064" w:rsidP="00ED1CCD">
      <w:pPr>
        <w:spacing w:line="480" w:lineRule="auto"/>
        <w:rPr>
          <w:rFonts w:eastAsia="Calibri"/>
          <w:szCs w:val="26"/>
        </w:rPr>
      </w:pPr>
      <w:r w:rsidRPr="00C40064">
        <w:rPr>
          <w:rFonts w:eastAsia="Calibri"/>
          <w:szCs w:val="26"/>
        </w:rPr>
        <w:t>One commenter, the Bureau of Economic Analysis (BEA), filed comments in response to the 60-day notice, broadly supporting the collection</w:t>
      </w:r>
      <w:r w:rsidR="00C17C41">
        <w:rPr>
          <w:rFonts w:eastAsia="Calibri"/>
          <w:szCs w:val="26"/>
        </w:rPr>
        <w:t>,</w:t>
      </w:r>
      <w:r w:rsidRPr="00C40064">
        <w:rPr>
          <w:rFonts w:eastAsia="Calibri"/>
          <w:szCs w:val="26"/>
        </w:rPr>
        <w:t xml:space="preserve"> outlining the manner in which BEA utilizes the FERC Form Nos. 1 and 1-F data</w:t>
      </w:r>
      <w:r w:rsidR="00C17C41">
        <w:rPr>
          <w:rFonts w:eastAsia="Calibri"/>
          <w:szCs w:val="26"/>
        </w:rPr>
        <w:t>, and expressing interest in additional data</w:t>
      </w:r>
      <w:r w:rsidRPr="00C40064">
        <w:rPr>
          <w:rFonts w:eastAsia="Calibri"/>
          <w:szCs w:val="26"/>
        </w:rPr>
        <w:t>.</w:t>
      </w:r>
      <w:r w:rsidRPr="00C40064">
        <w:rPr>
          <w:rFonts w:eastAsia="Calibri"/>
          <w:szCs w:val="26"/>
          <w:vertAlign w:val="superscript"/>
        </w:rPr>
        <w:footnoteReference w:id="6"/>
      </w:r>
      <w:r w:rsidRPr="00C40064">
        <w:rPr>
          <w:rFonts w:eastAsia="Calibri"/>
          <w:szCs w:val="26"/>
        </w:rPr>
        <w:t xml:space="preserve">  There were no comments filed in opposition to the collection.  </w:t>
      </w:r>
    </w:p>
    <w:p w14:paraId="0051CEB8" w14:textId="77777777" w:rsidR="00C40064" w:rsidRPr="00C40064" w:rsidRDefault="00C40064" w:rsidP="00ED1CCD">
      <w:pPr>
        <w:spacing w:line="480" w:lineRule="auto"/>
        <w:rPr>
          <w:rFonts w:eastAsia="Calibri"/>
          <w:szCs w:val="26"/>
        </w:rPr>
      </w:pPr>
      <w:r w:rsidRPr="00C40064">
        <w:rPr>
          <w:rFonts w:eastAsia="Calibri"/>
          <w:szCs w:val="26"/>
        </w:rPr>
        <w:t xml:space="preserve">BEA states that it uses FERC tabulations indirectly, as they are used to estimate the U.S. Census Bureau's Construction Value Put-In Place (VPIP) for electric utilities. BEA explains that Census VPIP serves a major source data input to the national income and product account (NIP A) structures investment estimates. According to BEA, NIPA estimates for electric structures rely upon the VPIP source data. As a result, BEA states that estimates of utility industry structures investment for the BEA Fixed Assets Accounts rely in turn upon the NIPA structures estimates and also directly upon selected Commission data sets published by the Energy Information Administration. BEA notes that while it uses this information indirectly through the VPIP program, BEA considers it an indispensable data source to the NIPA estimates. </w:t>
      </w:r>
    </w:p>
    <w:p w14:paraId="4BBCB876" w14:textId="66C54F66" w:rsidR="00C40064" w:rsidRPr="00C40064" w:rsidRDefault="00C40064" w:rsidP="00ED1CCD">
      <w:pPr>
        <w:spacing w:line="480" w:lineRule="auto"/>
        <w:rPr>
          <w:rFonts w:eastAsia="Calibri"/>
          <w:szCs w:val="26"/>
        </w:rPr>
      </w:pPr>
      <w:r w:rsidRPr="00C40064">
        <w:rPr>
          <w:rFonts w:eastAsia="Calibri"/>
          <w:szCs w:val="26"/>
        </w:rPr>
        <w:t>BEA offers that it would like to explore receiving line items from Forms 1 and l</w:t>
      </w:r>
      <w:r w:rsidR="00ED1CCD">
        <w:rPr>
          <w:rFonts w:eastAsia="Calibri"/>
          <w:szCs w:val="26"/>
        </w:rPr>
        <w:t>-</w:t>
      </w:r>
      <w:r w:rsidRPr="00C40064">
        <w:rPr>
          <w:rFonts w:eastAsia="Calibri"/>
          <w:szCs w:val="26"/>
        </w:rPr>
        <w:t xml:space="preserve">F aggregated to industry totals, similar to the method and timing used to provide information to the Census Bureau. According to BEA, these tabulations would be used by BEA for, among other things, estimating industry gross output and changes in intermediate inputs. BEA explains that it would use the aggregated FERC data as well for the fixed asset account nonresidential structure investment, capital stock, and ultimately for consumption of fixed capital (depreciation) estimates that depend upon the NIPA structures estimates. </w:t>
      </w:r>
    </w:p>
    <w:p w14:paraId="0FE417E5" w14:textId="77777777" w:rsidR="00C40064" w:rsidRPr="00C40064" w:rsidRDefault="00C40064" w:rsidP="00ED1CCD">
      <w:pPr>
        <w:spacing w:line="480" w:lineRule="auto"/>
        <w:contextualSpacing/>
        <w:rPr>
          <w:rFonts w:eastAsia="Calibri"/>
          <w:szCs w:val="26"/>
        </w:rPr>
      </w:pPr>
      <w:r w:rsidRPr="00C40064">
        <w:rPr>
          <w:rFonts w:eastAsia="Calibri"/>
          <w:szCs w:val="26"/>
        </w:rPr>
        <w:t>BEA states that it has in the past used items such as plant in service by type of utility; subsidiary and non­utility investments; allowance for funds used during construction; plant held for future use; plant leased to others; construction work in progress; depreciation; and other plant-related schedules because they are useful in estimating total industry plant-in-service.  BEA further states that, in general, income statement and balance sheet data support utility industry investment by industry estimates. BEA notes that tabulations by legal form of ownership are also useful in the estimation of investment by legal form of organization for utility industries. BEA also expressed interest in plant-in-service separately identified for electric generation (by type of generation - hydro, nuclear, etc.), transmission, and distribution.</w:t>
      </w:r>
    </w:p>
    <w:p w14:paraId="7FF4DCFE" w14:textId="77777777" w:rsidR="00C40064" w:rsidRPr="00C40064" w:rsidRDefault="00C40064" w:rsidP="00ED1CCD">
      <w:pPr>
        <w:spacing w:line="480" w:lineRule="auto"/>
        <w:rPr>
          <w:rFonts w:eastAsia="Calibri"/>
          <w:szCs w:val="26"/>
        </w:rPr>
      </w:pPr>
      <w:r w:rsidRPr="00C40064">
        <w:rPr>
          <w:rFonts w:eastAsia="Calibri"/>
          <w:szCs w:val="26"/>
        </w:rPr>
        <w:t xml:space="preserve">BEA requests that the Commission consider the inclusion of additional questions on the electric utility survey forms. Specifically, BEA suggests offering new questions that ask for capital expenditures for new versus replacement fixed assets, intangibles, and equipment and structures separately (excluding land). According to BEA, these questions would provide additional useful information to BEA that would lead to improved estimates of capital spending at BEA and for Census/VPIP. </w:t>
      </w:r>
    </w:p>
    <w:p w14:paraId="74005752" w14:textId="52A3FB0F" w:rsidR="00C40064" w:rsidRPr="00C40064" w:rsidRDefault="00C40064" w:rsidP="00ED1CCD">
      <w:pPr>
        <w:spacing w:line="480" w:lineRule="auto"/>
        <w:contextualSpacing/>
        <w:rPr>
          <w:rFonts w:eastAsia="Calibri"/>
          <w:szCs w:val="26"/>
        </w:rPr>
      </w:pPr>
      <w:r w:rsidRPr="00C40064">
        <w:rPr>
          <w:rFonts w:eastAsia="Calibri"/>
          <w:szCs w:val="26"/>
        </w:rPr>
        <w:t>Finally, BEA offers that more detailed information about equipment and structures leased from others under operating leases would be useful for statistical purposes.</w:t>
      </w:r>
    </w:p>
    <w:p w14:paraId="714A7AEF" w14:textId="77E34E34" w:rsidR="00C40064" w:rsidRPr="00C40064" w:rsidRDefault="00C40064" w:rsidP="00ED1CCD">
      <w:pPr>
        <w:spacing w:line="480" w:lineRule="auto"/>
        <w:contextualSpacing/>
        <w:rPr>
          <w:rFonts w:eastAsia="Calibri"/>
          <w:i/>
          <w:szCs w:val="26"/>
        </w:rPr>
      </w:pPr>
      <w:r w:rsidRPr="00C40064">
        <w:rPr>
          <w:rFonts w:eastAsia="Calibri"/>
          <w:i/>
          <w:szCs w:val="26"/>
        </w:rPr>
        <w:t>Commission Response:</w:t>
      </w:r>
    </w:p>
    <w:p w14:paraId="2C0EA6C0" w14:textId="77777777" w:rsidR="00C40064" w:rsidRPr="00C40064" w:rsidRDefault="00C40064" w:rsidP="00ED1CCD">
      <w:pPr>
        <w:spacing w:line="480" w:lineRule="auto"/>
        <w:contextualSpacing/>
        <w:rPr>
          <w:rFonts w:eastAsia="Calibri"/>
          <w:szCs w:val="26"/>
        </w:rPr>
      </w:pPr>
      <w:r w:rsidRPr="00C40064">
        <w:rPr>
          <w:rFonts w:eastAsia="Calibri"/>
          <w:szCs w:val="26"/>
        </w:rPr>
        <w:t>As discussed above, the public utilizes the data in FERC Form Nos. 1 and 1-F to assist in monitoring the rates, the financial condition of entities and in assessing energy markets.  BEA’s comments in support of the collection of the FERC Form Nos. 1 and 1-F data provide tangible examples of this utilization and reflect the public benefit of reporting this information.  As further discussed above, the instant request to review and approve contains no changes to the reporting requirements for the existing information collections.</w:t>
      </w:r>
    </w:p>
    <w:p w14:paraId="168922E8" w14:textId="37180691" w:rsidR="00BF0676" w:rsidRPr="00120C03" w:rsidRDefault="00BF0676" w:rsidP="00BF0676">
      <w:pPr>
        <w:spacing w:line="480" w:lineRule="auto"/>
        <w:rPr>
          <w:b/>
        </w:rPr>
      </w:pPr>
      <w:r w:rsidRPr="00120C03">
        <w:rPr>
          <w:b/>
        </w:rPr>
        <w:t>FERC Form No. 3-Q, Quarterly Financial Report of Electric Utilities, Licensees, and Natural Gas Companies</w:t>
      </w:r>
    </w:p>
    <w:p w14:paraId="260CD1AF" w14:textId="77777777" w:rsidR="00BF0676" w:rsidRPr="00120C03" w:rsidRDefault="00BF0676" w:rsidP="00BF0676">
      <w:pPr>
        <w:spacing w:line="480" w:lineRule="auto"/>
      </w:pPr>
      <w:r w:rsidRPr="00120C03">
        <w:rPr>
          <w:i/>
        </w:rPr>
        <w:t xml:space="preserve">OMB Control No.: </w:t>
      </w:r>
      <w:r w:rsidRPr="00120C03">
        <w:t>1902-0205</w:t>
      </w:r>
    </w:p>
    <w:p w14:paraId="54D4F147" w14:textId="77777777" w:rsidR="00BF0676" w:rsidRPr="00120C03" w:rsidRDefault="00BF0676" w:rsidP="00BF0676">
      <w:pPr>
        <w:tabs>
          <w:tab w:val="num" w:pos="1080"/>
        </w:tabs>
        <w:spacing w:line="480" w:lineRule="auto"/>
      </w:pPr>
      <w:r w:rsidRPr="00120C03">
        <w:rPr>
          <w:i/>
        </w:rPr>
        <w:t xml:space="preserve">Abstract: </w:t>
      </w:r>
      <w:r w:rsidRPr="00120C03">
        <w:t xml:space="preserve">The FERC Form No. 3-Q is a quarterly financial and operating report for rate regulation, market oversight analysis, and financial audits which supplements the (a) </w:t>
      </w:r>
      <w:r>
        <w:t xml:space="preserve">FERC </w:t>
      </w:r>
      <w:r w:rsidRPr="00120C03">
        <w:t>Form Nos. 1 and 1-F</w:t>
      </w:r>
      <w:r>
        <w:t>,</w:t>
      </w:r>
      <w:r w:rsidRPr="00120C03">
        <w:t xml:space="preserve"> for the electric industry, or the (b) </w:t>
      </w:r>
      <w:r>
        <w:t xml:space="preserve">FERC </w:t>
      </w:r>
      <w:r w:rsidRPr="00120C03">
        <w:t>Form No. 2 (</w:t>
      </w:r>
      <w:r>
        <w:t xml:space="preserve">Annual Report for </w:t>
      </w:r>
      <w:r w:rsidRPr="00120C03">
        <w:t xml:space="preserve">Major Natural Gas </w:t>
      </w:r>
      <w:r>
        <w:t>Companies</w:t>
      </w:r>
      <w:r w:rsidRPr="00120C03">
        <w:t xml:space="preserve">; OMB Control No. 1902-0028) and </w:t>
      </w:r>
      <w:r>
        <w:t xml:space="preserve">FERC </w:t>
      </w:r>
      <w:r w:rsidRPr="00120C03">
        <w:t>Form No. 2-A (</w:t>
      </w:r>
      <w:r>
        <w:t xml:space="preserve">Annual Report for </w:t>
      </w:r>
      <w:r w:rsidRPr="00120C03">
        <w:t xml:space="preserve">Nonmajor Natural Gas </w:t>
      </w:r>
      <w:r>
        <w:t>Companies;</w:t>
      </w:r>
      <w:r w:rsidRPr="00120C03">
        <w:t xml:space="preserve"> OMB Control No. 1902-0030)</w:t>
      </w:r>
      <w:r>
        <w:t>,</w:t>
      </w:r>
      <w:r w:rsidRPr="00120C03">
        <w:t xml:space="preserve"> for the natural gas industry.  The </w:t>
      </w:r>
      <w:r>
        <w:t xml:space="preserve">FERC </w:t>
      </w:r>
      <w:r w:rsidRPr="00120C03">
        <w:t>Form No. 3-Q is submitted for all Major and Nonmajor electric utilities</w:t>
      </w:r>
      <w:r>
        <w:t>,</w:t>
      </w:r>
      <w:r w:rsidRPr="00120C03">
        <w:t xml:space="preserve"> licensees</w:t>
      </w:r>
      <w:r>
        <w:t xml:space="preserve">, </w:t>
      </w:r>
      <w:r w:rsidRPr="00120C03">
        <w:t>and natural gas companies</w:t>
      </w:r>
      <w:r w:rsidRPr="00120C03">
        <w:rPr>
          <w:b/>
          <w:szCs w:val="26"/>
          <w:vertAlign w:val="superscript"/>
        </w:rPr>
        <w:footnoteReference w:id="7"/>
      </w:r>
      <w:r w:rsidRPr="00120C03">
        <w:t xml:space="preserve">.  </w:t>
      </w:r>
    </w:p>
    <w:p w14:paraId="08390E4F" w14:textId="77777777" w:rsidR="00BF0676" w:rsidRDefault="00BF0676" w:rsidP="00BF0676">
      <w:pPr>
        <w:tabs>
          <w:tab w:val="num" w:pos="1080"/>
        </w:tabs>
        <w:spacing w:line="480" w:lineRule="auto"/>
        <w:rPr>
          <w:szCs w:val="26"/>
        </w:rPr>
      </w:pPr>
      <w:r>
        <w:rPr>
          <w:szCs w:val="26"/>
        </w:rPr>
        <w:t xml:space="preserve">FERC </w:t>
      </w:r>
      <w:r w:rsidRPr="00120C03">
        <w:rPr>
          <w:szCs w:val="26"/>
        </w:rPr>
        <w:t xml:space="preserve">Form No. 3-Q includes a basic set of financial statements:  </w:t>
      </w:r>
    </w:p>
    <w:p w14:paraId="0FE69431" w14:textId="77777777" w:rsidR="00BF0676" w:rsidRPr="00A47AD6" w:rsidRDefault="00BF0676" w:rsidP="00BF0676">
      <w:pPr>
        <w:pStyle w:val="ListParagraph"/>
        <w:numPr>
          <w:ilvl w:val="0"/>
          <w:numId w:val="9"/>
        </w:numPr>
        <w:spacing w:line="480" w:lineRule="auto"/>
      </w:pPr>
      <w:r w:rsidRPr="00A47AD6">
        <w:rPr>
          <w:szCs w:val="26"/>
        </w:rPr>
        <w:t xml:space="preserve">Comparative Balance Sheet, </w:t>
      </w:r>
    </w:p>
    <w:p w14:paraId="1BCFC4B7" w14:textId="77777777" w:rsidR="00BF0676" w:rsidRPr="00A47AD6" w:rsidRDefault="00BF0676" w:rsidP="00BF0676">
      <w:pPr>
        <w:pStyle w:val="ListParagraph"/>
        <w:numPr>
          <w:ilvl w:val="0"/>
          <w:numId w:val="9"/>
        </w:numPr>
        <w:spacing w:line="480" w:lineRule="auto"/>
      </w:pPr>
      <w:r w:rsidRPr="00A47AD6">
        <w:rPr>
          <w:szCs w:val="26"/>
        </w:rPr>
        <w:t xml:space="preserve">Statement of Income and Statement of Retained Earnings, </w:t>
      </w:r>
    </w:p>
    <w:p w14:paraId="0CBA5AB4" w14:textId="77777777" w:rsidR="00BF0676" w:rsidRPr="00A47AD6" w:rsidRDefault="00BF0676" w:rsidP="00BF0676">
      <w:pPr>
        <w:pStyle w:val="ListParagraph"/>
        <w:numPr>
          <w:ilvl w:val="0"/>
          <w:numId w:val="9"/>
        </w:numPr>
        <w:spacing w:line="480" w:lineRule="auto"/>
      </w:pPr>
      <w:r w:rsidRPr="00A47AD6">
        <w:rPr>
          <w:szCs w:val="26"/>
        </w:rPr>
        <w:t xml:space="preserve">Statement of Cash Flows, </w:t>
      </w:r>
    </w:p>
    <w:p w14:paraId="64366409" w14:textId="77777777" w:rsidR="00BF0676" w:rsidRPr="00A47AD6" w:rsidRDefault="00BF0676" w:rsidP="00BF0676">
      <w:pPr>
        <w:pStyle w:val="ListParagraph"/>
        <w:numPr>
          <w:ilvl w:val="0"/>
          <w:numId w:val="9"/>
        </w:numPr>
        <w:spacing w:line="480" w:lineRule="auto"/>
      </w:pPr>
      <w:r w:rsidRPr="00A47AD6">
        <w:rPr>
          <w:szCs w:val="26"/>
        </w:rPr>
        <w:t>Statement of Comprehensive Income and Hedging Activities</w:t>
      </w:r>
      <w:r>
        <w:rPr>
          <w:szCs w:val="26"/>
        </w:rPr>
        <w:t>,</w:t>
      </w:r>
      <w:r w:rsidRPr="00A47AD6">
        <w:rPr>
          <w:szCs w:val="26"/>
        </w:rPr>
        <w:t xml:space="preserve"> and</w:t>
      </w:r>
    </w:p>
    <w:p w14:paraId="15A89366" w14:textId="77777777" w:rsidR="00BF0676" w:rsidRPr="00A47AD6" w:rsidRDefault="00BF0676" w:rsidP="00BF0676">
      <w:pPr>
        <w:pStyle w:val="ListParagraph"/>
        <w:numPr>
          <w:ilvl w:val="0"/>
          <w:numId w:val="9"/>
        </w:numPr>
        <w:spacing w:line="480" w:lineRule="auto"/>
      </w:pPr>
      <w:r>
        <w:rPr>
          <w:szCs w:val="26"/>
        </w:rPr>
        <w:t>S</w:t>
      </w:r>
      <w:r w:rsidRPr="00A47AD6">
        <w:rPr>
          <w:szCs w:val="26"/>
        </w:rPr>
        <w:t xml:space="preserve">upporting schedules containing supplementary information.  </w:t>
      </w:r>
    </w:p>
    <w:p w14:paraId="7F2B79A1" w14:textId="77777777" w:rsidR="00BF0676" w:rsidRDefault="00BF0676" w:rsidP="00BF0676">
      <w:pPr>
        <w:pStyle w:val="ListParagraph"/>
        <w:spacing w:line="480" w:lineRule="auto"/>
        <w:ind w:left="0"/>
        <w:rPr>
          <w:szCs w:val="26"/>
        </w:rPr>
      </w:pPr>
      <w:r w:rsidRPr="00A47AD6">
        <w:rPr>
          <w:szCs w:val="26"/>
        </w:rPr>
        <w:t>Electric respondents report</w:t>
      </w:r>
      <w:r>
        <w:rPr>
          <w:szCs w:val="26"/>
        </w:rPr>
        <w:t>:</w:t>
      </w:r>
    </w:p>
    <w:p w14:paraId="41E623ED" w14:textId="77777777" w:rsidR="00BF0676" w:rsidRPr="00A47AD6" w:rsidRDefault="00BF0676" w:rsidP="00BF0676">
      <w:pPr>
        <w:pStyle w:val="ListParagraph"/>
        <w:numPr>
          <w:ilvl w:val="0"/>
          <w:numId w:val="10"/>
        </w:numPr>
        <w:spacing w:line="480" w:lineRule="auto"/>
        <w:ind w:left="720"/>
      </w:pPr>
      <w:r>
        <w:rPr>
          <w:szCs w:val="26"/>
        </w:rPr>
        <w:t>R</w:t>
      </w:r>
      <w:r w:rsidRPr="00A47AD6">
        <w:rPr>
          <w:szCs w:val="26"/>
        </w:rPr>
        <w:t>evenues and the related quantities of electric sales and electricity transmitted</w:t>
      </w:r>
      <w:r>
        <w:rPr>
          <w:szCs w:val="26"/>
        </w:rPr>
        <w:t>,</w:t>
      </w:r>
    </w:p>
    <w:p w14:paraId="34FD207A" w14:textId="77777777" w:rsidR="00BF0676" w:rsidRPr="00A47AD6" w:rsidRDefault="00BF0676" w:rsidP="00BF0676">
      <w:pPr>
        <w:pStyle w:val="ListParagraph"/>
        <w:numPr>
          <w:ilvl w:val="0"/>
          <w:numId w:val="10"/>
        </w:numPr>
        <w:spacing w:line="480" w:lineRule="auto"/>
        <w:ind w:hanging="420"/>
      </w:pPr>
      <w:r>
        <w:rPr>
          <w:szCs w:val="26"/>
        </w:rPr>
        <w:t>A</w:t>
      </w:r>
      <w:r w:rsidRPr="00A47AD6">
        <w:rPr>
          <w:szCs w:val="26"/>
        </w:rPr>
        <w:t>ccount balances for all electric operation and maintenance expenses</w:t>
      </w:r>
      <w:r>
        <w:rPr>
          <w:szCs w:val="26"/>
        </w:rPr>
        <w:t>,</w:t>
      </w:r>
    </w:p>
    <w:p w14:paraId="6DD3B8F1" w14:textId="77777777" w:rsidR="00BF0676" w:rsidRPr="00A47AD6" w:rsidRDefault="00BF0676" w:rsidP="00BF0676">
      <w:pPr>
        <w:pStyle w:val="ListParagraph"/>
        <w:numPr>
          <w:ilvl w:val="0"/>
          <w:numId w:val="10"/>
        </w:numPr>
        <w:spacing w:line="480" w:lineRule="auto"/>
        <w:ind w:hanging="420"/>
      </w:pPr>
      <w:r>
        <w:rPr>
          <w:szCs w:val="26"/>
        </w:rPr>
        <w:t>S</w:t>
      </w:r>
      <w:r w:rsidRPr="00A47AD6">
        <w:rPr>
          <w:szCs w:val="26"/>
        </w:rPr>
        <w:t xml:space="preserve">elected plant cost data; and </w:t>
      </w:r>
    </w:p>
    <w:p w14:paraId="6E6AE079" w14:textId="77777777" w:rsidR="00BF0676" w:rsidRPr="00A47AD6" w:rsidRDefault="00BF0676" w:rsidP="00BF0676">
      <w:pPr>
        <w:pStyle w:val="ListParagraph"/>
        <w:numPr>
          <w:ilvl w:val="0"/>
          <w:numId w:val="10"/>
        </w:numPr>
        <w:spacing w:line="480" w:lineRule="auto"/>
        <w:ind w:hanging="420"/>
      </w:pPr>
      <w:r>
        <w:rPr>
          <w:szCs w:val="26"/>
        </w:rPr>
        <w:t>O</w:t>
      </w:r>
      <w:r w:rsidRPr="00A47AD6">
        <w:rPr>
          <w:szCs w:val="26"/>
        </w:rPr>
        <w:t xml:space="preserve">ther statistical information.  </w:t>
      </w:r>
    </w:p>
    <w:p w14:paraId="15326397" w14:textId="77777777" w:rsidR="00BF0676" w:rsidRDefault="00BF0676" w:rsidP="00BF0676">
      <w:pPr>
        <w:pStyle w:val="ListParagraph"/>
        <w:spacing w:line="480" w:lineRule="auto"/>
        <w:ind w:left="0"/>
        <w:rPr>
          <w:szCs w:val="26"/>
        </w:rPr>
      </w:pPr>
      <w:r w:rsidRPr="00A47AD6">
        <w:rPr>
          <w:szCs w:val="26"/>
        </w:rPr>
        <w:t>Natural gas respondents include</w:t>
      </w:r>
      <w:r>
        <w:rPr>
          <w:szCs w:val="26"/>
        </w:rPr>
        <w:t>:</w:t>
      </w:r>
    </w:p>
    <w:p w14:paraId="49236568" w14:textId="77777777" w:rsidR="00BF0676" w:rsidRPr="00A47AD6" w:rsidRDefault="00BF0676" w:rsidP="00BF0676">
      <w:pPr>
        <w:pStyle w:val="ListParagraph"/>
        <w:numPr>
          <w:ilvl w:val="0"/>
          <w:numId w:val="11"/>
        </w:numPr>
        <w:spacing w:line="480" w:lineRule="auto"/>
      </w:pPr>
      <w:r>
        <w:rPr>
          <w:szCs w:val="26"/>
        </w:rPr>
        <w:t>M</w:t>
      </w:r>
      <w:r w:rsidRPr="00A47AD6">
        <w:rPr>
          <w:szCs w:val="26"/>
        </w:rPr>
        <w:t>onthly and quarterly quantities of gas transported and associated revenues</w:t>
      </w:r>
      <w:r>
        <w:rPr>
          <w:szCs w:val="26"/>
        </w:rPr>
        <w:t>,</w:t>
      </w:r>
    </w:p>
    <w:p w14:paraId="6DF6208B" w14:textId="77777777" w:rsidR="00BF0676" w:rsidRPr="00A47AD6" w:rsidRDefault="00BF0676" w:rsidP="00BF0676">
      <w:pPr>
        <w:pStyle w:val="ListParagraph"/>
        <w:numPr>
          <w:ilvl w:val="0"/>
          <w:numId w:val="11"/>
        </w:numPr>
        <w:spacing w:line="480" w:lineRule="auto"/>
      </w:pPr>
      <w:r>
        <w:rPr>
          <w:szCs w:val="26"/>
        </w:rPr>
        <w:t>S</w:t>
      </w:r>
      <w:r w:rsidRPr="00A47AD6">
        <w:rPr>
          <w:szCs w:val="26"/>
        </w:rPr>
        <w:t>torage, terminaling and processing services</w:t>
      </w:r>
      <w:r>
        <w:rPr>
          <w:szCs w:val="26"/>
        </w:rPr>
        <w:t>,</w:t>
      </w:r>
    </w:p>
    <w:p w14:paraId="164B6591" w14:textId="77777777" w:rsidR="00BF0676" w:rsidRPr="00A47AD6" w:rsidRDefault="00BF0676" w:rsidP="00BF0676">
      <w:pPr>
        <w:pStyle w:val="ListParagraph"/>
        <w:numPr>
          <w:ilvl w:val="0"/>
          <w:numId w:val="11"/>
        </w:numPr>
        <w:spacing w:line="480" w:lineRule="auto"/>
      </w:pPr>
      <w:r>
        <w:rPr>
          <w:szCs w:val="26"/>
        </w:rPr>
        <w:t>N</w:t>
      </w:r>
      <w:r w:rsidRPr="00A47AD6">
        <w:rPr>
          <w:szCs w:val="26"/>
        </w:rPr>
        <w:t>atural gas customer accounts and details of service</w:t>
      </w:r>
      <w:r>
        <w:rPr>
          <w:szCs w:val="26"/>
        </w:rPr>
        <w:t>,</w:t>
      </w:r>
      <w:r w:rsidRPr="00A47AD6">
        <w:rPr>
          <w:szCs w:val="26"/>
        </w:rPr>
        <w:t xml:space="preserve"> and </w:t>
      </w:r>
    </w:p>
    <w:p w14:paraId="658422E5" w14:textId="77777777" w:rsidR="00BF0676" w:rsidRPr="00120C03" w:rsidRDefault="00BF0676" w:rsidP="00BF0676">
      <w:pPr>
        <w:pStyle w:val="ListParagraph"/>
        <w:numPr>
          <w:ilvl w:val="0"/>
          <w:numId w:val="11"/>
        </w:numPr>
        <w:spacing w:line="480" w:lineRule="auto"/>
      </w:pPr>
      <w:r>
        <w:rPr>
          <w:szCs w:val="26"/>
        </w:rPr>
        <w:t>O</w:t>
      </w:r>
      <w:r w:rsidRPr="00A47AD6">
        <w:rPr>
          <w:szCs w:val="26"/>
        </w:rPr>
        <w:t>perational expenses, depreciation, depletion and amortization of gas plant.</w:t>
      </w:r>
    </w:p>
    <w:p w14:paraId="193BA660" w14:textId="77777777" w:rsidR="00BF0676" w:rsidRPr="00120C03" w:rsidRDefault="00BF0676" w:rsidP="00BF0676">
      <w:pPr>
        <w:spacing w:line="480" w:lineRule="auto"/>
      </w:pPr>
      <w:r w:rsidRPr="00120C03">
        <w:rPr>
          <w:i/>
        </w:rPr>
        <w:t xml:space="preserve">Type of Respondent: </w:t>
      </w:r>
      <w:r w:rsidRPr="00120C03">
        <w:t>Major and nonmajor electric utilities</w:t>
      </w:r>
      <w:r>
        <w:t>, licensees,</w:t>
      </w:r>
      <w:r w:rsidRPr="00120C03">
        <w:t xml:space="preserve"> and natural gas </w:t>
      </w:r>
      <w:r>
        <w:t>companies</w:t>
      </w:r>
      <w:r w:rsidRPr="00120C03">
        <w:t>.</w:t>
      </w:r>
    </w:p>
    <w:p w14:paraId="206A7C08" w14:textId="77777777" w:rsidR="00BF0676" w:rsidRPr="00120C03" w:rsidRDefault="00BF0676" w:rsidP="00BF0676">
      <w:pPr>
        <w:spacing w:line="480" w:lineRule="auto"/>
      </w:pPr>
      <w:r w:rsidRPr="00120C03">
        <w:rPr>
          <w:i/>
        </w:rPr>
        <w:t xml:space="preserve">Estimate of Annual Burden: </w:t>
      </w:r>
      <w:r w:rsidRPr="00120C03">
        <w:t xml:space="preserve">The estimated annual burden and cost (as rounded) follow.  (The estimated hourly cost used for the </w:t>
      </w:r>
      <w:r>
        <w:t xml:space="preserve">FERC </w:t>
      </w:r>
      <w:r w:rsidRPr="00120C03">
        <w:t>Form No. 3-Q is $7</w:t>
      </w:r>
      <w:r>
        <w:t>9</w:t>
      </w:r>
      <w:r w:rsidRPr="00120C03">
        <w:t xml:space="preserve"> (</w:t>
      </w:r>
      <w:r>
        <w:t xml:space="preserve">for </w:t>
      </w:r>
      <w:r w:rsidRPr="00120C03">
        <w:t xml:space="preserve">wages plus benefits) and is described above, under the </w:t>
      </w:r>
      <w:r>
        <w:t xml:space="preserve">FERC </w:t>
      </w:r>
      <w:r w:rsidRPr="00120C03">
        <w:t>Form No. 1.):</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260"/>
        <w:gridCol w:w="1170"/>
        <w:gridCol w:w="1440"/>
        <w:gridCol w:w="1530"/>
        <w:gridCol w:w="1620"/>
      </w:tblGrid>
      <w:tr w:rsidR="00BF0676" w:rsidRPr="00882D39" w14:paraId="15847EFE" w14:textId="77777777" w:rsidTr="00B233EE">
        <w:trPr>
          <w:cantSplit/>
        </w:trPr>
        <w:tc>
          <w:tcPr>
            <w:tcW w:w="9720" w:type="dxa"/>
            <w:gridSpan w:val="7"/>
            <w:tcBorders>
              <w:bottom w:val="single" w:sz="4" w:space="0" w:color="auto"/>
            </w:tcBorders>
            <w:shd w:val="clear" w:color="auto" w:fill="D9D9D9"/>
          </w:tcPr>
          <w:p w14:paraId="3024F980" w14:textId="77777777" w:rsidR="00BF0676" w:rsidRPr="00882D39" w:rsidRDefault="00BF0676" w:rsidP="00B233EE">
            <w:pPr>
              <w:jc w:val="center"/>
              <w:rPr>
                <w:rFonts w:eastAsia="Calibri"/>
                <w:b/>
                <w:sz w:val="20"/>
                <w:szCs w:val="20"/>
              </w:rPr>
            </w:pPr>
            <w:r w:rsidRPr="007928C5">
              <w:rPr>
                <w:rFonts w:eastAsia="Calibri"/>
                <w:b/>
                <w:sz w:val="20"/>
                <w:szCs w:val="20"/>
              </w:rPr>
              <w:t xml:space="preserve">FERC </w:t>
            </w:r>
            <w:r w:rsidRPr="00882D39">
              <w:rPr>
                <w:rFonts w:eastAsia="Calibri"/>
                <w:b/>
                <w:sz w:val="20"/>
                <w:szCs w:val="20"/>
              </w:rPr>
              <w:t>Form No. 3-Q</w:t>
            </w:r>
          </w:p>
        </w:tc>
      </w:tr>
      <w:tr w:rsidR="00BF0676" w:rsidRPr="00882D39" w14:paraId="474C87C8" w14:textId="77777777" w:rsidTr="00B233EE">
        <w:trPr>
          <w:cantSplit/>
        </w:trPr>
        <w:tc>
          <w:tcPr>
            <w:tcW w:w="1350" w:type="dxa"/>
            <w:shd w:val="clear" w:color="auto" w:fill="D9D9D9"/>
          </w:tcPr>
          <w:p w14:paraId="1708816F" w14:textId="77777777" w:rsidR="00BF0676" w:rsidRPr="007928C5" w:rsidRDefault="00BF0676" w:rsidP="00B233EE">
            <w:pPr>
              <w:jc w:val="center"/>
              <w:rPr>
                <w:rFonts w:eastAsia="Calibri"/>
                <w:b/>
                <w:sz w:val="20"/>
                <w:szCs w:val="20"/>
              </w:rPr>
            </w:pPr>
          </w:p>
        </w:tc>
        <w:tc>
          <w:tcPr>
            <w:tcW w:w="1350" w:type="dxa"/>
            <w:shd w:val="clear" w:color="auto" w:fill="D9D9D9"/>
            <w:vAlign w:val="bottom"/>
          </w:tcPr>
          <w:p w14:paraId="3C5A4AC7" w14:textId="77777777" w:rsidR="00BF0676" w:rsidRPr="00882D39" w:rsidRDefault="00BF0676" w:rsidP="00B233EE">
            <w:pPr>
              <w:jc w:val="center"/>
              <w:rPr>
                <w:rFonts w:eastAsia="Calibri"/>
                <w:b/>
                <w:sz w:val="20"/>
                <w:szCs w:val="20"/>
              </w:rPr>
            </w:pPr>
            <w:r w:rsidRPr="00882D39">
              <w:rPr>
                <w:rFonts w:eastAsia="Calibri"/>
                <w:b/>
                <w:sz w:val="20"/>
                <w:szCs w:val="20"/>
              </w:rPr>
              <w:t>Number of Respondents</w:t>
            </w:r>
            <w:r w:rsidRPr="00882D39">
              <w:rPr>
                <w:rFonts w:eastAsia="Calibri"/>
                <w:b/>
                <w:sz w:val="20"/>
                <w:szCs w:val="20"/>
              </w:rPr>
              <w:br/>
              <w:t>(1)</w:t>
            </w:r>
          </w:p>
        </w:tc>
        <w:tc>
          <w:tcPr>
            <w:tcW w:w="1260" w:type="dxa"/>
            <w:shd w:val="clear" w:color="auto" w:fill="D9D9D9"/>
            <w:vAlign w:val="bottom"/>
          </w:tcPr>
          <w:p w14:paraId="6EF38AC2" w14:textId="77777777" w:rsidR="00BF0676" w:rsidRPr="00882D39" w:rsidRDefault="00BF0676" w:rsidP="00B233EE">
            <w:pPr>
              <w:jc w:val="center"/>
              <w:rPr>
                <w:rFonts w:eastAsia="Calibri"/>
                <w:b/>
                <w:sz w:val="20"/>
                <w:szCs w:val="20"/>
              </w:rPr>
            </w:pPr>
            <w:r w:rsidRPr="00882D39">
              <w:rPr>
                <w:rFonts w:eastAsia="Calibri"/>
                <w:b/>
                <w:sz w:val="20"/>
                <w:szCs w:val="20"/>
              </w:rPr>
              <w:t>Annual Number of Responses per Respondent</w:t>
            </w:r>
          </w:p>
          <w:p w14:paraId="101F25D9" w14:textId="77777777" w:rsidR="00BF0676" w:rsidRPr="00882D39" w:rsidRDefault="00BF0676" w:rsidP="00B233EE">
            <w:pPr>
              <w:jc w:val="center"/>
              <w:rPr>
                <w:rFonts w:eastAsia="Calibri"/>
                <w:b/>
                <w:sz w:val="20"/>
                <w:szCs w:val="20"/>
              </w:rPr>
            </w:pPr>
            <w:r w:rsidRPr="00882D39">
              <w:rPr>
                <w:rFonts w:eastAsia="Calibri"/>
                <w:b/>
                <w:sz w:val="20"/>
                <w:szCs w:val="20"/>
              </w:rPr>
              <w:t>(2)</w:t>
            </w:r>
          </w:p>
        </w:tc>
        <w:tc>
          <w:tcPr>
            <w:tcW w:w="1170" w:type="dxa"/>
            <w:shd w:val="clear" w:color="auto" w:fill="D9D9D9"/>
            <w:vAlign w:val="bottom"/>
          </w:tcPr>
          <w:p w14:paraId="15FBA291" w14:textId="77777777" w:rsidR="00BF0676" w:rsidRPr="00882D39" w:rsidRDefault="00BF0676" w:rsidP="00B233EE">
            <w:pPr>
              <w:jc w:val="center"/>
              <w:rPr>
                <w:rFonts w:eastAsia="Calibri"/>
                <w:b/>
                <w:sz w:val="20"/>
                <w:szCs w:val="20"/>
              </w:rPr>
            </w:pPr>
            <w:r w:rsidRPr="00882D39">
              <w:rPr>
                <w:rFonts w:eastAsia="Calibri"/>
                <w:b/>
                <w:sz w:val="20"/>
                <w:szCs w:val="20"/>
              </w:rPr>
              <w:t>Total Number of Responses (1)*(2)=(3)</w:t>
            </w:r>
          </w:p>
        </w:tc>
        <w:tc>
          <w:tcPr>
            <w:tcW w:w="1440" w:type="dxa"/>
            <w:shd w:val="clear" w:color="auto" w:fill="D9D9D9"/>
            <w:vAlign w:val="bottom"/>
          </w:tcPr>
          <w:p w14:paraId="71985902" w14:textId="77777777" w:rsidR="00BF0676" w:rsidRPr="00882D39" w:rsidRDefault="00BF0676" w:rsidP="00B233EE">
            <w:pPr>
              <w:jc w:val="center"/>
              <w:rPr>
                <w:rFonts w:eastAsia="Calibri"/>
                <w:b/>
                <w:sz w:val="20"/>
                <w:szCs w:val="20"/>
              </w:rPr>
            </w:pPr>
            <w:r w:rsidRPr="00882D39">
              <w:rPr>
                <w:rFonts w:eastAsia="Calibri"/>
                <w:b/>
                <w:sz w:val="20"/>
                <w:szCs w:val="20"/>
              </w:rPr>
              <w:t>Average Burden Hours &amp; Cost Per Response</w:t>
            </w:r>
          </w:p>
          <w:p w14:paraId="7C9B94BD" w14:textId="77777777" w:rsidR="00BF0676" w:rsidRPr="00882D39" w:rsidRDefault="00BF0676" w:rsidP="00B233EE">
            <w:pPr>
              <w:jc w:val="center"/>
              <w:rPr>
                <w:rFonts w:eastAsia="Calibri"/>
                <w:b/>
                <w:sz w:val="20"/>
                <w:szCs w:val="20"/>
              </w:rPr>
            </w:pPr>
            <w:r w:rsidRPr="00882D39">
              <w:rPr>
                <w:rFonts w:eastAsia="Calibri"/>
                <w:b/>
                <w:sz w:val="20"/>
                <w:szCs w:val="20"/>
              </w:rPr>
              <w:t>(4)</w:t>
            </w:r>
          </w:p>
        </w:tc>
        <w:tc>
          <w:tcPr>
            <w:tcW w:w="1530" w:type="dxa"/>
            <w:shd w:val="clear" w:color="auto" w:fill="D9D9D9"/>
            <w:vAlign w:val="bottom"/>
          </w:tcPr>
          <w:p w14:paraId="77A60FF7" w14:textId="77777777" w:rsidR="00BF0676" w:rsidRPr="00882D39" w:rsidRDefault="00BF0676" w:rsidP="00B233EE">
            <w:pPr>
              <w:jc w:val="center"/>
              <w:rPr>
                <w:rFonts w:eastAsia="Calibri"/>
                <w:b/>
                <w:sz w:val="20"/>
                <w:szCs w:val="20"/>
              </w:rPr>
            </w:pPr>
            <w:r w:rsidRPr="00882D39">
              <w:rPr>
                <w:rFonts w:eastAsia="Calibri"/>
                <w:b/>
                <w:sz w:val="20"/>
                <w:szCs w:val="20"/>
              </w:rPr>
              <w:t>Total Annual Burden Hours &amp; Total Annual Cost</w:t>
            </w:r>
          </w:p>
          <w:p w14:paraId="38BF79EE" w14:textId="77777777" w:rsidR="00BF0676" w:rsidRPr="00882D39" w:rsidRDefault="00BF0676" w:rsidP="00B233EE">
            <w:pPr>
              <w:jc w:val="center"/>
              <w:rPr>
                <w:rFonts w:eastAsia="Calibri"/>
                <w:b/>
                <w:sz w:val="20"/>
                <w:szCs w:val="20"/>
              </w:rPr>
            </w:pPr>
            <w:r w:rsidRPr="00882D39">
              <w:rPr>
                <w:rFonts w:eastAsia="Calibri"/>
                <w:b/>
                <w:sz w:val="20"/>
                <w:szCs w:val="20"/>
              </w:rPr>
              <w:t>(3)*(4)=(5)</w:t>
            </w:r>
          </w:p>
        </w:tc>
        <w:tc>
          <w:tcPr>
            <w:tcW w:w="1620" w:type="dxa"/>
            <w:shd w:val="clear" w:color="auto" w:fill="D9D9D9"/>
            <w:vAlign w:val="bottom"/>
          </w:tcPr>
          <w:p w14:paraId="24B57B66" w14:textId="77777777" w:rsidR="00BF0676" w:rsidRPr="00882D39" w:rsidRDefault="00BF0676" w:rsidP="00B233EE">
            <w:pPr>
              <w:jc w:val="center"/>
              <w:rPr>
                <w:rFonts w:eastAsia="Calibri"/>
                <w:b/>
                <w:sz w:val="20"/>
                <w:szCs w:val="20"/>
              </w:rPr>
            </w:pPr>
            <w:r w:rsidRPr="00882D39">
              <w:rPr>
                <w:rFonts w:eastAsia="Calibri"/>
                <w:b/>
                <w:sz w:val="20"/>
                <w:szCs w:val="20"/>
              </w:rPr>
              <w:t>Annual Cost per Respondent</w:t>
            </w:r>
          </w:p>
          <w:p w14:paraId="614BCD06" w14:textId="77777777" w:rsidR="00BF0676" w:rsidRPr="00882D39" w:rsidRDefault="00BF0676" w:rsidP="00B233EE">
            <w:pPr>
              <w:jc w:val="center"/>
              <w:rPr>
                <w:rFonts w:eastAsia="Calibri"/>
                <w:b/>
                <w:sz w:val="20"/>
                <w:szCs w:val="20"/>
              </w:rPr>
            </w:pPr>
            <w:r w:rsidRPr="00882D39">
              <w:rPr>
                <w:rFonts w:eastAsia="Calibri"/>
                <w:b/>
                <w:sz w:val="20"/>
                <w:szCs w:val="20"/>
              </w:rPr>
              <w:t xml:space="preserve"> ($)</w:t>
            </w:r>
          </w:p>
          <w:p w14:paraId="34053845" w14:textId="77777777" w:rsidR="00BF0676" w:rsidRPr="00882D39" w:rsidRDefault="00BF0676" w:rsidP="00B233EE">
            <w:pPr>
              <w:jc w:val="center"/>
              <w:rPr>
                <w:rFonts w:eastAsia="Calibri"/>
                <w:b/>
                <w:sz w:val="20"/>
                <w:szCs w:val="20"/>
              </w:rPr>
            </w:pPr>
            <w:r w:rsidRPr="00882D39">
              <w:rPr>
                <w:rFonts w:eastAsia="Calibri"/>
                <w:b/>
                <w:sz w:val="20"/>
                <w:szCs w:val="20"/>
              </w:rPr>
              <w:t>(5)÷(1)</w:t>
            </w:r>
          </w:p>
        </w:tc>
      </w:tr>
      <w:tr w:rsidR="00BF0676" w:rsidRPr="00882D39" w14:paraId="1BE7275E" w14:textId="77777777" w:rsidTr="00B233EE">
        <w:trPr>
          <w:cantSplit/>
        </w:trPr>
        <w:tc>
          <w:tcPr>
            <w:tcW w:w="1350" w:type="dxa"/>
            <w:vAlign w:val="bottom"/>
          </w:tcPr>
          <w:p w14:paraId="5E01DFE4" w14:textId="77777777" w:rsidR="00BF0676" w:rsidRPr="00882D39" w:rsidRDefault="00BF0676" w:rsidP="00B233EE">
            <w:pPr>
              <w:rPr>
                <w:rFonts w:eastAsia="Calibri"/>
                <w:sz w:val="20"/>
                <w:szCs w:val="20"/>
              </w:rPr>
            </w:pPr>
            <w:r w:rsidRPr="00882D39">
              <w:rPr>
                <w:rFonts w:eastAsia="Calibri"/>
                <w:sz w:val="20"/>
                <w:szCs w:val="20"/>
              </w:rPr>
              <w:t>FERC 3-Q (electric)</w:t>
            </w:r>
          </w:p>
        </w:tc>
        <w:tc>
          <w:tcPr>
            <w:tcW w:w="1350" w:type="dxa"/>
            <w:vAlign w:val="bottom"/>
          </w:tcPr>
          <w:p w14:paraId="08F71EAC" w14:textId="77777777" w:rsidR="00BF0676" w:rsidRPr="00882D39" w:rsidRDefault="00BF0676" w:rsidP="00B233EE">
            <w:pPr>
              <w:jc w:val="right"/>
              <w:rPr>
                <w:rFonts w:eastAsia="Calibri"/>
                <w:sz w:val="20"/>
                <w:szCs w:val="20"/>
              </w:rPr>
            </w:pPr>
            <w:r w:rsidRPr="00882D39">
              <w:rPr>
                <w:rFonts w:eastAsia="Calibri"/>
                <w:sz w:val="20"/>
                <w:szCs w:val="20"/>
              </w:rPr>
              <w:t>212</w:t>
            </w:r>
          </w:p>
        </w:tc>
        <w:tc>
          <w:tcPr>
            <w:tcW w:w="1260" w:type="dxa"/>
            <w:vAlign w:val="bottom"/>
          </w:tcPr>
          <w:p w14:paraId="0B607518" w14:textId="77777777" w:rsidR="00BF0676" w:rsidRPr="00882D39" w:rsidRDefault="00BF0676" w:rsidP="00B233EE">
            <w:pPr>
              <w:jc w:val="right"/>
              <w:rPr>
                <w:rFonts w:eastAsia="Calibri"/>
                <w:sz w:val="20"/>
                <w:szCs w:val="20"/>
              </w:rPr>
            </w:pPr>
            <w:r w:rsidRPr="00882D39">
              <w:rPr>
                <w:rFonts w:eastAsia="Calibri"/>
                <w:sz w:val="20"/>
                <w:szCs w:val="20"/>
              </w:rPr>
              <w:t>3</w:t>
            </w:r>
          </w:p>
        </w:tc>
        <w:tc>
          <w:tcPr>
            <w:tcW w:w="1170" w:type="dxa"/>
            <w:vAlign w:val="bottom"/>
          </w:tcPr>
          <w:p w14:paraId="0E78CD93" w14:textId="77777777" w:rsidR="00BF0676" w:rsidRPr="00882D39" w:rsidRDefault="00BF0676" w:rsidP="00B233EE">
            <w:pPr>
              <w:jc w:val="right"/>
              <w:rPr>
                <w:rFonts w:eastAsia="Calibri"/>
                <w:sz w:val="20"/>
                <w:szCs w:val="20"/>
              </w:rPr>
            </w:pPr>
            <w:r w:rsidRPr="00882D39">
              <w:rPr>
                <w:rFonts w:eastAsia="Calibri"/>
                <w:sz w:val="20"/>
                <w:szCs w:val="20"/>
              </w:rPr>
              <w:t>636</w:t>
            </w:r>
          </w:p>
        </w:tc>
        <w:tc>
          <w:tcPr>
            <w:tcW w:w="1440" w:type="dxa"/>
            <w:vAlign w:val="bottom"/>
          </w:tcPr>
          <w:p w14:paraId="4B732830" w14:textId="77777777" w:rsidR="00BF0676" w:rsidRPr="00882D39" w:rsidRDefault="00BF0676" w:rsidP="00B233EE">
            <w:pPr>
              <w:jc w:val="right"/>
              <w:rPr>
                <w:rFonts w:eastAsia="Calibri"/>
                <w:sz w:val="20"/>
                <w:szCs w:val="20"/>
              </w:rPr>
            </w:pPr>
            <w:r>
              <w:rPr>
                <w:rFonts w:eastAsia="Calibri"/>
                <w:sz w:val="20"/>
                <w:szCs w:val="20"/>
              </w:rPr>
              <w:t>168</w:t>
            </w:r>
            <w:r w:rsidRPr="00882D39">
              <w:rPr>
                <w:rFonts w:eastAsia="Calibri"/>
                <w:sz w:val="20"/>
                <w:szCs w:val="20"/>
              </w:rPr>
              <w:t xml:space="preserve"> hrs.; </w:t>
            </w:r>
            <w:r>
              <w:rPr>
                <w:rFonts w:eastAsia="Calibri"/>
                <w:sz w:val="20"/>
                <w:szCs w:val="20"/>
              </w:rPr>
              <w:t xml:space="preserve">$13,272 </w:t>
            </w:r>
          </w:p>
        </w:tc>
        <w:tc>
          <w:tcPr>
            <w:tcW w:w="1530" w:type="dxa"/>
            <w:vAlign w:val="bottom"/>
          </w:tcPr>
          <w:p w14:paraId="1BD9A496" w14:textId="77777777" w:rsidR="00BF0676" w:rsidRPr="00882D39" w:rsidRDefault="00BF0676" w:rsidP="00B233EE">
            <w:pPr>
              <w:jc w:val="right"/>
              <w:rPr>
                <w:rFonts w:eastAsia="Calibri"/>
                <w:sz w:val="20"/>
                <w:szCs w:val="20"/>
              </w:rPr>
            </w:pPr>
            <w:r>
              <w:rPr>
                <w:rFonts w:eastAsia="Calibri"/>
                <w:sz w:val="20"/>
                <w:szCs w:val="20"/>
              </w:rPr>
              <w:t>106,848 hrs.; $8,440,992</w:t>
            </w:r>
          </w:p>
        </w:tc>
        <w:tc>
          <w:tcPr>
            <w:tcW w:w="1620" w:type="dxa"/>
            <w:vAlign w:val="bottom"/>
          </w:tcPr>
          <w:p w14:paraId="078BDE98" w14:textId="77777777" w:rsidR="00BF0676" w:rsidRPr="00882D39" w:rsidRDefault="00BF0676" w:rsidP="00B233EE">
            <w:pPr>
              <w:jc w:val="right"/>
              <w:rPr>
                <w:rFonts w:eastAsia="Calibri"/>
                <w:sz w:val="20"/>
                <w:szCs w:val="20"/>
              </w:rPr>
            </w:pPr>
            <w:r>
              <w:rPr>
                <w:rFonts w:eastAsia="Calibri"/>
                <w:sz w:val="20"/>
                <w:szCs w:val="20"/>
              </w:rPr>
              <w:t>$39,816</w:t>
            </w:r>
          </w:p>
        </w:tc>
      </w:tr>
      <w:tr w:rsidR="00BF0676" w:rsidRPr="00882D39" w14:paraId="622A6860" w14:textId="77777777" w:rsidTr="00B233EE">
        <w:trPr>
          <w:cantSplit/>
        </w:trPr>
        <w:tc>
          <w:tcPr>
            <w:tcW w:w="1350" w:type="dxa"/>
            <w:vAlign w:val="bottom"/>
          </w:tcPr>
          <w:p w14:paraId="0DDDF2D4" w14:textId="77777777" w:rsidR="00BF0676" w:rsidRPr="00882D39" w:rsidRDefault="00BF0676" w:rsidP="00B233EE">
            <w:pPr>
              <w:rPr>
                <w:rFonts w:eastAsia="Calibri"/>
                <w:sz w:val="20"/>
                <w:szCs w:val="20"/>
              </w:rPr>
            </w:pPr>
            <w:r w:rsidRPr="00882D39">
              <w:rPr>
                <w:rFonts w:eastAsia="Calibri"/>
                <w:sz w:val="20"/>
                <w:szCs w:val="20"/>
              </w:rPr>
              <w:t>FERC 3-Q (</w:t>
            </w:r>
            <w:r>
              <w:rPr>
                <w:rFonts w:eastAsia="Calibri"/>
                <w:sz w:val="20"/>
                <w:szCs w:val="20"/>
              </w:rPr>
              <w:t xml:space="preserve">natural </w:t>
            </w:r>
            <w:r w:rsidRPr="00882D39">
              <w:rPr>
                <w:rFonts w:eastAsia="Calibri"/>
                <w:sz w:val="20"/>
                <w:szCs w:val="20"/>
              </w:rPr>
              <w:t>gas)</w:t>
            </w:r>
          </w:p>
        </w:tc>
        <w:tc>
          <w:tcPr>
            <w:tcW w:w="1350" w:type="dxa"/>
            <w:vAlign w:val="bottom"/>
          </w:tcPr>
          <w:p w14:paraId="16B972E7" w14:textId="77777777" w:rsidR="00BF0676" w:rsidRPr="00882D39" w:rsidRDefault="00BF0676" w:rsidP="00B233EE">
            <w:pPr>
              <w:jc w:val="right"/>
              <w:rPr>
                <w:rFonts w:eastAsia="Calibri"/>
                <w:sz w:val="20"/>
                <w:szCs w:val="20"/>
              </w:rPr>
            </w:pPr>
            <w:r w:rsidRPr="00882D39">
              <w:rPr>
                <w:rFonts w:eastAsia="Calibri"/>
                <w:sz w:val="20"/>
                <w:szCs w:val="20"/>
              </w:rPr>
              <w:t>165</w:t>
            </w:r>
          </w:p>
        </w:tc>
        <w:tc>
          <w:tcPr>
            <w:tcW w:w="1260" w:type="dxa"/>
            <w:vAlign w:val="bottom"/>
          </w:tcPr>
          <w:p w14:paraId="6379D11F" w14:textId="77777777" w:rsidR="00BF0676" w:rsidRPr="00882D39" w:rsidRDefault="00BF0676" w:rsidP="00B233EE">
            <w:pPr>
              <w:jc w:val="right"/>
              <w:rPr>
                <w:rFonts w:eastAsia="Calibri"/>
                <w:sz w:val="20"/>
                <w:szCs w:val="20"/>
              </w:rPr>
            </w:pPr>
            <w:r w:rsidRPr="00882D39">
              <w:rPr>
                <w:rFonts w:eastAsia="Calibri"/>
                <w:sz w:val="20"/>
                <w:szCs w:val="20"/>
              </w:rPr>
              <w:t>3</w:t>
            </w:r>
          </w:p>
        </w:tc>
        <w:tc>
          <w:tcPr>
            <w:tcW w:w="1170" w:type="dxa"/>
            <w:vAlign w:val="bottom"/>
          </w:tcPr>
          <w:p w14:paraId="53587DDC" w14:textId="77777777" w:rsidR="00BF0676" w:rsidRPr="00882D39" w:rsidRDefault="00BF0676" w:rsidP="00B233EE">
            <w:pPr>
              <w:jc w:val="right"/>
              <w:rPr>
                <w:rFonts w:eastAsia="Calibri"/>
                <w:sz w:val="20"/>
                <w:szCs w:val="20"/>
              </w:rPr>
            </w:pPr>
            <w:r>
              <w:rPr>
                <w:rFonts w:eastAsia="Calibri"/>
                <w:sz w:val="20"/>
                <w:szCs w:val="20"/>
              </w:rPr>
              <w:t>495</w:t>
            </w:r>
          </w:p>
        </w:tc>
        <w:tc>
          <w:tcPr>
            <w:tcW w:w="1440" w:type="dxa"/>
            <w:vAlign w:val="bottom"/>
          </w:tcPr>
          <w:p w14:paraId="04E13479" w14:textId="77777777" w:rsidR="00BF0676" w:rsidRPr="00882D39" w:rsidRDefault="00BF0676" w:rsidP="00B233EE">
            <w:pPr>
              <w:jc w:val="right"/>
              <w:rPr>
                <w:sz w:val="20"/>
                <w:szCs w:val="20"/>
              </w:rPr>
            </w:pPr>
            <w:r w:rsidRPr="00882D39">
              <w:rPr>
                <w:sz w:val="20"/>
                <w:szCs w:val="20"/>
              </w:rPr>
              <w:t>16</w:t>
            </w:r>
            <w:r>
              <w:rPr>
                <w:sz w:val="20"/>
                <w:szCs w:val="20"/>
              </w:rPr>
              <w:t>7</w:t>
            </w:r>
            <w:r w:rsidRPr="00882D39">
              <w:rPr>
                <w:sz w:val="20"/>
                <w:szCs w:val="20"/>
              </w:rPr>
              <w:t xml:space="preserve"> hrs.;</w:t>
            </w:r>
            <w:r>
              <w:rPr>
                <w:sz w:val="20"/>
                <w:szCs w:val="20"/>
              </w:rPr>
              <w:t xml:space="preserve"> $13,193</w:t>
            </w:r>
          </w:p>
        </w:tc>
        <w:tc>
          <w:tcPr>
            <w:tcW w:w="1530" w:type="dxa"/>
            <w:vAlign w:val="bottom"/>
          </w:tcPr>
          <w:p w14:paraId="4EA6A760" w14:textId="77777777" w:rsidR="00BF0676" w:rsidRPr="00882D39" w:rsidRDefault="00BF0676" w:rsidP="00B233EE">
            <w:pPr>
              <w:jc w:val="right"/>
              <w:rPr>
                <w:sz w:val="20"/>
                <w:szCs w:val="20"/>
              </w:rPr>
            </w:pPr>
            <w:r>
              <w:rPr>
                <w:sz w:val="20"/>
                <w:szCs w:val="20"/>
              </w:rPr>
              <w:t>82,665 hrs.; $6,530,535</w:t>
            </w:r>
          </w:p>
        </w:tc>
        <w:tc>
          <w:tcPr>
            <w:tcW w:w="1620" w:type="dxa"/>
            <w:vAlign w:val="bottom"/>
          </w:tcPr>
          <w:p w14:paraId="6A6FE829" w14:textId="77777777" w:rsidR="00BF0676" w:rsidRPr="00882D39" w:rsidRDefault="00BF0676" w:rsidP="00B233EE">
            <w:pPr>
              <w:jc w:val="right"/>
              <w:rPr>
                <w:sz w:val="20"/>
                <w:szCs w:val="20"/>
              </w:rPr>
            </w:pPr>
            <w:r>
              <w:rPr>
                <w:sz w:val="20"/>
                <w:szCs w:val="20"/>
              </w:rPr>
              <w:t>$39,579</w:t>
            </w:r>
          </w:p>
        </w:tc>
      </w:tr>
      <w:tr w:rsidR="00BF0676" w:rsidRPr="00882D39" w14:paraId="733BC366" w14:textId="77777777" w:rsidTr="00B233EE">
        <w:trPr>
          <w:cantSplit/>
        </w:trPr>
        <w:tc>
          <w:tcPr>
            <w:tcW w:w="1350" w:type="dxa"/>
            <w:vAlign w:val="bottom"/>
          </w:tcPr>
          <w:p w14:paraId="0FF311E8" w14:textId="77777777" w:rsidR="00BF0676" w:rsidRPr="00882D39" w:rsidRDefault="00BF0676" w:rsidP="00B233EE">
            <w:pPr>
              <w:rPr>
                <w:rFonts w:eastAsia="Calibri"/>
                <w:i/>
                <w:sz w:val="20"/>
                <w:szCs w:val="20"/>
              </w:rPr>
            </w:pPr>
            <w:r w:rsidRPr="00882D39">
              <w:rPr>
                <w:rFonts w:eastAsia="Calibri"/>
                <w:i/>
                <w:sz w:val="20"/>
                <w:szCs w:val="20"/>
              </w:rPr>
              <w:t>Total for FERC 3-Q</w:t>
            </w:r>
          </w:p>
        </w:tc>
        <w:tc>
          <w:tcPr>
            <w:tcW w:w="1350" w:type="dxa"/>
            <w:shd w:val="clear" w:color="auto" w:fill="D9D9D9"/>
            <w:vAlign w:val="bottom"/>
          </w:tcPr>
          <w:p w14:paraId="7B029B63" w14:textId="77777777" w:rsidR="00BF0676" w:rsidRPr="00882D39" w:rsidRDefault="00BF0676" w:rsidP="00B233EE">
            <w:pPr>
              <w:jc w:val="right"/>
              <w:rPr>
                <w:rFonts w:eastAsia="Calibri"/>
                <w:sz w:val="20"/>
                <w:szCs w:val="20"/>
              </w:rPr>
            </w:pPr>
          </w:p>
        </w:tc>
        <w:tc>
          <w:tcPr>
            <w:tcW w:w="1260" w:type="dxa"/>
            <w:shd w:val="clear" w:color="auto" w:fill="D9D9D9"/>
            <w:vAlign w:val="bottom"/>
          </w:tcPr>
          <w:p w14:paraId="2E102851" w14:textId="77777777" w:rsidR="00BF0676" w:rsidRPr="00882D39" w:rsidRDefault="00BF0676" w:rsidP="00B233EE">
            <w:pPr>
              <w:jc w:val="right"/>
              <w:rPr>
                <w:rFonts w:eastAsia="Calibri"/>
                <w:sz w:val="20"/>
                <w:szCs w:val="20"/>
              </w:rPr>
            </w:pPr>
          </w:p>
        </w:tc>
        <w:tc>
          <w:tcPr>
            <w:tcW w:w="1170" w:type="dxa"/>
            <w:vAlign w:val="bottom"/>
          </w:tcPr>
          <w:p w14:paraId="3CE76EF0" w14:textId="77777777" w:rsidR="00BF0676" w:rsidRPr="00882D39" w:rsidRDefault="00BF0676" w:rsidP="00B233EE">
            <w:pPr>
              <w:jc w:val="right"/>
              <w:rPr>
                <w:rFonts w:eastAsia="Calibri"/>
                <w:sz w:val="20"/>
                <w:szCs w:val="20"/>
              </w:rPr>
            </w:pPr>
            <w:r>
              <w:rPr>
                <w:rFonts w:eastAsia="Calibri"/>
                <w:sz w:val="20"/>
                <w:szCs w:val="20"/>
              </w:rPr>
              <w:t>1,131</w:t>
            </w:r>
          </w:p>
        </w:tc>
        <w:tc>
          <w:tcPr>
            <w:tcW w:w="1440" w:type="dxa"/>
            <w:shd w:val="clear" w:color="auto" w:fill="D9D9D9"/>
            <w:vAlign w:val="bottom"/>
          </w:tcPr>
          <w:p w14:paraId="1597B9EB" w14:textId="77777777" w:rsidR="00BF0676" w:rsidRPr="00882D39" w:rsidRDefault="00BF0676" w:rsidP="00B233EE">
            <w:pPr>
              <w:jc w:val="right"/>
              <w:rPr>
                <w:sz w:val="20"/>
                <w:szCs w:val="20"/>
              </w:rPr>
            </w:pPr>
          </w:p>
        </w:tc>
        <w:tc>
          <w:tcPr>
            <w:tcW w:w="1530" w:type="dxa"/>
            <w:vAlign w:val="bottom"/>
          </w:tcPr>
          <w:p w14:paraId="78C41FD8" w14:textId="77777777" w:rsidR="00BF0676" w:rsidRPr="00882D39" w:rsidRDefault="00BF0676" w:rsidP="00B233EE">
            <w:pPr>
              <w:jc w:val="right"/>
              <w:rPr>
                <w:sz w:val="20"/>
                <w:szCs w:val="20"/>
              </w:rPr>
            </w:pPr>
            <w:r>
              <w:rPr>
                <w:sz w:val="20"/>
                <w:szCs w:val="20"/>
              </w:rPr>
              <w:t>189,513 hrs.; $14,971,527</w:t>
            </w:r>
          </w:p>
        </w:tc>
        <w:tc>
          <w:tcPr>
            <w:tcW w:w="1620" w:type="dxa"/>
            <w:shd w:val="clear" w:color="auto" w:fill="D9D9D9"/>
            <w:vAlign w:val="bottom"/>
          </w:tcPr>
          <w:p w14:paraId="17069982" w14:textId="77777777" w:rsidR="00BF0676" w:rsidRPr="00882D39" w:rsidRDefault="00BF0676" w:rsidP="00B233EE">
            <w:pPr>
              <w:jc w:val="right"/>
              <w:rPr>
                <w:sz w:val="20"/>
                <w:szCs w:val="20"/>
              </w:rPr>
            </w:pPr>
          </w:p>
        </w:tc>
      </w:tr>
    </w:tbl>
    <w:p w14:paraId="3D7E13ED" w14:textId="5018F7FA" w:rsidR="00C26571" w:rsidRDefault="00C26571" w:rsidP="00C26571">
      <w:pPr>
        <w:spacing w:line="480" w:lineRule="auto"/>
        <w:rPr>
          <w:szCs w:val="26"/>
        </w:rPr>
      </w:pPr>
    </w:p>
    <w:p w14:paraId="6ED19215" w14:textId="2F49AF12" w:rsidR="00AE1F12" w:rsidRDefault="00AE1F12" w:rsidP="00AE1F12">
      <w:pPr>
        <w:spacing w:line="480" w:lineRule="auto"/>
      </w:pPr>
      <w:r>
        <w:rPr>
          <w:i/>
        </w:rPr>
        <w:t xml:space="preserve">Comments:  </w:t>
      </w:r>
      <w:r>
        <w:t>Comments are invited on:  (1) whether the collection</w:t>
      </w:r>
      <w:r w:rsidR="00C26571">
        <w:t>s</w:t>
      </w:r>
      <w:r>
        <w:t xml:space="preserve"> of information </w:t>
      </w:r>
      <w:r w:rsidR="0015537A">
        <w:t xml:space="preserve">are </w:t>
      </w:r>
      <w:r>
        <w:t>necessary for the proper performance of the functions of the Commission, including whether the information will have practical utility; (2) the accuracy of the agency’s estimate</w:t>
      </w:r>
      <w:r w:rsidR="00C26571">
        <w:t>s</w:t>
      </w:r>
      <w:r>
        <w:t xml:space="preserve"> of the burden and cost of the collection</w:t>
      </w:r>
      <w:r w:rsidR="00C26571">
        <w:t>s</w:t>
      </w:r>
      <w:r>
        <w:t xml:space="preserve"> of information, including the validity of the methodology and assumptions used; (3) ways to enhance the quality, utility and clarity of the information collection</w:t>
      </w:r>
      <w:r w:rsidR="00C26571">
        <w:t>s</w:t>
      </w:r>
      <w:r>
        <w:t>; and (4) ways to minimize the burden of the collection</w:t>
      </w:r>
      <w:r w:rsidR="00C26571">
        <w:t>s</w:t>
      </w:r>
      <w:r>
        <w:t xml:space="preserve"> of information on those who are to respond, including the use of automated collection techniques or other forms of information technology.  </w:t>
      </w:r>
    </w:p>
    <w:p w14:paraId="647D348B" w14:textId="37458289" w:rsidR="00F11631" w:rsidRDefault="00F11631" w:rsidP="00DE4E18"/>
    <w:p w14:paraId="00ADA01C" w14:textId="5299FD50" w:rsidR="00DE4E18" w:rsidRDefault="00DE4E18" w:rsidP="00DE4E18"/>
    <w:p w14:paraId="7897D358" w14:textId="0D73F4C1" w:rsidR="00DE4E18" w:rsidRDefault="00DE4E18" w:rsidP="00DE4E18"/>
    <w:p w14:paraId="34814384" w14:textId="65E908C3" w:rsidR="00DE4E18" w:rsidRDefault="00DE4E18" w:rsidP="00DE4E18"/>
    <w:p w14:paraId="3801FBBB" w14:textId="6A8C8557" w:rsidR="00DE4E18" w:rsidRPr="00DE4E18" w:rsidRDefault="00DE4E18" w:rsidP="00DE4E18">
      <w:pPr>
        <w:ind w:firstLine="2606"/>
        <w:jc w:val="center"/>
      </w:pPr>
      <w:r w:rsidRPr="00DE4E18">
        <w:t>Nathaniel J. Davis, Sr.,</w:t>
      </w:r>
    </w:p>
    <w:p w14:paraId="5F3D4558" w14:textId="2BE4483A" w:rsidR="00DE4E18" w:rsidRPr="00DE4E18" w:rsidRDefault="00DE4E18" w:rsidP="00DE4E18">
      <w:pPr>
        <w:ind w:firstLine="2606"/>
        <w:jc w:val="center"/>
      </w:pPr>
      <w:r w:rsidRPr="00DE4E18">
        <w:t>Deputy Secretary.</w:t>
      </w:r>
    </w:p>
    <w:p w14:paraId="0BAB013A" w14:textId="77777777" w:rsidR="00DE4E18" w:rsidRDefault="00DE4E18" w:rsidP="00DE4E18"/>
    <w:sectPr w:rsidR="00DE4E18" w:rsidSect="00BF2D74">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A1FD1" w14:textId="77777777" w:rsidR="00DC486A" w:rsidRDefault="00DC486A" w:rsidP="00B01B16">
      <w:r>
        <w:separator/>
      </w:r>
    </w:p>
  </w:endnote>
  <w:endnote w:type="continuationSeparator" w:id="0">
    <w:p w14:paraId="2B4CD602" w14:textId="77777777" w:rsidR="00DC486A" w:rsidRDefault="00DC486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3F586" w14:textId="77777777" w:rsidR="00DC486A" w:rsidRDefault="00DC486A" w:rsidP="00B01B16">
      <w:r>
        <w:separator/>
      </w:r>
    </w:p>
  </w:footnote>
  <w:footnote w:type="continuationSeparator" w:id="0">
    <w:p w14:paraId="54399F76" w14:textId="77777777" w:rsidR="00DC486A" w:rsidRDefault="00DC486A" w:rsidP="00B01B16">
      <w:r>
        <w:continuationSeparator/>
      </w:r>
    </w:p>
  </w:footnote>
  <w:footnote w:id="1">
    <w:p w14:paraId="28D9DD45" w14:textId="306B8516" w:rsidR="00C26571" w:rsidRPr="008F73E8" w:rsidRDefault="00C26571" w:rsidP="00C26571">
      <w:pPr>
        <w:pStyle w:val="FootnoteText"/>
        <w:rPr>
          <w:sz w:val="26"/>
          <w:szCs w:val="26"/>
        </w:rPr>
      </w:pPr>
      <w:r w:rsidRPr="00605F00">
        <w:rPr>
          <w:rStyle w:val="FootnoteReference"/>
        </w:rPr>
        <w:footnoteRef/>
      </w:r>
      <w:r>
        <w:rPr>
          <w:sz w:val="26"/>
          <w:szCs w:val="26"/>
        </w:rPr>
        <w:t xml:space="preserve"> FERC Form Nos. </w:t>
      </w:r>
      <w:r w:rsidR="00D54C51">
        <w:rPr>
          <w:sz w:val="26"/>
          <w:szCs w:val="26"/>
        </w:rPr>
        <w:t>1, 1-F, and 3-Q</w:t>
      </w:r>
      <w:r w:rsidRPr="00210146">
        <w:rPr>
          <w:sz w:val="26"/>
          <w:szCs w:val="26"/>
        </w:rPr>
        <w:t xml:space="preserve"> are part of the “Forms Refresh” effort, which is a separate activity and not addressed here.</w:t>
      </w:r>
      <w:r w:rsidR="005260FB" w:rsidRPr="005260FB">
        <w:rPr>
          <w:i/>
          <w:sz w:val="26"/>
          <w:szCs w:val="26"/>
        </w:rPr>
        <w:t xml:space="preserve"> </w:t>
      </w:r>
      <w:r w:rsidR="005260FB">
        <w:rPr>
          <w:i/>
          <w:sz w:val="26"/>
          <w:szCs w:val="26"/>
        </w:rPr>
        <w:t xml:space="preserve"> </w:t>
      </w:r>
      <w:r w:rsidR="005260FB" w:rsidRPr="0087220B">
        <w:rPr>
          <w:i/>
          <w:sz w:val="26"/>
          <w:szCs w:val="26"/>
        </w:rPr>
        <w:t>See Revisions to the Filing Process for Commission Forms</w:t>
      </w:r>
      <w:r w:rsidR="005260FB" w:rsidRPr="0087220B">
        <w:rPr>
          <w:sz w:val="26"/>
          <w:szCs w:val="26"/>
        </w:rPr>
        <w:t xml:space="preserve">, Order No. 859, </w:t>
      </w:r>
      <w:r w:rsidR="008E0992">
        <w:rPr>
          <w:sz w:val="26"/>
          <w:szCs w:val="26"/>
        </w:rPr>
        <w:t>1</w:t>
      </w:r>
      <w:r w:rsidR="005260FB" w:rsidRPr="0087220B">
        <w:rPr>
          <w:sz w:val="26"/>
          <w:szCs w:val="26"/>
        </w:rPr>
        <w:t>67 FERC ¶ 61,241 (2019)</w:t>
      </w:r>
      <w:r w:rsidRPr="00210146">
        <w:rPr>
          <w:sz w:val="26"/>
          <w:szCs w:val="26"/>
        </w:rPr>
        <w:t xml:space="preserve"> </w:t>
      </w:r>
      <w:r w:rsidRPr="00177711">
        <w:rPr>
          <w:sz w:val="26"/>
          <w:szCs w:val="26"/>
        </w:rPr>
        <w:t>(</w:t>
      </w:r>
      <w:r w:rsidR="005260FB">
        <w:rPr>
          <w:sz w:val="26"/>
          <w:szCs w:val="26"/>
        </w:rPr>
        <w:t>s</w:t>
      </w:r>
      <w:r w:rsidR="005260FB" w:rsidRPr="00177711">
        <w:rPr>
          <w:sz w:val="26"/>
          <w:szCs w:val="26"/>
        </w:rPr>
        <w:t>tarted</w:t>
      </w:r>
      <w:r w:rsidRPr="00177711">
        <w:rPr>
          <w:sz w:val="26"/>
          <w:szCs w:val="26"/>
        </w:rPr>
        <w:t xml:space="preserve"> in Docket No. AD15-11 and ongoing in Docket No. RM19-12)</w:t>
      </w:r>
      <w:r>
        <w:rPr>
          <w:sz w:val="26"/>
          <w:szCs w:val="26"/>
        </w:rPr>
        <w:t xml:space="preserve">.  </w:t>
      </w:r>
      <w:r w:rsidRPr="00210146">
        <w:rPr>
          <w:sz w:val="26"/>
          <w:szCs w:val="26"/>
        </w:rPr>
        <w:t xml:space="preserve"> </w:t>
      </w:r>
    </w:p>
    <w:p w14:paraId="490A6586" w14:textId="77777777" w:rsidR="00C26571" w:rsidRPr="00605F00" w:rsidRDefault="00C26571" w:rsidP="00C26571">
      <w:pPr>
        <w:pStyle w:val="FootnoteText"/>
        <w:rPr>
          <w:sz w:val="26"/>
          <w:szCs w:val="26"/>
        </w:rPr>
      </w:pPr>
    </w:p>
  </w:footnote>
  <w:footnote w:id="2">
    <w:p w14:paraId="5B796255" w14:textId="77777777" w:rsidR="00BF0676" w:rsidRDefault="00BF0676" w:rsidP="00BF0676">
      <w:pPr>
        <w:pStyle w:val="FootnoteText"/>
      </w:pPr>
      <w:r>
        <w:rPr>
          <w:rStyle w:val="FootnoteReference"/>
        </w:rPr>
        <w:footnoteRef/>
      </w:r>
      <w:r>
        <w:t xml:space="preserve"> </w:t>
      </w:r>
      <w:r w:rsidRPr="007E64D7">
        <w:rPr>
          <w:sz w:val="26"/>
          <w:szCs w:val="26"/>
        </w:rPr>
        <w:t>As detailed in 18 CFR 101 (Uniform System of Accounts Prescribed for Public Utilities and Licensees Subject to the Provision of the Federal Power Act, Genera</w:t>
      </w:r>
      <w:r>
        <w:rPr>
          <w:sz w:val="26"/>
          <w:szCs w:val="26"/>
        </w:rPr>
        <w:t>l Instructions) and 18 CFR 141.1</w:t>
      </w:r>
      <w:r w:rsidRPr="007E64D7">
        <w:rPr>
          <w:sz w:val="26"/>
          <w:szCs w:val="26"/>
        </w:rPr>
        <w:t>.</w:t>
      </w:r>
    </w:p>
  </w:footnote>
  <w:footnote w:id="3">
    <w:p w14:paraId="5ABE416D" w14:textId="1800FB55" w:rsidR="00BF0676" w:rsidRDefault="00BF0676" w:rsidP="00BF067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defined as</w:t>
      </w:r>
      <w:r w:rsidRPr="006536D8">
        <w:rPr>
          <w:sz w:val="26"/>
          <w:szCs w:val="26"/>
        </w:rPr>
        <w:t xml:space="preserve"> the total time, effort, or financial resources expended by persons to generate, maintain, retain, or disclose or provide information to or for a Federal agency. </w:t>
      </w:r>
      <w:r w:rsidR="001801AB">
        <w:rPr>
          <w:sz w:val="26"/>
          <w:szCs w:val="26"/>
        </w:rPr>
        <w:t xml:space="preserve"> </w:t>
      </w:r>
      <w:r w:rsidRPr="006536D8">
        <w:rPr>
          <w:sz w:val="26"/>
          <w:szCs w:val="26"/>
        </w:rPr>
        <w:t>For further explanation of what is included in the information collection burden, refer to Title 5 Code of Federal Regulations 1320.3.</w:t>
      </w:r>
    </w:p>
    <w:p w14:paraId="1BA0E522" w14:textId="77777777" w:rsidR="001801AB" w:rsidRPr="006536D8" w:rsidRDefault="001801AB" w:rsidP="00BF0676">
      <w:pPr>
        <w:pStyle w:val="FootnoteText"/>
        <w:rPr>
          <w:sz w:val="26"/>
          <w:szCs w:val="26"/>
        </w:rPr>
      </w:pPr>
    </w:p>
  </w:footnote>
  <w:footnote w:id="4">
    <w:p w14:paraId="4FE0D7AD" w14:textId="77777777" w:rsidR="00BF0676" w:rsidRDefault="00BF0676" w:rsidP="00BF0676">
      <w:pPr>
        <w:pStyle w:val="FootnoteText"/>
        <w:rPr>
          <w:sz w:val="26"/>
          <w:szCs w:val="26"/>
        </w:rPr>
      </w:pPr>
      <w:r>
        <w:rPr>
          <w:rStyle w:val="FootnoteReference"/>
        </w:rPr>
        <w:footnoteRef/>
      </w:r>
      <w:r>
        <w:t xml:space="preserve"> </w:t>
      </w:r>
      <w:r w:rsidRPr="00E1426D">
        <w:rPr>
          <w:sz w:val="26"/>
          <w:szCs w:val="26"/>
        </w:rPr>
        <w:t xml:space="preserve">The Commission staff believes the FERC FTE (full-time equivalent) average </w:t>
      </w:r>
      <w:r>
        <w:rPr>
          <w:sz w:val="26"/>
          <w:szCs w:val="26"/>
        </w:rPr>
        <w:t>cost for wages</w:t>
      </w:r>
      <w:r w:rsidRPr="00E1426D">
        <w:rPr>
          <w:sz w:val="26"/>
          <w:szCs w:val="26"/>
        </w:rPr>
        <w:t xml:space="preserve"> plus benefits is representative of </w:t>
      </w:r>
      <w:r>
        <w:rPr>
          <w:sz w:val="26"/>
          <w:szCs w:val="26"/>
        </w:rPr>
        <w:t>the corresponding cost</w:t>
      </w:r>
      <w:r w:rsidRPr="00E1426D">
        <w:rPr>
          <w:sz w:val="26"/>
          <w:szCs w:val="26"/>
        </w:rPr>
        <w:t xml:space="preserve"> for the industry respondents. </w:t>
      </w:r>
      <w:r>
        <w:rPr>
          <w:sz w:val="26"/>
          <w:szCs w:val="26"/>
        </w:rPr>
        <w:t xml:space="preserve"> </w:t>
      </w:r>
      <w:r w:rsidRPr="00E1426D">
        <w:rPr>
          <w:sz w:val="26"/>
          <w:szCs w:val="26"/>
        </w:rPr>
        <w:t xml:space="preserve">The FERC 2018 average salary plus benefits for one FERC FTE is $164,820/year (or $79.00/hour).  </w:t>
      </w:r>
    </w:p>
    <w:p w14:paraId="76899AB5" w14:textId="77777777" w:rsidR="001801AB" w:rsidRDefault="001801AB" w:rsidP="00BF0676">
      <w:pPr>
        <w:pStyle w:val="FootnoteText"/>
      </w:pPr>
    </w:p>
  </w:footnote>
  <w:footnote w:id="5">
    <w:p w14:paraId="4EBA9FA2" w14:textId="77777777" w:rsidR="00BF0676" w:rsidRPr="007E64D7" w:rsidRDefault="00BF0676" w:rsidP="00BF0676">
      <w:pPr>
        <w:pStyle w:val="FootnoteText"/>
        <w:rPr>
          <w:sz w:val="26"/>
          <w:szCs w:val="26"/>
        </w:rPr>
      </w:pPr>
      <w:r w:rsidRPr="007E64D7">
        <w:rPr>
          <w:rStyle w:val="FootnoteReference"/>
        </w:rPr>
        <w:footnoteRef/>
      </w:r>
      <w:r w:rsidRPr="007E64D7">
        <w:rPr>
          <w:sz w:val="26"/>
          <w:szCs w:val="26"/>
        </w:rPr>
        <w:t xml:space="preserve"> As detailed in 18 CFR 101 (Uniform System of Accounts Prescribed for Public Utilities and Licensees Subject to the Provision of the Federal Power Act, General Instructions) and 18 CFR 141.2.</w:t>
      </w:r>
    </w:p>
  </w:footnote>
  <w:footnote w:id="6">
    <w:p w14:paraId="58918216" w14:textId="64494BB5" w:rsidR="00C40064" w:rsidRDefault="00C40064" w:rsidP="00C40064">
      <w:pPr>
        <w:pStyle w:val="FootnoteText"/>
        <w:rPr>
          <w:sz w:val="26"/>
          <w:szCs w:val="26"/>
        </w:rPr>
      </w:pPr>
      <w:r>
        <w:rPr>
          <w:rStyle w:val="FootnoteReference"/>
        </w:rPr>
        <w:footnoteRef/>
      </w:r>
      <w:r>
        <w:rPr>
          <w:sz w:val="26"/>
          <w:szCs w:val="26"/>
        </w:rPr>
        <w:t>The BEA comment is posted in FERC’s eLibrary at</w:t>
      </w:r>
      <w:r w:rsidR="00C83A37">
        <w:rPr>
          <w:sz w:val="26"/>
          <w:szCs w:val="26"/>
        </w:rPr>
        <w:t xml:space="preserve"> </w:t>
      </w:r>
      <w:r w:rsidR="00C83A37" w:rsidRPr="00C83A37">
        <w:rPr>
          <w:sz w:val="26"/>
          <w:szCs w:val="26"/>
        </w:rPr>
        <w:t>https://elibrary.ferc.gov/idmws/common/OpenNat.asp?fileID=15275219</w:t>
      </w:r>
      <w:r w:rsidR="00C83A37">
        <w:rPr>
          <w:sz w:val="26"/>
          <w:szCs w:val="26"/>
        </w:rPr>
        <w:t>.</w:t>
      </w:r>
    </w:p>
    <w:p w14:paraId="61386D51" w14:textId="77777777" w:rsidR="00C40064" w:rsidRPr="00F00D8E" w:rsidRDefault="00C40064" w:rsidP="00C40064">
      <w:pPr>
        <w:pStyle w:val="FootnoteText"/>
        <w:rPr>
          <w:sz w:val="26"/>
          <w:szCs w:val="26"/>
        </w:rPr>
      </w:pPr>
    </w:p>
  </w:footnote>
  <w:footnote w:id="7">
    <w:p w14:paraId="3D6F71CA" w14:textId="0486F4CC" w:rsidR="00BF0676" w:rsidRPr="007E64D7" w:rsidRDefault="00BF0676" w:rsidP="00BF0676">
      <w:pPr>
        <w:pStyle w:val="FootnoteText"/>
        <w:rPr>
          <w:sz w:val="26"/>
          <w:szCs w:val="26"/>
        </w:rPr>
      </w:pPr>
      <w:r w:rsidRPr="007E64D7">
        <w:rPr>
          <w:rStyle w:val="FootnoteReference"/>
        </w:rPr>
        <w:footnoteRef/>
      </w:r>
      <w:r w:rsidRPr="007E64D7">
        <w:rPr>
          <w:sz w:val="26"/>
          <w:szCs w:val="26"/>
        </w:rPr>
        <w:t xml:space="preserve"> 18 CFR 260.1(b) states that for natural gas companies </w:t>
      </w:r>
      <w:r>
        <w:rPr>
          <w:sz w:val="26"/>
          <w:szCs w:val="26"/>
        </w:rPr>
        <w:t xml:space="preserve">as defined </w:t>
      </w:r>
      <w:r w:rsidRPr="007E64D7">
        <w:rPr>
          <w:sz w:val="26"/>
          <w:szCs w:val="26"/>
        </w:rPr>
        <w:t xml:space="preserve">by the Natural Gas Act, </w:t>
      </w:r>
      <w:r>
        <w:rPr>
          <w:sz w:val="26"/>
          <w:szCs w:val="26"/>
        </w:rPr>
        <w:t xml:space="preserve">Major </w:t>
      </w:r>
      <w:r w:rsidRPr="007E64D7">
        <w:rPr>
          <w:sz w:val="26"/>
          <w:szCs w:val="26"/>
        </w:rPr>
        <w:t xml:space="preserve">pertains to a company whose combined gas transported or stored for a fee exceed 50 million Dth in each of the three previous calendar years.  18 CFR 260.2(b) states that for natural gas companies as defined by the Natural Gas Act, </w:t>
      </w:r>
      <w:r w:rsidR="006C6DC0">
        <w:rPr>
          <w:sz w:val="26"/>
          <w:szCs w:val="26"/>
        </w:rPr>
        <w:t>Nonmajor</w:t>
      </w:r>
      <w:r>
        <w:rPr>
          <w:sz w:val="26"/>
          <w:szCs w:val="26"/>
        </w:rPr>
        <w:t xml:space="preserve"> </w:t>
      </w:r>
      <w:r w:rsidRPr="007E64D7">
        <w:rPr>
          <w:sz w:val="26"/>
          <w:szCs w:val="26"/>
        </w:rPr>
        <w:t xml:space="preserve">pertains to a company not meeting the filing threshold for </w:t>
      </w:r>
      <w:r>
        <w:rPr>
          <w:sz w:val="26"/>
          <w:szCs w:val="26"/>
        </w:rPr>
        <w:t>FERC Form No. 2</w:t>
      </w:r>
      <w:r w:rsidRPr="007E64D7">
        <w:rPr>
          <w:sz w:val="26"/>
          <w:szCs w:val="26"/>
        </w:rPr>
        <w:t>, but having total gas sales or volume transactions exceeding 200,000 Dth in each of the three previous calendar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1514C467" w:rsidR="00810D18" w:rsidRDefault="00A16395" w:rsidP="00810D18">
    <w:pPr>
      <w:pStyle w:val="Header"/>
    </w:pPr>
    <w:r>
      <w:rPr>
        <w:noProof/>
      </w:rPr>
      <mc:AlternateContent>
        <mc:Choice Requires="wps">
          <w:drawing>
            <wp:anchor distT="0" distB="0" distL="114300" distR="114300" simplePos="0" relativeHeight="251659264" behindDoc="0" locked="0" layoutInCell="0" allowOverlap="1" wp14:anchorId="463EC338" wp14:editId="7228FDEA">
              <wp:simplePos x="0" y="0"/>
              <wp:positionH relativeFrom="page">
                <wp:posOffset>0</wp:posOffset>
              </wp:positionH>
              <wp:positionV relativeFrom="page">
                <wp:posOffset>190500</wp:posOffset>
              </wp:positionV>
              <wp:extent cx="7772400" cy="266700"/>
              <wp:effectExtent l="0" t="0" r="0" b="0"/>
              <wp:wrapNone/>
              <wp:docPr id="1" name="MSIPCM4c2846048fe2e79a6a8cbd0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0E5EAA" w14:textId="52FF70F4" w:rsidR="00A16395" w:rsidRPr="00A16395" w:rsidRDefault="00A16395" w:rsidP="00A1639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c2846048fe2e79a6a8cbd07"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" o:allowincell="f" filled="f" stroked="f" strokeweight=".5pt">
              <v:textbox inset=",0,,0">
                <w:txbxContent>
                  <w:p w14:paraId="060E5EAA" w14:textId="52FF70F4" w:rsidR="00A16395" w:rsidRPr="00A16395" w:rsidRDefault="00A16395" w:rsidP="00A16395">
                    <w:pPr>
                      <w:jc w:val="center"/>
                      <w:rPr>
                        <w:color w:val="A80000"/>
                      </w:rPr>
                    </w:pPr>
                  </w:p>
                </w:txbxContent>
              </v:textbox>
              <w10:wrap anchorx="page" anchory="page"/>
            </v:shape>
          </w:pict>
        </mc:Fallback>
      </mc:AlternateContent>
    </w:r>
    <w:r w:rsidR="00810D18">
      <w:t xml:space="preserve">Docket No. </w:t>
    </w:r>
    <w:r w:rsidR="00D54C51">
      <w:t>IC19-22-000</w:t>
    </w:r>
    <w:r w:rsidR="00810D18">
      <w:tab/>
    </w:r>
    <w:sdt>
      <w:sdtPr>
        <w:id w:val="1515886245"/>
        <w:docPartObj>
          <w:docPartGallery w:val="Page Numbers (Top of Page)"/>
          <w:docPartUnique/>
        </w:docPartObj>
      </w:sdtPr>
      <w:sdtEndPr>
        <w:rPr>
          <w:noProof/>
        </w:rPr>
      </w:sdtEndPr>
      <w:sdtContent>
        <w:r w:rsidR="00810D18">
          <w:fldChar w:fldCharType="begin"/>
        </w:r>
        <w:r w:rsidR="00810D18">
          <w:instrText xml:space="preserve"> PAGE   \* MERGEFORMAT </w:instrText>
        </w:r>
        <w:r w:rsidR="00810D18">
          <w:fldChar w:fldCharType="separate"/>
        </w:r>
        <w:r w:rsidR="007E0B4F">
          <w:rPr>
            <w:noProof/>
          </w:rPr>
          <w:t>2</w:t>
        </w:r>
        <w:r w:rsidR="00810D18">
          <w:rPr>
            <w:noProof/>
          </w:rPr>
          <w:fldChar w:fldCharType="end"/>
        </w:r>
      </w:sdtContent>
    </w:sdt>
  </w:p>
  <w:p w14:paraId="10170C13" w14:textId="76D2DB34" w:rsidR="00BF2D74" w:rsidRDefault="00BF2D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33F5" w14:textId="43345BF4" w:rsidR="00A16395" w:rsidRDefault="00A16395">
    <w:pPr>
      <w:pStyle w:val="Header"/>
    </w:pPr>
    <w:r>
      <w:rPr>
        <w:noProof/>
      </w:rPr>
      <mc:AlternateContent>
        <mc:Choice Requires="wps">
          <w:drawing>
            <wp:anchor distT="0" distB="0" distL="114300" distR="114300" simplePos="0" relativeHeight="251660288" behindDoc="0" locked="0" layoutInCell="0" allowOverlap="1" wp14:anchorId="4AB882B2" wp14:editId="6DF03002">
              <wp:simplePos x="0" y="0"/>
              <wp:positionH relativeFrom="page">
                <wp:posOffset>0</wp:posOffset>
              </wp:positionH>
              <wp:positionV relativeFrom="page">
                <wp:posOffset>190500</wp:posOffset>
              </wp:positionV>
              <wp:extent cx="7772400" cy="266700"/>
              <wp:effectExtent l="0" t="0" r="0" b="0"/>
              <wp:wrapNone/>
              <wp:docPr id="2" name="MSIPCMff704c009370aa783babb3c5"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BB3BF1" w14:textId="2C9D1B01" w:rsidR="00A16395" w:rsidRPr="00A16395" w:rsidRDefault="00A16395" w:rsidP="00A16395">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f704c009370aa783babb3c5"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" o:allowincell="f" filled="f" stroked="f" strokeweight=".5pt">
              <v:textbox inset=",0,,0">
                <w:txbxContent>
                  <w:p w14:paraId="64BB3BF1" w14:textId="2C9D1B01" w:rsidR="00A16395" w:rsidRPr="00A16395" w:rsidRDefault="00A16395" w:rsidP="00A16395">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BD249F5"/>
    <w:multiLevelType w:val="hybridMultilevel"/>
    <w:tmpl w:val="1448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E0C0B7D"/>
    <w:multiLevelType w:val="hybridMultilevel"/>
    <w:tmpl w:val="F97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D693FAC"/>
    <w:multiLevelType w:val="hybridMultilevel"/>
    <w:tmpl w:val="BD74A9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67422AC1"/>
    <w:multiLevelType w:val="hybridMultilevel"/>
    <w:tmpl w:val="CA0257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6BC11F33"/>
    <w:multiLevelType w:val="hybridMultilevel"/>
    <w:tmpl w:val="5FACD1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78E94660"/>
    <w:multiLevelType w:val="hybridMultilevel"/>
    <w:tmpl w:val="0712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2E4C8C"/>
    <w:multiLevelType w:val="hybridMultilevel"/>
    <w:tmpl w:val="9428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A417BE"/>
    <w:multiLevelType w:val="hybridMultilevel"/>
    <w:tmpl w:val="306E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7"/>
  </w:num>
  <w:num w:numId="7">
    <w:abstractNumId w:val="9"/>
  </w:num>
  <w:num w:numId="8">
    <w:abstractNumId w:val="6"/>
  </w:num>
  <w:num w:numId="9">
    <w:abstractNumId w:val="1"/>
  </w:num>
  <w:num w:numId="10">
    <w:abstractNumId w:val="8"/>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160EB"/>
    <w:rsid w:val="00023EA9"/>
    <w:rsid w:val="000241AE"/>
    <w:rsid w:val="000459B6"/>
    <w:rsid w:val="00056C5D"/>
    <w:rsid w:val="00062427"/>
    <w:rsid w:val="00073219"/>
    <w:rsid w:val="000809DE"/>
    <w:rsid w:val="000A0250"/>
    <w:rsid w:val="000A69C2"/>
    <w:rsid w:val="000A7E68"/>
    <w:rsid w:val="000E17FF"/>
    <w:rsid w:val="000E2568"/>
    <w:rsid w:val="000E35F3"/>
    <w:rsid w:val="000F53E8"/>
    <w:rsid w:val="0015537A"/>
    <w:rsid w:val="0015578A"/>
    <w:rsid w:val="00156BBB"/>
    <w:rsid w:val="001600DF"/>
    <w:rsid w:val="00171725"/>
    <w:rsid w:val="001801AB"/>
    <w:rsid w:val="00181BF7"/>
    <w:rsid w:val="00182B97"/>
    <w:rsid w:val="001A6AD6"/>
    <w:rsid w:val="001B132B"/>
    <w:rsid w:val="001B78B8"/>
    <w:rsid w:val="001B7DCC"/>
    <w:rsid w:val="001E612E"/>
    <w:rsid w:val="001E6510"/>
    <w:rsid w:val="002017D1"/>
    <w:rsid w:val="00203477"/>
    <w:rsid w:val="00215536"/>
    <w:rsid w:val="00224BF2"/>
    <w:rsid w:val="00253C4E"/>
    <w:rsid w:val="00266F69"/>
    <w:rsid w:val="0027452E"/>
    <w:rsid w:val="00275F5A"/>
    <w:rsid w:val="0028033D"/>
    <w:rsid w:val="00282086"/>
    <w:rsid w:val="00286705"/>
    <w:rsid w:val="0028785E"/>
    <w:rsid w:val="00293D56"/>
    <w:rsid w:val="002B57BA"/>
    <w:rsid w:val="002B7AA8"/>
    <w:rsid w:val="002C18A6"/>
    <w:rsid w:val="002D0202"/>
    <w:rsid w:val="002D5237"/>
    <w:rsid w:val="002D5998"/>
    <w:rsid w:val="002E0351"/>
    <w:rsid w:val="002F24E8"/>
    <w:rsid w:val="002F697A"/>
    <w:rsid w:val="003060F0"/>
    <w:rsid w:val="00311D90"/>
    <w:rsid w:val="003149BC"/>
    <w:rsid w:val="0031604C"/>
    <w:rsid w:val="0034195C"/>
    <w:rsid w:val="00341D6C"/>
    <w:rsid w:val="00347056"/>
    <w:rsid w:val="00357E26"/>
    <w:rsid w:val="00361371"/>
    <w:rsid w:val="00363638"/>
    <w:rsid w:val="00363841"/>
    <w:rsid w:val="003673EC"/>
    <w:rsid w:val="00376525"/>
    <w:rsid w:val="003960E0"/>
    <w:rsid w:val="003A1A72"/>
    <w:rsid w:val="003A3189"/>
    <w:rsid w:val="003C3E7A"/>
    <w:rsid w:val="003C7BC3"/>
    <w:rsid w:val="003D3F49"/>
    <w:rsid w:val="003E44AD"/>
    <w:rsid w:val="0040718A"/>
    <w:rsid w:val="00412B24"/>
    <w:rsid w:val="00430F61"/>
    <w:rsid w:val="00435191"/>
    <w:rsid w:val="00443282"/>
    <w:rsid w:val="0045734B"/>
    <w:rsid w:val="004759C4"/>
    <w:rsid w:val="0048493C"/>
    <w:rsid w:val="00485A51"/>
    <w:rsid w:val="0049480F"/>
    <w:rsid w:val="004C70C8"/>
    <w:rsid w:val="004C77EF"/>
    <w:rsid w:val="004D0DF9"/>
    <w:rsid w:val="004D27A2"/>
    <w:rsid w:val="004D694C"/>
    <w:rsid w:val="004F0724"/>
    <w:rsid w:val="004F26DA"/>
    <w:rsid w:val="00513DA8"/>
    <w:rsid w:val="00514B50"/>
    <w:rsid w:val="00516043"/>
    <w:rsid w:val="00516493"/>
    <w:rsid w:val="005202C4"/>
    <w:rsid w:val="005260FB"/>
    <w:rsid w:val="0054073B"/>
    <w:rsid w:val="0054746C"/>
    <w:rsid w:val="00556AE2"/>
    <w:rsid w:val="00585F73"/>
    <w:rsid w:val="005A0148"/>
    <w:rsid w:val="005A2F24"/>
    <w:rsid w:val="005A3F56"/>
    <w:rsid w:val="005B2147"/>
    <w:rsid w:val="005B4DA4"/>
    <w:rsid w:val="005C6D4E"/>
    <w:rsid w:val="005D16A1"/>
    <w:rsid w:val="005E1EDE"/>
    <w:rsid w:val="005E6D8A"/>
    <w:rsid w:val="005F3DAA"/>
    <w:rsid w:val="005F692C"/>
    <w:rsid w:val="005F726F"/>
    <w:rsid w:val="006060BB"/>
    <w:rsid w:val="006128A5"/>
    <w:rsid w:val="006144F3"/>
    <w:rsid w:val="00617625"/>
    <w:rsid w:val="0062527F"/>
    <w:rsid w:val="00634374"/>
    <w:rsid w:val="00637F43"/>
    <w:rsid w:val="00642602"/>
    <w:rsid w:val="00644A1B"/>
    <w:rsid w:val="00650FA1"/>
    <w:rsid w:val="00652101"/>
    <w:rsid w:val="006536D8"/>
    <w:rsid w:val="00654BA4"/>
    <w:rsid w:val="00680D78"/>
    <w:rsid w:val="00681BD5"/>
    <w:rsid w:val="00687F79"/>
    <w:rsid w:val="00695E65"/>
    <w:rsid w:val="006963BC"/>
    <w:rsid w:val="006A3161"/>
    <w:rsid w:val="006A34AE"/>
    <w:rsid w:val="006A423E"/>
    <w:rsid w:val="006C6B0C"/>
    <w:rsid w:val="006C6DC0"/>
    <w:rsid w:val="006E10F4"/>
    <w:rsid w:val="006E75AA"/>
    <w:rsid w:val="006E7CBB"/>
    <w:rsid w:val="007039C7"/>
    <w:rsid w:val="007122C0"/>
    <w:rsid w:val="00714F57"/>
    <w:rsid w:val="007221AC"/>
    <w:rsid w:val="00727C5E"/>
    <w:rsid w:val="00733EDE"/>
    <w:rsid w:val="00741C80"/>
    <w:rsid w:val="0075009F"/>
    <w:rsid w:val="00753448"/>
    <w:rsid w:val="007802A9"/>
    <w:rsid w:val="00782ACA"/>
    <w:rsid w:val="0079613B"/>
    <w:rsid w:val="007A2632"/>
    <w:rsid w:val="007B588C"/>
    <w:rsid w:val="007B6BD8"/>
    <w:rsid w:val="007C1916"/>
    <w:rsid w:val="007C6AC2"/>
    <w:rsid w:val="007C729C"/>
    <w:rsid w:val="007D34F5"/>
    <w:rsid w:val="007E0B4F"/>
    <w:rsid w:val="007F5D4D"/>
    <w:rsid w:val="00803CA2"/>
    <w:rsid w:val="00807CAC"/>
    <w:rsid w:val="00810D18"/>
    <w:rsid w:val="008115BF"/>
    <w:rsid w:val="00812B30"/>
    <w:rsid w:val="00824D81"/>
    <w:rsid w:val="00836DF9"/>
    <w:rsid w:val="0084046F"/>
    <w:rsid w:val="00853ABC"/>
    <w:rsid w:val="008645F7"/>
    <w:rsid w:val="008652B2"/>
    <w:rsid w:val="00881405"/>
    <w:rsid w:val="0089069F"/>
    <w:rsid w:val="00895DA2"/>
    <w:rsid w:val="00897359"/>
    <w:rsid w:val="008A020E"/>
    <w:rsid w:val="008A651B"/>
    <w:rsid w:val="008B6E06"/>
    <w:rsid w:val="008C572B"/>
    <w:rsid w:val="008D25B7"/>
    <w:rsid w:val="008D300A"/>
    <w:rsid w:val="008D5479"/>
    <w:rsid w:val="008E0992"/>
    <w:rsid w:val="008E0DF5"/>
    <w:rsid w:val="008E3273"/>
    <w:rsid w:val="00914D90"/>
    <w:rsid w:val="009179E9"/>
    <w:rsid w:val="00936464"/>
    <w:rsid w:val="00937284"/>
    <w:rsid w:val="00940C0F"/>
    <w:rsid w:val="00946C0E"/>
    <w:rsid w:val="0095311D"/>
    <w:rsid w:val="00954CCB"/>
    <w:rsid w:val="00954E2F"/>
    <w:rsid w:val="00961BCD"/>
    <w:rsid w:val="009744C8"/>
    <w:rsid w:val="009751C5"/>
    <w:rsid w:val="0097676F"/>
    <w:rsid w:val="00981886"/>
    <w:rsid w:val="00990FEC"/>
    <w:rsid w:val="009A1B08"/>
    <w:rsid w:val="009A6E91"/>
    <w:rsid w:val="009A7175"/>
    <w:rsid w:val="009B4450"/>
    <w:rsid w:val="009C25C4"/>
    <w:rsid w:val="009C2703"/>
    <w:rsid w:val="009C4A13"/>
    <w:rsid w:val="009E5557"/>
    <w:rsid w:val="009E66F8"/>
    <w:rsid w:val="009F7DE3"/>
    <w:rsid w:val="00A038F9"/>
    <w:rsid w:val="00A12CA8"/>
    <w:rsid w:val="00A16395"/>
    <w:rsid w:val="00A16DEC"/>
    <w:rsid w:val="00A173EA"/>
    <w:rsid w:val="00A21CEA"/>
    <w:rsid w:val="00A2604E"/>
    <w:rsid w:val="00A301EB"/>
    <w:rsid w:val="00A43A4A"/>
    <w:rsid w:val="00A507F0"/>
    <w:rsid w:val="00A50A78"/>
    <w:rsid w:val="00A54EFC"/>
    <w:rsid w:val="00A664DF"/>
    <w:rsid w:val="00A713D0"/>
    <w:rsid w:val="00A72814"/>
    <w:rsid w:val="00A759B3"/>
    <w:rsid w:val="00A8014E"/>
    <w:rsid w:val="00A82A29"/>
    <w:rsid w:val="00A8690F"/>
    <w:rsid w:val="00A86D9E"/>
    <w:rsid w:val="00A9774D"/>
    <w:rsid w:val="00AA4050"/>
    <w:rsid w:val="00AA516A"/>
    <w:rsid w:val="00AA5B0E"/>
    <w:rsid w:val="00AC750B"/>
    <w:rsid w:val="00AC77B8"/>
    <w:rsid w:val="00AD4128"/>
    <w:rsid w:val="00AD6699"/>
    <w:rsid w:val="00AE1F12"/>
    <w:rsid w:val="00AE3A78"/>
    <w:rsid w:val="00AE4155"/>
    <w:rsid w:val="00AE4B7C"/>
    <w:rsid w:val="00AE648A"/>
    <w:rsid w:val="00AF349B"/>
    <w:rsid w:val="00B01B16"/>
    <w:rsid w:val="00B22DCB"/>
    <w:rsid w:val="00B233EE"/>
    <w:rsid w:val="00B447D7"/>
    <w:rsid w:val="00B46F03"/>
    <w:rsid w:val="00B5066A"/>
    <w:rsid w:val="00B56882"/>
    <w:rsid w:val="00B65A09"/>
    <w:rsid w:val="00B76A1F"/>
    <w:rsid w:val="00B7744C"/>
    <w:rsid w:val="00B828E2"/>
    <w:rsid w:val="00B82F8C"/>
    <w:rsid w:val="00BA0FBC"/>
    <w:rsid w:val="00BA5479"/>
    <w:rsid w:val="00BB356A"/>
    <w:rsid w:val="00BB7D82"/>
    <w:rsid w:val="00BC200B"/>
    <w:rsid w:val="00BD74AE"/>
    <w:rsid w:val="00BE3FE7"/>
    <w:rsid w:val="00BF0676"/>
    <w:rsid w:val="00BF1FD9"/>
    <w:rsid w:val="00BF29D8"/>
    <w:rsid w:val="00BF2D74"/>
    <w:rsid w:val="00BF38BC"/>
    <w:rsid w:val="00BF4CC8"/>
    <w:rsid w:val="00C1124F"/>
    <w:rsid w:val="00C17C41"/>
    <w:rsid w:val="00C26571"/>
    <w:rsid w:val="00C332D4"/>
    <w:rsid w:val="00C37BFF"/>
    <w:rsid w:val="00C40064"/>
    <w:rsid w:val="00C43732"/>
    <w:rsid w:val="00C51458"/>
    <w:rsid w:val="00C53580"/>
    <w:rsid w:val="00C55838"/>
    <w:rsid w:val="00C728C5"/>
    <w:rsid w:val="00C77EF7"/>
    <w:rsid w:val="00C81A97"/>
    <w:rsid w:val="00C820F1"/>
    <w:rsid w:val="00C83A37"/>
    <w:rsid w:val="00C91512"/>
    <w:rsid w:val="00C9773A"/>
    <w:rsid w:val="00CA6636"/>
    <w:rsid w:val="00CA680F"/>
    <w:rsid w:val="00CA6D76"/>
    <w:rsid w:val="00CC5F52"/>
    <w:rsid w:val="00CC6F26"/>
    <w:rsid w:val="00CD37C7"/>
    <w:rsid w:val="00CD57EB"/>
    <w:rsid w:val="00CD5C97"/>
    <w:rsid w:val="00CD786C"/>
    <w:rsid w:val="00CE3598"/>
    <w:rsid w:val="00CF4753"/>
    <w:rsid w:val="00CF71E0"/>
    <w:rsid w:val="00D0083B"/>
    <w:rsid w:val="00D148B6"/>
    <w:rsid w:val="00D42209"/>
    <w:rsid w:val="00D44183"/>
    <w:rsid w:val="00D45A0F"/>
    <w:rsid w:val="00D54C51"/>
    <w:rsid w:val="00D62D2E"/>
    <w:rsid w:val="00D93285"/>
    <w:rsid w:val="00D9761F"/>
    <w:rsid w:val="00DA529F"/>
    <w:rsid w:val="00DC486A"/>
    <w:rsid w:val="00DC5017"/>
    <w:rsid w:val="00DD2ED3"/>
    <w:rsid w:val="00DD7F1B"/>
    <w:rsid w:val="00DE4E18"/>
    <w:rsid w:val="00E024B6"/>
    <w:rsid w:val="00E04F59"/>
    <w:rsid w:val="00E13A02"/>
    <w:rsid w:val="00E315F9"/>
    <w:rsid w:val="00E34382"/>
    <w:rsid w:val="00E41DB9"/>
    <w:rsid w:val="00E56065"/>
    <w:rsid w:val="00E762BB"/>
    <w:rsid w:val="00E77B33"/>
    <w:rsid w:val="00E8661B"/>
    <w:rsid w:val="00EA689F"/>
    <w:rsid w:val="00ED1CCD"/>
    <w:rsid w:val="00EF2866"/>
    <w:rsid w:val="00EF33BE"/>
    <w:rsid w:val="00F0383C"/>
    <w:rsid w:val="00F11631"/>
    <w:rsid w:val="00F24AB0"/>
    <w:rsid w:val="00F309CB"/>
    <w:rsid w:val="00F32C9F"/>
    <w:rsid w:val="00F44A0E"/>
    <w:rsid w:val="00F63759"/>
    <w:rsid w:val="00F8646E"/>
    <w:rsid w:val="00F9675E"/>
    <w:rsid w:val="00FC3F00"/>
    <w:rsid w:val="00FC4577"/>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paragraph" w:styleId="ListParagraph">
    <w:name w:val="List Paragraph"/>
    <w:basedOn w:val="Normal"/>
    <w:uiPriority w:val="34"/>
    <w:qFormat/>
    <w:rsid w:val="00C26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2019-07-11T00:00:00-04:00</Date>
    <Status xmlns="d6eefc7d-9817-4fa6-84d5-3bc009be21b8">Issued</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6eefc7d-9817-4fa6-84d5-3bc009be21b8"/>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21DB70D-92E3-46DF-9403-C9B6A7569C8B}">
  <ds:schemaRefs>
    <ds:schemaRef ds:uri="http://schemas.microsoft.com/office/2006/metadata/customXsn"/>
  </ds:schemaRefs>
</ds:datastoreItem>
</file>

<file path=customXml/itemProps5.xml><?xml version="1.0" encoding="utf-8"?>
<ds:datastoreItem xmlns:ds="http://schemas.openxmlformats.org/officeDocument/2006/customXml" ds:itemID="{08A78CA1-25E8-4FFC-8EE1-F70E27192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B56121-5FB0-411C-8F45-FF4BE691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2136</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2019-07-10T20:30:00Z</cp:lastPrinted>
  <dcterms:created xsi:type="dcterms:W3CDTF">2019-07-11T12:49:00Z</dcterms:created>
  <dcterms:modified xsi:type="dcterms:W3CDTF">2019-07-11T12:49:00Z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