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73506C" w:rsidRDefault="009C7F55" w:rsidP="00BD0F89">
      <w:pPr>
        <w:spacing w:after="0" w:line="240" w:lineRule="auto"/>
        <w:jc w:val="center"/>
        <w:rPr>
          <w:rFonts w:ascii="Times New Roman" w:hAnsi="Times New Roman"/>
          <w:sz w:val="26"/>
          <w:szCs w:val="26"/>
        </w:rPr>
      </w:pPr>
      <w:bookmarkStart w:id="0" w:name="_GoBack"/>
      <w:bookmarkEnd w:id="0"/>
      <w:r w:rsidRPr="0073506C">
        <w:rPr>
          <w:rFonts w:ascii="Times New Roman" w:hAnsi="Times New Roman"/>
          <w:sz w:val="26"/>
          <w:szCs w:val="26"/>
        </w:rPr>
        <w:t>Supporting Statement</w:t>
      </w:r>
      <w:r w:rsidR="002953E1" w:rsidRPr="0073506C">
        <w:rPr>
          <w:rFonts w:ascii="Times New Roman" w:hAnsi="Times New Roman"/>
          <w:sz w:val="26"/>
          <w:szCs w:val="26"/>
        </w:rPr>
        <w:t xml:space="preserve"> for</w:t>
      </w:r>
    </w:p>
    <w:p w14:paraId="21AA4489" w14:textId="44CB2A74" w:rsidR="009D3942" w:rsidRPr="0073506C" w:rsidRDefault="00DC516E" w:rsidP="00BD0F89">
      <w:pPr>
        <w:spacing w:after="0" w:line="240" w:lineRule="auto"/>
        <w:jc w:val="center"/>
        <w:rPr>
          <w:rFonts w:ascii="Times New Roman" w:hAnsi="Times New Roman"/>
          <w:b/>
          <w:sz w:val="26"/>
          <w:szCs w:val="26"/>
        </w:rPr>
      </w:pPr>
      <w:r w:rsidRPr="0073506C">
        <w:rPr>
          <w:rFonts w:ascii="Times New Roman" w:hAnsi="Times New Roman"/>
          <w:b/>
          <w:sz w:val="26"/>
          <w:szCs w:val="26"/>
        </w:rPr>
        <w:t xml:space="preserve">FERC Form Nos. 1, 1-F, and 3-Q (electric and natural gas) </w:t>
      </w:r>
    </w:p>
    <w:p w14:paraId="1C13F22C" w14:textId="77777777" w:rsidR="009D3942" w:rsidRPr="0073506C" w:rsidRDefault="009D3942" w:rsidP="00BD0F89">
      <w:pPr>
        <w:spacing w:after="0" w:line="240" w:lineRule="auto"/>
        <w:jc w:val="center"/>
        <w:rPr>
          <w:rFonts w:ascii="Times New Roman" w:hAnsi="Times New Roman"/>
          <w:b/>
          <w:sz w:val="26"/>
          <w:szCs w:val="26"/>
        </w:rPr>
      </w:pPr>
    </w:p>
    <w:p w14:paraId="443E3084" w14:textId="5E4E9204" w:rsidR="00856707" w:rsidRPr="0073506C" w:rsidRDefault="009C7F55" w:rsidP="00BD0F89">
      <w:pPr>
        <w:spacing w:after="0" w:line="240" w:lineRule="auto"/>
        <w:rPr>
          <w:rFonts w:ascii="Times New Roman" w:hAnsi="Times New Roman"/>
          <w:sz w:val="26"/>
          <w:szCs w:val="26"/>
        </w:rPr>
      </w:pPr>
      <w:r w:rsidRPr="0073506C">
        <w:rPr>
          <w:rFonts w:ascii="Times New Roman" w:hAnsi="Times New Roman"/>
          <w:sz w:val="26"/>
          <w:szCs w:val="26"/>
        </w:rPr>
        <w:t>The Federal Energy Regulatory Commission (</w:t>
      </w:r>
      <w:r w:rsidR="00D13613" w:rsidRPr="0073506C">
        <w:rPr>
          <w:rFonts w:ascii="Times New Roman" w:hAnsi="Times New Roman"/>
          <w:sz w:val="26"/>
          <w:szCs w:val="26"/>
        </w:rPr>
        <w:t xml:space="preserve">Commission or </w:t>
      </w:r>
      <w:r w:rsidRPr="0073506C">
        <w:rPr>
          <w:rFonts w:ascii="Times New Roman" w:hAnsi="Times New Roman"/>
          <w:sz w:val="26"/>
          <w:szCs w:val="26"/>
        </w:rPr>
        <w:t>FERC) requests the Office of Management and Budget (OMB) approv</w:t>
      </w:r>
      <w:r w:rsidR="00EB790F" w:rsidRPr="0073506C">
        <w:rPr>
          <w:rFonts w:ascii="Times New Roman" w:hAnsi="Times New Roman"/>
          <w:sz w:val="26"/>
          <w:szCs w:val="26"/>
        </w:rPr>
        <w:t>e</w:t>
      </w:r>
      <w:r w:rsidRPr="0073506C">
        <w:rPr>
          <w:rFonts w:ascii="Times New Roman" w:hAnsi="Times New Roman"/>
          <w:sz w:val="26"/>
          <w:szCs w:val="26"/>
        </w:rPr>
        <w:t xml:space="preserve"> </w:t>
      </w:r>
      <w:r w:rsidR="00DC516E" w:rsidRPr="0073506C">
        <w:rPr>
          <w:rFonts w:ascii="Times New Roman" w:hAnsi="Times New Roman"/>
          <w:sz w:val="26"/>
          <w:szCs w:val="26"/>
        </w:rPr>
        <w:t>FERC Form Nos. 1, 1-F, and 3-</w:t>
      </w:r>
      <w:r w:rsidR="00AE4AE7" w:rsidRPr="0073506C">
        <w:rPr>
          <w:rFonts w:ascii="Times New Roman" w:hAnsi="Times New Roman"/>
          <w:sz w:val="26"/>
          <w:szCs w:val="26"/>
        </w:rPr>
        <w:t xml:space="preserve">Q </w:t>
      </w:r>
      <w:r w:rsidR="00641282">
        <w:rPr>
          <w:rFonts w:ascii="Times New Roman" w:hAnsi="Times New Roman"/>
          <w:sz w:val="26"/>
          <w:szCs w:val="26"/>
        </w:rPr>
        <w:t xml:space="preserve">(electric and gas) </w:t>
      </w:r>
      <w:r w:rsidR="00DC516E" w:rsidRPr="0073506C">
        <w:rPr>
          <w:rFonts w:ascii="Times New Roman" w:hAnsi="Times New Roman"/>
          <w:sz w:val="26"/>
          <w:szCs w:val="26"/>
        </w:rPr>
        <w:t>for three years.</w:t>
      </w:r>
      <w:r w:rsidR="00DC516E" w:rsidRPr="0073506C">
        <w:rPr>
          <w:rStyle w:val="FootnoteReference"/>
          <w:rFonts w:ascii="Times New Roman" w:hAnsi="Times New Roman"/>
          <w:sz w:val="26"/>
          <w:szCs w:val="26"/>
          <w:vertAlign w:val="superscript"/>
        </w:rPr>
        <w:footnoteReference w:id="2"/>
      </w:r>
      <w:r w:rsidR="00DC516E" w:rsidRPr="0073506C">
        <w:rPr>
          <w:rFonts w:ascii="Times New Roman" w:hAnsi="Times New Roman"/>
          <w:sz w:val="26"/>
          <w:szCs w:val="26"/>
          <w:vertAlign w:val="superscript"/>
        </w:rPr>
        <w:t xml:space="preserve"> </w:t>
      </w:r>
      <w:r w:rsidR="00DC516E" w:rsidRPr="0073506C">
        <w:rPr>
          <w:rFonts w:ascii="Times New Roman" w:hAnsi="Times New Roman"/>
          <w:sz w:val="26"/>
          <w:szCs w:val="26"/>
        </w:rPr>
        <w:t xml:space="preserve">  There are no changes to the reporting requirements for these existing information collections:</w:t>
      </w:r>
    </w:p>
    <w:p w14:paraId="03BDC987" w14:textId="77777777" w:rsidR="00613ECA" w:rsidRPr="0073506C" w:rsidRDefault="00613ECA" w:rsidP="00BD0F89">
      <w:pPr>
        <w:spacing w:after="0" w:line="240" w:lineRule="auto"/>
        <w:rPr>
          <w:rFonts w:ascii="Times New Roman" w:hAnsi="Times New Roman"/>
          <w:sz w:val="26"/>
          <w:szCs w:val="26"/>
        </w:rPr>
      </w:pPr>
    </w:p>
    <w:p w14:paraId="22E8E7AF" w14:textId="6E63FA6A" w:rsidR="008F711B" w:rsidRPr="0073506C" w:rsidRDefault="00532CEA" w:rsidP="00BD0F89">
      <w:pPr>
        <w:pStyle w:val="ListParagraph"/>
        <w:numPr>
          <w:ilvl w:val="0"/>
          <w:numId w:val="18"/>
        </w:numPr>
        <w:spacing w:line="240" w:lineRule="auto"/>
        <w:rPr>
          <w:rFonts w:ascii="Times New Roman" w:hAnsi="Times New Roman"/>
          <w:sz w:val="26"/>
          <w:szCs w:val="26"/>
        </w:rPr>
      </w:pPr>
      <w:r w:rsidRPr="0073506C">
        <w:rPr>
          <w:rFonts w:ascii="Times New Roman" w:hAnsi="Times New Roman"/>
          <w:sz w:val="26"/>
          <w:szCs w:val="26"/>
        </w:rPr>
        <w:t xml:space="preserve">FERC Form </w:t>
      </w:r>
      <w:r w:rsidR="0008302B" w:rsidRPr="0073506C">
        <w:rPr>
          <w:rFonts w:ascii="Times New Roman" w:hAnsi="Times New Roman"/>
          <w:sz w:val="26"/>
          <w:szCs w:val="26"/>
        </w:rPr>
        <w:t xml:space="preserve">No. </w:t>
      </w:r>
      <w:r w:rsidRPr="0073506C">
        <w:rPr>
          <w:rFonts w:ascii="Times New Roman" w:hAnsi="Times New Roman"/>
          <w:sz w:val="26"/>
          <w:szCs w:val="26"/>
        </w:rPr>
        <w:t>1 (also called FERC-1) (</w:t>
      </w:r>
      <w:r w:rsidR="008F711B" w:rsidRPr="0073506C">
        <w:rPr>
          <w:rFonts w:ascii="Times New Roman" w:hAnsi="Times New Roman"/>
          <w:sz w:val="26"/>
          <w:szCs w:val="26"/>
        </w:rPr>
        <w:t>Annual Report of Major Electric Utilities, Licensees and Others</w:t>
      </w:r>
      <w:r w:rsidR="00DE1ED3" w:rsidRPr="0073506C">
        <w:rPr>
          <w:rFonts w:ascii="Times New Roman" w:hAnsi="Times New Roman"/>
          <w:sz w:val="26"/>
          <w:szCs w:val="26"/>
        </w:rPr>
        <w:t>;</w:t>
      </w:r>
      <w:r w:rsidRPr="0073506C">
        <w:rPr>
          <w:rFonts w:ascii="Times New Roman" w:hAnsi="Times New Roman"/>
          <w:sz w:val="26"/>
          <w:szCs w:val="26"/>
        </w:rPr>
        <w:t xml:space="preserve"> OMB Control No. 1902-00</w:t>
      </w:r>
      <w:r w:rsidR="008F711B" w:rsidRPr="0073506C">
        <w:rPr>
          <w:rFonts w:ascii="Times New Roman" w:hAnsi="Times New Roman"/>
          <w:sz w:val="26"/>
          <w:szCs w:val="26"/>
        </w:rPr>
        <w:t>21</w:t>
      </w:r>
      <w:r w:rsidRPr="0073506C">
        <w:rPr>
          <w:rFonts w:ascii="Times New Roman" w:hAnsi="Times New Roman"/>
          <w:sz w:val="26"/>
          <w:szCs w:val="26"/>
        </w:rPr>
        <w:t>)</w:t>
      </w:r>
    </w:p>
    <w:p w14:paraId="5C0CDB6C" w14:textId="29BA2045" w:rsidR="00532CEA" w:rsidRPr="0073506C" w:rsidRDefault="00532CEA" w:rsidP="00BD0F89">
      <w:pPr>
        <w:pStyle w:val="ListParagraph"/>
        <w:numPr>
          <w:ilvl w:val="0"/>
          <w:numId w:val="18"/>
        </w:numPr>
        <w:spacing w:line="240" w:lineRule="auto"/>
        <w:rPr>
          <w:rFonts w:ascii="Times New Roman" w:hAnsi="Times New Roman"/>
          <w:sz w:val="26"/>
          <w:szCs w:val="26"/>
        </w:rPr>
      </w:pPr>
      <w:r w:rsidRPr="0073506C">
        <w:rPr>
          <w:rFonts w:ascii="Times New Roman" w:hAnsi="Times New Roman"/>
          <w:sz w:val="26"/>
          <w:szCs w:val="26"/>
        </w:rPr>
        <w:t xml:space="preserve">FERC Form </w:t>
      </w:r>
      <w:r w:rsidR="0008302B" w:rsidRPr="0073506C">
        <w:rPr>
          <w:rFonts w:ascii="Times New Roman" w:hAnsi="Times New Roman"/>
          <w:sz w:val="26"/>
          <w:szCs w:val="26"/>
        </w:rPr>
        <w:t xml:space="preserve">No. </w:t>
      </w:r>
      <w:r w:rsidR="00D24757" w:rsidRPr="0073506C">
        <w:rPr>
          <w:rFonts w:ascii="Times New Roman" w:hAnsi="Times New Roman"/>
          <w:sz w:val="26"/>
          <w:szCs w:val="26"/>
        </w:rPr>
        <w:t>1-F</w:t>
      </w:r>
      <w:r w:rsidRPr="0073506C">
        <w:rPr>
          <w:rFonts w:ascii="Times New Roman" w:hAnsi="Times New Roman"/>
          <w:sz w:val="26"/>
          <w:szCs w:val="26"/>
        </w:rPr>
        <w:t xml:space="preserve"> (also called FERC-1F) (Annual Report for Nonmajor Public Utilities and Licensees</w:t>
      </w:r>
      <w:r w:rsidR="00DE1ED3" w:rsidRPr="0073506C">
        <w:rPr>
          <w:rFonts w:ascii="Times New Roman" w:hAnsi="Times New Roman"/>
          <w:sz w:val="26"/>
          <w:szCs w:val="26"/>
        </w:rPr>
        <w:t>;</w:t>
      </w:r>
      <w:r w:rsidRPr="0073506C">
        <w:rPr>
          <w:rFonts w:ascii="Times New Roman" w:hAnsi="Times New Roman"/>
          <w:sz w:val="26"/>
          <w:szCs w:val="26"/>
        </w:rPr>
        <w:t xml:space="preserve"> OMB Control No. 1902-0029)</w:t>
      </w:r>
    </w:p>
    <w:p w14:paraId="6E58B520" w14:textId="0C8AA4AE" w:rsidR="003E74C9" w:rsidRPr="0073506C" w:rsidRDefault="003E74C9" w:rsidP="00EA431C">
      <w:pPr>
        <w:pStyle w:val="ListParagraph"/>
        <w:numPr>
          <w:ilvl w:val="0"/>
          <w:numId w:val="18"/>
        </w:numPr>
        <w:spacing w:line="240" w:lineRule="auto"/>
        <w:rPr>
          <w:rFonts w:ascii="Times New Roman" w:hAnsi="Times New Roman"/>
          <w:sz w:val="26"/>
          <w:szCs w:val="26"/>
        </w:rPr>
      </w:pPr>
      <w:r w:rsidRPr="0073506C">
        <w:rPr>
          <w:rFonts w:ascii="Times New Roman" w:hAnsi="Times New Roman"/>
          <w:sz w:val="26"/>
          <w:szCs w:val="26"/>
        </w:rPr>
        <w:t xml:space="preserve">FERC Form </w:t>
      </w:r>
      <w:r w:rsidR="0008302B" w:rsidRPr="0073506C">
        <w:rPr>
          <w:rFonts w:ascii="Times New Roman" w:hAnsi="Times New Roman"/>
          <w:sz w:val="26"/>
          <w:szCs w:val="26"/>
        </w:rPr>
        <w:t xml:space="preserve">No. </w:t>
      </w:r>
      <w:r w:rsidRPr="0073506C">
        <w:rPr>
          <w:rFonts w:ascii="Times New Roman" w:hAnsi="Times New Roman"/>
          <w:sz w:val="26"/>
          <w:szCs w:val="26"/>
        </w:rPr>
        <w:t xml:space="preserve">3-Q (also called FERC-3Q, </w:t>
      </w:r>
      <w:r w:rsidR="00EA431C" w:rsidRPr="00EA431C">
        <w:rPr>
          <w:rFonts w:ascii="Times New Roman" w:hAnsi="Times New Roman"/>
          <w:sz w:val="26"/>
          <w:szCs w:val="26"/>
        </w:rPr>
        <w:t xml:space="preserve">Quarterly </w:t>
      </w:r>
      <w:r w:rsidR="00EA431C">
        <w:rPr>
          <w:rFonts w:ascii="Times New Roman" w:hAnsi="Times New Roman"/>
          <w:sz w:val="26"/>
          <w:szCs w:val="26"/>
        </w:rPr>
        <w:t>F</w:t>
      </w:r>
      <w:r w:rsidR="00EA431C" w:rsidRPr="00EA431C">
        <w:rPr>
          <w:rFonts w:ascii="Times New Roman" w:hAnsi="Times New Roman"/>
          <w:sz w:val="26"/>
          <w:szCs w:val="26"/>
        </w:rPr>
        <w:t xml:space="preserve">inancial </w:t>
      </w:r>
      <w:r w:rsidR="00EA431C">
        <w:rPr>
          <w:rFonts w:ascii="Times New Roman" w:hAnsi="Times New Roman"/>
          <w:sz w:val="26"/>
          <w:szCs w:val="26"/>
        </w:rPr>
        <w:t>R</w:t>
      </w:r>
      <w:r w:rsidR="00EA431C" w:rsidRPr="00EA431C">
        <w:rPr>
          <w:rFonts w:ascii="Times New Roman" w:hAnsi="Times New Roman"/>
          <w:sz w:val="26"/>
          <w:szCs w:val="26"/>
        </w:rPr>
        <w:t xml:space="preserve">eport of </w:t>
      </w:r>
      <w:r w:rsidR="00EA431C">
        <w:rPr>
          <w:rFonts w:ascii="Times New Roman" w:hAnsi="Times New Roman"/>
          <w:sz w:val="26"/>
          <w:szCs w:val="26"/>
        </w:rPr>
        <w:t>E</w:t>
      </w:r>
      <w:r w:rsidR="00EA431C" w:rsidRPr="00EA431C">
        <w:rPr>
          <w:rFonts w:ascii="Times New Roman" w:hAnsi="Times New Roman"/>
          <w:sz w:val="26"/>
          <w:szCs w:val="26"/>
        </w:rPr>
        <w:t xml:space="preserve">lectric </w:t>
      </w:r>
      <w:r w:rsidR="00EA431C">
        <w:rPr>
          <w:rFonts w:ascii="Times New Roman" w:hAnsi="Times New Roman"/>
          <w:sz w:val="26"/>
          <w:szCs w:val="26"/>
        </w:rPr>
        <w:t>U</w:t>
      </w:r>
      <w:r w:rsidR="00EA431C" w:rsidRPr="00EA431C">
        <w:rPr>
          <w:rFonts w:ascii="Times New Roman" w:hAnsi="Times New Roman"/>
          <w:sz w:val="26"/>
          <w:szCs w:val="26"/>
        </w:rPr>
        <w:t xml:space="preserve">tilities, </w:t>
      </w:r>
      <w:r w:rsidR="00EA431C">
        <w:rPr>
          <w:rFonts w:ascii="Times New Roman" w:hAnsi="Times New Roman"/>
          <w:sz w:val="26"/>
          <w:szCs w:val="26"/>
        </w:rPr>
        <w:t>L</w:t>
      </w:r>
      <w:r w:rsidR="00EA431C" w:rsidRPr="00EA431C">
        <w:rPr>
          <w:rFonts w:ascii="Times New Roman" w:hAnsi="Times New Roman"/>
          <w:sz w:val="26"/>
          <w:szCs w:val="26"/>
        </w:rPr>
        <w:t xml:space="preserve">icensees, and </w:t>
      </w:r>
      <w:r w:rsidR="00EA431C">
        <w:rPr>
          <w:rFonts w:ascii="Times New Roman" w:hAnsi="Times New Roman"/>
          <w:sz w:val="26"/>
          <w:szCs w:val="26"/>
        </w:rPr>
        <w:t>N</w:t>
      </w:r>
      <w:r w:rsidR="00EA431C" w:rsidRPr="00EA431C">
        <w:rPr>
          <w:rFonts w:ascii="Times New Roman" w:hAnsi="Times New Roman"/>
          <w:sz w:val="26"/>
          <w:szCs w:val="26"/>
        </w:rPr>
        <w:t xml:space="preserve">atural </w:t>
      </w:r>
      <w:r w:rsidR="00EA431C">
        <w:rPr>
          <w:rFonts w:ascii="Times New Roman" w:hAnsi="Times New Roman"/>
          <w:sz w:val="26"/>
          <w:szCs w:val="26"/>
        </w:rPr>
        <w:t>G</w:t>
      </w:r>
      <w:r w:rsidR="00EA431C" w:rsidRPr="00EA431C">
        <w:rPr>
          <w:rFonts w:ascii="Times New Roman" w:hAnsi="Times New Roman"/>
          <w:sz w:val="26"/>
          <w:szCs w:val="26"/>
        </w:rPr>
        <w:t xml:space="preserve">as </w:t>
      </w:r>
      <w:r w:rsidR="00EA431C">
        <w:rPr>
          <w:rFonts w:ascii="Times New Roman" w:hAnsi="Times New Roman"/>
          <w:sz w:val="26"/>
          <w:szCs w:val="26"/>
        </w:rPr>
        <w:t>C</w:t>
      </w:r>
      <w:r w:rsidR="00EA431C" w:rsidRPr="00EA431C">
        <w:rPr>
          <w:rFonts w:ascii="Times New Roman" w:hAnsi="Times New Roman"/>
          <w:sz w:val="26"/>
          <w:szCs w:val="26"/>
        </w:rPr>
        <w:t>ompanies</w:t>
      </w:r>
      <w:r w:rsidRPr="0073506C">
        <w:rPr>
          <w:rFonts w:ascii="Times New Roman" w:hAnsi="Times New Roman"/>
          <w:sz w:val="26"/>
          <w:szCs w:val="26"/>
        </w:rPr>
        <w:t>; OMB Control No. 1902-0205)</w:t>
      </w:r>
      <w:r w:rsidR="00AE4AE7" w:rsidRPr="0073506C">
        <w:rPr>
          <w:rFonts w:ascii="Times New Roman" w:hAnsi="Times New Roman"/>
          <w:sz w:val="26"/>
          <w:szCs w:val="26"/>
        </w:rPr>
        <w:t xml:space="preserve"> </w:t>
      </w:r>
    </w:p>
    <w:p w14:paraId="5C2987BB" w14:textId="77777777" w:rsidR="003E74C9" w:rsidRPr="0073506C" w:rsidRDefault="003E74C9" w:rsidP="003E74C9">
      <w:pPr>
        <w:pStyle w:val="ListParagraph"/>
        <w:numPr>
          <w:ilvl w:val="1"/>
          <w:numId w:val="18"/>
        </w:numPr>
        <w:spacing w:line="240" w:lineRule="auto"/>
        <w:rPr>
          <w:rFonts w:ascii="Times New Roman" w:hAnsi="Times New Roman"/>
          <w:sz w:val="26"/>
          <w:szCs w:val="26"/>
        </w:rPr>
      </w:pPr>
      <w:r w:rsidRPr="0073506C">
        <w:rPr>
          <w:rFonts w:ascii="Times New Roman" w:hAnsi="Times New Roman"/>
          <w:sz w:val="26"/>
          <w:szCs w:val="26"/>
        </w:rPr>
        <w:t xml:space="preserve">Form </w:t>
      </w:r>
      <w:r w:rsidR="0008302B" w:rsidRPr="0073506C">
        <w:rPr>
          <w:rFonts w:ascii="Times New Roman" w:hAnsi="Times New Roman"/>
          <w:sz w:val="26"/>
          <w:szCs w:val="26"/>
        </w:rPr>
        <w:t xml:space="preserve">No. </w:t>
      </w:r>
      <w:r w:rsidRPr="0073506C">
        <w:rPr>
          <w:rFonts w:ascii="Times New Roman" w:hAnsi="Times New Roman"/>
          <w:sz w:val="26"/>
          <w:szCs w:val="26"/>
        </w:rPr>
        <w:t>3-Q for natural gas entities</w:t>
      </w:r>
    </w:p>
    <w:p w14:paraId="1F55415B" w14:textId="4AECB603" w:rsidR="008F711B" w:rsidRPr="0073506C" w:rsidRDefault="003E74C9" w:rsidP="00DC516E">
      <w:pPr>
        <w:pStyle w:val="ListParagraph"/>
        <w:numPr>
          <w:ilvl w:val="1"/>
          <w:numId w:val="18"/>
        </w:numPr>
        <w:spacing w:line="240" w:lineRule="auto"/>
        <w:rPr>
          <w:rFonts w:ascii="Times New Roman" w:hAnsi="Times New Roman"/>
          <w:i/>
          <w:sz w:val="26"/>
          <w:szCs w:val="26"/>
        </w:rPr>
      </w:pPr>
      <w:r w:rsidRPr="0073506C">
        <w:rPr>
          <w:rFonts w:ascii="Times New Roman" w:hAnsi="Times New Roman"/>
          <w:sz w:val="26"/>
          <w:szCs w:val="26"/>
        </w:rPr>
        <w:t xml:space="preserve">Form </w:t>
      </w:r>
      <w:r w:rsidR="0008302B" w:rsidRPr="0073506C">
        <w:rPr>
          <w:rFonts w:ascii="Times New Roman" w:hAnsi="Times New Roman"/>
          <w:sz w:val="26"/>
          <w:szCs w:val="26"/>
        </w:rPr>
        <w:t xml:space="preserve">No. </w:t>
      </w:r>
      <w:r w:rsidRPr="0073506C">
        <w:rPr>
          <w:rFonts w:ascii="Times New Roman" w:hAnsi="Times New Roman"/>
          <w:sz w:val="26"/>
          <w:szCs w:val="26"/>
        </w:rPr>
        <w:t>3-Q for electric entities</w:t>
      </w:r>
    </w:p>
    <w:p w14:paraId="5A3F56AB" w14:textId="77777777" w:rsidR="00DC516E" w:rsidRPr="0073506C" w:rsidRDefault="00DC516E" w:rsidP="00DC516E">
      <w:pPr>
        <w:pStyle w:val="ListParagraph"/>
        <w:spacing w:line="240" w:lineRule="auto"/>
        <w:ind w:left="1440"/>
        <w:rPr>
          <w:rFonts w:ascii="Times New Roman" w:hAnsi="Times New Roman"/>
          <w:i/>
          <w:sz w:val="26"/>
          <w:szCs w:val="26"/>
        </w:rPr>
      </w:pPr>
    </w:p>
    <w:p w14:paraId="41D5B9C4" w14:textId="77777777" w:rsidR="009C7F55" w:rsidRPr="0073506C" w:rsidRDefault="009C7F55"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 xml:space="preserve">CIRCUMSTANCES THAT MAKE THE COLLECTION OF INFORMATION NECESSARY </w:t>
      </w:r>
    </w:p>
    <w:p w14:paraId="3F447D41" w14:textId="77777777" w:rsidR="002953E1" w:rsidRPr="0073506C" w:rsidRDefault="002953E1" w:rsidP="00BD0F89">
      <w:pPr>
        <w:spacing w:after="0" w:line="240" w:lineRule="auto"/>
        <w:rPr>
          <w:rFonts w:ascii="Times New Roman" w:hAnsi="Times New Roman"/>
          <w:sz w:val="26"/>
          <w:szCs w:val="26"/>
        </w:rPr>
      </w:pPr>
    </w:p>
    <w:p w14:paraId="4185F36A" w14:textId="6B3262FE"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b/>
          <w:sz w:val="26"/>
          <w:szCs w:val="26"/>
        </w:rPr>
        <w:t>FERC</w:t>
      </w:r>
      <w:r w:rsidR="002123B8" w:rsidRPr="0073506C">
        <w:rPr>
          <w:rFonts w:ascii="Times New Roman" w:eastAsia="Times New Roman" w:hAnsi="Times New Roman"/>
          <w:b/>
          <w:sz w:val="26"/>
          <w:szCs w:val="26"/>
        </w:rPr>
        <w:t xml:space="preserve"> Form Nos. </w:t>
      </w:r>
      <w:r w:rsidRPr="0073506C">
        <w:rPr>
          <w:rFonts w:ascii="Times New Roman" w:eastAsia="Times New Roman" w:hAnsi="Times New Roman"/>
          <w:b/>
          <w:sz w:val="26"/>
          <w:szCs w:val="26"/>
        </w:rPr>
        <w:t xml:space="preserve">1, </w:t>
      </w:r>
      <w:r w:rsidR="00D24757" w:rsidRPr="0073506C">
        <w:rPr>
          <w:rFonts w:ascii="Times New Roman" w:eastAsia="Times New Roman" w:hAnsi="Times New Roman"/>
          <w:b/>
          <w:sz w:val="26"/>
          <w:szCs w:val="26"/>
        </w:rPr>
        <w:t>1-F</w:t>
      </w:r>
      <w:r w:rsidRPr="0073506C">
        <w:rPr>
          <w:rFonts w:ascii="Times New Roman" w:eastAsia="Times New Roman" w:hAnsi="Times New Roman"/>
          <w:b/>
          <w:sz w:val="26"/>
          <w:szCs w:val="26"/>
        </w:rPr>
        <w:t xml:space="preserve">, and </w:t>
      </w:r>
      <w:r w:rsidR="00D24757" w:rsidRPr="0073506C">
        <w:rPr>
          <w:rFonts w:ascii="Times New Roman" w:eastAsia="Times New Roman" w:hAnsi="Times New Roman"/>
          <w:b/>
          <w:sz w:val="26"/>
          <w:szCs w:val="26"/>
        </w:rPr>
        <w:t>3-Q</w:t>
      </w:r>
      <w:r w:rsidRPr="0073506C">
        <w:rPr>
          <w:rFonts w:ascii="Times New Roman" w:eastAsia="Times New Roman" w:hAnsi="Times New Roman"/>
          <w:b/>
          <w:sz w:val="26"/>
          <w:szCs w:val="26"/>
        </w:rPr>
        <w:t>.</w:t>
      </w:r>
      <w:r w:rsidRPr="0073506C">
        <w:rPr>
          <w:rStyle w:val="FootnoteReference"/>
          <w:rFonts w:ascii="Times New Roman" w:eastAsia="Times New Roman" w:hAnsi="Times New Roman"/>
          <w:b/>
          <w:sz w:val="26"/>
          <w:szCs w:val="26"/>
          <w:vertAlign w:val="superscript"/>
        </w:rPr>
        <w:footnoteReference w:id="3"/>
      </w:r>
      <w:r w:rsidRPr="0073506C">
        <w:rPr>
          <w:rFonts w:ascii="Times New Roman" w:eastAsia="Times New Roman" w:hAnsi="Times New Roman"/>
          <w:b/>
          <w:sz w:val="26"/>
          <w:szCs w:val="26"/>
        </w:rPr>
        <w:t xml:space="preserve">  </w:t>
      </w:r>
      <w:r w:rsidRPr="0073506C">
        <w:rPr>
          <w:rFonts w:ascii="Times New Roman" w:eastAsia="Times New Roman" w:hAnsi="Times New Roman"/>
          <w:sz w:val="26"/>
          <w:szCs w:val="26"/>
        </w:rPr>
        <w:t xml:space="preserve">In accordance with sections 304 and 309 of the Federal Power Act and section 10(a) of the Natural Gas Act, FERC is authorized to collect and record data to the extent it considers necessary, and to prescribe rules and regulations concerning accounts, records and memoranda.  </w:t>
      </w:r>
    </w:p>
    <w:p w14:paraId="4AD80A51" w14:textId="77777777" w:rsidR="00CC72A5" w:rsidRPr="0073506C" w:rsidRDefault="00CC72A5" w:rsidP="00BD0F89">
      <w:pPr>
        <w:spacing w:after="0" w:line="240" w:lineRule="auto"/>
        <w:rPr>
          <w:rFonts w:ascii="Times New Roman" w:eastAsia="Times New Roman" w:hAnsi="Times New Roman"/>
          <w:sz w:val="26"/>
          <w:szCs w:val="26"/>
        </w:rPr>
      </w:pPr>
    </w:p>
    <w:p w14:paraId="5D1092FA" w14:textId="5226F695"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Under the existing regulations, FERC jurisdictional entities subject to its Uniform System of Accounts </w:t>
      </w:r>
      <w:r w:rsidR="0092238A" w:rsidRPr="0073506C">
        <w:rPr>
          <w:rFonts w:ascii="Times New Roman" w:eastAsia="Times New Roman" w:hAnsi="Times New Roman"/>
          <w:sz w:val="26"/>
          <w:szCs w:val="26"/>
        </w:rPr>
        <w:t xml:space="preserve">(USofA) </w:t>
      </w:r>
      <w:r w:rsidRPr="0073506C">
        <w:rPr>
          <w:rFonts w:ascii="Times New Roman" w:eastAsia="Times New Roman" w:hAnsi="Times New Roman"/>
          <w:sz w:val="26"/>
          <w:szCs w:val="26"/>
        </w:rPr>
        <w:t xml:space="preserve">must annually file with the Commission a complete set of financial statements, along with other selected financial and non-financial data through the submission of FERC Form </w:t>
      </w:r>
      <w:r w:rsidR="009F6CFB" w:rsidRPr="0073506C">
        <w:rPr>
          <w:rFonts w:ascii="Times New Roman" w:eastAsia="Times New Roman" w:hAnsi="Times New Roman"/>
          <w:sz w:val="26"/>
          <w:szCs w:val="26"/>
        </w:rPr>
        <w:t>No</w:t>
      </w:r>
      <w:r w:rsidR="00FD1DA6" w:rsidRPr="0073506C">
        <w:rPr>
          <w:rFonts w:ascii="Times New Roman" w:eastAsia="Times New Roman" w:hAnsi="Times New Roman"/>
          <w:sz w:val="26"/>
          <w:szCs w:val="26"/>
        </w:rPr>
        <w:t>s</w:t>
      </w:r>
      <w:r w:rsidR="009F6CFB" w:rsidRPr="0073506C">
        <w:rPr>
          <w:rFonts w:ascii="Times New Roman" w:eastAsia="Times New Roman" w:hAnsi="Times New Roman"/>
          <w:sz w:val="26"/>
          <w:szCs w:val="26"/>
        </w:rPr>
        <w:t xml:space="preserve">. </w:t>
      </w:r>
      <w:r w:rsidRPr="0073506C">
        <w:rPr>
          <w:rFonts w:ascii="Times New Roman" w:eastAsia="Times New Roman" w:hAnsi="Times New Roman"/>
          <w:sz w:val="26"/>
          <w:szCs w:val="26"/>
        </w:rPr>
        <w:t xml:space="preserve">1 and 1-F.  </w:t>
      </w:r>
      <w:r w:rsidR="00817365"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 </w:t>
      </w:r>
      <w:r w:rsidR="00FD1DA6"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1 is a comprehensive financial and operating report submitted for electric rate regulation, market oversight analysis, and financial audits</w:t>
      </w:r>
      <w:r w:rsidR="00817365" w:rsidRPr="0073506C">
        <w:rPr>
          <w:rFonts w:ascii="Times New Roman" w:eastAsia="Times New Roman" w:hAnsi="Times New Roman"/>
          <w:sz w:val="26"/>
          <w:szCs w:val="26"/>
        </w:rPr>
        <w:t xml:space="preserve"> by Major electric utilities, licensees and others</w:t>
      </w:r>
      <w:r w:rsidRPr="0073506C">
        <w:rPr>
          <w:rFonts w:ascii="Times New Roman" w:eastAsia="Times New Roman" w:hAnsi="Times New Roman"/>
          <w:sz w:val="26"/>
          <w:szCs w:val="26"/>
        </w:rPr>
        <w:t xml:space="preserve">.  Major pertains to utilities and licensees that have, in each of the </w:t>
      </w:r>
      <w:r w:rsidR="00817365" w:rsidRPr="0073506C">
        <w:rPr>
          <w:rFonts w:ascii="Times New Roman" w:eastAsia="Times New Roman" w:hAnsi="Times New Roman"/>
          <w:sz w:val="26"/>
          <w:szCs w:val="26"/>
        </w:rPr>
        <w:t xml:space="preserve">last </w:t>
      </w:r>
      <w:r w:rsidRPr="0073506C">
        <w:rPr>
          <w:rFonts w:ascii="Times New Roman" w:eastAsia="Times New Roman" w:hAnsi="Times New Roman"/>
          <w:sz w:val="26"/>
          <w:szCs w:val="26"/>
        </w:rPr>
        <w:t xml:space="preserve">three </w:t>
      </w:r>
      <w:r w:rsidR="00817365" w:rsidRPr="0073506C">
        <w:rPr>
          <w:rFonts w:ascii="Times New Roman" w:eastAsia="Times New Roman" w:hAnsi="Times New Roman"/>
          <w:sz w:val="26"/>
          <w:szCs w:val="26"/>
        </w:rPr>
        <w:t>consecutive</w:t>
      </w:r>
      <w:r w:rsidRPr="0073506C">
        <w:rPr>
          <w:rFonts w:ascii="Times New Roman" w:eastAsia="Times New Roman" w:hAnsi="Times New Roman"/>
          <w:sz w:val="26"/>
          <w:szCs w:val="26"/>
        </w:rPr>
        <w:t xml:space="preserve"> calendar years, sales or transmission services that exceed one of the following:  (1) one million </w:t>
      </w:r>
      <w:r w:rsidRPr="0073506C">
        <w:rPr>
          <w:rFonts w:ascii="Times New Roman" w:eastAsia="Times New Roman" w:hAnsi="Times New Roman"/>
          <w:sz w:val="26"/>
          <w:szCs w:val="26"/>
        </w:rPr>
        <w:lastRenderedPageBreak/>
        <w:t>megawatt hours of total sales; (2) 100 megawatt hours of sales for resale; (3) 500 megawatt hours of power exchanges delivered; or (4) 500 megawatt hours of wheeling for others (deliveries plus losses).</w:t>
      </w:r>
      <w:r w:rsidRPr="0073506C">
        <w:rPr>
          <w:rFonts w:ascii="Times New Roman" w:eastAsia="Times New Roman" w:hAnsi="Times New Roman"/>
          <w:b/>
          <w:sz w:val="26"/>
          <w:szCs w:val="26"/>
          <w:vertAlign w:val="superscript"/>
        </w:rPr>
        <w:footnoteReference w:id="4"/>
      </w:r>
      <w:r w:rsidRPr="0073506C">
        <w:rPr>
          <w:rFonts w:ascii="Times New Roman" w:eastAsia="Times New Roman" w:hAnsi="Times New Roman"/>
          <w:sz w:val="26"/>
          <w:szCs w:val="26"/>
        </w:rPr>
        <w:t xml:space="preserve">  </w:t>
      </w:r>
      <w:r w:rsidR="00F97BD8"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 </w:t>
      </w:r>
      <w:r w:rsidR="00FD1DA6"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 xml:space="preserve">1-F is designed to collect financial and operational information from Nonmajor </w:t>
      </w:r>
      <w:r w:rsidR="00F97BD8" w:rsidRPr="0073506C">
        <w:rPr>
          <w:rFonts w:ascii="Times New Roman" w:eastAsia="Times New Roman" w:hAnsi="Times New Roman"/>
          <w:sz w:val="26"/>
          <w:szCs w:val="26"/>
        </w:rPr>
        <w:t>electric</w:t>
      </w:r>
      <w:r w:rsidRPr="0073506C">
        <w:rPr>
          <w:rFonts w:ascii="Times New Roman" w:eastAsia="Times New Roman" w:hAnsi="Times New Roman"/>
          <w:sz w:val="26"/>
          <w:szCs w:val="26"/>
        </w:rPr>
        <w:t xml:space="preserve"> utilities and licensees.  Nonmajor pertains to utilities and licensees that have total annual sales of 10,000 megawatt-hours or more in </w:t>
      </w:r>
      <w:r w:rsidR="00015810" w:rsidRPr="0073506C">
        <w:rPr>
          <w:rFonts w:ascii="Times New Roman" w:eastAsia="Times New Roman" w:hAnsi="Times New Roman"/>
          <w:sz w:val="26"/>
          <w:szCs w:val="26"/>
        </w:rPr>
        <w:t xml:space="preserve">each of </w:t>
      </w:r>
      <w:r w:rsidRPr="0073506C">
        <w:rPr>
          <w:rFonts w:ascii="Times New Roman" w:eastAsia="Times New Roman" w:hAnsi="Times New Roman"/>
          <w:sz w:val="26"/>
          <w:szCs w:val="26"/>
        </w:rPr>
        <w:t xml:space="preserve">the </w:t>
      </w:r>
      <w:r w:rsidR="00015810" w:rsidRPr="0073506C">
        <w:rPr>
          <w:rFonts w:ascii="Times New Roman" w:eastAsia="Times New Roman" w:hAnsi="Times New Roman"/>
          <w:sz w:val="26"/>
          <w:szCs w:val="26"/>
        </w:rPr>
        <w:t xml:space="preserve">last three consecutive </w:t>
      </w:r>
      <w:r w:rsidRPr="0073506C">
        <w:rPr>
          <w:rFonts w:ascii="Times New Roman" w:eastAsia="Times New Roman" w:hAnsi="Times New Roman"/>
          <w:sz w:val="26"/>
          <w:szCs w:val="26"/>
        </w:rPr>
        <w:t>year</w:t>
      </w:r>
      <w:r w:rsidR="00015810" w:rsidRPr="0073506C">
        <w:rPr>
          <w:rFonts w:ascii="Times New Roman" w:eastAsia="Times New Roman" w:hAnsi="Times New Roman"/>
          <w:sz w:val="26"/>
          <w:szCs w:val="26"/>
        </w:rPr>
        <w:t>s</w:t>
      </w:r>
      <w:r w:rsidRPr="0073506C">
        <w:rPr>
          <w:rFonts w:ascii="Times New Roman" w:eastAsia="Times New Roman" w:hAnsi="Times New Roman"/>
          <w:sz w:val="26"/>
          <w:szCs w:val="26"/>
        </w:rPr>
        <w:t xml:space="preserve"> and that are not classified as Major.</w:t>
      </w:r>
      <w:r w:rsidRPr="0073506C">
        <w:rPr>
          <w:rFonts w:ascii="Times New Roman" w:eastAsia="Times New Roman" w:hAnsi="Times New Roman"/>
          <w:b/>
          <w:sz w:val="26"/>
          <w:szCs w:val="26"/>
          <w:vertAlign w:val="superscript"/>
        </w:rPr>
        <w:footnoteReference w:id="5"/>
      </w:r>
    </w:p>
    <w:p w14:paraId="5FE35A95" w14:textId="77777777"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  </w:t>
      </w:r>
    </w:p>
    <w:p w14:paraId="3016F732" w14:textId="7D9D3D9B"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FERC Form </w:t>
      </w:r>
      <w:r w:rsidR="00FD1DA6"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 xml:space="preserve">3-Q is a quarterly financial and operating report for rate regulation, market oversight analysis, and financial audits which supplements the (a) </w:t>
      </w:r>
      <w:r w:rsidR="00487C6B"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Forms</w:t>
      </w:r>
      <w:r w:rsidR="00FD1DA6" w:rsidRPr="0073506C">
        <w:rPr>
          <w:rFonts w:ascii="Times New Roman" w:eastAsia="Times New Roman" w:hAnsi="Times New Roman"/>
          <w:sz w:val="26"/>
          <w:szCs w:val="26"/>
        </w:rPr>
        <w:t xml:space="preserve"> Nos. </w:t>
      </w:r>
      <w:r w:rsidRPr="0073506C">
        <w:rPr>
          <w:rFonts w:ascii="Times New Roman" w:eastAsia="Times New Roman" w:hAnsi="Times New Roman"/>
          <w:sz w:val="26"/>
          <w:szCs w:val="26"/>
        </w:rPr>
        <w:t xml:space="preserve">1 and 1-F for the electric industry, or the (b) </w:t>
      </w:r>
      <w:r w:rsidR="00487C6B"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 </w:t>
      </w:r>
      <w:r w:rsidR="00FD1DA6" w:rsidRPr="0073506C">
        <w:rPr>
          <w:rFonts w:ascii="Times New Roman" w:eastAsia="Times New Roman" w:hAnsi="Times New Roman"/>
          <w:sz w:val="26"/>
          <w:szCs w:val="26"/>
        </w:rPr>
        <w:t>No</w:t>
      </w:r>
      <w:r w:rsidR="002B4655" w:rsidRPr="0073506C">
        <w:rPr>
          <w:rFonts w:ascii="Times New Roman" w:eastAsia="Times New Roman" w:hAnsi="Times New Roman"/>
          <w:sz w:val="26"/>
          <w:szCs w:val="26"/>
        </w:rPr>
        <w:t>s</w:t>
      </w:r>
      <w:r w:rsidR="00FD1DA6" w:rsidRPr="0073506C">
        <w:rPr>
          <w:rFonts w:ascii="Times New Roman" w:eastAsia="Times New Roman" w:hAnsi="Times New Roman"/>
          <w:sz w:val="26"/>
          <w:szCs w:val="26"/>
        </w:rPr>
        <w:t xml:space="preserve">. </w:t>
      </w:r>
      <w:r w:rsidRPr="0073506C">
        <w:rPr>
          <w:rFonts w:ascii="Times New Roman" w:eastAsia="Times New Roman" w:hAnsi="Times New Roman"/>
          <w:sz w:val="26"/>
          <w:szCs w:val="26"/>
        </w:rPr>
        <w:t>2</w:t>
      </w:r>
      <w:r w:rsidR="00FD1DA6" w:rsidRPr="0073506C">
        <w:rPr>
          <w:rFonts w:ascii="Times New Roman" w:eastAsia="Times New Roman" w:hAnsi="Times New Roman"/>
          <w:sz w:val="26"/>
          <w:szCs w:val="26"/>
        </w:rPr>
        <w:t xml:space="preserve"> </w:t>
      </w:r>
      <w:r w:rsidR="002B4655" w:rsidRPr="0073506C">
        <w:rPr>
          <w:rFonts w:ascii="Times New Roman" w:eastAsia="Times New Roman" w:hAnsi="Times New Roman"/>
          <w:sz w:val="26"/>
          <w:szCs w:val="26"/>
        </w:rPr>
        <w:t xml:space="preserve">and </w:t>
      </w:r>
      <w:r w:rsidRPr="0073506C">
        <w:rPr>
          <w:rFonts w:ascii="Times New Roman" w:eastAsia="Times New Roman" w:hAnsi="Times New Roman"/>
          <w:sz w:val="26"/>
          <w:szCs w:val="26"/>
        </w:rPr>
        <w:t>2-A for the natural gas industry.   FERC</w:t>
      </w:r>
      <w:r w:rsidR="009F6CFB" w:rsidRPr="0073506C">
        <w:rPr>
          <w:rFonts w:ascii="Times New Roman" w:eastAsia="Times New Roman" w:hAnsi="Times New Roman"/>
          <w:sz w:val="26"/>
          <w:szCs w:val="26"/>
        </w:rPr>
        <w:t xml:space="preserve"> Form</w:t>
      </w:r>
      <w:r w:rsidR="000076FA" w:rsidRPr="0073506C">
        <w:rPr>
          <w:rFonts w:ascii="Times New Roman" w:eastAsia="Times New Roman" w:hAnsi="Times New Roman"/>
          <w:sz w:val="26"/>
          <w:szCs w:val="26"/>
        </w:rPr>
        <w:t xml:space="preserve"> </w:t>
      </w:r>
      <w:r w:rsidR="009852B7" w:rsidRPr="0073506C">
        <w:rPr>
          <w:rFonts w:ascii="Times New Roman" w:eastAsia="Times New Roman" w:hAnsi="Times New Roman"/>
          <w:sz w:val="26"/>
          <w:szCs w:val="26"/>
        </w:rPr>
        <w:t>No.</w:t>
      </w:r>
      <w:r w:rsidR="009F6CFB" w:rsidRPr="0073506C">
        <w:rPr>
          <w:rFonts w:ascii="Times New Roman" w:eastAsia="Times New Roman" w:hAnsi="Times New Roman"/>
          <w:sz w:val="26"/>
          <w:szCs w:val="26"/>
        </w:rPr>
        <w:t xml:space="preserve"> </w:t>
      </w:r>
      <w:r w:rsidRPr="0073506C">
        <w:rPr>
          <w:rFonts w:ascii="Times New Roman" w:eastAsia="Times New Roman" w:hAnsi="Times New Roman"/>
          <w:sz w:val="26"/>
          <w:szCs w:val="26"/>
        </w:rPr>
        <w:t xml:space="preserve">3-Q is submitted for electric utilities and licensees reporting Forms </w:t>
      </w:r>
      <w:r w:rsidR="009852B7"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 xml:space="preserve">1 or 1-F and natural gas companies reporting Forms </w:t>
      </w:r>
      <w:r w:rsidR="009852B7" w:rsidRPr="0073506C">
        <w:rPr>
          <w:rFonts w:ascii="Times New Roman" w:eastAsia="Times New Roman" w:hAnsi="Times New Roman"/>
          <w:sz w:val="26"/>
          <w:szCs w:val="26"/>
        </w:rPr>
        <w:t xml:space="preserve">No. </w:t>
      </w:r>
      <w:r w:rsidRPr="0073506C">
        <w:rPr>
          <w:rFonts w:ascii="Times New Roman" w:eastAsia="Times New Roman" w:hAnsi="Times New Roman"/>
          <w:sz w:val="26"/>
          <w:szCs w:val="26"/>
        </w:rPr>
        <w:t>2 or 2A.</w:t>
      </w:r>
      <w:r w:rsidRPr="0073506C">
        <w:rPr>
          <w:rFonts w:ascii="Times New Roman" w:eastAsia="Times New Roman" w:hAnsi="Times New Roman"/>
          <w:b/>
          <w:sz w:val="26"/>
          <w:szCs w:val="26"/>
          <w:vertAlign w:val="superscript"/>
        </w:rPr>
        <w:footnoteReference w:id="6"/>
      </w:r>
      <w:r w:rsidRPr="0073506C">
        <w:rPr>
          <w:rFonts w:ascii="Times New Roman" w:eastAsia="Times New Roman" w:hAnsi="Times New Roman"/>
          <w:sz w:val="26"/>
          <w:szCs w:val="26"/>
        </w:rPr>
        <w:t xml:space="preserve">   </w:t>
      </w:r>
    </w:p>
    <w:p w14:paraId="7C1616AC" w14:textId="77777777" w:rsidR="00CC72A5" w:rsidRPr="0073506C" w:rsidRDefault="00CC72A5" w:rsidP="00BD0F89">
      <w:pPr>
        <w:spacing w:after="0" w:line="240" w:lineRule="auto"/>
        <w:rPr>
          <w:rFonts w:ascii="Times New Roman" w:eastAsia="Times New Roman" w:hAnsi="Times New Roman"/>
          <w:sz w:val="26"/>
          <w:szCs w:val="26"/>
        </w:rPr>
      </w:pPr>
    </w:p>
    <w:p w14:paraId="7670B8B2" w14:textId="3775B9EC" w:rsidR="00CC72A5" w:rsidRPr="0073506C" w:rsidRDefault="00CC72A5"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sz w:val="26"/>
          <w:szCs w:val="26"/>
        </w:rPr>
        <w:t xml:space="preserve">The Commission collects </w:t>
      </w:r>
      <w:r w:rsidR="00487C6B" w:rsidRPr="0073506C">
        <w:rPr>
          <w:rFonts w:ascii="Times New Roman" w:eastAsia="Times New Roman" w:hAnsi="Times New Roman"/>
          <w:sz w:val="26"/>
          <w:szCs w:val="26"/>
        </w:rPr>
        <w:t xml:space="preserve">FERC </w:t>
      </w:r>
      <w:r w:rsidRPr="0073506C">
        <w:rPr>
          <w:rFonts w:ascii="Times New Roman" w:eastAsia="Times New Roman" w:hAnsi="Times New Roman"/>
          <w:sz w:val="26"/>
          <w:szCs w:val="26"/>
        </w:rPr>
        <w:t xml:space="preserve">Forms </w:t>
      </w:r>
      <w:r w:rsidR="00FD1DA6" w:rsidRPr="0073506C">
        <w:rPr>
          <w:rFonts w:ascii="Times New Roman" w:eastAsia="Times New Roman" w:hAnsi="Times New Roman"/>
          <w:sz w:val="26"/>
          <w:szCs w:val="26"/>
        </w:rPr>
        <w:t xml:space="preserve">Nos. </w:t>
      </w:r>
      <w:r w:rsidRPr="0073506C">
        <w:rPr>
          <w:rFonts w:ascii="Times New Roman" w:eastAsia="Times New Roman" w:hAnsi="Times New Roman"/>
          <w:sz w:val="26"/>
          <w:szCs w:val="26"/>
        </w:rPr>
        <w:t xml:space="preserve">1, 1-F, and 3-Q as prescribed in Title 18 CFR (Code of Federal Regulations) Parts 141.1, 141.2, and 141.400 and 260.300.  FERC Forms </w:t>
      </w:r>
      <w:r w:rsidR="00FD1DA6" w:rsidRPr="0073506C">
        <w:rPr>
          <w:rFonts w:ascii="Times New Roman" w:eastAsia="Times New Roman" w:hAnsi="Times New Roman"/>
          <w:sz w:val="26"/>
          <w:szCs w:val="26"/>
        </w:rPr>
        <w:t xml:space="preserve">Nos. </w:t>
      </w:r>
      <w:r w:rsidRPr="0073506C">
        <w:rPr>
          <w:rFonts w:ascii="Times New Roman" w:eastAsia="Times New Roman" w:hAnsi="Times New Roman"/>
          <w:sz w:val="26"/>
          <w:szCs w:val="26"/>
        </w:rPr>
        <w:t xml:space="preserve">1, 1-F, and 3-Q provide an informative picture of the jurisdictional entities’ financial conditions and other relevant data that are used by </w:t>
      </w:r>
      <w:r w:rsidR="00487C6B" w:rsidRPr="0073506C">
        <w:rPr>
          <w:rFonts w:ascii="Times New Roman" w:eastAsia="Times New Roman" w:hAnsi="Times New Roman"/>
          <w:sz w:val="26"/>
          <w:szCs w:val="26"/>
        </w:rPr>
        <w:t>the Commission</w:t>
      </w:r>
      <w:r w:rsidRPr="0073506C">
        <w:rPr>
          <w:rFonts w:ascii="Times New Roman" w:eastAsia="Times New Roman" w:hAnsi="Times New Roman"/>
          <w:sz w:val="26"/>
          <w:szCs w:val="26"/>
        </w:rPr>
        <w:t xml:space="preserve"> and </w:t>
      </w:r>
      <w:r w:rsidR="00487C6B" w:rsidRPr="0073506C">
        <w:rPr>
          <w:rFonts w:ascii="Times New Roman" w:eastAsia="Times New Roman" w:hAnsi="Times New Roman"/>
          <w:sz w:val="26"/>
          <w:szCs w:val="26"/>
        </w:rPr>
        <w:t>the public</w:t>
      </w:r>
      <w:r w:rsidRPr="0073506C">
        <w:rPr>
          <w:rFonts w:ascii="Times New Roman" w:eastAsia="Times New Roman" w:hAnsi="Times New Roman"/>
          <w:sz w:val="26"/>
          <w:szCs w:val="26"/>
        </w:rPr>
        <w:t xml:space="preserve"> in making economic judgments about the entity or its industry. </w:t>
      </w:r>
    </w:p>
    <w:p w14:paraId="5D6A7A60" w14:textId="77777777" w:rsidR="006E5D79" w:rsidRPr="0073506C" w:rsidRDefault="006E5D79" w:rsidP="00BD0F89">
      <w:pPr>
        <w:spacing w:after="0" w:line="240" w:lineRule="auto"/>
        <w:rPr>
          <w:rFonts w:ascii="Times New Roman" w:eastAsia="Times New Roman" w:hAnsi="Times New Roman"/>
          <w:b/>
          <w:sz w:val="26"/>
          <w:szCs w:val="26"/>
        </w:rPr>
      </w:pPr>
    </w:p>
    <w:p w14:paraId="025D3203" w14:textId="77777777" w:rsidR="00471F97" w:rsidRPr="0073506C" w:rsidRDefault="00471F97"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HOW, BY WHOM, AND FOR WHAT PURPOSE THE INFORMATION IS TO BE USED AND THE CONSEQUENCES OF NOT COLLECTING THE INFORMATION</w:t>
      </w:r>
    </w:p>
    <w:p w14:paraId="4C545E0D" w14:textId="77777777" w:rsidR="007445A8" w:rsidRPr="0073506C" w:rsidRDefault="007445A8" w:rsidP="00BD0F89">
      <w:pPr>
        <w:spacing w:after="0" w:line="240" w:lineRule="auto"/>
        <w:rPr>
          <w:rFonts w:ascii="Times New Roman" w:hAnsi="Times New Roman"/>
          <w:sz w:val="26"/>
          <w:szCs w:val="26"/>
        </w:rPr>
      </w:pPr>
    </w:p>
    <w:p w14:paraId="62912085" w14:textId="0AA9EB19" w:rsidR="00CC72A5" w:rsidRPr="0073506C" w:rsidRDefault="00CC72A5" w:rsidP="00BD0F89">
      <w:pPr>
        <w:spacing w:after="0" w:line="240" w:lineRule="auto"/>
        <w:rPr>
          <w:rFonts w:ascii="Times New Roman" w:hAnsi="Times New Roman"/>
          <w:sz w:val="26"/>
          <w:szCs w:val="26"/>
        </w:rPr>
      </w:pPr>
      <w:r w:rsidRPr="0073506C">
        <w:rPr>
          <w:rFonts w:ascii="Times New Roman" w:hAnsi="Times New Roman"/>
          <w:b/>
          <w:sz w:val="26"/>
          <w:szCs w:val="26"/>
        </w:rPr>
        <w:t>F</w:t>
      </w:r>
      <w:r w:rsidR="009E14B3" w:rsidRPr="0073506C">
        <w:rPr>
          <w:rFonts w:ascii="Times New Roman" w:hAnsi="Times New Roman"/>
          <w:b/>
          <w:sz w:val="26"/>
          <w:szCs w:val="26"/>
        </w:rPr>
        <w:t>ERC</w:t>
      </w:r>
      <w:r w:rsidR="002123B8" w:rsidRPr="0073506C">
        <w:rPr>
          <w:rFonts w:ascii="Times New Roman" w:hAnsi="Times New Roman"/>
          <w:b/>
          <w:sz w:val="26"/>
          <w:szCs w:val="26"/>
        </w:rPr>
        <w:t xml:space="preserve"> Form Nos. </w:t>
      </w:r>
      <w:r w:rsidRPr="0073506C">
        <w:rPr>
          <w:rFonts w:ascii="Times New Roman" w:hAnsi="Times New Roman"/>
          <w:b/>
          <w:sz w:val="26"/>
          <w:szCs w:val="26"/>
        </w:rPr>
        <w:t>1, 1-F, and 3-Q</w:t>
      </w:r>
      <w:r w:rsidR="00FE4084" w:rsidRPr="0073506C">
        <w:rPr>
          <w:rFonts w:ascii="Times New Roman" w:hAnsi="Times New Roman"/>
          <w:b/>
          <w:sz w:val="26"/>
          <w:szCs w:val="26"/>
        </w:rPr>
        <w:t xml:space="preserve"> (electric)</w:t>
      </w:r>
      <w:r w:rsidRPr="0073506C">
        <w:rPr>
          <w:rFonts w:ascii="Times New Roman" w:hAnsi="Times New Roman"/>
          <w:b/>
          <w:sz w:val="26"/>
          <w:szCs w:val="26"/>
        </w:rPr>
        <w:t xml:space="preserve">.  </w:t>
      </w:r>
      <w:r w:rsidRPr="0073506C">
        <w:rPr>
          <w:rFonts w:ascii="Times New Roman" w:hAnsi="Times New Roman"/>
          <w:sz w:val="26"/>
          <w:szCs w:val="26"/>
        </w:rPr>
        <w:t>These forms provide information concerning a company’s current performance, compiled using the Commission’s USofA.</w:t>
      </w:r>
      <w:r w:rsidRPr="0073506C">
        <w:rPr>
          <w:rFonts w:ascii="Times New Roman" w:hAnsi="Times New Roman"/>
          <w:b/>
          <w:sz w:val="26"/>
          <w:szCs w:val="26"/>
          <w:vertAlign w:val="superscript"/>
        </w:rPr>
        <w:footnoteReference w:id="7"/>
      </w:r>
      <w:r w:rsidRPr="0073506C">
        <w:rPr>
          <w:rFonts w:ascii="Times New Roman" w:hAnsi="Times New Roman"/>
          <w:sz w:val="26"/>
          <w:szCs w:val="26"/>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73506C" w:rsidRDefault="00CC72A5" w:rsidP="00BD0F89">
      <w:pPr>
        <w:spacing w:after="0" w:line="240" w:lineRule="auto"/>
        <w:rPr>
          <w:rFonts w:ascii="Times New Roman" w:hAnsi="Times New Roman"/>
          <w:sz w:val="26"/>
          <w:szCs w:val="26"/>
        </w:rPr>
      </w:pPr>
    </w:p>
    <w:p w14:paraId="6ED65D4A" w14:textId="77777777" w:rsidR="00ED24E5" w:rsidRDefault="00CC72A5" w:rsidP="00BD0F89">
      <w:pPr>
        <w:spacing w:after="0" w:line="240" w:lineRule="auto"/>
        <w:rPr>
          <w:rFonts w:ascii="Times New Roman" w:hAnsi="Times New Roman"/>
          <w:sz w:val="26"/>
          <w:szCs w:val="26"/>
        </w:rPr>
      </w:pPr>
      <w:r w:rsidRPr="0073506C">
        <w:rPr>
          <w:rFonts w:ascii="Times New Roman" w:hAnsi="Times New Roman"/>
          <w:sz w:val="26"/>
          <w:szCs w:val="26"/>
        </w:rPr>
        <w:t xml:space="preserve">Information in the forms is used by </w:t>
      </w:r>
      <w:r w:rsidR="00156589" w:rsidRPr="0073506C">
        <w:rPr>
          <w:rFonts w:ascii="Times New Roman" w:hAnsi="Times New Roman"/>
          <w:sz w:val="26"/>
          <w:szCs w:val="26"/>
        </w:rPr>
        <w:t>the Commission,</w:t>
      </w:r>
      <w:r w:rsidRPr="0073506C">
        <w:rPr>
          <w:rFonts w:ascii="Times New Roman" w:hAnsi="Times New Roman"/>
          <w:sz w:val="26"/>
          <w:szCs w:val="26"/>
        </w:rPr>
        <w:t xml:space="preserve"> state regulatory agencies</w:t>
      </w:r>
      <w:r w:rsidR="00A326E2" w:rsidRPr="0073506C">
        <w:rPr>
          <w:rFonts w:ascii="Times New Roman" w:hAnsi="Times New Roman"/>
          <w:sz w:val="26"/>
          <w:szCs w:val="26"/>
        </w:rPr>
        <w:t>,</w:t>
      </w:r>
      <w:r w:rsidRPr="0073506C">
        <w:rPr>
          <w:rFonts w:ascii="Times New Roman" w:hAnsi="Times New Roman"/>
          <w:sz w:val="26"/>
          <w:szCs w:val="26"/>
        </w:rPr>
        <w:t xml:space="preserve"> and others in the review of the financial condition of regulated companies.  The information is also used in various rate proceedings, market oversight,</w:t>
      </w:r>
      <w:r w:rsidR="008E6E94" w:rsidRPr="0073506C">
        <w:rPr>
          <w:rFonts w:ascii="Times New Roman" w:hAnsi="Times New Roman"/>
          <w:sz w:val="26"/>
          <w:szCs w:val="26"/>
        </w:rPr>
        <w:t xml:space="preserve"> </w:t>
      </w:r>
      <w:r w:rsidR="00156589" w:rsidRPr="0073506C">
        <w:rPr>
          <w:rFonts w:ascii="Times New Roman" w:hAnsi="Times New Roman"/>
          <w:sz w:val="26"/>
          <w:szCs w:val="26"/>
        </w:rPr>
        <w:t>the Commission’s</w:t>
      </w:r>
      <w:r w:rsidRPr="0073506C">
        <w:rPr>
          <w:rFonts w:ascii="Times New Roman" w:hAnsi="Times New Roman"/>
          <w:sz w:val="26"/>
          <w:szCs w:val="26"/>
        </w:rPr>
        <w:t xml:space="preserve"> audit programs, and the computation of annual charges based on certain schedules contained on the forms. </w:t>
      </w:r>
    </w:p>
    <w:p w14:paraId="21911094" w14:textId="77777777" w:rsidR="00ED24E5" w:rsidRDefault="00ED24E5" w:rsidP="00BD0F89">
      <w:pPr>
        <w:spacing w:after="0" w:line="240" w:lineRule="auto"/>
        <w:rPr>
          <w:rFonts w:ascii="Times New Roman" w:hAnsi="Times New Roman"/>
          <w:sz w:val="26"/>
          <w:szCs w:val="26"/>
        </w:rPr>
      </w:pPr>
    </w:p>
    <w:p w14:paraId="402BAAF0" w14:textId="761CE58F" w:rsidR="00CC72A5" w:rsidRPr="0073506C" w:rsidRDefault="00ED24E5" w:rsidP="00BD0F89">
      <w:pPr>
        <w:spacing w:after="0" w:line="240" w:lineRule="auto"/>
        <w:rPr>
          <w:rFonts w:ascii="Times New Roman" w:hAnsi="Times New Roman"/>
          <w:sz w:val="26"/>
          <w:szCs w:val="26"/>
        </w:rPr>
      </w:pPr>
      <w:r>
        <w:rPr>
          <w:rFonts w:ascii="Times New Roman" w:hAnsi="Times New Roman"/>
          <w:sz w:val="26"/>
          <w:szCs w:val="26"/>
        </w:rPr>
        <w:t>If data from the FERC Form Nos. 1, 1-F and 3-Q (electric) were not available, it would be difficult for the Commission to meet its mandatory review responsibilities because it would have fewer regulatory mechanisms to ensure transparency and to protect ratepayers.</w:t>
      </w:r>
      <w:r w:rsidR="00CC72A5" w:rsidRPr="0073506C">
        <w:rPr>
          <w:rFonts w:ascii="Times New Roman" w:hAnsi="Times New Roman"/>
          <w:sz w:val="26"/>
          <w:szCs w:val="26"/>
        </w:rPr>
        <w:t xml:space="preserve"> </w:t>
      </w:r>
    </w:p>
    <w:p w14:paraId="6649A203" w14:textId="77777777" w:rsidR="00BE75DC" w:rsidRPr="0073506C" w:rsidRDefault="00BE75DC" w:rsidP="00BD0F89">
      <w:pPr>
        <w:spacing w:after="0" w:line="240" w:lineRule="auto"/>
        <w:rPr>
          <w:rFonts w:ascii="Times New Roman" w:hAnsi="Times New Roman"/>
          <w:sz w:val="26"/>
          <w:szCs w:val="26"/>
        </w:rPr>
      </w:pPr>
    </w:p>
    <w:p w14:paraId="0D57117F" w14:textId="070C9EA4" w:rsidR="00A93FF1" w:rsidRPr="0073506C" w:rsidRDefault="0062523A" w:rsidP="00A93FF1">
      <w:pPr>
        <w:tabs>
          <w:tab w:val="num" w:pos="1080"/>
        </w:tabs>
        <w:spacing w:after="0" w:line="240" w:lineRule="auto"/>
        <w:rPr>
          <w:rFonts w:ascii="Times New Roman" w:eastAsia="Times New Roman" w:hAnsi="Times New Roman"/>
          <w:sz w:val="26"/>
          <w:szCs w:val="26"/>
        </w:rPr>
      </w:pPr>
      <w:r w:rsidRPr="0073506C">
        <w:rPr>
          <w:rFonts w:ascii="Times New Roman" w:hAnsi="Times New Roman"/>
          <w:b/>
          <w:sz w:val="26"/>
          <w:szCs w:val="26"/>
        </w:rPr>
        <w:t>FERC</w:t>
      </w:r>
      <w:r w:rsidR="002123B8" w:rsidRPr="0073506C">
        <w:rPr>
          <w:rFonts w:ascii="Times New Roman" w:hAnsi="Times New Roman"/>
          <w:b/>
          <w:sz w:val="26"/>
          <w:szCs w:val="26"/>
        </w:rPr>
        <w:t xml:space="preserve"> Form No. </w:t>
      </w:r>
      <w:r w:rsidR="00D24757" w:rsidRPr="0073506C">
        <w:rPr>
          <w:rFonts w:ascii="Times New Roman" w:hAnsi="Times New Roman"/>
          <w:b/>
          <w:sz w:val="26"/>
          <w:szCs w:val="26"/>
        </w:rPr>
        <w:t>3-Q</w:t>
      </w:r>
      <w:r w:rsidR="00A326E2" w:rsidRPr="0073506C">
        <w:rPr>
          <w:rFonts w:ascii="Times New Roman" w:hAnsi="Times New Roman"/>
          <w:b/>
          <w:sz w:val="26"/>
          <w:szCs w:val="26"/>
        </w:rPr>
        <w:t xml:space="preserve"> (gas)</w:t>
      </w:r>
      <w:r w:rsidRPr="0073506C">
        <w:rPr>
          <w:rFonts w:ascii="Times New Roman" w:hAnsi="Times New Roman"/>
          <w:b/>
          <w:sz w:val="26"/>
          <w:szCs w:val="26"/>
        </w:rPr>
        <w:t xml:space="preserve">.  </w:t>
      </w:r>
      <w:r w:rsidR="00A93FF1" w:rsidRPr="0073506C">
        <w:rPr>
          <w:rFonts w:ascii="Times New Roman" w:eastAsia="Times New Roman" w:hAnsi="Times New Roman"/>
          <w:sz w:val="26"/>
          <w:szCs w:val="26"/>
        </w:rPr>
        <w:t>The FERC Form No. 3-Q is a quarterly financial and operating report for rate regulation, market oversight analysis, and financial audits which supplements the (a) FERC Form Nos. 1 and 1-F, for the electric industry, or the (b) FERC Form No. 2 (Annual Report for Major Natural Gas Companies; OMB Control No. 1902-0028) and FERC Form No. 2-A (Annual Report for Nonmajor Natural Gas Companies; OMB Control No. 1902-0030), for the natural gas industry.  The FERC Form No. 3-Q is submitted for all Major and Nonmajor electric utilities, licensees, and natural gas companies</w:t>
      </w:r>
      <w:r w:rsidR="00A93FF1" w:rsidRPr="0073506C">
        <w:rPr>
          <w:rFonts w:ascii="Times New Roman" w:eastAsia="Times New Roman" w:hAnsi="Times New Roman"/>
          <w:b/>
          <w:sz w:val="26"/>
          <w:szCs w:val="26"/>
          <w:vertAlign w:val="superscript"/>
        </w:rPr>
        <w:footnoteReference w:id="8"/>
      </w:r>
      <w:r w:rsidR="00A93FF1" w:rsidRPr="0073506C">
        <w:rPr>
          <w:rFonts w:ascii="Times New Roman" w:eastAsia="Times New Roman" w:hAnsi="Times New Roman"/>
          <w:sz w:val="26"/>
          <w:szCs w:val="26"/>
        </w:rPr>
        <w:t xml:space="preserve">.  </w:t>
      </w:r>
    </w:p>
    <w:p w14:paraId="69CE64B4" w14:textId="77777777" w:rsidR="00A93FF1" w:rsidRPr="0073506C" w:rsidRDefault="00A93FF1" w:rsidP="003A3DE2">
      <w:pPr>
        <w:spacing w:after="0" w:line="240" w:lineRule="auto"/>
        <w:rPr>
          <w:rFonts w:ascii="Times New Roman" w:hAnsi="Times New Roman"/>
          <w:b/>
          <w:sz w:val="26"/>
          <w:szCs w:val="26"/>
        </w:rPr>
      </w:pPr>
    </w:p>
    <w:p w14:paraId="31D92B5A" w14:textId="02239699" w:rsidR="003A3DE2" w:rsidRPr="0073506C" w:rsidRDefault="00A326E2" w:rsidP="003A3DE2">
      <w:pPr>
        <w:spacing w:after="0" w:line="240" w:lineRule="auto"/>
        <w:rPr>
          <w:rFonts w:ascii="Times New Roman" w:hAnsi="Times New Roman"/>
          <w:sz w:val="26"/>
          <w:szCs w:val="26"/>
        </w:rPr>
      </w:pPr>
      <w:r w:rsidRPr="0073506C">
        <w:rPr>
          <w:rFonts w:ascii="Times New Roman" w:hAnsi="Times New Roman"/>
          <w:sz w:val="26"/>
          <w:szCs w:val="26"/>
        </w:rPr>
        <w:t>Th</w:t>
      </w:r>
      <w:r w:rsidR="00A93FF1" w:rsidRPr="0073506C">
        <w:rPr>
          <w:rFonts w:ascii="Times New Roman" w:hAnsi="Times New Roman"/>
          <w:sz w:val="26"/>
          <w:szCs w:val="26"/>
        </w:rPr>
        <w:t>is</w:t>
      </w:r>
      <w:r w:rsidRPr="0073506C">
        <w:rPr>
          <w:rFonts w:ascii="Times New Roman" w:hAnsi="Times New Roman"/>
          <w:sz w:val="26"/>
          <w:szCs w:val="26"/>
        </w:rPr>
        <w:t xml:space="preserve"> form provide</w:t>
      </w:r>
      <w:r w:rsidR="00A93FF1" w:rsidRPr="0073506C">
        <w:rPr>
          <w:rFonts w:ascii="Times New Roman" w:hAnsi="Times New Roman"/>
          <w:sz w:val="26"/>
          <w:szCs w:val="26"/>
        </w:rPr>
        <w:t>s</w:t>
      </w:r>
      <w:r w:rsidRPr="0073506C">
        <w:rPr>
          <w:rFonts w:ascii="Times New Roman" w:hAnsi="Times New Roman"/>
          <w:sz w:val="26"/>
          <w:szCs w:val="26"/>
        </w:rPr>
        <w:t xml:space="preserve"> information concerning a company’s current performance, compiled using the Commission’s USofA.</w:t>
      </w:r>
      <w:r w:rsidRPr="0073506C">
        <w:rPr>
          <w:rFonts w:ascii="Times New Roman" w:hAnsi="Times New Roman"/>
          <w:b/>
          <w:sz w:val="26"/>
          <w:szCs w:val="26"/>
          <w:vertAlign w:val="superscript"/>
        </w:rPr>
        <w:footnoteReference w:id="9"/>
      </w:r>
      <w:r w:rsidRPr="0073506C">
        <w:rPr>
          <w:rFonts w:ascii="Times New Roman" w:hAnsi="Times New Roman"/>
          <w:sz w:val="26"/>
          <w:szCs w:val="26"/>
        </w:rPr>
        <w:t xml:space="preserve">  </w:t>
      </w:r>
      <w:r w:rsidR="00A93FF1" w:rsidRPr="0073506C">
        <w:rPr>
          <w:rFonts w:ascii="Times New Roman" w:hAnsi="Times New Roman"/>
          <w:sz w:val="26"/>
          <w:szCs w:val="26"/>
        </w:rPr>
        <w:t>FERC Form No.</w:t>
      </w:r>
      <w:r w:rsidR="003A3DE2" w:rsidRPr="0073506C">
        <w:rPr>
          <w:rFonts w:ascii="Times New Roman" w:hAnsi="Times New Roman"/>
          <w:sz w:val="26"/>
          <w:szCs w:val="26"/>
        </w:rPr>
        <w:t xml:space="preserve"> 3-Q natural gas quarterly respondents include monthly and quarterly quantities of gas transported and associated revenues; storage, terminaling, and processing services; natural gas customer accounts and details of service; and operational expenses, depreciation, depletion and amortization of gas plant.</w:t>
      </w:r>
    </w:p>
    <w:p w14:paraId="7360E280" w14:textId="77777777" w:rsidR="002C0DA6" w:rsidRPr="0073506C" w:rsidRDefault="002C0DA6" w:rsidP="00BD0F89">
      <w:pPr>
        <w:spacing w:after="0" w:line="240" w:lineRule="auto"/>
        <w:rPr>
          <w:rFonts w:ascii="Times New Roman" w:hAnsi="Times New Roman"/>
          <w:sz w:val="26"/>
          <w:szCs w:val="26"/>
        </w:rPr>
      </w:pPr>
    </w:p>
    <w:p w14:paraId="66DE3B4A" w14:textId="560AC507" w:rsidR="002C0DA6" w:rsidRPr="0073506C" w:rsidRDefault="002C0DA6" w:rsidP="00BD0F89">
      <w:pPr>
        <w:spacing w:after="0" w:line="240" w:lineRule="auto"/>
        <w:rPr>
          <w:rFonts w:ascii="Times New Roman" w:hAnsi="Times New Roman"/>
          <w:sz w:val="26"/>
          <w:szCs w:val="26"/>
        </w:rPr>
      </w:pPr>
      <w:r w:rsidRPr="0073506C">
        <w:rPr>
          <w:rFonts w:ascii="Times New Roman" w:hAnsi="Times New Roman"/>
          <w:sz w:val="26"/>
          <w:szCs w:val="26"/>
        </w:rPr>
        <w:t>Th</w:t>
      </w:r>
      <w:r w:rsidR="0062523A" w:rsidRPr="0073506C">
        <w:rPr>
          <w:rFonts w:ascii="Times New Roman" w:hAnsi="Times New Roman"/>
          <w:sz w:val="26"/>
          <w:szCs w:val="26"/>
        </w:rPr>
        <w:t>e</w:t>
      </w:r>
      <w:r w:rsidRPr="0073506C">
        <w:rPr>
          <w:rFonts w:ascii="Times New Roman" w:hAnsi="Times New Roman"/>
          <w:sz w:val="26"/>
          <w:szCs w:val="26"/>
        </w:rPr>
        <w:t xml:space="preserve"> form provide</w:t>
      </w:r>
      <w:r w:rsidR="00FE4084" w:rsidRPr="0073506C">
        <w:rPr>
          <w:rFonts w:ascii="Times New Roman" w:hAnsi="Times New Roman"/>
          <w:sz w:val="26"/>
          <w:szCs w:val="26"/>
        </w:rPr>
        <w:t>s</w:t>
      </w:r>
      <w:r w:rsidRPr="0073506C">
        <w:rPr>
          <w:rFonts w:ascii="Times New Roman" w:hAnsi="Times New Roman"/>
          <w:sz w:val="26"/>
          <w:szCs w:val="26"/>
        </w:rPr>
        <w:t xml:space="preserve"> information concerning a company’s past performance and its future prospects</w:t>
      </w:r>
      <w:r w:rsidR="006540D2" w:rsidRPr="0073506C">
        <w:rPr>
          <w:rFonts w:ascii="Times New Roman" w:hAnsi="Times New Roman"/>
          <w:sz w:val="26"/>
          <w:szCs w:val="26"/>
        </w:rPr>
        <w:t xml:space="preserve"> and </w:t>
      </w:r>
      <w:r w:rsidRPr="0073506C">
        <w:rPr>
          <w:rFonts w:ascii="Times New Roman" w:hAnsi="Times New Roman"/>
          <w:sz w:val="26"/>
          <w:szCs w:val="26"/>
        </w:rPr>
        <w:t>is based on the companies’ financial and other information.   The form contain</w:t>
      </w:r>
      <w:r w:rsidR="00FE4084" w:rsidRPr="0073506C">
        <w:rPr>
          <w:rFonts w:ascii="Times New Roman" w:hAnsi="Times New Roman"/>
          <w:sz w:val="26"/>
          <w:szCs w:val="26"/>
        </w:rPr>
        <w:t>s</w:t>
      </w:r>
      <w:r w:rsidRPr="0073506C">
        <w:rPr>
          <w:rFonts w:ascii="Times New Roman" w:hAnsi="Times New Roman"/>
          <w:sz w:val="26"/>
          <w:szCs w:val="26"/>
        </w:rPr>
        <w:t xml:space="preserve">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73506C" w:rsidRDefault="002C0DA6" w:rsidP="00BD0F89">
      <w:pPr>
        <w:spacing w:after="0" w:line="240" w:lineRule="auto"/>
        <w:rPr>
          <w:rFonts w:ascii="Times New Roman" w:hAnsi="Times New Roman"/>
          <w:sz w:val="26"/>
          <w:szCs w:val="26"/>
        </w:rPr>
      </w:pPr>
    </w:p>
    <w:p w14:paraId="5D187BC6" w14:textId="3A6A538C" w:rsidR="002C0DA6" w:rsidRPr="0073506C" w:rsidRDefault="002C0DA6" w:rsidP="00BD0F89">
      <w:pPr>
        <w:spacing w:after="0" w:line="240" w:lineRule="auto"/>
        <w:rPr>
          <w:rFonts w:ascii="Times New Roman" w:hAnsi="Times New Roman"/>
          <w:sz w:val="26"/>
          <w:szCs w:val="26"/>
        </w:rPr>
      </w:pPr>
      <w:r w:rsidRPr="0073506C">
        <w:rPr>
          <w:rFonts w:ascii="Times New Roman" w:hAnsi="Times New Roman"/>
          <w:sz w:val="26"/>
          <w:szCs w:val="26"/>
        </w:rPr>
        <w:t>The i</w:t>
      </w:r>
      <w:r w:rsidR="003C0E57" w:rsidRPr="0073506C">
        <w:rPr>
          <w:rFonts w:ascii="Times New Roman" w:hAnsi="Times New Roman"/>
          <w:sz w:val="26"/>
          <w:szCs w:val="26"/>
        </w:rPr>
        <w:t>nformation collected</w:t>
      </w:r>
      <w:r w:rsidRPr="0073506C">
        <w:rPr>
          <w:rFonts w:ascii="Times New Roman" w:hAnsi="Times New Roman"/>
          <w:sz w:val="26"/>
          <w:szCs w:val="26"/>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Commission's audit programs and as appropriate, for the computation of annual charges based on Page No. 520 of </w:t>
      </w:r>
      <w:r w:rsidR="00B705E5" w:rsidRPr="0073506C">
        <w:rPr>
          <w:rFonts w:ascii="Times New Roman" w:hAnsi="Times New Roman"/>
          <w:sz w:val="26"/>
          <w:szCs w:val="26"/>
        </w:rPr>
        <w:t xml:space="preserve">FERC </w:t>
      </w:r>
      <w:r w:rsidR="003A3DE2" w:rsidRPr="0073506C">
        <w:rPr>
          <w:rFonts w:ascii="Times New Roman" w:hAnsi="Times New Roman"/>
          <w:sz w:val="26"/>
          <w:szCs w:val="26"/>
        </w:rPr>
        <w:t xml:space="preserve">Form No. </w:t>
      </w:r>
      <w:r w:rsidR="003C0E57" w:rsidRPr="0073506C">
        <w:rPr>
          <w:rFonts w:ascii="Times New Roman" w:hAnsi="Times New Roman"/>
          <w:sz w:val="26"/>
          <w:szCs w:val="26"/>
        </w:rPr>
        <w:t>2</w:t>
      </w:r>
      <w:r w:rsidRPr="0073506C">
        <w:rPr>
          <w:rFonts w:ascii="Times New Roman" w:hAnsi="Times New Roman"/>
          <w:sz w:val="26"/>
          <w:szCs w:val="26"/>
        </w:rPr>
        <w:t xml:space="preserve">.  The Commission provides the information to the public, interveners and all interested parties to assist in the proceedings before the Commission. </w:t>
      </w:r>
    </w:p>
    <w:p w14:paraId="0F5132F9" w14:textId="77777777" w:rsidR="002C0DA6" w:rsidRPr="0073506C" w:rsidRDefault="002C0DA6" w:rsidP="00BD0F89">
      <w:pPr>
        <w:spacing w:after="0" w:line="240" w:lineRule="auto"/>
        <w:rPr>
          <w:rFonts w:ascii="Times New Roman" w:hAnsi="Times New Roman"/>
          <w:sz w:val="26"/>
          <w:szCs w:val="26"/>
        </w:rPr>
      </w:pPr>
    </w:p>
    <w:p w14:paraId="391D3E58" w14:textId="1C140046" w:rsidR="002C0DA6" w:rsidRPr="0073506C" w:rsidRDefault="003C0E57" w:rsidP="00BD0F89">
      <w:pPr>
        <w:spacing w:after="0" w:line="240" w:lineRule="auto"/>
        <w:rPr>
          <w:rFonts w:ascii="Times New Roman" w:hAnsi="Times New Roman"/>
          <w:sz w:val="26"/>
          <w:szCs w:val="26"/>
        </w:rPr>
      </w:pPr>
      <w:r w:rsidRPr="0073506C">
        <w:rPr>
          <w:rFonts w:ascii="Times New Roman" w:hAnsi="Times New Roman"/>
          <w:sz w:val="26"/>
          <w:szCs w:val="26"/>
        </w:rPr>
        <w:t xml:space="preserve">In addition, the </w:t>
      </w:r>
      <w:r w:rsidR="002C0DA6" w:rsidRPr="0073506C">
        <w:rPr>
          <w:rFonts w:ascii="Times New Roman" w:hAnsi="Times New Roman"/>
          <w:sz w:val="26"/>
          <w:szCs w:val="26"/>
        </w:rPr>
        <w:t>form</w:t>
      </w:r>
      <w:r w:rsidRPr="0073506C">
        <w:rPr>
          <w:rFonts w:ascii="Times New Roman" w:hAnsi="Times New Roman"/>
          <w:sz w:val="26"/>
          <w:szCs w:val="26"/>
        </w:rPr>
        <w:t>s</w:t>
      </w:r>
      <w:r w:rsidR="002C0DA6" w:rsidRPr="0073506C">
        <w:rPr>
          <w:rFonts w:ascii="Times New Roman" w:hAnsi="Times New Roman"/>
          <w:sz w:val="26"/>
          <w:szCs w:val="26"/>
        </w:rPr>
        <w:t xml:space="preserve"> provide the Commission, as well as others, with an informative picture of the jurisdictional entities' financial condition along with other relevant data that is used by the Commission in making economic judgments about the entity or its industry.  For financial information to be useful to the Commission, it must be understandable, relevant, reliable and timely.   </w:t>
      </w:r>
      <w:r w:rsidR="00B705E5" w:rsidRPr="0073506C">
        <w:rPr>
          <w:rFonts w:ascii="Times New Roman" w:hAnsi="Times New Roman"/>
          <w:sz w:val="26"/>
          <w:szCs w:val="26"/>
        </w:rPr>
        <w:t xml:space="preserve">FERC </w:t>
      </w:r>
      <w:r w:rsidRPr="0073506C">
        <w:rPr>
          <w:rFonts w:ascii="Times New Roman" w:hAnsi="Times New Roman"/>
          <w:sz w:val="26"/>
          <w:szCs w:val="26"/>
        </w:rPr>
        <w:t>F</w:t>
      </w:r>
      <w:r w:rsidR="003A3DE2" w:rsidRPr="0073506C">
        <w:rPr>
          <w:rFonts w:ascii="Times New Roman" w:hAnsi="Times New Roman"/>
          <w:sz w:val="26"/>
          <w:szCs w:val="26"/>
        </w:rPr>
        <w:t xml:space="preserve">orm Nos. </w:t>
      </w:r>
      <w:r w:rsidRPr="0073506C">
        <w:rPr>
          <w:rFonts w:ascii="Times New Roman" w:hAnsi="Times New Roman"/>
          <w:sz w:val="26"/>
          <w:szCs w:val="26"/>
        </w:rPr>
        <w:t>2 and 2</w:t>
      </w:r>
      <w:r w:rsidR="003A3DE2" w:rsidRPr="0073506C">
        <w:rPr>
          <w:rFonts w:ascii="Times New Roman" w:hAnsi="Times New Roman"/>
          <w:sz w:val="26"/>
          <w:szCs w:val="26"/>
        </w:rPr>
        <w:t>-</w:t>
      </w:r>
      <w:r w:rsidRPr="0073506C">
        <w:rPr>
          <w:rFonts w:ascii="Times New Roman" w:hAnsi="Times New Roman"/>
          <w:sz w:val="26"/>
          <w:szCs w:val="26"/>
        </w:rPr>
        <w:t>A</w:t>
      </w:r>
      <w:r w:rsidR="002C0DA6" w:rsidRPr="0073506C">
        <w:rPr>
          <w:rFonts w:ascii="Times New Roman" w:hAnsi="Times New Roman"/>
          <w:sz w:val="26"/>
          <w:szCs w:val="26"/>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a uniform system of accounts permits natural gas companies to account for similar transactions and events in a consistent manner, and communicate those results to the Commission on a periodic basis.</w:t>
      </w:r>
    </w:p>
    <w:p w14:paraId="31ED7F2D" w14:textId="77777777" w:rsidR="002C0DA6" w:rsidRPr="0073506C" w:rsidRDefault="002C0DA6" w:rsidP="00BD0F89">
      <w:pPr>
        <w:spacing w:after="0" w:line="240" w:lineRule="auto"/>
        <w:rPr>
          <w:rFonts w:ascii="Times New Roman" w:hAnsi="Times New Roman"/>
          <w:sz w:val="26"/>
          <w:szCs w:val="26"/>
        </w:rPr>
      </w:pPr>
    </w:p>
    <w:p w14:paraId="7F34A694" w14:textId="77777777" w:rsidR="002C0DA6" w:rsidRPr="0073506C" w:rsidRDefault="002C0DA6" w:rsidP="00BD0F89">
      <w:pPr>
        <w:spacing w:after="0" w:line="240" w:lineRule="auto"/>
        <w:rPr>
          <w:rFonts w:ascii="Times New Roman" w:hAnsi="Times New Roman"/>
          <w:sz w:val="26"/>
          <w:szCs w:val="26"/>
        </w:rPr>
      </w:pPr>
      <w:r w:rsidRPr="0073506C">
        <w:rPr>
          <w:rFonts w:ascii="Times New Roman" w:hAnsi="Times New Roman"/>
          <w:sz w:val="26"/>
          <w:szCs w:val="26"/>
        </w:rPr>
        <w:t xml:space="preserve">Additionally, the uniformity helps to present accurately the entity's financial condition and produces comprehensive data related to the entity's financial history helping to act as a guide for future action.  The uniformity provided by the Commission's </w:t>
      </w:r>
      <w:r w:rsidR="0092238A" w:rsidRPr="0073506C">
        <w:rPr>
          <w:rFonts w:ascii="Times New Roman" w:hAnsi="Times New Roman"/>
          <w:sz w:val="26"/>
          <w:szCs w:val="26"/>
        </w:rPr>
        <w:t>USofA</w:t>
      </w:r>
      <w:r w:rsidRPr="0073506C">
        <w:rPr>
          <w:rFonts w:ascii="Times New Roman" w:hAnsi="Times New Roman"/>
          <w:sz w:val="26"/>
          <w:szCs w:val="26"/>
        </w:rPr>
        <w:t xml:space="preserve"> and related accounting instructions permits comparability and financial statement analysis of data provided by jurisdictional entities.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73506C" w:rsidRDefault="002C0DA6" w:rsidP="00BD0F89">
      <w:pPr>
        <w:spacing w:after="0" w:line="240" w:lineRule="auto"/>
        <w:rPr>
          <w:rFonts w:ascii="Times New Roman" w:hAnsi="Times New Roman"/>
          <w:sz w:val="26"/>
          <w:szCs w:val="26"/>
        </w:rPr>
      </w:pPr>
    </w:p>
    <w:p w14:paraId="479A35B4" w14:textId="77777777" w:rsidR="00BA412D" w:rsidRPr="0073506C" w:rsidRDefault="002C0DA6" w:rsidP="00BD0F89">
      <w:pPr>
        <w:spacing w:after="0" w:line="240" w:lineRule="auto"/>
        <w:rPr>
          <w:rFonts w:ascii="Times New Roman" w:hAnsi="Times New Roman"/>
          <w:sz w:val="26"/>
          <w:szCs w:val="26"/>
        </w:rPr>
      </w:pPr>
      <w:r w:rsidRPr="0073506C">
        <w:rPr>
          <w:rFonts w:ascii="Times New Roman" w:hAnsi="Times New Roman"/>
          <w:sz w:val="26"/>
          <w:szCs w:val="26"/>
        </w:rPr>
        <w:t>In summary, without the information collected in th</w:t>
      </w:r>
      <w:r w:rsidR="000C0209" w:rsidRPr="0073506C">
        <w:rPr>
          <w:rFonts w:ascii="Times New Roman" w:hAnsi="Times New Roman"/>
          <w:sz w:val="26"/>
          <w:szCs w:val="26"/>
        </w:rPr>
        <w:t>e</w:t>
      </w:r>
      <w:r w:rsidRPr="0073506C">
        <w:rPr>
          <w:rFonts w:ascii="Times New Roman" w:hAnsi="Times New Roman"/>
          <w:sz w:val="26"/>
          <w:szCs w:val="26"/>
        </w:rPr>
        <w:t xml:space="preserve"> form</w:t>
      </w:r>
      <w:r w:rsidR="000C0209" w:rsidRPr="0073506C">
        <w:rPr>
          <w:rFonts w:ascii="Times New Roman" w:hAnsi="Times New Roman"/>
          <w:sz w:val="26"/>
          <w:szCs w:val="26"/>
        </w:rPr>
        <w:t>s,</w:t>
      </w:r>
      <w:r w:rsidRPr="0073506C">
        <w:rPr>
          <w:rFonts w:ascii="Times New Roman" w:hAnsi="Times New Roman"/>
          <w:sz w:val="26"/>
          <w:szCs w:val="26"/>
        </w:rPr>
        <w:t xml:space="preserve"> </w:t>
      </w:r>
      <w:r w:rsidR="000F448F" w:rsidRPr="0073506C">
        <w:rPr>
          <w:rFonts w:ascii="Times New Roman" w:hAnsi="Times New Roman"/>
          <w:sz w:val="26"/>
          <w:szCs w:val="26"/>
        </w:rPr>
        <w:t xml:space="preserve">it would be difficult for </w:t>
      </w:r>
      <w:r w:rsidRPr="0073506C">
        <w:rPr>
          <w:rFonts w:ascii="Times New Roman" w:hAnsi="Times New Roman"/>
          <w:sz w:val="26"/>
          <w:szCs w:val="26"/>
        </w:rPr>
        <w:t>the Commission to ensure, as required by the NGA, that a pipeline’s rates remain just and reasonable, respond to Congressional and outside inquires and make decisions in a timely manner, particularly to rapidly changing financial conditions of entities subject to its jurisdiction.</w:t>
      </w:r>
    </w:p>
    <w:p w14:paraId="020B1BA7" w14:textId="77777777" w:rsidR="00BA412D" w:rsidRPr="0073506C" w:rsidRDefault="00BA412D" w:rsidP="00BD0F89">
      <w:pPr>
        <w:spacing w:after="0" w:line="240" w:lineRule="auto"/>
        <w:rPr>
          <w:rFonts w:ascii="Times New Roman" w:hAnsi="Times New Roman"/>
          <w:sz w:val="26"/>
          <w:szCs w:val="26"/>
        </w:rPr>
      </w:pPr>
    </w:p>
    <w:p w14:paraId="5FCC3BB8" w14:textId="77777777" w:rsidR="00471F97" w:rsidRPr="0073506C" w:rsidRDefault="00471F97"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CONSIDERATION OF THE USE OF IMPROVED INFORMATION TECHNOLOGY TO REDUCE THE BURDEN AND TECHNICAL OR LEGAL OBSTACLES TO REDUCING BURDEN</w:t>
      </w:r>
    </w:p>
    <w:p w14:paraId="391BE832" w14:textId="77777777" w:rsidR="00471F97" w:rsidRPr="0073506C" w:rsidRDefault="00471F97" w:rsidP="00BD0F89">
      <w:pPr>
        <w:spacing w:after="0" w:line="240" w:lineRule="auto"/>
        <w:ind w:left="360" w:hanging="360"/>
        <w:rPr>
          <w:rFonts w:ascii="Times New Roman" w:hAnsi="Times New Roman"/>
          <w:sz w:val="26"/>
          <w:szCs w:val="26"/>
        </w:rPr>
      </w:pPr>
    </w:p>
    <w:p w14:paraId="5047DE1A" w14:textId="465B2BCF" w:rsidR="00271EF4" w:rsidRPr="0073506C" w:rsidRDefault="00457793" w:rsidP="00457793">
      <w:pPr>
        <w:spacing w:after="0" w:line="240" w:lineRule="auto"/>
        <w:rPr>
          <w:rFonts w:ascii="Times New Roman" w:hAnsi="Times New Roman"/>
          <w:sz w:val="26"/>
          <w:szCs w:val="26"/>
        </w:rPr>
      </w:pPr>
      <w:r w:rsidRPr="0073506C">
        <w:rPr>
          <w:rFonts w:ascii="Times New Roman" w:hAnsi="Times New Roman"/>
          <w:sz w:val="26"/>
          <w:szCs w:val="26"/>
        </w:rPr>
        <w:t xml:space="preserve">The forms are filed electronically except for a few </w:t>
      </w:r>
      <w:r w:rsidR="00C42E58" w:rsidRPr="0073506C">
        <w:rPr>
          <w:rFonts w:ascii="Times New Roman" w:hAnsi="Times New Roman"/>
          <w:sz w:val="26"/>
          <w:szCs w:val="26"/>
        </w:rPr>
        <w:t xml:space="preserve">FERC </w:t>
      </w:r>
      <w:r w:rsidRPr="0073506C">
        <w:rPr>
          <w:rFonts w:ascii="Times New Roman" w:hAnsi="Times New Roman"/>
          <w:sz w:val="26"/>
          <w:szCs w:val="26"/>
        </w:rPr>
        <w:t>Form</w:t>
      </w:r>
      <w:r w:rsidR="00C42E58" w:rsidRPr="0073506C">
        <w:rPr>
          <w:rFonts w:ascii="Times New Roman" w:hAnsi="Times New Roman"/>
          <w:sz w:val="26"/>
          <w:szCs w:val="26"/>
        </w:rPr>
        <w:t xml:space="preserve"> No.</w:t>
      </w:r>
      <w:r w:rsidRPr="0073506C">
        <w:rPr>
          <w:rFonts w:ascii="Times New Roman" w:hAnsi="Times New Roman"/>
          <w:sz w:val="26"/>
          <w:szCs w:val="26"/>
        </w:rPr>
        <w:t xml:space="preserve"> 1-F</w:t>
      </w:r>
      <w:r w:rsidR="00C42E58" w:rsidRPr="0073506C">
        <w:rPr>
          <w:rFonts w:ascii="Times New Roman" w:hAnsi="Times New Roman"/>
          <w:sz w:val="26"/>
          <w:szCs w:val="26"/>
        </w:rPr>
        <w:t>s</w:t>
      </w:r>
      <w:r w:rsidRPr="0073506C">
        <w:rPr>
          <w:rFonts w:ascii="Times New Roman" w:hAnsi="Times New Roman"/>
          <w:sz w:val="26"/>
          <w:szCs w:val="26"/>
        </w:rPr>
        <w:t xml:space="preserve">.  </w:t>
      </w:r>
    </w:p>
    <w:p w14:paraId="24310655" w14:textId="77777777" w:rsidR="00271EF4" w:rsidRPr="0073506C" w:rsidRDefault="00271EF4" w:rsidP="00457793">
      <w:pPr>
        <w:spacing w:after="0" w:line="240" w:lineRule="auto"/>
        <w:rPr>
          <w:rFonts w:ascii="Times New Roman" w:hAnsi="Times New Roman"/>
          <w:sz w:val="26"/>
          <w:szCs w:val="26"/>
        </w:rPr>
      </w:pPr>
    </w:p>
    <w:p w14:paraId="00645005" w14:textId="492427C8" w:rsidR="0088425D" w:rsidRPr="0073506C" w:rsidRDefault="00457793" w:rsidP="00457793">
      <w:pPr>
        <w:spacing w:after="0" w:line="240" w:lineRule="auto"/>
        <w:rPr>
          <w:rFonts w:ascii="Times New Roman" w:hAnsi="Times New Roman"/>
          <w:sz w:val="26"/>
          <w:szCs w:val="26"/>
        </w:rPr>
      </w:pPr>
      <w:r w:rsidRPr="00694C84">
        <w:rPr>
          <w:rFonts w:ascii="Times New Roman" w:hAnsi="Times New Roman"/>
          <w:sz w:val="26"/>
          <w:szCs w:val="26"/>
        </w:rPr>
        <w:t>I</w:t>
      </w:r>
      <w:r w:rsidR="00271EF4" w:rsidRPr="00694C84">
        <w:rPr>
          <w:rFonts w:ascii="Times New Roman" w:hAnsi="Times New Roman"/>
          <w:sz w:val="26"/>
          <w:szCs w:val="26"/>
        </w:rPr>
        <w:t>n a separate rulemaking</w:t>
      </w:r>
      <w:r w:rsidR="00BC5CED" w:rsidRPr="00694C84">
        <w:rPr>
          <w:rFonts w:ascii="Times New Roman" w:hAnsi="Times New Roman"/>
          <w:sz w:val="26"/>
          <w:szCs w:val="26"/>
        </w:rPr>
        <w:t xml:space="preserve"> </w:t>
      </w:r>
      <w:r w:rsidR="00A6647B" w:rsidRPr="00694C84">
        <w:rPr>
          <w:rFonts w:ascii="Times New Roman" w:hAnsi="Times New Roman"/>
          <w:sz w:val="26"/>
          <w:szCs w:val="26"/>
        </w:rPr>
        <w:t xml:space="preserve">in Docket No. RM19-12, </w:t>
      </w:r>
      <w:r w:rsidR="00BC5CED" w:rsidRPr="00694C84">
        <w:rPr>
          <w:rFonts w:ascii="Times New Roman" w:hAnsi="Times New Roman"/>
          <w:sz w:val="26"/>
          <w:szCs w:val="26"/>
        </w:rPr>
        <w:t>which is not addressed in this supporting statement</w:t>
      </w:r>
      <w:r w:rsidRPr="00694C84">
        <w:rPr>
          <w:rFonts w:ascii="Times New Roman" w:hAnsi="Times New Roman"/>
          <w:sz w:val="26"/>
          <w:szCs w:val="26"/>
        </w:rPr>
        <w:t xml:space="preserve">, </w:t>
      </w:r>
      <w:r w:rsidR="00B705E5" w:rsidRPr="00694C84">
        <w:rPr>
          <w:rFonts w:ascii="Times New Roman" w:hAnsi="Times New Roman"/>
          <w:sz w:val="26"/>
          <w:szCs w:val="26"/>
        </w:rPr>
        <w:t xml:space="preserve">the Commission announced its intention </w:t>
      </w:r>
      <w:r w:rsidR="00271EF4" w:rsidRPr="00694C84">
        <w:rPr>
          <w:rFonts w:ascii="Times New Roman" w:hAnsi="Times New Roman"/>
          <w:sz w:val="26"/>
          <w:szCs w:val="26"/>
        </w:rPr>
        <w:t xml:space="preserve">to </w:t>
      </w:r>
      <w:r w:rsidR="00C42E58" w:rsidRPr="00694C84">
        <w:rPr>
          <w:rFonts w:ascii="Times New Roman" w:hAnsi="Times New Roman"/>
          <w:sz w:val="26"/>
          <w:szCs w:val="26"/>
        </w:rPr>
        <w:t>adopt</w:t>
      </w:r>
      <w:r w:rsidR="00BC5CED" w:rsidRPr="00694C84">
        <w:rPr>
          <w:rFonts w:ascii="Times New Roman" w:hAnsi="Times New Roman"/>
          <w:sz w:val="26"/>
          <w:szCs w:val="26"/>
        </w:rPr>
        <w:t xml:space="preserve"> XBRL</w:t>
      </w:r>
      <w:r w:rsidR="00C42E58" w:rsidRPr="00694C84">
        <w:rPr>
          <w:rFonts w:ascii="Times New Roman" w:hAnsi="Times New Roman"/>
          <w:sz w:val="26"/>
          <w:szCs w:val="26"/>
        </w:rPr>
        <w:t xml:space="preserve"> as the standard for filing these (and other) forms</w:t>
      </w:r>
      <w:r w:rsidR="00271EF4" w:rsidRPr="00694C84">
        <w:rPr>
          <w:rFonts w:ascii="Times New Roman" w:hAnsi="Times New Roman"/>
          <w:sz w:val="26"/>
          <w:szCs w:val="26"/>
        </w:rPr>
        <w:t xml:space="preserve">.  </w:t>
      </w:r>
      <w:r w:rsidR="00C42E58" w:rsidRPr="00694C84">
        <w:rPr>
          <w:rFonts w:ascii="Times New Roman" w:hAnsi="Times New Roman"/>
          <w:i/>
          <w:sz w:val="26"/>
          <w:szCs w:val="26"/>
        </w:rPr>
        <w:t>Revisions to the Filing Process for Commission Forms</w:t>
      </w:r>
      <w:r w:rsidR="00C42E58" w:rsidRPr="00694C84">
        <w:rPr>
          <w:rFonts w:ascii="Times New Roman" w:hAnsi="Times New Roman"/>
          <w:sz w:val="26"/>
          <w:szCs w:val="26"/>
        </w:rPr>
        <w:t xml:space="preserve">, Order No. 859, 167 FERC ¶ 61,241 (2019).  </w:t>
      </w:r>
      <w:r w:rsidR="001D3353" w:rsidRPr="00954D76">
        <w:rPr>
          <w:rFonts w:ascii="Times New Roman" w:hAnsi="Times New Roman"/>
          <w:sz w:val="26"/>
          <w:szCs w:val="26"/>
        </w:rPr>
        <w:t xml:space="preserve">The Final Rule in Docket No. RM19-12 and related 9 ICRs </w:t>
      </w:r>
      <w:r w:rsidR="00954D76">
        <w:rPr>
          <w:rFonts w:ascii="Times New Roman" w:hAnsi="Times New Roman"/>
          <w:sz w:val="26"/>
          <w:szCs w:val="26"/>
        </w:rPr>
        <w:t xml:space="preserve">are pending </w:t>
      </w:r>
      <w:r w:rsidR="001D3353" w:rsidRPr="00954D76">
        <w:rPr>
          <w:rFonts w:ascii="Times New Roman" w:hAnsi="Times New Roman"/>
          <w:sz w:val="26"/>
          <w:szCs w:val="26"/>
        </w:rPr>
        <w:t>OMB review.</w:t>
      </w:r>
    </w:p>
    <w:p w14:paraId="173187D9" w14:textId="77777777" w:rsidR="00457793" w:rsidRPr="0073506C" w:rsidRDefault="00457793" w:rsidP="00BD0F89">
      <w:pPr>
        <w:spacing w:after="0" w:line="240" w:lineRule="auto"/>
        <w:ind w:left="360" w:hanging="360"/>
        <w:rPr>
          <w:rFonts w:ascii="Times New Roman" w:hAnsi="Times New Roman"/>
          <w:sz w:val="26"/>
          <w:szCs w:val="26"/>
        </w:rPr>
      </w:pPr>
    </w:p>
    <w:p w14:paraId="235E8FE2"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14:paraId="7DC29030" w14:textId="77777777" w:rsidR="00F0627E" w:rsidRPr="0073506C" w:rsidRDefault="00F0627E" w:rsidP="00BD0F89">
      <w:pPr>
        <w:spacing w:after="0" w:line="240" w:lineRule="auto"/>
        <w:ind w:left="360" w:hanging="360"/>
        <w:rPr>
          <w:rFonts w:ascii="Times New Roman" w:hAnsi="Times New Roman"/>
          <w:sz w:val="26"/>
          <w:szCs w:val="26"/>
        </w:rPr>
      </w:pPr>
    </w:p>
    <w:p w14:paraId="0FA05911" w14:textId="77777777" w:rsidR="00CE2887" w:rsidRPr="0073506C" w:rsidRDefault="00CE2887" w:rsidP="00CE2887">
      <w:pPr>
        <w:spacing w:after="0" w:line="240" w:lineRule="auto"/>
        <w:rPr>
          <w:rFonts w:ascii="Times New Roman" w:eastAsia="Times New Roman" w:hAnsi="Times New Roman"/>
          <w:sz w:val="26"/>
          <w:szCs w:val="26"/>
        </w:rPr>
      </w:pPr>
      <w:r w:rsidRPr="00641282">
        <w:rPr>
          <w:rFonts w:ascii="Times New Roman" w:eastAsia="Times New Roman" w:hAnsi="Times New Roman"/>
          <w:sz w:val="26"/>
          <w:szCs w:val="26"/>
        </w:rPr>
        <w:t>The Commission's filings and data requirements are periodically reviewed in conjunction with OMB clearance expirat</w:t>
      </w:r>
      <w:r w:rsidRPr="001D3353">
        <w:rPr>
          <w:rFonts w:ascii="Times New Roman" w:eastAsia="Times New Roman" w:hAnsi="Times New Roman"/>
          <w:sz w:val="26"/>
          <w:szCs w:val="26"/>
        </w:rPr>
        <w:t>ion dates.  This includes a review of the Commission's regulations and data requirements to identify any duplication.  The Commission's staff is continuously reviewing its various filings in an effort to al</w:t>
      </w:r>
      <w:r w:rsidRPr="0073506C">
        <w:rPr>
          <w:rFonts w:ascii="Times New Roman" w:eastAsia="Times New Roman" w:hAnsi="Times New Roman"/>
          <w:sz w:val="26"/>
          <w:szCs w:val="26"/>
        </w:rPr>
        <w:t>leviate duplication.</w:t>
      </w:r>
    </w:p>
    <w:p w14:paraId="15859C86" w14:textId="77777777" w:rsidR="00CE2887" w:rsidRPr="0073506C" w:rsidRDefault="00CE2887" w:rsidP="00CE2887">
      <w:pPr>
        <w:spacing w:after="0" w:line="240" w:lineRule="auto"/>
        <w:rPr>
          <w:rFonts w:ascii="Times New Roman" w:eastAsia="Times New Roman" w:hAnsi="Times New Roman"/>
          <w:sz w:val="26"/>
          <w:szCs w:val="26"/>
        </w:rPr>
      </w:pPr>
    </w:p>
    <w:p w14:paraId="41D26EC3" w14:textId="1A012DF6" w:rsidR="00CE2887" w:rsidRPr="0073506C" w:rsidRDefault="00C42E58" w:rsidP="00CE2887">
      <w:pPr>
        <w:spacing w:after="0" w:line="240" w:lineRule="auto"/>
        <w:rPr>
          <w:rFonts w:ascii="Times New Roman" w:eastAsia="Times New Roman" w:hAnsi="Times New Roman"/>
          <w:sz w:val="26"/>
          <w:szCs w:val="26"/>
        </w:rPr>
      </w:pPr>
      <w:r w:rsidRPr="000F07BD">
        <w:rPr>
          <w:rFonts w:ascii="Times New Roman" w:eastAsia="Times New Roman" w:hAnsi="Times New Roman"/>
          <w:b/>
          <w:sz w:val="26"/>
          <w:szCs w:val="26"/>
        </w:rPr>
        <w:t xml:space="preserve">FERC </w:t>
      </w:r>
      <w:r w:rsidR="00CE2887" w:rsidRPr="000F07BD">
        <w:rPr>
          <w:rFonts w:ascii="Times New Roman" w:eastAsia="Times New Roman" w:hAnsi="Times New Roman"/>
          <w:b/>
          <w:sz w:val="26"/>
          <w:szCs w:val="26"/>
        </w:rPr>
        <w:t>Form</w:t>
      </w:r>
      <w:r w:rsidRPr="000F07BD">
        <w:rPr>
          <w:rFonts w:ascii="Times New Roman" w:eastAsia="Times New Roman" w:hAnsi="Times New Roman"/>
          <w:b/>
          <w:sz w:val="26"/>
          <w:szCs w:val="26"/>
        </w:rPr>
        <w:t xml:space="preserve"> No</w:t>
      </w:r>
      <w:r w:rsidR="00CE2887" w:rsidRPr="000F07BD">
        <w:rPr>
          <w:rFonts w:ascii="Times New Roman" w:eastAsia="Times New Roman" w:hAnsi="Times New Roman"/>
          <w:b/>
          <w:sz w:val="26"/>
          <w:szCs w:val="26"/>
        </w:rPr>
        <w:t>s</w:t>
      </w:r>
      <w:r w:rsidRPr="000F07BD">
        <w:rPr>
          <w:rFonts w:ascii="Times New Roman" w:eastAsia="Times New Roman" w:hAnsi="Times New Roman"/>
          <w:b/>
          <w:sz w:val="26"/>
          <w:szCs w:val="26"/>
        </w:rPr>
        <w:t>.</w:t>
      </w:r>
      <w:r w:rsidR="00CE2887" w:rsidRPr="000F07BD">
        <w:rPr>
          <w:rFonts w:ascii="Times New Roman" w:eastAsia="Times New Roman" w:hAnsi="Times New Roman"/>
          <w:b/>
          <w:sz w:val="26"/>
          <w:szCs w:val="26"/>
        </w:rPr>
        <w:t xml:space="preserve"> 1, 1-F, and 3-Q.  </w:t>
      </w:r>
      <w:r w:rsidR="00CE2887" w:rsidRPr="000F07BD">
        <w:rPr>
          <w:rFonts w:ascii="Times New Roman" w:eastAsia="Times New Roman" w:hAnsi="Times New Roman"/>
          <w:sz w:val="26"/>
          <w:szCs w:val="26"/>
        </w:rPr>
        <w:t>While some jurisdictional entities may file similar information with the Securities and Exchange Commission (SEC), the level of detail concerning assets</w:t>
      </w:r>
      <w:r w:rsidR="00CE2887" w:rsidRPr="001D3353">
        <w:rPr>
          <w:rFonts w:ascii="Times New Roman" w:eastAsia="Times New Roman" w:hAnsi="Times New Roman"/>
          <w:sz w:val="26"/>
          <w:szCs w:val="26"/>
        </w:rPr>
        <w:t>,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w:t>
      </w:r>
      <w:r w:rsidR="00CE2887" w:rsidRPr="0073506C">
        <w:rPr>
          <w:rFonts w:ascii="Times New Roman" w:eastAsia="Times New Roman" w:hAnsi="Times New Roman"/>
          <w:sz w:val="26"/>
          <w:szCs w:val="26"/>
        </w:rPr>
        <w:t xml:space="preserve">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C904CCD" w14:textId="17255E53" w:rsidR="00494814" w:rsidRPr="0073506C" w:rsidRDefault="00494814" w:rsidP="00BD0F89">
      <w:pPr>
        <w:spacing w:after="0" w:line="240" w:lineRule="auto"/>
        <w:rPr>
          <w:rFonts w:ascii="Times New Roman" w:hAnsi="Times New Roman"/>
          <w:sz w:val="26"/>
          <w:szCs w:val="26"/>
        </w:rPr>
      </w:pPr>
    </w:p>
    <w:p w14:paraId="1043320F"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METHODS USED TO MINIMIZE THE BURDEN IN COLLECTION OF INFORMATION INVOLVING SMALL ENTITIES</w:t>
      </w:r>
    </w:p>
    <w:p w14:paraId="7CE41F3F" w14:textId="77777777" w:rsidR="00F0627E" w:rsidRPr="0073506C" w:rsidRDefault="00F0627E" w:rsidP="00BD0F89">
      <w:pPr>
        <w:spacing w:after="0" w:line="240" w:lineRule="auto"/>
        <w:rPr>
          <w:rFonts w:ascii="Times New Roman" w:hAnsi="Times New Roman"/>
          <w:sz w:val="26"/>
          <w:szCs w:val="26"/>
        </w:rPr>
      </w:pPr>
    </w:p>
    <w:p w14:paraId="568F9DC2" w14:textId="27B4BA41" w:rsidR="007D436E" w:rsidRPr="0073506C" w:rsidRDefault="00EA5213" w:rsidP="00BD0F89">
      <w:pPr>
        <w:spacing w:after="0" w:line="240" w:lineRule="auto"/>
        <w:rPr>
          <w:rFonts w:ascii="Times New Roman" w:eastAsia="Times New Roman" w:hAnsi="Times New Roman"/>
          <w:sz w:val="26"/>
          <w:szCs w:val="26"/>
        </w:rPr>
      </w:pPr>
      <w:r w:rsidRPr="0073506C">
        <w:rPr>
          <w:rFonts w:ascii="Times New Roman" w:eastAsia="Times New Roman" w:hAnsi="Times New Roman"/>
          <w:b/>
          <w:sz w:val="26"/>
          <w:szCs w:val="26"/>
        </w:rPr>
        <w:t xml:space="preserve">FERC </w:t>
      </w:r>
      <w:r w:rsidR="007D436E" w:rsidRPr="0073506C">
        <w:rPr>
          <w:rFonts w:ascii="Times New Roman" w:eastAsia="Times New Roman" w:hAnsi="Times New Roman"/>
          <w:b/>
          <w:sz w:val="26"/>
          <w:szCs w:val="26"/>
        </w:rPr>
        <w:t>Form</w:t>
      </w:r>
      <w:r w:rsidRPr="0073506C">
        <w:rPr>
          <w:rFonts w:ascii="Times New Roman" w:eastAsia="Times New Roman" w:hAnsi="Times New Roman"/>
          <w:b/>
          <w:sz w:val="26"/>
          <w:szCs w:val="26"/>
        </w:rPr>
        <w:t xml:space="preserve"> No</w:t>
      </w:r>
      <w:r w:rsidR="007D436E" w:rsidRPr="0073506C">
        <w:rPr>
          <w:rFonts w:ascii="Times New Roman" w:eastAsia="Times New Roman" w:hAnsi="Times New Roman"/>
          <w:b/>
          <w:sz w:val="26"/>
          <w:szCs w:val="26"/>
        </w:rPr>
        <w:t>s</w:t>
      </w:r>
      <w:r w:rsidRPr="0073506C">
        <w:rPr>
          <w:rFonts w:ascii="Times New Roman" w:eastAsia="Times New Roman" w:hAnsi="Times New Roman"/>
          <w:b/>
          <w:sz w:val="26"/>
          <w:szCs w:val="26"/>
        </w:rPr>
        <w:t>.</w:t>
      </w:r>
      <w:r w:rsidR="007D436E" w:rsidRPr="0073506C">
        <w:rPr>
          <w:rFonts w:ascii="Times New Roman" w:eastAsia="Times New Roman" w:hAnsi="Times New Roman"/>
          <w:b/>
          <w:sz w:val="26"/>
          <w:szCs w:val="26"/>
        </w:rPr>
        <w:t xml:space="preserve"> 1, 1-F, </w:t>
      </w:r>
      <w:r w:rsidR="00584669" w:rsidRPr="0073506C">
        <w:rPr>
          <w:rFonts w:ascii="Times New Roman" w:eastAsia="Times New Roman" w:hAnsi="Times New Roman"/>
          <w:b/>
          <w:sz w:val="26"/>
          <w:szCs w:val="26"/>
        </w:rPr>
        <w:t xml:space="preserve">and </w:t>
      </w:r>
      <w:r w:rsidR="007D436E" w:rsidRPr="0073506C">
        <w:rPr>
          <w:rFonts w:ascii="Times New Roman" w:eastAsia="Times New Roman" w:hAnsi="Times New Roman"/>
          <w:b/>
          <w:sz w:val="26"/>
          <w:szCs w:val="26"/>
        </w:rPr>
        <w:t>3-Q.</w:t>
      </w:r>
      <w:r w:rsidR="00C42E58" w:rsidRPr="0073506C">
        <w:rPr>
          <w:rFonts w:ascii="Times New Roman" w:eastAsia="Times New Roman" w:hAnsi="Times New Roman"/>
          <w:sz w:val="26"/>
          <w:szCs w:val="26"/>
        </w:rPr>
        <w:t xml:space="preserve">  As noted previously, FERC</w:t>
      </w:r>
      <w:r w:rsidR="007D436E" w:rsidRPr="0073506C">
        <w:rPr>
          <w:rFonts w:ascii="Times New Roman" w:eastAsia="Times New Roman" w:hAnsi="Times New Roman"/>
          <w:sz w:val="26"/>
          <w:szCs w:val="26"/>
        </w:rPr>
        <w:t xml:space="preserve"> Form </w:t>
      </w:r>
      <w:r w:rsidR="00456A2B" w:rsidRPr="0073506C">
        <w:rPr>
          <w:rFonts w:ascii="Times New Roman" w:eastAsia="Times New Roman" w:hAnsi="Times New Roman"/>
          <w:sz w:val="26"/>
          <w:szCs w:val="26"/>
        </w:rPr>
        <w:t xml:space="preserve">No. </w:t>
      </w:r>
      <w:r w:rsidR="007D436E" w:rsidRPr="0073506C">
        <w:rPr>
          <w:rFonts w:ascii="Times New Roman" w:eastAsia="Times New Roman" w:hAnsi="Times New Roman"/>
          <w:sz w:val="26"/>
          <w:szCs w:val="26"/>
        </w:rPr>
        <w:t>1 is filed by major utilities or licensees and as such does no</w:t>
      </w:r>
      <w:r w:rsidR="00C42E58" w:rsidRPr="0073506C">
        <w:rPr>
          <w:rFonts w:ascii="Times New Roman" w:eastAsia="Times New Roman" w:hAnsi="Times New Roman"/>
          <w:sz w:val="26"/>
          <w:szCs w:val="26"/>
        </w:rPr>
        <w:t xml:space="preserve">t apply to small entities.  FERC </w:t>
      </w:r>
      <w:r w:rsidR="007D436E" w:rsidRPr="0073506C">
        <w:rPr>
          <w:rFonts w:ascii="Times New Roman" w:eastAsia="Times New Roman" w:hAnsi="Times New Roman"/>
          <w:sz w:val="26"/>
          <w:szCs w:val="26"/>
        </w:rPr>
        <w:t xml:space="preserve">Form </w:t>
      </w:r>
      <w:r w:rsidR="00456A2B" w:rsidRPr="0073506C">
        <w:rPr>
          <w:rFonts w:ascii="Times New Roman" w:eastAsia="Times New Roman" w:hAnsi="Times New Roman"/>
          <w:sz w:val="26"/>
          <w:szCs w:val="26"/>
        </w:rPr>
        <w:t xml:space="preserve">No. </w:t>
      </w:r>
      <w:r w:rsidR="007D436E" w:rsidRPr="0073506C">
        <w:rPr>
          <w:rFonts w:ascii="Times New Roman" w:eastAsia="Times New Roman" w:hAnsi="Times New Roman"/>
          <w:sz w:val="26"/>
          <w:szCs w:val="26"/>
        </w:rPr>
        <w:t xml:space="preserve">1-F is filed by public utilities with total sales of 10,000 megawatt-hours or more that are not major utilities.  The Form </w:t>
      </w:r>
      <w:r w:rsidR="00456A2B" w:rsidRPr="0073506C">
        <w:rPr>
          <w:rFonts w:ascii="Times New Roman" w:eastAsia="Times New Roman" w:hAnsi="Times New Roman"/>
          <w:sz w:val="26"/>
          <w:szCs w:val="26"/>
        </w:rPr>
        <w:t xml:space="preserve">No. </w:t>
      </w:r>
      <w:r w:rsidR="007D436E" w:rsidRPr="0073506C">
        <w:rPr>
          <w:rFonts w:ascii="Times New Roman" w:eastAsia="Times New Roman" w:hAnsi="Times New Roman"/>
          <w:sz w:val="26"/>
          <w:szCs w:val="26"/>
        </w:rPr>
        <w:t xml:space="preserve">3-Q is filed only by electric or gas companies that file Forms </w:t>
      </w:r>
      <w:r w:rsidR="00456A2B" w:rsidRPr="0073506C">
        <w:rPr>
          <w:rFonts w:ascii="Times New Roman" w:eastAsia="Times New Roman" w:hAnsi="Times New Roman"/>
          <w:sz w:val="26"/>
          <w:szCs w:val="26"/>
        </w:rPr>
        <w:t xml:space="preserve">Nos. </w:t>
      </w:r>
      <w:r w:rsidR="007D436E" w:rsidRPr="0073506C">
        <w:rPr>
          <w:rFonts w:ascii="Times New Roman" w:eastAsia="Times New Roman" w:hAnsi="Times New Roman"/>
          <w:sz w:val="26"/>
          <w:szCs w:val="26"/>
        </w:rPr>
        <w:t>1, 1-F, 2, or 2-A</w:t>
      </w:r>
      <w:r w:rsidR="00444280" w:rsidRPr="0073506C">
        <w:rPr>
          <w:rFonts w:ascii="Times New Roman" w:eastAsia="Times New Roman" w:hAnsi="Times New Roman"/>
          <w:sz w:val="26"/>
          <w:szCs w:val="26"/>
        </w:rPr>
        <w:t xml:space="preserve">, </w:t>
      </w:r>
      <w:r w:rsidR="007D436E" w:rsidRPr="0073506C">
        <w:rPr>
          <w:rFonts w:ascii="Times New Roman" w:eastAsia="Times New Roman" w:hAnsi="Times New Roman"/>
          <w:sz w:val="26"/>
          <w:szCs w:val="26"/>
        </w:rPr>
        <w:t xml:space="preserve">and therefore excludes companies that do not qualify as Major or Nonmajor.  If the reporting requirements represent an undue burden on small businesses, the affected entity may seek a waiver of the disclosure requirements from the Commission.  However, the Commission believes that the information collected on these forms is the minimum necessary to provide a meaningful review of financial conditions and would impose the least possible burden on entities.  </w:t>
      </w:r>
    </w:p>
    <w:p w14:paraId="0CF4CC09" w14:textId="77777777" w:rsidR="007D436E" w:rsidRPr="0073506C" w:rsidRDefault="007D436E" w:rsidP="00BD0F89">
      <w:pPr>
        <w:spacing w:after="0" w:line="240" w:lineRule="auto"/>
        <w:rPr>
          <w:rFonts w:ascii="Times New Roman" w:eastAsia="Times New Roman" w:hAnsi="Times New Roman"/>
          <w:sz w:val="26"/>
          <w:szCs w:val="26"/>
        </w:rPr>
      </w:pPr>
    </w:p>
    <w:p w14:paraId="26442DFE"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CONSEQUENCE TO FEDERAL PROGRAM IF COLLECTION WERE CONDUCTED LESS FREQUENTLY</w:t>
      </w:r>
    </w:p>
    <w:p w14:paraId="20A53002" w14:textId="77777777" w:rsidR="00F0627E" w:rsidRPr="0073506C" w:rsidRDefault="00F0627E" w:rsidP="00BD0F89">
      <w:pPr>
        <w:spacing w:after="0" w:line="240" w:lineRule="auto"/>
        <w:rPr>
          <w:rFonts w:ascii="Times New Roman" w:hAnsi="Times New Roman"/>
          <w:sz w:val="26"/>
          <w:szCs w:val="26"/>
        </w:rPr>
      </w:pPr>
    </w:p>
    <w:p w14:paraId="4CC98597" w14:textId="005CDF6C" w:rsidR="00B705E5" w:rsidRPr="0073506C" w:rsidRDefault="00EA5213" w:rsidP="00F74D83">
      <w:pPr>
        <w:spacing w:after="0" w:line="240" w:lineRule="auto"/>
        <w:rPr>
          <w:rFonts w:ascii="Times New Roman" w:hAnsi="Times New Roman"/>
          <w:sz w:val="26"/>
          <w:szCs w:val="26"/>
        </w:rPr>
      </w:pPr>
      <w:r w:rsidRPr="0073506C">
        <w:rPr>
          <w:rFonts w:ascii="Times New Roman" w:hAnsi="Times New Roman"/>
          <w:b/>
          <w:sz w:val="26"/>
          <w:szCs w:val="26"/>
        </w:rPr>
        <w:t xml:space="preserve">FERC </w:t>
      </w:r>
      <w:r w:rsidR="007D436E" w:rsidRPr="0073506C">
        <w:rPr>
          <w:rFonts w:ascii="Times New Roman" w:hAnsi="Times New Roman"/>
          <w:b/>
          <w:sz w:val="26"/>
          <w:szCs w:val="26"/>
        </w:rPr>
        <w:t>Form</w:t>
      </w:r>
      <w:r w:rsidR="00295EB7" w:rsidRPr="0073506C">
        <w:rPr>
          <w:rFonts w:ascii="Times New Roman" w:hAnsi="Times New Roman"/>
          <w:b/>
          <w:sz w:val="26"/>
          <w:szCs w:val="26"/>
        </w:rPr>
        <w:t xml:space="preserve"> Nos.</w:t>
      </w:r>
      <w:r w:rsidR="007D436E" w:rsidRPr="0073506C">
        <w:rPr>
          <w:rFonts w:ascii="Times New Roman" w:hAnsi="Times New Roman"/>
          <w:b/>
          <w:sz w:val="26"/>
          <w:szCs w:val="26"/>
        </w:rPr>
        <w:t xml:space="preserve"> 1, 1-F, and 3-Q</w:t>
      </w:r>
      <w:r w:rsidR="007D436E" w:rsidRPr="0073506C">
        <w:rPr>
          <w:rFonts w:ascii="Times New Roman" w:hAnsi="Times New Roman"/>
          <w:sz w:val="26"/>
          <w:szCs w:val="26"/>
        </w:rPr>
        <w:t xml:space="preserve">.  </w:t>
      </w:r>
      <w:r w:rsidR="00F74D83" w:rsidRPr="0073506C">
        <w:rPr>
          <w:rFonts w:ascii="Times New Roman" w:hAnsi="Times New Roman"/>
          <w:sz w:val="26"/>
          <w:szCs w:val="26"/>
        </w:rPr>
        <w:t xml:space="preserve">The existing Form Nos. 1 and 1-F are required by the Commission to be submitted annually.  Annual reporting is consistent with the reporting to the companies' own management, the Internal Revenue Service, state and other Federal agencies' requirements. </w:t>
      </w:r>
      <w:r w:rsidR="00B705E5" w:rsidRPr="0073506C">
        <w:rPr>
          <w:rFonts w:ascii="Times New Roman" w:hAnsi="Times New Roman"/>
          <w:sz w:val="26"/>
          <w:szCs w:val="26"/>
        </w:rPr>
        <w:t xml:space="preserve"> </w:t>
      </w:r>
      <w:r w:rsidR="00C42E58" w:rsidRPr="0073506C">
        <w:rPr>
          <w:rFonts w:ascii="Times New Roman" w:hAnsi="Times New Roman"/>
          <w:sz w:val="26"/>
          <w:szCs w:val="26"/>
        </w:rPr>
        <w:t xml:space="preserve">FERC </w:t>
      </w:r>
      <w:r w:rsidR="00F74D83" w:rsidRPr="0073506C">
        <w:rPr>
          <w:rFonts w:ascii="Times New Roman" w:hAnsi="Times New Roman"/>
          <w:sz w:val="26"/>
          <w:szCs w:val="26"/>
        </w:rPr>
        <w:t xml:space="preserve">Form No. 3-Q filings provide quarterly updates to supplement the Form Nos 1, 1-F, 2, and 2A.  This quarterly information provides the Commission and the public with updated and timely information regarding a company’s financial and operational status.  </w:t>
      </w:r>
    </w:p>
    <w:p w14:paraId="5BB8C803" w14:textId="77777777" w:rsidR="00B705E5" w:rsidRPr="0073506C" w:rsidRDefault="00B705E5" w:rsidP="00F74D83">
      <w:pPr>
        <w:spacing w:after="0" w:line="240" w:lineRule="auto"/>
        <w:rPr>
          <w:rFonts w:ascii="Times New Roman" w:hAnsi="Times New Roman"/>
          <w:sz w:val="26"/>
          <w:szCs w:val="26"/>
        </w:rPr>
      </w:pPr>
    </w:p>
    <w:p w14:paraId="38370DCD" w14:textId="2FD1FF36" w:rsidR="007D436E" w:rsidRPr="0073506C" w:rsidRDefault="00C443EF" w:rsidP="00C0510A">
      <w:pPr>
        <w:spacing w:after="0" w:line="240" w:lineRule="auto"/>
        <w:rPr>
          <w:rFonts w:ascii="Times New Roman" w:hAnsi="Times New Roman"/>
          <w:sz w:val="26"/>
          <w:szCs w:val="26"/>
        </w:rPr>
      </w:pPr>
      <w:r w:rsidRPr="0073506C">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0003545C" w:rsidRPr="0073506C">
        <w:rPr>
          <w:rFonts w:ascii="Times New Roman" w:hAnsi="Times New Roman"/>
          <w:sz w:val="26"/>
          <w:szCs w:val="26"/>
        </w:rPr>
        <w:t xml:space="preserve">have difficulty </w:t>
      </w:r>
      <w:r w:rsidRPr="0073506C">
        <w:rPr>
          <w:rFonts w:ascii="Times New Roman" w:hAnsi="Times New Roman"/>
          <w:sz w:val="26"/>
          <w:szCs w:val="26"/>
        </w:rPr>
        <w:t>perform</w:t>
      </w:r>
      <w:r w:rsidR="0003545C" w:rsidRPr="0073506C">
        <w:rPr>
          <w:rFonts w:ascii="Times New Roman" w:hAnsi="Times New Roman"/>
          <w:sz w:val="26"/>
          <w:szCs w:val="26"/>
        </w:rPr>
        <w:t>ing</w:t>
      </w:r>
      <w:r w:rsidRPr="0073506C">
        <w:rPr>
          <w:rFonts w:ascii="Times New Roman" w:hAnsi="Times New Roman"/>
          <w:sz w:val="26"/>
          <w:szCs w:val="26"/>
        </w:rPr>
        <w:t xml:space="preserve"> its mandated review and oversight in a timely and accurate manner.</w:t>
      </w:r>
      <w:r w:rsidR="00B75C18" w:rsidRPr="0073506C">
        <w:rPr>
          <w:rFonts w:ascii="Times New Roman" w:hAnsi="Times New Roman"/>
          <w:sz w:val="26"/>
          <w:szCs w:val="26"/>
        </w:rPr>
        <w:t xml:space="preserve">  </w:t>
      </w:r>
    </w:p>
    <w:p w14:paraId="3319550E" w14:textId="77777777" w:rsidR="00F0627E" w:rsidRPr="0073506C" w:rsidRDefault="00F0627E" w:rsidP="00BD0F89">
      <w:pPr>
        <w:spacing w:after="0" w:line="240" w:lineRule="auto"/>
        <w:rPr>
          <w:rFonts w:ascii="Times New Roman" w:hAnsi="Times New Roman"/>
          <w:sz w:val="26"/>
          <w:szCs w:val="26"/>
        </w:rPr>
      </w:pPr>
    </w:p>
    <w:p w14:paraId="6DE0BCEB"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SPECIAL CIRCUMSTANCES RELATING TO THE INFORMATION COLLECTION</w:t>
      </w:r>
    </w:p>
    <w:p w14:paraId="61BC8479" w14:textId="77777777" w:rsidR="00F0627E" w:rsidRPr="0073506C" w:rsidRDefault="00F0627E" w:rsidP="00BD0F89">
      <w:pPr>
        <w:spacing w:after="0" w:line="240" w:lineRule="auto"/>
        <w:rPr>
          <w:rFonts w:ascii="Times New Roman" w:hAnsi="Times New Roman"/>
          <w:sz w:val="26"/>
          <w:szCs w:val="26"/>
        </w:rPr>
      </w:pPr>
    </w:p>
    <w:p w14:paraId="1832EE9A"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There are no special circumstances related to th</w:t>
      </w:r>
      <w:r w:rsidR="00EC66AC" w:rsidRPr="0073506C">
        <w:rPr>
          <w:rFonts w:ascii="Times New Roman" w:hAnsi="Times New Roman"/>
          <w:sz w:val="26"/>
          <w:szCs w:val="26"/>
        </w:rPr>
        <w:t>ese</w:t>
      </w:r>
      <w:r w:rsidRPr="0073506C">
        <w:rPr>
          <w:rFonts w:ascii="Times New Roman" w:hAnsi="Times New Roman"/>
          <w:sz w:val="26"/>
          <w:szCs w:val="26"/>
        </w:rPr>
        <w:t xml:space="preserve"> information collection</w:t>
      </w:r>
      <w:r w:rsidR="00EC66AC" w:rsidRPr="0073506C">
        <w:rPr>
          <w:rFonts w:ascii="Times New Roman" w:hAnsi="Times New Roman"/>
          <w:sz w:val="26"/>
          <w:szCs w:val="26"/>
        </w:rPr>
        <w:t>s</w:t>
      </w:r>
      <w:r w:rsidR="001F56F4" w:rsidRPr="0073506C">
        <w:rPr>
          <w:rFonts w:ascii="Times New Roman" w:hAnsi="Times New Roman"/>
          <w:sz w:val="26"/>
          <w:szCs w:val="26"/>
        </w:rPr>
        <w:t>, other than those mentioned below</w:t>
      </w:r>
      <w:r w:rsidRPr="0073506C">
        <w:rPr>
          <w:rFonts w:ascii="Times New Roman" w:hAnsi="Times New Roman"/>
          <w:sz w:val="26"/>
          <w:szCs w:val="26"/>
        </w:rPr>
        <w:t>.</w:t>
      </w:r>
    </w:p>
    <w:p w14:paraId="74F838D9" w14:textId="77777777" w:rsidR="00517EC0" w:rsidRPr="0073506C" w:rsidRDefault="00517EC0" w:rsidP="00BD0F89">
      <w:pPr>
        <w:spacing w:after="0" w:line="240" w:lineRule="auto"/>
        <w:ind w:left="360" w:hanging="360"/>
        <w:rPr>
          <w:rFonts w:ascii="Times New Roman" w:hAnsi="Times New Roman"/>
          <w:sz w:val="26"/>
          <w:szCs w:val="26"/>
        </w:rPr>
      </w:pPr>
    </w:p>
    <w:p w14:paraId="75DA9249"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CONSULT OUTSIDE THE AGENCY: SUMMARIZE PUBLIC COMMENTS AND THE AGENCY’S RESPONSE</w:t>
      </w:r>
    </w:p>
    <w:p w14:paraId="5D2AE01F" w14:textId="77777777" w:rsidR="00F0627E" w:rsidRPr="0073506C" w:rsidRDefault="00F0627E" w:rsidP="00BD0F89">
      <w:pPr>
        <w:spacing w:after="0" w:line="240" w:lineRule="auto"/>
        <w:rPr>
          <w:rFonts w:ascii="Times New Roman" w:hAnsi="Times New Roman"/>
          <w:sz w:val="26"/>
          <w:szCs w:val="26"/>
        </w:rPr>
      </w:pPr>
    </w:p>
    <w:p w14:paraId="13BE816F" w14:textId="77777777" w:rsidR="00F4048B" w:rsidRDefault="005C55C8" w:rsidP="00BD0F89">
      <w:pPr>
        <w:pStyle w:val="ListParagraph"/>
        <w:spacing w:after="0" w:line="240" w:lineRule="auto"/>
        <w:ind w:left="0"/>
        <w:rPr>
          <w:rFonts w:ascii="Times New Roman" w:hAnsi="Times New Roman"/>
          <w:sz w:val="26"/>
          <w:szCs w:val="26"/>
          <w:highlight w:val="yellow"/>
        </w:rPr>
      </w:pPr>
      <w:r w:rsidRPr="0073506C">
        <w:rPr>
          <w:rFonts w:ascii="Times New Roman" w:hAnsi="Times New Roman"/>
          <w:sz w:val="26"/>
          <w:szCs w:val="26"/>
        </w:rPr>
        <w:t xml:space="preserve">The Commission published a 60-day Notice in the Federal Register on 5/7/2019 (84 FR </w:t>
      </w:r>
      <w:r w:rsidR="0047089C" w:rsidRPr="0073506C">
        <w:rPr>
          <w:rFonts w:ascii="Times New Roman" w:hAnsi="Times New Roman"/>
          <w:sz w:val="26"/>
          <w:szCs w:val="26"/>
        </w:rPr>
        <w:t xml:space="preserve">19921) </w:t>
      </w:r>
      <w:r w:rsidRPr="0073506C">
        <w:rPr>
          <w:rFonts w:ascii="Times New Roman" w:hAnsi="Times New Roman"/>
          <w:sz w:val="26"/>
          <w:szCs w:val="26"/>
        </w:rPr>
        <w:t xml:space="preserve">providing the public with an opportunity to comment on the information collections.  </w:t>
      </w:r>
    </w:p>
    <w:p w14:paraId="37E50A3E" w14:textId="77777777" w:rsidR="00F4048B" w:rsidRDefault="00F4048B" w:rsidP="00BD0F89">
      <w:pPr>
        <w:pStyle w:val="ListParagraph"/>
        <w:spacing w:after="0" w:line="240" w:lineRule="auto"/>
        <w:ind w:left="0"/>
        <w:rPr>
          <w:rFonts w:ascii="Times New Roman" w:hAnsi="Times New Roman"/>
          <w:sz w:val="26"/>
          <w:szCs w:val="26"/>
          <w:highlight w:val="yellow"/>
        </w:rPr>
      </w:pPr>
    </w:p>
    <w:p w14:paraId="472D9600" w14:textId="20088BCB" w:rsidR="00F4048B" w:rsidRDefault="00F4048B" w:rsidP="00BD0F89">
      <w:pPr>
        <w:pStyle w:val="ListParagraph"/>
        <w:spacing w:after="0" w:line="240" w:lineRule="auto"/>
        <w:ind w:left="0"/>
        <w:rPr>
          <w:rFonts w:ascii="Times New Roman" w:hAnsi="Times New Roman"/>
          <w:i/>
          <w:sz w:val="26"/>
          <w:szCs w:val="26"/>
        </w:rPr>
      </w:pPr>
      <w:r w:rsidRPr="0073506C">
        <w:rPr>
          <w:rFonts w:ascii="Times New Roman" w:hAnsi="Times New Roman"/>
          <w:i/>
          <w:sz w:val="26"/>
          <w:szCs w:val="26"/>
        </w:rPr>
        <w:t>Comments:</w:t>
      </w:r>
    </w:p>
    <w:p w14:paraId="2B38066F" w14:textId="02E7B2E8" w:rsidR="00913164" w:rsidRPr="0073506C" w:rsidRDefault="00913164" w:rsidP="00BD0F89">
      <w:pPr>
        <w:pStyle w:val="ListParagraph"/>
        <w:spacing w:after="0" w:line="240" w:lineRule="auto"/>
        <w:ind w:left="0"/>
        <w:rPr>
          <w:rFonts w:ascii="Times New Roman" w:hAnsi="Times New Roman"/>
          <w:sz w:val="26"/>
          <w:szCs w:val="26"/>
        </w:rPr>
      </w:pPr>
    </w:p>
    <w:p w14:paraId="5F1B8F2D" w14:textId="08CCC7B6" w:rsidR="00F4048B" w:rsidRDefault="00F4048B" w:rsidP="0073506C">
      <w:pPr>
        <w:spacing w:after="0" w:line="240" w:lineRule="auto"/>
        <w:rPr>
          <w:rFonts w:ascii="Times New Roman" w:hAnsi="Times New Roman"/>
          <w:sz w:val="26"/>
          <w:szCs w:val="26"/>
        </w:rPr>
      </w:pPr>
      <w:r w:rsidRPr="0073506C">
        <w:rPr>
          <w:rFonts w:ascii="Times New Roman" w:hAnsi="Times New Roman"/>
          <w:sz w:val="26"/>
          <w:szCs w:val="26"/>
        </w:rPr>
        <w:t xml:space="preserve">One commenter, the Bureau of Economic Analysis (BEA), filed comments in response to the 60-day notice, broadly supporting the </w:t>
      </w:r>
      <w:r w:rsidRPr="00924DFC">
        <w:rPr>
          <w:rFonts w:ascii="Times New Roman" w:hAnsi="Times New Roman"/>
          <w:sz w:val="26"/>
          <w:szCs w:val="26"/>
        </w:rPr>
        <w:t>collection</w:t>
      </w:r>
      <w:r w:rsidR="00A83026" w:rsidRPr="00924DFC">
        <w:rPr>
          <w:rFonts w:ascii="Times New Roman" w:hAnsi="Times New Roman"/>
          <w:sz w:val="26"/>
          <w:szCs w:val="26"/>
        </w:rPr>
        <w:t>,</w:t>
      </w:r>
      <w:r w:rsidRPr="00924DFC">
        <w:rPr>
          <w:rFonts w:ascii="Times New Roman" w:hAnsi="Times New Roman"/>
          <w:sz w:val="26"/>
          <w:szCs w:val="26"/>
        </w:rPr>
        <w:t xml:space="preserve"> outlining the manner in which BEA utilizes the FERC Form Nos. 1 and 1-F data</w:t>
      </w:r>
      <w:r w:rsidR="00A83026" w:rsidRPr="00924DFC">
        <w:rPr>
          <w:rFonts w:ascii="Times New Roman" w:hAnsi="Times New Roman"/>
          <w:sz w:val="26"/>
          <w:szCs w:val="26"/>
        </w:rPr>
        <w:t>, and express</w:t>
      </w:r>
      <w:r w:rsidR="004B31EF" w:rsidRPr="00924DFC">
        <w:rPr>
          <w:rFonts w:ascii="Times New Roman" w:hAnsi="Times New Roman"/>
          <w:sz w:val="26"/>
          <w:szCs w:val="26"/>
        </w:rPr>
        <w:t>ing</w:t>
      </w:r>
      <w:r w:rsidR="00A83026" w:rsidRPr="00924DFC">
        <w:rPr>
          <w:rFonts w:ascii="Times New Roman" w:hAnsi="Times New Roman"/>
          <w:sz w:val="26"/>
          <w:szCs w:val="26"/>
        </w:rPr>
        <w:t xml:space="preserve"> interest in additional data</w:t>
      </w:r>
      <w:r w:rsidRPr="00924DFC">
        <w:rPr>
          <w:rFonts w:ascii="Times New Roman" w:hAnsi="Times New Roman"/>
          <w:sz w:val="26"/>
          <w:szCs w:val="26"/>
        </w:rPr>
        <w:t>.</w:t>
      </w:r>
      <w:r w:rsidRPr="00924DFC">
        <w:rPr>
          <w:rStyle w:val="FootnoteReference"/>
          <w:rFonts w:ascii="Times New Roman" w:hAnsi="Times New Roman"/>
          <w:sz w:val="26"/>
          <w:szCs w:val="26"/>
          <w:vertAlign w:val="superscript"/>
        </w:rPr>
        <w:footnoteReference w:id="10"/>
      </w:r>
      <w:r w:rsidRPr="00924DFC">
        <w:rPr>
          <w:rFonts w:ascii="Times New Roman" w:hAnsi="Times New Roman"/>
          <w:sz w:val="26"/>
          <w:szCs w:val="26"/>
        </w:rPr>
        <w:t xml:space="preserve">  </w:t>
      </w:r>
      <w:r w:rsidRPr="00E05251">
        <w:rPr>
          <w:rFonts w:ascii="Times New Roman" w:hAnsi="Times New Roman"/>
          <w:sz w:val="26"/>
          <w:szCs w:val="26"/>
        </w:rPr>
        <w:t>There were no comments filed in opposition to the collection</w:t>
      </w:r>
      <w:r w:rsidRPr="00924DFC">
        <w:rPr>
          <w:rFonts w:ascii="Times New Roman" w:hAnsi="Times New Roman"/>
          <w:sz w:val="26"/>
          <w:szCs w:val="26"/>
        </w:rPr>
        <w:t>.</w:t>
      </w:r>
      <w:r w:rsidRPr="0073506C">
        <w:rPr>
          <w:rFonts w:ascii="Times New Roman" w:hAnsi="Times New Roman"/>
          <w:sz w:val="26"/>
          <w:szCs w:val="26"/>
        </w:rPr>
        <w:t xml:space="preserve">  </w:t>
      </w:r>
    </w:p>
    <w:p w14:paraId="115CF213" w14:textId="77777777" w:rsidR="00F4048B" w:rsidRDefault="00F4048B" w:rsidP="0073506C">
      <w:pPr>
        <w:spacing w:after="0" w:line="240" w:lineRule="auto"/>
        <w:rPr>
          <w:rFonts w:ascii="Times New Roman" w:hAnsi="Times New Roman"/>
          <w:sz w:val="26"/>
          <w:szCs w:val="26"/>
        </w:rPr>
      </w:pPr>
    </w:p>
    <w:p w14:paraId="215C8227" w14:textId="5138CB7B" w:rsidR="00F4048B" w:rsidRDefault="00F4048B" w:rsidP="0073506C">
      <w:pPr>
        <w:spacing w:after="0" w:line="240" w:lineRule="auto"/>
        <w:rPr>
          <w:rFonts w:ascii="Times New Roman" w:hAnsi="Times New Roman"/>
          <w:sz w:val="26"/>
          <w:szCs w:val="26"/>
        </w:rPr>
      </w:pPr>
      <w:r w:rsidRPr="0073506C">
        <w:rPr>
          <w:rFonts w:ascii="Times New Roman" w:hAnsi="Times New Roman"/>
          <w:sz w:val="26"/>
          <w:szCs w:val="26"/>
        </w:rPr>
        <w:t xml:space="preserve">BEA </w:t>
      </w:r>
      <w:r>
        <w:rPr>
          <w:rFonts w:ascii="Times New Roman" w:hAnsi="Times New Roman"/>
          <w:sz w:val="26"/>
          <w:szCs w:val="26"/>
        </w:rPr>
        <w:t xml:space="preserve">states that it </w:t>
      </w:r>
      <w:r w:rsidRPr="0073506C">
        <w:rPr>
          <w:rFonts w:ascii="Times New Roman" w:hAnsi="Times New Roman"/>
          <w:sz w:val="26"/>
          <w:szCs w:val="26"/>
        </w:rPr>
        <w:t xml:space="preserve">uses FERC tabulations indirectly, as they are used to estimate the U.S. Census Bureau's Construction Value Put-In Place (VPIP) for electric utilities. </w:t>
      </w:r>
      <w:r>
        <w:rPr>
          <w:rFonts w:ascii="Times New Roman" w:hAnsi="Times New Roman"/>
          <w:sz w:val="26"/>
          <w:szCs w:val="26"/>
        </w:rPr>
        <w:t xml:space="preserve">BEA explains that </w:t>
      </w:r>
      <w:r w:rsidRPr="0073506C">
        <w:rPr>
          <w:rFonts w:ascii="Times New Roman" w:hAnsi="Times New Roman"/>
          <w:sz w:val="26"/>
          <w:szCs w:val="26"/>
        </w:rPr>
        <w:t xml:space="preserve">Census VPIP serves a major source data input to the national income and product account (NIP A) structures investment </w:t>
      </w:r>
      <w:r w:rsidRPr="00F4048B">
        <w:rPr>
          <w:rFonts w:ascii="Times New Roman" w:hAnsi="Times New Roman"/>
          <w:sz w:val="26"/>
          <w:szCs w:val="26"/>
        </w:rPr>
        <w:t xml:space="preserve">estimates. </w:t>
      </w:r>
      <w:r w:rsidR="00CD4031">
        <w:rPr>
          <w:rFonts w:ascii="Times New Roman" w:hAnsi="Times New Roman"/>
          <w:sz w:val="26"/>
          <w:szCs w:val="26"/>
        </w:rPr>
        <w:t xml:space="preserve">According to BEA, </w:t>
      </w:r>
      <w:r w:rsidRPr="00F4048B">
        <w:rPr>
          <w:rFonts w:ascii="Times New Roman" w:hAnsi="Times New Roman"/>
          <w:sz w:val="26"/>
          <w:szCs w:val="26"/>
        </w:rPr>
        <w:t xml:space="preserve">NIPA estimates for electric structures rely upon the VPIP source data. </w:t>
      </w:r>
      <w:r w:rsidR="00CD4031">
        <w:rPr>
          <w:rFonts w:ascii="Times New Roman" w:hAnsi="Times New Roman"/>
          <w:sz w:val="26"/>
          <w:szCs w:val="26"/>
        </w:rPr>
        <w:t>As a result, BEA states that e</w:t>
      </w:r>
      <w:r w:rsidRPr="00F4048B">
        <w:rPr>
          <w:rFonts w:ascii="Times New Roman" w:hAnsi="Times New Roman"/>
          <w:sz w:val="26"/>
          <w:szCs w:val="26"/>
        </w:rPr>
        <w:t>stimates of utility industry structures investment for the BEA Fixed Assets Accounts rely in tu</w:t>
      </w:r>
      <w:r>
        <w:rPr>
          <w:rFonts w:ascii="Times New Roman" w:hAnsi="Times New Roman"/>
          <w:sz w:val="26"/>
          <w:szCs w:val="26"/>
        </w:rPr>
        <w:t>rn</w:t>
      </w:r>
      <w:r w:rsidRPr="00F4048B">
        <w:rPr>
          <w:rFonts w:ascii="Times New Roman" w:hAnsi="Times New Roman"/>
          <w:sz w:val="26"/>
          <w:szCs w:val="26"/>
        </w:rPr>
        <w:t xml:space="preserve"> upon the NIPA structures estimates and also directly upon selected </w:t>
      </w:r>
      <w:r>
        <w:rPr>
          <w:rFonts w:ascii="Times New Roman" w:hAnsi="Times New Roman"/>
          <w:sz w:val="26"/>
          <w:szCs w:val="26"/>
        </w:rPr>
        <w:t>Commission</w:t>
      </w:r>
      <w:r w:rsidRPr="00F4048B">
        <w:rPr>
          <w:rFonts w:ascii="Times New Roman" w:hAnsi="Times New Roman"/>
          <w:sz w:val="26"/>
          <w:szCs w:val="26"/>
        </w:rPr>
        <w:t xml:space="preserve"> data sets published by the Energy Information Administration. BEA </w:t>
      </w:r>
      <w:r w:rsidR="00CD4031">
        <w:rPr>
          <w:rFonts w:ascii="Times New Roman" w:hAnsi="Times New Roman"/>
          <w:sz w:val="26"/>
          <w:szCs w:val="26"/>
        </w:rPr>
        <w:t xml:space="preserve">notes that while it </w:t>
      </w:r>
      <w:r w:rsidRPr="00F4048B">
        <w:rPr>
          <w:rFonts w:ascii="Times New Roman" w:hAnsi="Times New Roman"/>
          <w:sz w:val="26"/>
          <w:szCs w:val="26"/>
        </w:rPr>
        <w:t xml:space="preserve">uses this information indirectly through the VPIP program, </w:t>
      </w:r>
      <w:r w:rsidR="00CD4031">
        <w:rPr>
          <w:rFonts w:ascii="Times New Roman" w:hAnsi="Times New Roman"/>
          <w:sz w:val="26"/>
          <w:szCs w:val="26"/>
        </w:rPr>
        <w:t xml:space="preserve">BEA considers </w:t>
      </w:r>
      <w:r w:rsidRPr="00F4048B">
        <w:rPr>
          <w:rFonts w:ascii="Times New Roman" w:hAnsi="Times New Roman"/>
          <w:sz w:val="26"/>
          <w:szCs w:val="26"/>
        </w:rPr>
        <w:t xml:space="preserve">it </w:t>
      </w:r>
      <w:r w:rsidR="00CD4031">
        <w:rPr>
          <w:rFonts w:ascii="Times New Roman" w:hAnsi="Times New Roman"/>
          <w:sz w:val="26"/>
          <w:szCs w:val="26"/>
        </w:rPr>
        <w:t>a</w:t>
      </w:r>
      <w:r w:rsidRPr="00F4048B">
        <w:rPr>
          <w:rFonts w:ascii="Times New Roman" w:hAnsi="Times New Roman"/>
          <w:sz w:val="26"/>
          <w:szCs w:val="26"/>
        </w:rPr>
        <w:t xml:space="preserve">n indispensable data source to the NIPA estimates. </w:t>
      </w:r>
    </w:p>
    <w:p w14:paraId="434BE45A" w14:textId="77777777" w:rsidR="00F4048B" w:rsidRPr="00F4048B" w:rsidRDefault="00F4048B" w:rsidP="0073506C">
      <w:pPr>
        <w:spacing w:after="0" w:line="240" w:lineRule="auto"/>
        <w:rPr>
          <w:rFonts w:ascii="Times New Roman" w:hAnsi="Times New Roman"/>
          <w:sz w:val="26"/>
          <w:szCs w:val="26"/>
        </w:rPr>
      </w:pPr>
    </w:p>
    <w:p w14:paraId="74F9D839" w14:textId="2B69861E" w:rsidR="00F4048B" w:rsidRDefault="00F4048B" w:rsidP="0073506C">
      <w:pPr>
        <w:spacing w:after="0" w:line="240" w:lineRule="auto"/>
        <w:rPr>
          <w:rFonts w:ascii="Times New Roman" w:hAnsi="Times New Roman"/>
          <w:sz w:val="26"/>
          <w:szCs w:val="26"/>
        </w:rPr>
      </w:pPr>
      <w:r w:rsidRPr="0073506C">
        <w:rPr>
          <w:rFonts w:ascii="Times New Roman" w:hAnsi="Times New Roman"/>
          <w:sz w:val="26"/>
          <w:szCs w:val="26"/>
        </w:rPr>
        <w:t xml:space="preserve">BEA </w:t>
      </w:r>
      <w:r w:rsidR="00C128FF">
        <w:rPr>
          <w:rFonts w:ascii="Times New Roman" w:hAnsi="Times New Roman"/>
          <w:sz w:val="26"/>
          <w:szCs w:val="26"/>
        </w:rPr>
        <w:t xml:space="preserve">offers that it </w:t>
      </w:r>
      <w:r w:rsidRPr="0073506C">
        <w:rPr>
          <w:rFonts w:ascii="Times New Roman" w:hAnsi="Times New Roman"/>
          <w:sz w:val="26"/>
          <w:szCs w:val="26"/>
        </w:rPr>
        <w:t xml:space="preserve">would like to explore receiving line items from Forms 1 and lF aggregated to industry totals, similar to the method and timing used to provide information to the Census Bureau. </w:t>
      </w:r>
      <w:r w:rsidR="00C128FF">
        <w:rPr>
          <w:rFonts w:ascii="Times New Roman" w:hAnsi="Times New Roman"/>
          <w:sz w:val="26"/>
          <w:szCs w:val="26"/>
        </w:rPr>
        <w:t>According to BEA, t</w:t>
      </w:r>
      <w:r w:rsidRPr="0073506C">
        <w:rPr>
          <w:rFonts w:ascii="Times New Roman" w:hAnsi="Times New Roman"/>
          <w:sz w:val="26"/>
          <w:szCs w:val="26"/>
        </w:rPr>
        <w:t xml:space="preserve">hese tabulations would be used by BEA for, among other things, estimating industry gross output and changes in intermediate inputs. BEA </w:t>
      </w:r>
      <w:r w:rsidR="00C128FF">
        <w:rPr>
          <w:rFonts w:ascii="Times New Roman" w:hAnsi="Times New Roman"/>
          <w:sz w:val="26"/>
          <w:szCs w:val="26"/>
        </w:rPr>
        <w:t xml:space="preserve">explains that it </w:t>
      </w:r>
      <w:r w:rsidRPr="0073506C">
        <w:rPr>
          <w:rFonts w:ascii="Times New Roman" w:hAnsi="Times New Roman"/>
          <w:sz w:val="26"/>
          <w:szCs w:val="26"/>
        </w:rPr>
        <w:t xml:space="preserve">would use the aggregated FERC data as well for the fixed asset account nonresidential structure investment, capital stock, and ultimately for consumption of fixed capital (depreciation) estimates that depend upon the NIPA structures estimates. </w:t>
      </w:r>
    </w:p>
    <w:p w14:paraId="757E981D" w14:textId="77777777" w:rsidR="00F4048B" w:rsidRPr="0073506C" w:rsidRDefault="00F4048B" w:rsidP="0073506C">
      <w:pPr>
        <w:spacing w:after="0" w:line="240" w:lineRule="auto"/>
        <w:rPr>
          <w:rFonts w:ascii="Times New Roman" w:hAnsi="Times New Roman"/>
          <w:sz w:val="26"/>
          <w:szCs w:val="26"/>
        </w:rPr>
      </w:pPr>
    </w:p>
    <w:p w14:paraId="31CA4A95" w14:textId="675E1C3D" w:rsidR="005C55C8" w:rsidRDefault="00F4048B" w:rsidP="00F4048B">
      <w:pPr>
        <w:pStyle w:val="ListParagraph"/>
        <w:spacing w:after="0" w:line="240" w:lineRule="auto"/>
        <w:ind w:left="0"/>
        <w:rPr>
          <w:rFonts w:ascii="Times New Roman" w:hAnsi="Times New Roman"/>
          <w:sz w:val="26"/>
          <w:szCs w:val="26"/>
        </w:rPr>
      </w:pPr>
      <w:r w:rsidRPr="00F4048B">
        <w:rPr>
          <w:rFonts w:ascii="Times New Roman" w:hAnsi="Times New Roman"/>
          <w:sz w:val="26"/>
          <w:szCs w:val="26"/>
        </w:rPr>
        <w:t xml:space="preserve">BEA </w:t>
      </w:r>
      <w:r w:rsidR="00C128FF">
        <w:rPr>
          <w:rFonts w:ascii="Times New Roman" w:hAnsi="Times New Roman"/>
          <w:sz w:val="26"/>
          <w:szCs w:val="26"/>
        </w:rPr>
        <w:t xml:space="preserve">states that it </w:t>
      </w:r>
      <w:r w:rsidRPr="00F4048B">
        <w:rPr>
          <w:rFonts w:ascii="Times New Roman" w:hAnsi="Times New Roman"/>
          <w:sz w:val="26"/>
          <w:szCs w:val="26"/>
        </w:rPr>
        <w:t>has in the past used items such as plant in service by type of utility; subsidiary and non­utility investments; allowance for funds used during construction; plant held for future use; plant leased to others; construction work in progress; depreciation; and other plant-related schedules</w:t>
      </w:r>
      <w:r w:rsidR="00C128FF">
        <w:rPr>
          <w:rFonts w:ascii="Times New Roman" w:hAnsi="Times New Roman"/>
          <w:sz w:val="26"/>
          <w:szCs w:val="26"/>
        </w:rPr>
        <w:t xml:space="preserve"> because</w:t>
      </w:r>
      <w:r w:rsidRPr="00F4048B">
        <w:rPr>
          <w:rFonts w:ascii="Times New Roman" w:hAnsi="Times New Roman"/>
          <w:sz w:val="26"/>
          <w:szCs w:val="26"/>
        </w:rPr>
        <w:t xml:space="preserve"> they are useful in estimating total industry plant-in-service. </w:t>
      </w:r>
      <w:r w:rsidR="00C128FF">
        <w:rPr>
          <w:rFonts w:ascii="Times New Roman" w:hAnsi="Times New Roman"/>
          <w:sz w:val="26"/>
          <w:szCs w:val="26"/>
        </w:rPr>
        <w:t xml:space="preserve"> BEA further states that, i</w:t>
      </w:r>
      <w:r w:rsidRPr="00F4048B">
        <w:rPr>
          <w:rFonts w:ascii="Times New Roman" w:hAnsi="Times New Roman"/>
          <w:sz w:val="26"/>
          <w:szCs w:val="26"/>
        </w:rPr>
        <w:t xml:space="preserve">n general, income statement and balance sheet data support utility industry investment by industry estimates. </w:t>
      </w:r>
      <w:r w:rsidR="00C128FF">
        <w:rPr>
          <w:rFonts w:ascii="Times New Roman" w:hAnsi="Times New Roman"/>
          <w:sz w:val="26"/>
          <w:szCs w:val="26"/>
        </w:rPr>
        <w:t>BEA notes that t</w:t>
      </w:r>
      <w:r w:rsidRPr="00F4048B">
        <w:rPr>
          <w:rFonts w:ascii="Times New Roman" w:hAnsi="Times New Roman"/>
          <w:sz w:val="26"/>
          <w:szCs w:val="26"/>
        </w:rPr>
        <w:t xml:space="preserve">abulations by legal form of ownership are also useful in the estimation of investment by legal form of organization for utility industries. BEA </w:t>
      </w:r>
      <w:r w:rsidR="00C128FF">
        <w:rPr>
          <w:rFonts w:ascii="Times New Roman" w:hAnsi="Times New Roman"/>
          <w:sz w:val="26"/>
          <w:szCs w:val="26"/>
        </w:rPr>
        <w:t xml:space="preserve">also expressed interest in </w:t>
      </w:r>
      <w:r w:rsidRPr="00F4048B">
        <w:rPr>
          <w:rFonts w:ascii="Times New Roman" w:hAnsi="Times New Roman"/>
          <w:sz w:val="26"/>
          <w:szCs w:val="26"/>
        </w:rPr>
        <w:t>plant-in-service separately identified for electric generation (by type of generation - hydro, nuclear, etc.), transmission, and distribution.</w:t>
      </w:r>
    </w:p>
    <w:p w14:paraId="149E7B03" w14:textId="77777777" w:rsidR="00F4048B" w:rsidRDefault="00F4048B" w:rsidP="00F4048B">
      <w:pPr>
        <w:pStyle w:val="ListParagraph"/>
        <w:spacing w:after="0" w:line="240" w:lineRule="auto"/>
        <w:ind w:left="0"/>
        <w:rPr>
          <w:rFonts w:ascii="Times New Roman" w:hAnsi="Times New Roman"/>
          <w:sz w:val="26"/>
          <w:szCs w:val="26"/>
        </w:rPr>
      </w:pPr>
    </w:p>
    <w:p w14:paraId="07CACAE9" w14:textId="12FBF66D" w:rsidR="00F4048B" w:rsidRDefault="00F4048B" w:rsidP="0073506C">
      <w:pPr>
        <w:spacing w:after="0" w:line="240" w:lineRule="auto"/>
        <w:rPr>
          <w:rFonts w:ascii="Times New Roman" w:hAnsi="Times New Roman"/>
          <w:sz w:val="26"/>
          <w:szCs w:val="26"/>
        </w:rPr>
      </w:pPr>
      <w:r w:rsidRPr="0073506C">
        <w:rPr>
          <w:rFonts w:ascii="Times New Roman" w:hAnsi="Times New Roman"/>
          <w:sz w:val="26"/>
          <w:szCs w:val="26"/>
        </w:rPr>
        <w:t xml:space="preserve">BEA requests that </w:t>
      </w:r>
      <w:r w:rsidR="00C128FF">
        <w:rPr>
          <w:rFonts w:ascii="Times New Roman" w:hAnsi="Times New Roman"/>
          <w:sz w:val="26"/>
          <w:szCs w:val="26"/>
        </w:rPr>
        <w:t>the Commission</w:t>
      </w:r>
      <w:r w:rsidRPr="0073506C">
        <w:rPr>
          <w:rFonts w:ascii="Times New Roman" w:hAnsi="Times New Roman"/>
          <w:sz w:val="26"/>
          <w:szCs w:val="26"/>
        </w:rPr>
        <w:t xml:space="preserve"> consider the inclusion of additional questions on the electric utility survey forms. Specifically, </w:t>
      </w:r>
      <w:r w:rsidR="00C128FF">
        <w:rPr>
          <w:rFonts w:ascii="Times New Roman" w:hAnsi="Times New Roman"/>
          <w:sz w:val="26"/>
          <w:szCs w:val="26"/>
        </w:rPr>
        <w:t xml:space="preserve">BEA suggests offering </w:t>
      </w:r>
      <w:r w:rsidRPr="0073506C">
        <w:rPr>
          <w:rFonts w:ascii="Times New Roman" w:hAnsi="Times New Roman"/>
          <w:sz w:val="26"/>
          <w:szCs w:val="26"/>
        </w:rPr>
        <w:t xml:space="preserve">new questions that </w:t>
      </w:r>
      <w:r w:rsidR="00C128FF">
        <w:rPr>
          <w:rFonts w:ascii="Times New Roman" w:hAnsi="Times New Roman"/>
          <w:sz w:val="26"/>
          <w:szCs w:val="26"/>
        </w:rPr>
        <w:t xml:space="preserve">ask for capital expenditures </w:t>
      </w:r>
      <w:r w:rsidRPr="0073506C">
        <w:rPr>
          <w:rFonts w:ascii="Times New Roman" w:hAnsi="Times New Roman"/>
          <w:sz w:val="26"/>
          <w:szCs w:val="26"/>
        </w:rPr>
        <w:t xml:space="preserve">for new versus replacement fixed assets, intangibles, and equipment and structures separately (excluding land). </w:t>
      </w:r>
      <w:r w:rsidR="00C128FF">
        <w:rPr>
          <w:rFonts w:ascii="Times New Roman" w:hAnsi="Times New Roman"/>
          <w:sz w:val="26"/>
          <w:szCs w:val="26"/>
        </w:rPr>
        <w:t>According to BEA, t</w:t>
      </w:r>
      <w:r w:rsidRPr="0073506C">
        <w:rPr>
          <w:rFonts w:ascii="Times New Roman" w:hAnsi="Times New Roman"/>
          <w:sz w:val="26"/>
          <w:szCs w:val="26"/>
        </w:rPr>
        <w:t>hese questions would provide additional useful information to BEA that would lead to improved estimates of capital spending at BEA and for Census</w:t>
      </w:r>
      <w:r>
        <w:rPr>
          <w:rFonts w:ascii="Times New Roman" w:hAnsi="Times New Roman"/>
          <w:sz w:val="26"/>
          <w:szCs w:val="26"/>
        </w:rPr>
        <w:t>/V</w:t>
      </w:r>
      <w:r w:rsidRPr="0073506C">
        <w:rPr>
          <w:rFonts w:ascii="Times New Roman" w:hAnsi="Times New Roman"/>
          <w:sz w:val="26"/>
          <w:szCs w:val="26"/>
        </w:rPr>
        <w:t xml:space="preserve">PIP. </w:t>
      </w:r>
    </w:p>
    <w:p w14:paraId="04C348EA" w14:textId="77777777" w:rsidR="00C128FF" w:rsidRPr="0073506C" w:rsidRDefault="00C128FF" w:rsidP="0073506C">
      <w:pPr>
        <w:spacing w:after="0" w:line="240" w:lineRule="auto"/>
        <w:rPr>
          <w:rFonts w:ascii="Times New Roman" w:hAnsi="Times New Roman"/>
          <w:sz w:val="26"/>
          <w:szCs w:val="26"/>
        </w:rPr>
      </w:pPr>
    </w:p>
    <w:p w14:paraId="1EE1D9EA" w14:textId="1D0C0485" w:rsidR="00F4048B" w:rsidRDefault="00C128FF" w:rsidP="00F4048B">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Finally, BEA offers that </w:t>
      </w:r>
      <w:r w:rsidR="00F4048B" w:rsidRPr="00F4048B">
        <w:rPr>
          <w:rFonts w:ascii="Times New Roman" w:hAnsi="Times New Roman"/>
          <w:sz w:val="26"/>
          <w:szCs w:val="26"/>
        </w:rPr>
        <w:t>more detailed information about equipment and structures leased from others under operating leases would be useful to us for statistical purposes.</w:t>
      </w:r>
    </w:p>
    <w:p w14:paraId="5AE84E2D" w14:textId="77777777" w:rsidR="00C128FF" w:rsidRDefault="00C128FF" w:rsidP="00F4048B">
      <w:pPr>
        <w:pStyle w:val="ListParagraph"/>
        <w:spacing w:after="0" w:line="240" w:lineRule="auto"/>
        <w:ind w:left="0"/>
        <w:rPr>
          <w:rFonts w:ascii="Times New Roman" w:hAnsi="Times New Roman"/>
          <w:sz w:val="26"/>
          <w:szCs w:val="26"/>
        </w:rPr>
      </w:pPr>
    </w:p>
    <w:p w14:paraId="3924A7CB" w14:textId="0DC71EB0" w:rsidR="00C128FF" w:rsidRDefault="00C128FF" w:rsidP="00F4048B">
      <w:pPr>
        <w:pStyle w:val="ListParagraph"/>
        <w:spacing w:after="0" w:line="240" w:lineRule="auto"/>
        <w:ind w:left="0"/>
        <w:rPr>
          <w:rFonts w:ascii="Times New Roman" w:hAnsi="Times New Roman"/>
          <w:i/>
          <w:sz w:val="26"/>
          <w:szCs w:val="26"/>
        </w:rPr>
      </w:pPr>
      <w:r>
        <w:rPr>
          <w:rFonts w:ascii="Times New Roman" w:hAnsi="Times New Roman"/>
          <w:i/>
          <w:sz w:val="26"/>
          <w:szCs w:val="26"/>
        </w:rPr>
        <w:t>Commission Response:</w:t>
      </w:r>
    </w:p>
    <w:p w14:paraId="16CADC4C" w14:textId="77777777" w:rsidR="00C128FF" w:rsidRDefault="00C128FF" w:rsidP="00F4048B">
      <w:pPr>
        <w:pStyle w:val="ListParagraph"/>
        <w:spacing w:after="0" w:line="240" w:lineRule="auto"/>
        <w:ind w:left="0"/>
        <w:rPr>
          <w:rFonts w:ascii="Times New Roman" w:hAnsi="Times New Roman"/>
          <w:i/>
          <w:sz w:val="26"/>
          <w:szCs w:val="26"/>
        </w:rPr>
      </w:pPr>
    </w:p>
    <w:p w14:paraId="3E09956F" w14:textId="088DC40B" w:rsidR="00C128FF" w:rsidRDefault="00C128FF" w:rsidP="00F4048B">
      <w:pPr>
        <w:pStyle w:val="ListParagraph"/>
        <w:spacing w:after="0" w:line="240" w:lineRule="auto"/>
        <w:ind w:left="0"/>
        <w:rPr>
          <w:rFonts w:ascii="Times New Roman" w:hAnsi="Times New Roman"/>
          <w:sz w:val="26"/>
          <w:szCs w:val="26"/>
        </w:rPr>
      </w:pPr>
      <w:r>
        <w:rPr>
          <w:rFonts w:ascii="Times New Roman" w:hAnsi="Times New Roman"/>
          <w:sz w:val="26"/>
          <w:szCs w:val="26"/>
        </w:rPr>
        <w:t>As discussed above, the public utilizes the data in FERC Form Nos. 1 and 1-F to assist in monitoring the rates, the financial condition of entities and in assessing energy markets.  BEA’s comments in support of the collection of the FERC Form Nos. 1 and 1-F data provide tangible examples of this utilization and reflect the public benefit of reporting this information.</w:t>
      </w:r>
      <w:r w:rsidR="003023A8">
        <w:rPr>
          <w:rFonts w:ascii="Times New Roman" w:hAnsi="Times New Roman"/>
          <w:sz w:val="26"/>
          <w:szCs w:val="26"/>
        </w:rPr>
        <w:t xml:space="preserve">  As further discussed above, t</w:t>
      </w:r>
      <w:r w:rsidR="003023A8" w:rsidRPr="003023A8">
        <w:rPr>
          <w:rFonts w:ascii="Times New Roman" w:hAnsi="Times New Roman"/>
          <w:sz w:val="26"/>
          <w:szCs w:val="26"/>
        </w:rPr>
        <w:t>he</w:t>
      </w:r>
      <w:r w:rsidR="003023A8">
        <w:rPr>
          <w:rFonts w:ascii="Times New Roman" w:hAnsi="Times New Roman"/>
          <w:sz w:val="26"/>
          <w:szCs w:val="26"/>
        </w:rPr>
        <w:t xml:space="preserve"> instant request to review and approve contains no</w:t>
      </w:r>
      <w:r w:rsidR="003023A8" w:rsidRPr="003023A8">
        <w:rPr>
          <w:rFonts w:ascii="Times New Roman" w:hAnsi="Times New Roman"/>
          <w:sz w:val="26"/>
          <w:szCs w:val="26"/>
        </w:rPr>
        <w:t xml:space="preserve"> changes to the reporting requirements for the existing information collections</w:t>
      </w:r>
      <w:r w:rsidR="003023A8">
        <w:rPr>
          <w:rFonts w:ascii="Times New Roman" w:hAnsi="Times New Roman"/>
          <w:sz w:val="26"/>
          <w:szCs w:val="26"/>
        </w:rPr>
        <w:t>.</w:t>
      </w:r>
    </w:p>
    <w:p w14:paraId="491B615C" w14:textId="77777777" w:rsidR="00F4048B" w:rsidRPr="0073506C" w:rsidRDefault="00F4048B" w:rsidP="00BD0F89">
      <w:pPr>
        <w:pStyle w:val="ListParagraph"/>
        <w:spacing w:after="0" w:line="240" w:lineRule="auto"/>
        <w:ind w:left="0"/>
        <w:rPr>
          <w:rFonts w:ascii="Times New Roman" w:hAnsi="Times New Roman"/>
          <w:sz w:val="26"/>
          <w:szCs w:val="26"/>
        </w:rPr>
      </w:pPr>
    </w:p>
    <w:p w14:paraId="57900023" w14:textId="4741A270" w:rsidR="005C55C8" w:rsidRPr="0073506C" w:rsidRDefault="005C55C8" w:rsidP="00BD0F89">
      <w:pPr>
        <w:pStyle w:val="ListParagraph"/>
        <w:spacing w:after="0" w:line="240" w:lineRule="auto"/>
        <w:ind w:left="0"/>
        <w:rPr>
          <w:rFonts w:ascii="Times New Roman" w:hAnsi="Times New Roman"/>
          <w:sz w:val="26"/>
          <w:szCs w:val="26"/>
        </w:rPr>
      </w:pPr>
      <w:r w:rsidRPr="0073506C">
        <w:rPr>
          <w:rFonts w:ascii="Times New Roman" w:hAnsi="Times New Roman"/>
          <w:sz w:val="26"/>
          <w:szCs w:val="26"/>
        </w:rPr>
        <w:t>The Commission is also publishing a 30-day Notice in the Federal Register.</w:t>
      </w:r>
    </w:p>
    <w:p w14:paraId="1F5BA73E" w14:textId="77777777" w:rsidR="009C451A" w:rsidRPr="0073506C" w:rsidRDefault="009C451A" w:rsidP="00BD0F89">
      <w:pPr>
        <w:pStyle w:val="ListParagraph"/>
        <w:spacing w:after="0" w:line="240" w:lineRule="auto"/>
        <w:ind w:left="0"/>
        <w:rPr>
          <w:rFonts w:ascii="Times New Roman" w:hAnsi="Times New Roman"/>
          <w:b/>
          <w:sz w:val="26"/>
          <w:szCs w:val="26"/>
        </w:rPr>
      </w:pPr>
    </w:p>
    <w:p w14:paraId="1A2BC3FA"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PAYMENT OR GIFTS TO RESPONDENTS</w:t>
      </w:r>
    </w:p>
    <w:p w14:paraId="1C0A081E" w14:textId="77777777" w:rsidR="00F0627E" w:rsidRPr="0073506C" w:rsidRDefault="00F0627E" w:rsidP="00BD0F89">
      <w:pPr>
        <w:spacing w:after="0" w:line="240" w:lineRule="auto"/>
        <w:rPr>
          <w:rFonts w:ascii="Times New Roman" w:hAnsi="Times New Roman"/>
          <w:sz w:val="26"/>
          <w:szCs w:val="26"/>
        </w:rPr>
      </w:pPr>
    </w:p>
    <w:p w14:paraId="47E62683"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There are no payments or gifts to respondents.</w:t>
      </w:r>
    </w:p>
    <w:p w14:paraId="63605198" w14:textId="77777777" w:rsidR="00F0627E" w:rsidRPr="0073506C" w:rsidRDefault="00F0627E" w:rsidP="00BD0F89">
      <w:pPr>
        <w:spacing w:after="0" w:line="240" w:lineRule="auto"/>
        <w:rPr>
          <w:rFonts w:ascii="Times New Roman" w:hAnsi="Times New Roman"/>
          <w:sz w:val="26"/>
          <w:szCs w:val="26"/>
        </w:rPr>
      </w:pPr>
    </w:p>
    <w:p w14:paraId="0127248A"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ASSURANCE OF CONFIDENTIALITY PROVIDED TO RESPONDENTS</w:t>
      </w:r>
    </w:p>
    <w:p w14:paraId="55B18053" w14:textId="77777777" w:rsidR="00F0627E" w:rsidRPr="0073506C" w:rsidRDefault="00F0627E" w:rsidP="00BD0F89">
      <w:pPr>
        <w:spacing w:after="0" w:line="240" w:lineRule="auto"/>
        <w:rPr>
          <w:rFonts w:ascii="Times New Roman" w:hAnsi="Times New Roman"/>
          <w:sz w:val="26"/>
          <w:szCs w:val="26"/>
        </w:rPr>
      </w:pPr>
    </w:p>
    <w:p w14:paraId="1594C0DB"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 Commission does not consider the information collected in filings to be confidential.  However, the Commission will consider specific requests for confidential treatment (e.g. Critical </w:t>
      </w:r>
      <w:r w:rsidR="00084A7F" w:rsidRPr="0073506C">
        <w:rPr>
          <w:rFonts w:ascii="Times New Roman" w:hAnsi="Times New Roman"/>
          <w:sz w:val="26"/>
          <w:szCs w:val="26"/>
        </w:rPr>
        <w:t>Energy/Electric</w:t>
      </w:r>
      <w:r w:rsidRPr="0073506C">
        <w:rPr>
          <w:rFonts w:ascii="Times New Roman" w:hAnsi="Times New Roman"/>
          <w:sz w:val="26"/>
          <w:szCs w:val="26"/>
        </w:rPr>
        <w:t xml:space="preserve"> Infrastructure Information [CEII] or non-public) to the extent permitted by law.</w:t>
      </w:r>
      <w:r w:rsidRPr="0073506C">
        <w:rPr>
          <w:rFonts w:ascii="Times New Roman" w:hAnsi="Times New Roman"/>
          <w:b/>
          <w:sz w:val="26"/>
          <w:szCs w:val="26"/>
          <w:vertAlign w:val="superscript"/>
        </w:rPr>
        <w:footnoteReference w:id="11"/>
      </w:r>
      <w:r w:rsidRPr="0073506C">
        <w:rPr>
          <w:rFonts w:ascii="Times New Roman" w:hAnsi="Times New Roman"/>
          <w:sz w:val="26"/>
          <w:szCs w:val="26"/>
        </w:rPr>
        <w:t xml:space="preserve">  The Commission will review each request for confidential treatment on a case-by-case basis.</w:t>
      </w:r>
      <w:r w:rsidR="00084A7F" w:rsidRPr="0073506C">
        <w:rPr>
          <w:rFonts w:ascii="Times New Roman" w:hAnsi="Times New Roman"/>
          <w:sz w:val="26"/>
          <w:szCs w:val="26"/>
        </w:rPr>
        <w:t xml:space="preserve"> </w:t>
      </w:r>
    </w:p>
    <w:p w14:paraId="06B74231" w14:textId="77777777" w:rsidR="00F0627E" w:rsidRPr="0073506C" w:rsidRDefault="00F0627E" w:rsidP="00BD0F89">
      <w:pPr>
        <w:spacing w:after="0" w:line="240" w:lineRule="auto"/>
        <w:rPr>
          <w:rFonts w:ascii="Times New Roman" w:hAnsi="Times New Roman"/>
          <w:sz w:val="26"/>
          <w:szCs w:val="26"/>
        </w:rPr>
      </w:pPr>
    </w:p>
    <w:p w14:paraId="3F7300DB" w14:textId="77777777" w:rsidR="00F0627E" w:rsidRPr="0073506C" w:rsidRDefault="00F0627E" w:rsidP="00BD0F89">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14:paraId="39F4AE19" w14:textId="77777777" w:rsidR="00F0627E" w:rsidRPr="0073506C" w:rsidRDefault="00F0627E" w:rsidP="00BD0F89">
      <w:pPr>
        <w:spacing w:after="0" w:line="240" w:lineRule="auto"/>
        <w:rPr>
          <w:rFonts w:ascii="Times New Roman" w:hAnsi="Times New Roman"/>
          <w:sz w:val="26"/>
          <w:szCs w:val="26"/>
        </w:rPr>
      </w:pPr>
    </w:p>
    <w:p w14:paraId="7AC7B511"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There are no questions of a sensitive nature. </w:t>
      </w:r>
    </w:p>
    <w:p w14:paraId="5A7A5206" w14:textId="77777777" w:rsidR="00F0627E" w:rsidRPr="0073506C" w:rsidRDefault="00F0627E" w:rsidP="00BD0F89">
      <w:pPr>
        <w:spacing w:after="0" w:line="240" w:lineRule="auto"/>
        <w:rPr>
          <w:rFonts w:ascii="Times New Roman" w:hAnsi="Times New Roman"/>
          <w:sz w:val="26"/>
          <w:szCs w:val="26"/>
        </w:rPr>
      </w:pPr>
    </w:p>
    <w:p w14:paraId="21A98BF8" w14:textId="77777777" w:rsidR="00F0627E" w:rsidRPr="0073506C" w:rsidRDefault="00F0627E" w:rsidP="00BD0F89">
      <w:pPr>
        <w:pStyle w:val="ListParagraph"/>
        <w:numPr>
          <w:ilvl w:val="0"/>
          <w:numId w:val="14"/>
        </w:numPr>
        <w:spacing w:after="0" w:line="240" w:lineRule="auto"/>
        <w:rPr>
          <w:rFonts w:ascii="Times New Roman" w:hAnsi="Times New Roman"/>
          <w:sz w:val="26"/>
          <w:szCs w:val="26"/>
        </w:rPr>
      </w:pPr>
      <w:r w:rsidRPr="0073506C">
        <w:rPr>
          <w:rFonts w:ascii="Times New Roman" w:hAnsi="Times New Roman"/>
          <w:b/>
          <w:sz w:val="26"/>
          <w:szCs w:val="26"/>
        </w:rPr>
        <w:t>ESTIMATED BURDEN OF COLLECTION OF INFORMATION</w:t>
      </w:r>
    </w:p>
    <w:p w14:paraId="006B7021" w14:textId="77777777" w:rsidR="00AD2C01" w:rsidRPr="0073506C" w:rsidRDefault="004A36E5" w:rsidP="00BD0F89">
      <w:pPr>
        <w:spacing w:after="0" w:line="240" w:lineRule="auto"/>
        <w:rPr>
          <w:rFonts w:ascii="Times New Roman" w:hAnsi="Times New Roman"/>
          <w:sz w:val="26"/>
          <w:szCs w:val="26"/>
        </w:rPr>
      </w:pPr>
      <w:r w:rsidRPr="0073506C">
        <w:rPr>
          <w:rFonts w:ascii="Times New Roman" w:hAnsi="Times New Roman"/>
          <w:sz w:val="26"/>
          <w:szCs w:val="26"/>
        </w:rPr>
        <w:t xml:space="preserve"> </w:t>
      </w:r>
    </w:p>
    <w:p w14:paraId="34B95CF5" w14:textId="2EF48361" w:rsidR="00ED6497" w:rsidRPr="0073506C" w:rsidRDefault="00AD2C01" w:rsidP="00BD0F89">
      <w:pPr>
        <w:spacing w:after="0" w:line="240" w:lineRule="auto"/>
        <w:rPr>
          <w:rFonts w:ascii="Times New Roman" w:hAnsi="Times New Roman"/>
          <w:sz w:val="26"/>
          <w:szCs w:val="26"/>
        </w:rPr>
      </w:pPr>
      <w:r w:rsidRPr="0073506C">
        <w:rPr>
          <w:rFonts w:ascii="Times New Roman" w:hAnsi="Times New Roman"/>
          <w:sz w:val="26"/>
          <w:szCs w:val="26"/>
        </w:rPr>
        <w:t>The estimated burden and cost</w:t>
      </w:r>
      <w:r w:rsidR="00214C0F" w:rsidRPr="0073506C">
        <w:rPr>
          <w:rStyle w:val="FootnoteReference"/>
          <w:rFonts w:ascii="Times New Roman" w:hAnsi="Times New Roman"/>
          <w:sz w:val="26"/>
          <w:szCs w:val="26"/>
          <w:vertAlign w:val="superscript"/>
        </w:rPr>
        <w:footnoteReference w:id="12"/>
      </w:r>
      <w:r w:rsidRPr="0073506C">
        <w:rPr>
          <w:rFonts w:ascii="Times New Roman" w:hAnsi="Times New Roman"/>
          <w:sz w:val="26"/>
          <w:szCs w:val="26"/>
          <w:vertAlign w:val="superscript"/>
        </w:rPr>
        <w:t xml:space="preserve"> </w:t>
      </w:r>
      <w:r w:rsidRPr="0073506C">
        <w:rPr>
          <w:rFonts w:ascii="Times New Roman" w:hAnsi="Times New Roman"/>
          <w:sz w:val="26"/>
          <w:szCs w:val="26"/>
        </w:rPr>
        <w:t xml:space="preserve">of the information collections follow.  </w:t>
      </w:r>
    </w:p>
    <w:p w14:paraId="462FFAF9" w14:textId="77777777" w:rsidR="00ED6497" w:rsidRPr="0073506C" w:rsidRDefault="00ED6497"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0F07BD" w14:paraId="2C0DD288" w14:textId="77777777" w:rsidTr="005A0F1F">
        <w:trPr>
          <w:cantSplit/>
          <w:jc w:val="center"/>
        </w:trPr>
        <w:tc>
          <w:tcPr>
            <w:tcW w:w="796" w:type="pct"/>
            <w:shd w:val="clear" w:color="auto" w:fill="D9D9D9"/>
            <w:vAlign w:val="bottom"/>
          </w:tcPr>
          <w:p w14:paraId="3E4392BF" w14:textId="4A48CB57" w:rsidR="009E3BA7" w:rsidRPr="0073506C" w:rsidRDefault="005A0F1F" w:rsidP="00BD0F89">
            <w:pPr>
              <w:keepNext/>
              <w:spacing w:after="0" w:line="240" w:lineRule="auto"/>
              <w:rPr>
                <w:rFonts w:ascii="Times New Roman" w:hAnsi="Times New Roman"/>
                <w:b/>
                <w:sz w:val="26"/>
                <w:szCs w:val="26"/>
              </w:rPr>
            </w:pPr>
            <w:r w:rsidRPr="0073506C">
              <w:rPr>
                <w:rFonts w:ascii="Times New Roman" w:hAnsi="Times New Roman"/>
                <w:b/>
                <w:sz w:val="26"/>
                <w:szCs w:val="26"/>
              </w:rPr>
              <w:t>FERC Form No.</w:t>
            </w:r>
          </w:p>
        </w:tc>
        <w:tc>
          <w:tcPr>
            <w:tcW w:w="742" w:type="pct"/>
            <w:shd w:val="clear" w:color="auto" w:fill="D9D9D9"/>
            <w:vAlign w:val="bottom"/>
          </w:tcPr>
          <w:p w14:paraId="41618E64"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Number of Respondents</w:t>
            </w:r>
          </w:p>
          <w:p w14:paraId="56A06679"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(1)</w:t>
            </w:r>
          </w:p>
        </w:tc>
        <w:tc>
          <w:tcPr>
            <w:tcW w:w="722" w:type="pct"/>
            <w:shd w:val="clear" w:color="auto" w:fill="D9D9D9"/>
            <w:vAlign w:val="bottom"/>
          </w:tcPr>
          <w:p w14:paraId="6288091F"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Annual Number of Responses per Respondent</w:t>
            </w:r>
          </w:p>
          <w:p w14:paraId="17D2C9F3"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(2)</w:t>
            </w:r>
          </w:p>
        </w:tc>
        <w:tc>
          <w:tcPr>
            <w:tcW w:w="625" w:type="pct"/>
            <w:shd w:val="clear" w:color="auto" w:fill="D9D9D9"/>
            <w:vAlign w:val="bottom"/>
          </w:tcPr>
          <w:p w14:paraId="0C9A2108"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Total Number of Responses</w:t>
            </w:r>
          </w:p>
          <w:p w14:paraId="0FF1FAC3"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(1)*(2)=(3)</w:t>
            </w:r>
          </w:p>
        </w:tc>
        <w:tc>
          <w:tcPr>
            <w:tcW w:w="674" w:type="pct"/>
            <w:shd w:val="clear" w:color="auto" w:fill="D9D9D9"/>
            <w:vAlign w:val="bottom"/>
          </w:tcPr>
          <w:p w14:paraId="512DCFEC"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Average Burden &amp; Cost Per Response</w:t>
            </w:r>
            <w:r w:rsidRPr="00641282">
              <w:rPr>
                <w:rFonts w:ascii="Times New Roman" w:hAnsi="Times New Roman"/>
                <w:b/>
                <w:sz w:val="26"/>
                <w:szCs w:val="26"/>
                <w:vertAlign w:val="superscript"/>
              </w:rPr>
              <w:footnoteReference w:id="13"/>
            </w:r>
          </w:p>
          <w:p w14:paraId="658E7CB4"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(4)</w:t>
            </w:r>
          </w:p>
        </w:tc>
        <w:tc>
          <w:tcPr>
            <w:tcW w:w="770" w:type="pct"/>
            <w:shd w:val="clear" w:color="auto" w:fill="D9D9D9"/>
            <w:vAlign w:val="bottom"/>
          </w:tcPr>
          <w:p w14:paraId="2652FBC7"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Total Annual Burden Hours &amp; Cost</w:t>
            </w:r>
            <w:r w:rsidRPr="00641282">
              <w:rPr>
                <w:rFonts w:ascii="Times New Roman" w:hAnsi="Times New Roman"/>
                <w:b/>
                <w:sz w:val="26"/>
                <w:szCs w:val="26"/>
                <w:vertAlign w:val="superscript"/>
              </w:rPr>
              <w:footnoteReference w:id="14"/>
            </w:r>
          </w:p>
          <w:p w14:paraId="5891DAD5"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(3)*(4)=(5)</w:t>
            </w:r>
          </w:p>
        </w:tc>
        <w:tc>
          <w:tcPr>
            <w:tcW w:w="671" w:type="pct"/>
            <w:shd w:val="clear" w:color="auto" w:fill="D9D9D9"/>
            <w:vAlign w:val="bottom"/>
          </w:tcPr>
          <w:p w14:paraId="6E84F98A"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Annual Cost per Respondent ($)</w:t>
            </w:r>
          </w:p>
          <w:p w14:paraId="7E660D01" w14:textId="77777777" w:rsidR="009E3BA7" w:rsidRPr="0073506C" w:rsidRDefault="009E3BA7" w:rsidP="00BD0F89">
            <w:pPr>
              <w:keepNext/>
              <w:spacing w:after="0" w:line="240" w:lineRule="auto"/>
              <w:jc w:val="center"/>
              <w:rPr>
                <w:rFonts w:ascii="Times New Roman" w:hAnsi="Times New Roman"/>
                <w:b/>
                <w:sz w:val="26"/>
                <w:szCs w:val="26"/>
              </w:rPr>
            </w:pPr>
            <w:r w:rsidRPr="0073506C">
              <w:rPr>
                <w:rFonts w:ascii="Times New Roman" w:hAnsi="Times New Roman"/>
                <w:b/>
                <w:sz w:val="26"/>
                <w:szCs w:val="26"/>
              </w:rPr>
              <w:t>(5)÷(1)</w:t>
            </w:r>
          </w:p>
        </w:tc>
      </w:tr>
      <w:tr w:rsidR="005A0F1F" w:rsidRPr="000F07BD" w14:paraId="5D75DECD" w14:textId="77777777" w:rsidTr="005A0F1F">
        <w:trPr>
          <w:cantSplit/>
          <w:jc w:val="center"/>
        </w:trPr>
        <w:tc>
          <w:tcPr>
            <w:tcW w:w="796" w:type="pct"/>
            <w:tcBorders>
              <w:top w:val="single" w:sz="4" w:space="0" w:color="auto"/>
              <w:left w:val="single" w:sz="4" w:space="0" w:color="auto"/>
              <w:bottom w:val="single" w:sz="4" w:space="0" w:color="auto"/>
              <w:right w:val="single" w:sz="4" w:space="0" w:color="auto"/>
            </w:tcBorders>
            <w:vAlign w:val="bottom"/>
          </w:tcPr>
          <w:p w14:paraId="295265ED" w14:textId="77777777" w:rsidR="005A0F1F" w:rsidRPr="0073506C" w:rsidRDefault="005A0F1F" w:rsidP="005A0F1F">
            <w:pPr>
              <w:keepNext/>
              <w:spacing w:after="0" w:line="240" w:lineRule="auto"/>
              <w:rPr>
                <w:rFonts w:ascii="Times New Roman" w:hAnsi="Times New Roman"/>
                <w:sz w:val="26"/>
                <w:szCs w:val="26"/>
              </w:rPr>
            </w:pPr>
            <w:r w:rsidRPr="0073506C">
              <w:rPr>
                <w:rFonts w:ascii="Times New Roman" w:hAnsi="Times New Roman"/>
                <w:sz w:val="26"/>
                <w:szCs w:val="26"/>
              </w:rPr>
              <w:t>Form No. 1</w:t>
            </w:r>
          </w:p>
        </w:tc>
        <w:tc>
          <w:tcPr>
            <w:tcW w:w="742" w:type="pct"/>
            <w:vAlign w:val="bottom"/>
          </w:tcPr>
          <w:p w14:paraId="591D099E" w14:textId="16124C17"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207</w:t>
            </w:r>
          </w:p>
        </w:tc>
        <w:tc>
          <w:tcPr>
            <w:tcW w:w="722" w:type="pct"/>
            <w:vAlign w:val="bottom"/>
          </w:tcPr>
          <w:p w14:paraId="4A06C80B" w14:textId="60F06F51"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w:t>
            </w:r>
          </w:p>
        </w:tc>
        <w:tc>
          <w:tcPr>
            <w:tcW w:w="625" w:type="pct"/>
            <w:vAlign w:val="bottom"/>
          </w:tcPr>
          <w:p w14:paraId="01351914" w14:textId="18DD6D98"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207</w:t>
            </w:r>
          </w:p>
        </w:tc>
        <w:tc>
          <w:tcPr>
            <w:tcW w:w="674" w:type="pct"/>
            <w:vAlign w:val="bottom"/>
          </w:tcPr>
          <w:p w14:paraId="6D0FC7E4" w14:textId="0D8E9B7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1,168 hrs.; $92,272</w:t>
            </w:r>
          </w:p>
        </w:tc>
        <w:tc>
          <w:tcPr>
            <w:tcW w:w="770" w:type="pct"/>
            <w:vAlign w:val="bottom"/>
          </w:tcPr>
          <w:p w14:paraId="11745571" w14:textId="6797F2EE"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241,776 hrs.; $19,100,304</w:t>
            </w:r>
          </w:p>
        </w:tc>
        <w:tc>
          <w:tcPr>
            <w:tcW w:w="671" w:type="pct"/>
            <w:vAlign w:val="bottom"/>
          </w:tcPr>
          <w:p w14:paraId="36FE8660" w14:textId="4599FFDB"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$92,272</w:t>
            </w:r>
          </w:p>
        </w:tc>
      </w:tr>
      <w:tr w:rsidR="005A0F1F" w:rsidRPr="000F07BD" w14:paraId="5ACAE707" w14:textId="77777777" w:rsidTr="005A0F1F">
        <w:trPr>
          <w:cantSplit/>
          <w:jc w:val="center"/>
        </w:trPr>
        <w:tc>
          <w:tcPr>
            <w:tcW w:w="796" w:type="pct"/>
            <w:tcBorders>
              <w:top w:val="single" w:sz="4" w:space="0" w:color="auto"/>
              <w:left w:val="single" w:sz="4" w:space="0" w:color="auto"/>
              <w:bottom w:val="single" w:sz="4" w:space="0" w:color="auto"/>
              <w:right w:val="single" w:sz="4" w:space="0" w:color="auto"/>
            </w:tcBorders>
            <w:vAlign w:val="bottom"/>
          </w:tcPr>
          <w:p w14:paraId="0DF134B8" w14:textId="012A71E3" w:rsidR="005A0F1F" w:rsidRPr="0073506C" w:rsidRDefault="005A0F1F" w:rsidP="005A0F1F">
            <w:pPr>
              <w:keepNext/>
              <w:spacing w:after="0" w:line="240" w:lineRule="auto"/>
              <w:rPr>
                <w:rFonts w:ascii="Times New Roman" w:hAnsi="Times New Roman"/>
                <w:sz w:val="26"/>
                <w:szCs w:val="26"/>
              </w:rPr>
            </w:pPr>
            <w:r w:rsidRPr="0073506C">
              <w:rPr>
                <w:rFonts w:ascii="Times New Roman" w:hAnsi="Times New Roman"/>
                <w:sz w:val="26"/>
                <w:szCs w:val="26"/>
              </w:rPr>
              <w:t>Form  No. 1-F</w:t>
            </w:r>
          </w:p>
        </w:tc>
        <w:tc>
          <w:tcPr>
            <w:tcW w:w="742" w:type="pct"/>
            <w:vAlign w:val="bottom"/>
          </w:tcPr>
          <w:p w14:paraId="79802CF0" w14:textId="26CC6EA8"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5</w:t>
            </w:r>
          </w:p>
        </w:tc>
        <w:tc>
          <w:tcPr>
            <w:tcW w:w="722" w:type="pct"/>
            <w:vAlign w:val="bottom"/>
          </w:tcPr>
          <w:p w14:paraId="4548F8EF" w14:textId="12500C0D"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w:t>
            </w:r>
          </w:p>
        </w:tc>
        <w:tc>
          <w:tcPr>
            <w:tcW w:w="625" w:type="pct"/>
            <w:vAlign w:val="bottom"/>
          </w:tcPr>
          <w:p w14:paraId="1B82CB82" w14:textId="087E3EB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5</w:t>
            </w:r>
          </w:p>
        </w:tc>
        <w:tc>
          <w:tcPr>
            <w:tcW w:w="674" w:type="pct"/>
            <w:vAlign w:val="bottom"/>
          </w:tcPr>
          <w:p w14:paraId="03C5F62C" w14:textId="4C1AC407" w:rsidR="005A0F1F" w:rsidRPr="0073506C" w:rsidRDefault="005A0F1F" w:rsidP="005A0F1F">
            <w:pPr>
              <w:spacing w:after="0" w:line="240" w:lineRule="auto"/>
              <w:jc w:val="right"/>
              <w:rPr>
                <w:rFonts w:ascii="Times New Roman" w:hAnsi="Times New Roman"/>
                <w:sz w:val="26"/>
                <w:szCs w:val="26"/>
              </w:rPr>
            </w:pPr>
            <w:r w:rsidRPr="0073506C">
              <w:rPr>
                <w:rFonts w:ascii="Times New Roman" w:hAnsi="Times New Roman"/>
                <w:sz w:val="26"/>
                <w:szCs w:val="26"/>
              </w:rPr>
              <w:t>122 hrs.; $9,638</w:t>
            </w:r>
          </w:p>
        </w:tc>
        <w:tc>
          <w:tcPr>
            <w:tcW w:w="770" w:type="pct"/>
            <w:vAlign w:val="bottom"/>
          </w:tcPr>
          <w:p w14:paraId="5C81B572" w14:textId="5D486756" w:rsidR="005A0F1F" w:rsidRPr="0073506C" w:rsidRDefault="005A0F1F" w:rsidP="005A0F1F">
            <w:pPr>
              <w:spacing w:after="0" w:line="240" w:lineRule="auto"/>
              <w:jc w:val="right"/>
              <w:rPr>
                <w:rFonts w:ascii="Times New Roman" w:hAnsi="Times New Roman"/>
                <w:sz w:val="26"/>
                <w:szCs w:val="26"/>
              </w:rPr>
            </w:pPr>
            <w:r w:rsidRPr="0073506C">
              <w:rPr>
                <w:rFonts w:ascii="Times New Roman" w:hAnsi="Times New Roman"/>
                <w:sz w:val="26"/>
                <w:szCs w:val="26"/>
              </w:rPr>
              <w:t>610 hrs.; $48,190</w:t>
            </w:r>
          </w:p>
        </w:tc>
        <w:tc>
          <w:tcPr>
            <w:tcW w:w="671" w:type="pct"/>
            <w:vAlign w:val="bottom"/>
          </w:tcPr>
          <w:p w14:paraId="771AD0D8" w14:textId="18BAA43A"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$9,638</w:t>
            </w:r>
          </w:p>
        </w:tc>
      </w:tr>
      <w:tr w:rsidR="00F552DF" w:rsidRPr="000F07BD" w14:paraId="779D0238" w14:textId="77777777" w:rsidTr="00F552DF">
        <w:trPr>
          <w:cantSplit/>
          <w:jc w:val="center"/>
        </w:trPr>
        <w:tc>
          <w:tcPr>
            <w:tcW w:w="5000" w:type="pct"/>
            <w:gridSpan w:val="7"/>
            <w:tcBorders>
              <w:top w:val="single" w:sz="4" w:space="0" w:color="auto"/>
              <w:left w:val="single" w:sz="4" w:space="0" w:color="auto"/>
              <w:bottom w:val="single" w:sz="4" w:space="0" w:color="auto"/>
            </w:tcBorders>
            <w:vAlign w:val="bottom"/>
          </w:tcPr>
          <w:p w14:paraId="7AB1A2D3" w14:textId="77777777" w:rsidR="00F552DF" w:rsidRPr="0073506C" w:rsidRDefault="00F552DF" w:rsidP="005A0F1F">
            <w:pPr>
              <w:keepNext/>
              <w:spacing w:after="0" w:line="240" w:lineRule="auto"/>
              <w:rPr>
                <w:rFonts w:ascii="Times New Roman" w:hAnsi="Times New Roman"/>
                <w:sz w:val="26"/>
                <w:szCs w:val="26"/>
              </w:rPr>
            </w:pPr>
          </w:p>
          <w:p w14:paraId="14756B2B" w14:textId="59ED2BAE" w:rsidR="00F552DF" w:rsidRPr="0073506C" w:rsidRDefault="00F552DF" w:rsidP="005A0F1F">
            <w:pPr>
              <w:keepNext/>
              <w:spacing w:after="0" w:line="240" w:lineRule="auto"/>
              <w:jc w:val="right"/>
              <w:rPr>
                <w:rFonts w:ascii="Times New Roman" w:hAnsi="Times New Roman"/>
                <w:sz w:val="26"/>
                <w:szCs w:val="26"/>
              </w:rPr>
            </w:pPr>
          </w:p>
        </w:tc>
      </w:tr>
      <w:tr w:rsidR="005A0F1F" w:rsidRPr="000F07BD" w14:paraId="2B84F383" w14:textId="77777777" w:rsidTr="005A0F1F">
        <w:trPr>
          <w:cantSplit/>
          <w:jc w:val="center"/>
        </w:trPr>
        <w:tc>
          <w:tcPr>
            <w:tcW w:w="796" w:type="pct"/>
            <w:tcBorders>
              <w:top w:val="single" w:sz="4" w:space="0" w:color="auto"/>
              <w:left w:val="single" w:sz="4" w:space="0" w:color="auto"/>
              <w:bottom w:val="single" w:sz="4" w:space="0" w:color="auto"/>
              <w:right w:val="single" w:sz="4" w:space="0" w:color="auto"/>
            </w:tcBorders>
            <w:vAlign w:val="bottom"/>
          </w:tcPr>
          <w:p w14:paraId="350DDB6C" w14:textId="1D6C22E3" w:rsidR="005A0F1F" w:rsidRPr="0073506C" w:rsidRDefault="005A0F1F" w:rsidP="00F552DF">
            <w:pPr>
              <w:keepNext/>
              <w:spacing w:after="0" w:line="240" w:lineRule="auto"/>
              <w:rPr>
                <w:rFonts w:ascii="Times New Roman" w:hAnsi="Times New Roman"/>
                <w:sz w:val="26"/>
                <w:szCs w:val="26"/>
              </w:rPr>
            </w:pPr>
            <w:r w:rsidRPr="0073506C">
              <w:rPr>
                <w:rFonts w:ascii="Times New Roman" w:hAnsi="Times New Roman"/>
                <w:sz w:val="26"/>
                <w:szCs w:val="26"/>
              </w:rPr>
              <w:t>Form No. 3-Q (electric)</w:t>
            </w:r>
          </w:p>
        </w:tc>
        <w:tc>
          <w:tcPr>
            <w:tcW w:w="742" w:type="pct"/>
            <w:vAlign w:val="bottom"/>
          </w:tcPr>
          <w:p w14:paraId="6FA79CF1" w14:textId="29D79CC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212</w:t>
            </w:r>
          </w:p>
        </w:tc>
        <w:tc>
          <w:tcPr>
            <w:tcW w:w="722" w:type="pct"/>
            <w:vAlign w:val="bottom"/>
          </w:tcPr>
          <w:p w14:paraId="0C3CBA2C" w14:textId="75A2AF91"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3</w:t>
            </w:r>
          </w:p>
        </w:tc>
        <w:tc>
          <w:tcPr>
            <w:tcW w:w="625" w:type="pct"/>
            <w:vAlign w:val="bottom"/>
          </w:tcPr>
          <w:p w14:paraId="10BEDDC3" w14:textId="2708E5E7"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636</w:t>
            </w:r>
          </w:p>
        </w:tc>
        <w:tc>
          <w:tcPr>
            <w:tcW w:w="674" w:type="pct"/>
            <w:vAlign w:val="bottom"/>
          </w:tcPr>
          <w:p w14:paraId="054E4907" w14:textId="187DF365"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 xml:space="preserve">168 hrs.; $13,272 </w:t>
            </w:r>
          </w:p>
        </w:tc>
        <w:tc>
          <w:tcPr>
            <w:tcW w:w="770" w:type="pct"/>
            <w:vAlign w:val="bottom"/>
          </w:tcPr>
          <w:p w14:paraId="27543416" w14:textId="1A448C09"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106,848 hrs.; $8,440,992</w:t>
            </w:r>
          </w:p>
        </w:tc>
        <w:tc>
          <w:tcPr>
            <w:tcW w:w="671" w:type="pct"/>
            <w:vAlign w:val="bottom"/>
          </w:tcPr>
          <w:p w14:paraId="645EFFB7" w14:textId="38AC05D9"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$39,816</w:t>
            </w:r>
          </w:p>
        </w:tc>
      </w:tr>
      <w:tr w:rsidR="005A0F1F" w:rsidRPr="000F07BD" w14:paraId="22582B4F" w14:textId="77777777" w:rsidTr="005A0F1F">
        <w:trPr>
          <w:cantSplit/>
          <w:jc w:val="center"/>
        </w:trPr>
        <w:tc>
          <w:tcPr>
            <w:tcW w:w="796" w:type="pct"/>
            <w:vAlign w:val="bottom"/>
          </w:tcPr>
          <w:p w14:paraId="716BF084" w14:textId="504D1EDA" w:rsidR="005A0F1F" w:rsidRPr="0073506C" w:rsidRDefault="005A0F1F" w:rsidP="00F552DF">
            <w:pPr>
              <w:keepNext/>
              <w:spacing w:after="0" w:line="240" w:lineRule="auto"/>
              <w:rPr>
                <w:rFonts w:ascii="Times New Roman" w:hAnsi="Times New Roman"/>
                <w:sz w:val="26"/>
                <w:szCs w:val="26"/>
              </w:rPr>
            </w:pPr>
            <w:r w:rsidRPr="0073506C">
              <w:rPr>
                <w:rFonts w:ascii="Times New Roman" w:hAnsi="Times New Roman"/>
                <w:sz w:val="26"/>
                <w:szCs w:val="26"/>
              </w:rPr>
              <w:t>Form No. 3-Q (natural gas)</w:t>
            </w:r>
          </w:p>
        </w:tc>
        <w:tc>
          <w:tcPr>
            <w:tcW w:w="742" w:type="pct"/>
            <w:vAlign w:val="bottom"/>
          </w:tcPr>
          <w:p w14:paraId="54F6EAD1" w14:textId="6D2C0FA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165</w:t>
            </w:r>
          </w:p>
        </w:tc>
        <w:tc>
          <w:tcPr>
            <w:tcW w:w="722" w:type="pct"/>
            <w:vAlign w:val="bottom"/>
          </w:tcPr>
          <w:p w14:paraId="1F9B3F4D" w14:textId="602D30DA"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3</w:t>
            </w:r>
          </w:p>
        </w:tc>
        <w:tc>
          <w:tcPr>
            <w:tcW w:w="625" w:type="pct"/>
            <w:vAlign w:val="bottom"/>
          </w:tcPr>
          <w:p w14:paraId="21D82B9D" w14:textId="70481D83"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495</w:t>
            </w:r>
          </w:p>
        </w:tc>
        <w:tc>
          <w:tcPr>
            <w:tcW w:w="674" w:type="pct"/>
            <w:vAlign w:val="bottom"/>
          </w:tcPr>
          <w:p w14:paraId="7D0DFA2D" w14:textId="53A38591"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167 hrs.; $13,193</w:t>
            </w:r>
          </w:p>
        </w:tc>
        <w:tc>
          <w:tcPr>
            <w:tcW w:w="770" w:type="pct"/>
            <w:vAlign w:val="bottom"/>
          </w:tcPr>
          <w:p w14:paraId="1C438FE1" w14:textId="3C223DC0"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82,665 hrs.; $6,530,535</w:t>
            </w:r>
          </w:p>
        </w:tc>
        <w:tc>
          <w:tcPr>
            <w:tcW w:w="671" w:type="pct"/>
            <w:vAlign w:val="bottom"/>
          </w:tcPr>
          <w:p w14:paraId="66F36435" w14:textId="26208D8A" w:rsidR="005A0F1F" w:rsidRPr="0073506C" w:rsidRDefault="005A0F1F" w:rsidP="005A0F1F">
            <w:pPr>
              <w:keepNext/>
              <w:spacing w:after="0" w:line="240" w:lineRule="auto"/>
              <w:jc w:val="right"/>
              <w:rPr>
                <w:rFonts w:ascii="Times New Roman" w:hAnsi="Times New Roman"/>
                <w:sz w:val="26"/>
                <w:szCs w:val="26"/>
              </w:rPr>
            </w:pPr>
            <w:r w:rsidRPr="0073506C">
              <w:rPr>
                <w:rFonts w:ascii="Times New Roman" w:hAnsi="Times New Roman"/>
                <w:sz w:val="26"/>
                <w:szCs w:val="26"/>
              </w:rPr>
              <w:t>$39,579</w:t>
            </w:r>
          </w:p>
        </w:tc>
      </w:tr>
      <w:tr w:rsidR="007421B8" w:rsidRPr="000F07BD" w14:paraId="7B6A2288" w14:textId="77777777" w:rsidTr="007421B8">
        <w:trPr>
          <w:cantSplit/>
          <w:jc w:val="center"/>
        </w:trPr>
        <w:tc>
          <w:tcPr>
            <w:tcW w:w="796" w:type="pct"/>
            <w:tcBorders>
              <w:top w:val="single" w:sz="4" w:space="0" w:color="auto"/>
              <w:left w:val="single" w:sz="4" w:space="0" w:color="auto"/>
              <w:bottom w:val="single" w:sz="4" w:space="0" w:color="auto"/>
              <w:right w:val="single" w:sz="4" w:space="0" w:color="auto"/>
            </w:tcBorders>
            <w:vAlign w:val="bottom"/>
          </w:tcPr>
          <w:p w14:paraId="4F414F99" w14:textId="28B02769" w:rsidR="007421B8" w:rsidRPr="0073506C" w:rsidRDefault="007421B8" w:rsidP="007421B8">
            <w:pPr>
              <w:keepNext/>
              <w:spacing w:after="0" w:line="240" w:lineRule="auto"/>
              <w:rPr>
                <w:rFonts w:ascii="Times New Roman" w:hAnsi="Times New Roman"/>
                <w:i/>
                <w:sz w:val="26"/>
                <w:szCs w:val="26"/>
              </w:rPr>
            </w:pPr>
            <w:r w:rsidRPr="0073506C">
              <w:rPr>
                <w:rFonts w:ascii="Times New Roman" w:hAnsi="Times New Roman"/>
                <w:i/>
                <w:sz w:val="26"/>
                <w:szCs w:val="26"/>
              </w:rPr>
              <w:t xml:space="preserve">Total for FERC </w:t>
            </w:r>
            <w:r w:rsidR="00F552DF" w:rsidRPr="0073506C">
              <w:rPr>
                <w:rFonts w:ascii="Times New Roman" w:hAnsi="Times New Roman"/>
                <w:i/>
                <w:sz w:val="26"/>
                <w:szCs w:val="26"/>
              </w:rPr>
              <w:t xml:space="preserve">Form No. </w:t>
            </w:r>
            <w:r w:rsidRPr="0073506C">
              <w:rPr>
                <w:rFonts w:ascii="Times New Roman" w:hAnsi="Times New Roman"/>
                <w:i/>
                <w:sz w:val="26"/>
                <w:szCs w:val="26"/>
              </w:rPr>
              <w:t>3-Q</w:t>
            </w:r>
          </w:p>
        </w:tc>
        <w:tc>
          <w:tcPr>
            <w:tcW w:w="742" w:type="pct"/>
            <w:tcBorders>
              <w:top w:val="single" w:sz="4" w:space="0" w:color="auto"/>
              <w:left w:val="single" w:sz="4" w:space="0" w:color="auto"/>
              <w:bottom w:val="single" w:sz="4" w:space="0" w:color="auto"/>
              <w:right w:val="single" w:sz="4" w:space="0" w:color="auto"/>
            </w:tcBorders>
            <w:shd w:val="clear" w:color="auto" w:fill="D9D9D9"/>
            <w:vAlign w:val="bottom"/>
          </w:tcPr>
          <w:p w14:paraId="17976DB0" w14:textId="77777777" w:rsidR="007421B8" w:rsidRPr="0073506C" w:rsidRDefault="007421B8" w:rsidP="007421B8">
            <w:pPr>
              <w:keepNext/>
              <w:spacing w:after="0" w:line="240" w:lineRule="auto"/>
              <w:jc w:val="right"/>
              <w:rPr>
                <w:rFonts w:ascii="Times New Roman" w:hAnsi="Times New Roman"/>
                <w:sz w:val="26"/>
                <w:szCs w:val="26"/>
              </w:rPr>
            </w:pPr>
          </w:p>
        </w:tc>
        <w:tc>
          <w:tcPr>
            <w:tcW w:w="722" w:type="pct"/>
            <w:tcBorders>
              <w:top w:val="single" w:sz="4" w:space="0" w:color="auto"/>
              <w:left w:val="single" w:sz="4" w:space="0" w:color="auto"/>
              <w:bottom w:val="single" w:sz="4" w:space="0" w:color="auto"/>
              <w:right w:val="single" w:sz="4" w:space="0" w:color="auto"/>
            </w:tcBorders>
            <w:shd w:val="clear" w:color="auto" w:fill="D9D9D9"/>
            <w:vAlign w:val="bottom"/>
          </w:tcPr>
          <w:p w14:paraId="2757A8E5" w14:textId="77777777" w:rsidR="007421B8" w:rsidRPr="0073506C" w:rsidRDefault="007421B8" w:rsidP="007421B8">
            <w:pPr>
              <w:keepNext/>
              <w:spacing w:after="0" w:line="240" w:lineRule="auto"/>
              <w:jc w:val="right"/>
              <w:rPr>
                <w:rFonts w:ascii="Times New Roman" w:hAnsi="Times New Roman"/>
                <w:sz w:val="26"/>
                <w:szCs w:val="26"/>
              </w:rPr>
            </w:pPr>
          </w:p>
        </w:tc>
        <w:tc>
          <w:tcPr>
            <w:tcW w:w="625" w:type="pct"/>
            <w:tcBorders>
              <w:top w:val="single" w:sz="4" w:space="0" w:color="auto"/>
              <w:left w:val="single" w:sz="4" w:space="0" w:color="auto"/>
              <w:bottom w:val="single" w:sz="4" w:space="0" w:color="auto"/>
              <w:right w:val="single" w:sz="4" w:space="0" w:color="auto"/>
            </w:tcBorders>
            <w:vAlign w:val="bottom"/>
          </w:tcPr>
          <w:p w14:paraId="68F71641" w14:textId="77777777" w:rsidR="007421B8" w:rsidRPr="0073506C" w:rsidRDefault="007421B8" w:rsidP="007421B8">
            <w:pPr>
              <w:keepNext/>
              <w:spacing w:after="0" w:line="240" w:lineRule="auto"/>
              <w:jc w:val="right"/>
              <w:rPr>
                <w:rFonts w:ascii="Times New Roman" w:hAnsi="Times New Roman"/>
                <w:sz w:val="26"/>
                <w:szCs w:val="26"/>
              </w:rPr>
            </w:pPr>
            <w:r w:rsidRPr="0073506C">
              <w:rPr>
                <w:rFonts w:ascii="Times New Roman" w:hAnsi="Times New Roman"/>
                <w:sz w:val="26"/>
                <w:szCs w:val="26"/>
              </w:rPr>
              <w:t>1,131</w:t>
            </w:r>
          </w:p>
        </w:tc>
        <w:tc>
          <w:tcPr>
            <w:tcW w:w="674" w:type="pct"/>
            <w:tcBorders>
              <w:top w:val="single" w:sz="4" w:space="0" w:color="auto"/>
              <w:left w:val="single" w:sz="4" w:space="0" w:color="auto"/>
              <w:bottom w:val="single" w:sz="4" w:space="0" w:color="auto"/>
              <w:right w:val="single" w:sz="4" w:space="0" w:color="auto"/>
            </w:tcBorders>
            <w:shd w:val="clear" w:color="auto" w:fill="D9D9D9"/>
            <w:vAlign w:val="bottom"/>
          </w:tcPr>
          <w:p w14:paraId="6A1DBD3D" w14:textId="77777777" w:rsidR="007421B8" w:rsidRPr="0073506C" w:rsidRDefault="007421B8" w:rsidP="007421B8">
            <w:pPr>
              <w:keepNext/>
              <w:spacing w:after="0" w:line="240" w:lineRule="auto"/>
              <w:jc w:val="right"/>
              <w:rPr>
                <w:rFonts w:ascii="Times New Roman" w:hAnsi="Times New Roman"/>
                <w:sz w:val="26"/>
                <w:szCs w:val="26"/>
              </w:rPr>
            </w:pPr>
          </w:p>
        </w:tc>
        <w:tc>
          <w:tcPr>
            <w:tcW w:w="770" w:type="pct"/>
            <w:tcBorders>
              <w:top w:val="single" w:sz="4" w:space="0" w:color="auto"/>
              <w:left w:val="single" w:sz="4" w:space="0" w:color="auto"/>
              <w:bottom w:val="single" w:sz="4" w:space="0" w:color="auto"/>
              <w:right w:val="single" w:sz="4" w:space="0" w:color="auto"/>
            </w:tcBorders>
            <w:vAlign w:val="bottom"/>
          </w:tcPr>
          <w:p w14:paraId="11F1B025" w14:textId="77777777" w:rsidR="007421B8" w:rsidRPr="0073506C" w:rsidRDefault="007421B8" w:rsidP="007421B8">
            <w:pPr>
              <w:keepNext/>
              <w:spacing w:after="0" w:line="240" w:lineRule="auto"/>
              <w:jc w:val="right"/>
              <w:rPr>
                <w:rFonts w:ascii="Times New Roman" w:hAnsi="Times New Roman"/>
                <w:sz w:val="26"/>
                <w:szCs w:val="26"/>
              </w:rPr>
            </w:pPr>
            <w:r w:rsidRPr="0073506C">
              <w:rPr>
                <w:rFonts w:ascii="Times New Roman" w:hAnsi="Times New Roman"/>
                <w:sz w:val="26"/>
                <w:szCs w:val="26"/>
              </w:rPr>
              <w:t>189,513 hrs.; $14,971,527</w:t>
            </w:r>
          </w:p>
        </w:tc>
        <w:tc>
          <w:tcPr>
            <w:tcW w:w="671" w:type="pct"/>
            <w:tcBorders>
              <w:top w:val="single" w:sz="4" w:space="0" w:color="auto"/>
              <w:left w:val="single" w:sz="4" w:space="0" w:color="auto"/>
              <w:bottom w:val="single" w:sz="4" w:space="0" w:color="auto"/>
              <w:right w:val="single" w:sz="4" w:space="0" w:color="auto"/>
            </w:tcBorders>
            <w:shd w:val="clear" w:color="auto" w:fill="D9D9D9"/>
            <w:vAlign w:val="bottom"/>
          </w:tcPr>
          <w:p w14:paraId="7FFF2CE4" w14:textId="77777777" w:rsidR="007421B8" w:rsidRPr="0073506C" w:rsidRDefault="007421B8" w:rsidP="007421B8">
            <w:pPr>
              <w:keepNext/>
              <w:spacing w:after="0" w:line="240" w:lineRule="auto"/>
              <w:jc w:val="right"/>
              <w:rPr>
                <w:rFonts w:ascii="Times New Roman" w:hAnsi="Times New Roman"/>
                <w:sz w:val="26"/>
                <w:szCs w:val="26"/>
              </w:rPr>
            </w:pPr>
          </w:p>
        </w:tc>
      </w:tr>
    </w:tbl>
    <w:p w14:paraId="568EAB31" w14:textId="77777777" w:rsidR="009E3BA7" w:rsidRPr="0073506C" w:rsidRDefault="009E3BA7" w:rsidP="00BD0F89">
      <w:pPr>
        <w:spacing w:after="0" w:line="240" w:lineRule="auto"/>
        <w:rPr>
          <w:rFonts w:ascii="Times New Roman" w:hAnsi="Times New Roman"/>
          <w:sz w:val="26"/>
          <w:szCs w:val="26"/>
        </w:rPr>
      </w:pPr>
    </w:p>
    <w:p w14:paraId="09148C17" w14:textId="77777777" w:rsidR="00974AFC" w:rsidRPr="0073506C" w:rsidRDefault="00974AFC" w:rsidP="00BD0F89">
      <w:pPr>
        <w:spacing w:after="0" w:line="240" w:lineRule="auto"/>
        <w:rPr>
          <w:rFonts w:ascii="Times New Roman" w:hAnsi="Times New Roman"/>
          <w:b/>
          <w:sz w:val="26"/>
          <w:szCs w:val="26"/>
        </w:rPr>
      </w:pPr>
      <w:r w:rsidRPr="0073506C">
        <w:rPr>
          <w:rFonts w:ascii="Times New Roman" w:hAnsi="Times New Roman"/>
          <w:b/>
          <w:sz w:val="26"/>
          <w:szCs w:val="26"/>
        </w:rPr>
        <w:t>13.</w:t>
      </w:r>
      <w:r w:rsidR="00BF3095" w:rsidRPr="0073506C">
        <w:rPr>
          <w:rFonts w:ascii="Times New Roman" w:hAnsi="Times New Roman"/>
          <w:b/>
          <w:sz w:val="26"/>
          <w:szCs w:val="26"/>
        </w:rPr>
        <w:t xml:space="preserve">   ESTIMATE OF THE TOTAL ANNUAL COST BURDEN TO </w:t>
      </w:r>
      <w:r w:rsidR="00F1537F" w:rsidRPr="0073506C">
        <w:rPr>
          <w:rFonts w:ascii="Times New Roman" w:hAnsi="Times New Roman"/>
          <w:b/>
          <w:sz w:val="26"/>
          <w:szCs w:val="26"/>
        </w:rPr>
        <w:t>RESPONDENTS</w:t>
      </w:r>
      <w:r w:rsidR="00BF3095" w:rsidRPr="0073506C">
        <w:rPr>
          <w:rFonts w:ascii="Times New Roman" w:hAnsi="Times New Roman"/>
          <w:b/>
          <w:sz w:val="26"/>
          <w:szCs w:val="26"/>
        </w:rPr>
        <w:t xml:space="preserve"> </w:t>
      </w:r>
    </w:p>
    <w:p w14:paraId="744F03A0" w14:textId="77777777" w:rsidR="00974AFC" w:rsidRPr="0073506C" w:rsidRDefault="00974AFC" w:rsidP="00BD0F89">
      <w:pPr>
        <w:spacing w:after="0" w:line="240" w:lineRule="auto"/>
        <w:rPr>
          <w:rFonts w:ascii="Times New Roman" w:hAnsi="Times New Roman"/>
          <w:sz w:val="26"/>
          <w:szCs w:val="26"/>
        </w:rPr>
      </w:pPr>
    </w:p>
    <w:p w14:paraId="691BA5A9" w14:textId="4CEE8F07" w:rsidR="00F0627E" w:rsidRPr="0073506C" w:rsidRDefault="005B4F28" w:rsidP="00BD0F89">
      <w:pPr>
        <w:spacing w:after="0" w:line="240" w:lineRule="auto"/>
        <w:rPr>
          <w:rFonts w:ascii="Times New Roman" w:hAnsi="Times New Roman"/>
          <w:sz w:val="26"/>
          <w:szCs w:val="26"/>
        </w:rPr>
      </w:pPr>
      <w:r w:rsidRPr="0073506C">
        <w:rPr>
          <w:rFonts w:ascii="Times New Roman" w:hAnsi="Times New Roman"/>
          <w:sz w:val="26"/>
          <w:szCs w:val="26"/>
        </w:rPr>
        <w:t>All costs are related to burden hours and are discussed in Questions 12 and 15.  There are no capital costs.</w:t>
      </w:r>
    </w:p>
    <w:p w14:paraId="4A8C8E33" w14:textId="77777777" w:rsidR="005B4F28" w:rsidRPr="0073506C" w:rsidRDefault="005B4F28" w:rsidP="00BD0F89">
      <w:pPr>
        <w:spacing w:after="0" w:line="240" w:lineRule="auto"/>
        <w:rPr>
          <w:rFonts w:ascii="Times New Roman" w:hAnsi="Times New Roman"/>
          <w:sz w:val="26"/>
          <w:szCs w:val="26"/>
        </w:rPr>
      </w:pPr>
    </w:p>
    <w:p w14:paraId="64AF384F" w14:textId="77777777" w:rsidR="00F0627E" w:rsidRPr="0073506C" w:rsidRDefault="00974AFC" w:rsidP="00BD0F89">
      <w:pPr>
        <w:pStyle w:val="ListParagraph"/>
        <w:spacing w:after="0" w:line="240" w:lineRule="auto"/>
        <w:ind w:left="0"/>
        <w:rPr>
          <w:rFonts w:ascii="Times New Roman" w:hAnsi="Times New Roman"/>
          <w:sz w:val="26"/>
          <w:szCs w:val="26"/>
        </w:rPr>
      </w:pPr>
      <w:r w:rsidRPr="0073506C">
        <w:rPr>
          <w:rFonts w:ascii="Times New Roman" w:hAnsi="Times New Roman"/>
          <w:b/>
          <w:sz w:val="26"/>
          <w:szCs w:val="26"/>
        </w:rPr>
        <w:t xml:space="preserve">14.  </w:t>
      </w:r>
      <w:r w:rsidR="00BF3095" w:rsidRPr="0073506C">
        <w:rPr>
          <w:rFonts w:ascii="Times New Roman" w:hAnsi="Times New Roman"/>
          <w:b/>
          <w:sz w:val="26"/>
          <w:szCs w:val="26"/>
        </w:rPr>
        <w:t>ESTIMATED ANNUALIZED COST TO FEDERAL GOVERNMENT</w:t>
      </w:r>
    </w:p>
    <w:p w14:paraId="31100877" w14:textId="77777777" w:rsidR="00BF3095" w:rsidRPr="0073506C" w:rsidRDefault="00BF3095" w:rsidP="00BD0F89">
      <w:pPr>
        <w:pStyle w:val="ListParagraph"/>
        <w:spacing w:after="0" w:line="240" w:lineRule="auto"/>
        <w:ind w:left="0"/>
        <w:rPr>
          <w:rFonts w:ascii="Times New Roman" w:hAnsi="Times New Roman"/>
          <w:sz w:val="26"/>
          <w:szCs w:val="26"/>
        </w:rPr>
      </w:pPr>
    </w:p>
    <w:p w14:paraId="4F2187EF" w14:textId="76F1E944" w:rsidR="00244BC9" w:rsidRPr="0073506C" w:rsidRDefault="00244BC9"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 estimate of the cost for </w:t>
      </w:r>
      <w:r w:rsidR="00DB684E" w:rsidRPr="0073506C">
        <w:rPr>
          <w:rFonts w:ascii="Times New Roman" w:hAnsi="Times New Roman"/>
          <w:sz w:val="26"/>
          <w:szCs w:val="26"/>
        </w:rPr>
        <w:t>‘</w:t>
      </w:r>
      <w:r w:rsidRPr="0073506C">
        <w:rPr>
          <w:rFonts w:ascii="Times New Roman" w:hAnsi="Times New Roman"/>
          <w:sz w:val="26"/>
          <w:szCs w:val="26"/>
        </w:rPr>
        <w:t>analysis and processing of filings</w:t>
      </w:r>
      <w:r w:rsidR="00DB684E" w:rsidRPr="0073506C">
        <w:rPr>
          <w:rFonts w:ascii="Times New Roman" w:hAnsi="Times New Roman"/>
          <w:sz w:val="26"/>
          <w:szCs w:val="26"/>
        </w:rPr>
        <w:t>’</w:t>
      </w:r>
      <w:r w:rsidR="00247EBC" w:rsidRPr="0073506C">
        <w:rPr>
          <w:rStyle w:val="FootnoteReference"/>
          <w:rFonts w:ascii="Times New Roman" w:hAnsi="Times New Roman"/>
          <w:sz w:val="26"/>
          <w:szCs w:val="26"/>
          <w:vertAlign w:val="superscript"/>
        </w:rPr>
        <w:footnoteReference w:id="15"/>
      </w:r>
      <w:r w:rsidRPr="0073506C">
        <w:rPr>
          <w:rFonts w:ascii="Times New Roman" w:hAnsi="Times New Roman"/>
          <w:sz w:val="26"/>
          <w:szCs w:val="26"/>
          <w:vertAlign w:val="superscript"/>
        </w:rPr>
        <w:t xml:space="preserve"> </w:t>
      </w:r>
      <w:r w:rsidRPr="0073506C">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00946E0D" w:rsidRPr="0073506C">
        <w:rPr>
          <w:rFonts w:ascii="Times New Roman" w:hAnsi="Times New Roman"/>
          <w:sz w:val="26"/>
          <w:szCs w:val="26"/>
        </w:rPr>
        <w:t>s</w:t>
      </w:r>
      <w:r w:rsidRPr="0073506C">
        <w:rPr>
          <w:rFonts w:ascii="Times New Roman" w:hAnsi="Times New Roman"/>
          <w:sz w:val="26"/>
          <w:szCs w:val="26"/>
        </w:rPr>
        <w:t>.</w:t>
      </w:r>
      <w:r w:rsidR="00247EBC" w:rsidRPr="0073506C">
        <w:rPr>
          <w:rFonts w:ascii="Times New Roman" w:hAnsi="Times New Roman"/>
          <w:sz w:val="26"/>
          <w:szCs w:val="26"/>
        </w:rPr>
        <w:t xml:space="preserve">  </w:t>
      </w:r>
      <w:r w:rsidR="00A27235" w:rsidRPr="0073506C">
        <w:rPr>
          <w:rFonts w:ascii="Times New Roman" w:hAnsi="Times New Roman"/>
          <w:sz w:val="26"/>
          <w:szCs w:val="26"/>
        </w:rPr>
        <w:t>(The corresponding annual and hourly FERC costs use the figures for 2018, as noted.)</w:t>
      </w:r>
    </w:p>
    <w:p w14:paraId="5468B955" w14:textId="77777777" w:rsidR="00946E0D" w:rsidRPr="0073506C" w:rsidRDefault="00946E0D" w:rsidP="00BD0F89">
      <w:pPr>
        <w:spacing w:after="0" w:line="240" w:lineRule="auto"/>
        <w:rPr>
          <w:rFonts w:ascii="Times New Roman" w:hAnsi="Times New Roman"/>
          <w:sz w:val="26"/>
          <w:szCs w:val="26"/>
        </w:rPr>
      </w:pPr>
    </w:p>
    <w:p w14:paraId="509AE618" w14:textId="77777777" w:rsidR="00244BC9" w:rsidRPr="0073506C" w:rsidRDefault="00244BC9" w:rsidP="00BD0F89">
      <w:pPr>
        <w:spacing w:after="0" w:line="240" w:lineRule="auto"/>
        <w:rPr>
          <w:rFonts w:ascii="Times New Roman" w:hAnsi="Times New Roman"/>
          <w:sz w:val="26"/>
          <w:szCs w:val="26"/>
        </w:rPr>
      </w:pPr>
      <w:r w:rsidRPr="0073506C">
        <w:rPr>
          <w:rFonts w:ascii="Times New Roman" w:hAnsi="Times New Roman"/>
          <w:sz w:val="26"/>
          <w:szCs w:val="26"/>
        </w:rPr>
        <w:t>The Paperwork Reduction Act (PRA) Administrative Cost</w:t>
      </w:r>
      <w:r w:rsidR="00C75FFF" w:rsidRPr="0073506C">
        <w:rPr>
          <w:rStyle w:val="FootnoteReference"/>
          <w:rFonts w:ascii="Times New Roman" w:hAnsi="Times New Roman"/>
          <w:sz w:val="26"/>
          <w:szCs w:val="26"/>
          <w:vertAlign w:val="superscript"/>
        </w:rPr>
        <w:footnoteReference w:id="16"/>
      </w:r>
      <w:r w:rsidRPr="0073506C">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Pr="0073506C" w:rsidRDefault="00244BC9" w:rsidP="00BD0F89">
      <w:pPr>
        <w:spacing w:after="0" w:line="240" w:lineRule="auto"/>
        <w:rPr>
          <w:rFonts w:ascii="Times New Roman" w:hAnsi="Times New Roman"/>
          <w:sz w:val="26"/>
          <w:szCs w:val="26"/>
        </w:rPr>
      </w:pPr>
    </w:p>
    <w:p w14:paraId="1EDEF1DC" w14:textId="77777777" w:rsidR="00F0627E" w:rsidRPr="0073506C" w:rsidRDefault="00F0627E"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 estimated </w:t>
      </w:r>
      <w:r w:rsidR="00F20B97" w:rsidRPr="0073506C">
        <w:rPr>
          <w:rFonts w:ascii="Times New Roman" w:hAnsi="Times New Roman"/>
          <w:sz w:val="26"/>
          <w:szCs w:val="26"/>
        </w:rPr>
        <w:t xml:space="preserve">annualized </w:t>
      </w:r>
      <w:r w:rsidRPr="0073506C">
        <w:rPr>
          <w:rFonts w:ascii="Times New Roman" w:hAnsi="Times New Roman"/>
          <w:sz w:val="26"/>
          <w:szCs w:val="26"/>
        </w:rPr>
        <w:t>cost</w:t>
      </w:r>
      <w:r w:rsidR="00F20B97" w:rsidRPr="0073506C">
        <w:rPr>
          <w:rFonts w:ascii="Times New Roman" w:hAnsi="Times New Roman"/>
          <w:sz w:val="26"/>
          <w:szCs w:val="26"/>
        </w:rPr>
        <w:t xml:space="preserve"> to the Federal Government</w:t>
      </w:r>
      <w:r w:rsidR="00247EBC" w:rsidRPr="0073506C">
        <w:rPr>
          <w:rFonts w:ascii="Times New Roman" w:hAnsi="Times New Roman"/>
          <w:sz w:val="26"/>
          <w:szCs w:val="26"/>
        </w:rPr>
        <w:t xml:space="preserve"> </w:t>
      </w:r>
      <w:r w:rsidR="00E20CEF" w:rsidRPr="0073506C">
        <w:rPr>
          <w:rFonts w:ascii="Times New Roman" w:hAnsi="Times New Roman"/>
          <w:sz w:val="26"/>
          <w:szCs w:val="26"/>
        </w:rPr>
        <w:t>follows.</w:t>
      </w:r>
      <w:r w:rsidR="003C729F" w:rsidRPr="0073506C">
        <w:rPr>
          <w:rStyle w:val="FootnoteReference"/>
          <w:rFonts w:ascii="Times New Roman" w:hAnsi="Times New Roman"/>
          <w:sz w:val="26"/>
          <w:szCs w:val="26"/>
          <w:vertAlign w:val="superscript"/>
        </w:rPr>
        <w:footnoteReference w:id="17"/>
      </w:r>
      <w:r w:rsidRPr="0073506C">
        <w:rPr>
          <w:rFonts w:ascii="Times New Roman" w:hAnsi="Times New Roman"/>
          <w:sz w:val="26"/>
          <w:szCs w:val="26"/>
          <w:vertAlign w:val="superscript"/>
        </w:rPr>
        <w:t xml:space="preserve"> </w:t>
      </w:r>
      <w:r w:rsidR="00247EBC" w:rsidRPr="0073506C">
        <w:rPr>
          <w:rFonts w:ascii="Times New Roman" w:hAnsi="Times New Roman"/>
          <w:sz w:val="26"/>
          <w:szCs w:val="26"/>
        </w:rPr>
        <w:t xml:space="preserve"> </w:t>
      </w:r>
    </w:p>
    <w:p w14:paraId="69F13D91" w14:textId="77777777" w:rsidR="00A116AE" w:rsidRPr="0073506C" w:rsidRDefault="00A116AE" w:rsidP="0051491B">
      <w:pPr>
        <w:spacing w:after="0" w:line="240" w:lineRule="auto"/>
        <w:rPr>
          <w:rFonts w:ascii="Times New Roman" w:hAnsi="Times New Roman"/>
          <w:sz w:val="26"/>
          <w:szCs w:val="26"/>
        </w:rPr>
      </w:pPr>
    </w:p>
    <w:tbl>
      <w:tblPr>
        <w:tblW w:w="10000" w:type="dxa"/>
        <w:tblLook w:val="04A0" w:firstRow="1" w:lastRow="0" w:firstColumn="1" w:lastColumn="0" w:noHBand="0" w:noVBand="1"/>
      </w:tblPr>
      <w:tblGrid>
        <w:gridCol w:w="2185"/>
        <w:gridCol w:w="2022"/>
        <w:gridCol w:w="1841"/>
        <w:gridCol w:w="1892"/>
        <w:gridCol w:w="2060"/>
      </w:tblGrid>
      <w:tr w:rsidR="00533D70" w:rsidRPr="000F07BD" w14:paraId="35AF1324" w14:textId="77777777" w:rsidTr="005B4F28">
        <w:trPr>
          <w:trHeight w:val="1771"/>
        </w:trPr>
        <w:tc>
          <w:tcPr>
            <w:tcW w:w="2283"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73506C" w:rsidRDefault="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Information Collection</w:t>
            </w:r>
          </w:p>
        </w:tc>
        <w:tc>
          <w:tcPr>
            <w:tcW w:w="2101" w:type="dxa"/>
            <w:tcBorders>
              <w:top w:val="single" w:sz="8" w:space="0" w:color="auto"/>
              <w:left w:val="nil"/>
              <w:bottom w:val="single" w:sz="4" w:space="0" w:color="auto"/>
              <w:right w:val="single" w:sz="4" w:space="0" w:color="auto"/>
            </w:tcBorders>
            <w:shd w:val="clear" w:color="000000" w:fill="D9D9D9"/>
            <w:vAlign w:val="bottom"/>
            <w:hideMark/>
          </w:tcPr>
          <w:p w14:paraId="64A70FCB" w14:textId="1DA22170" w:rsidR="00533D70" w:rsidRPr="0073506C" w:rsidRDefault="00533D70" w:rsidP="005B4F28">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xml:space="preserve">Full-Time FERC Staff Equivalents (FTEs) for 'Analysis &amp; Processing of Filings' </w:t>
            </w:r>
          </w:p>
        </w:tc>
        <w:tc>
          <w:tcPr>
            <w:tcW w:w="1793" w:type="dxa"/>
            <w:tcBorders>
              <w:top w:val="single" w:sz="8" w:space="0" w:color="auto"/>
              <w:left w:val="nil"/>
              <w:bottom w:val="single" w:sz="4" w:space="0" w:color="auto"/>
              <w:right w:val="single" w:sz="4" w:space="0" w:color="auto"/>
            </w:tcBorders>
            <w:shd w:val="clear" w:color="000000" w:fill="D9D9D9"/>
            <w:vAlign w:val="bottom"/>
            <w:hideMark/>
          </w:tcPr>
          <w:p w14:paraId="7815DAD3"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xml:space="preserve">FERC Staff Cost of Analysis &amp; Processing of Filings (FTEs * $164,820/year) </w:t>
            </w:r>
          </w:p>
        </w:tc>
        <w:tc>
          <w:tcPr>
            <w:tcW w:w="1763"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PRA Administrative Cost ($4,931 per collection)</w:t>
            </w:r>
          </w:p>
        </w:tc>
        <w:tc>
          <w:tcPr>
            <w:tcW w:w="2060" w:type="dxa"/>
            <w:tcBorders>
              <w:top w:val="single" w:sz="8" w:space="0" w:color="auto"/>
              <w:left w:val="nil"/>
              <w:bottom w:val="single" w:sz="4" w:space="0" w:color="auto"/>
              <w:right w:val="single" w:sz="4" w:space="0" w:color="auto"/>
            </w:tcBorders>
            <w:shd w:val="clear" w:color="000000" w:fill="D9D9D9"/>
            <w:vAlign w:val="bottom"/>
            <w:hideMark/>
          </w:tcPr>
          <w:p w14:paraId="29C640C2"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Estimated Annual Federal Cost (rounded)</w:t>
            </w:r>
          </w:p>
        </w:tc>
      </w:tr>
      <w:tr w:rsidR="00533D70" w:rsidRPr="000F07BD" w14:paraId="44C8F842" w14:textId="77777777" w:rsidTr="005B4F28">
        <w:trPr>
          <w:trHeight w:val="1125"/>
        </w:trPr>
        <w:tc>
          <w:tcPr>
            <w:tcW w:w="2283" w:type="dxa"/>
            <w:tcBorders>
              <w:top w:val="nil"/>
              <w:left w:val="single" w:sz="8" w:space="0" w:color="auto"/>
              <w:bottom w:val="single" w:sz="4" w:space="0" w:color="auto"/>
              <w:right w:val="single" w:sz="4" w:space="0" w:color="auto"/>
            </w:tcBorders>
            <w:shd w:val="clear" w:color="auto" w:fill="auto"/>
            <w:vAlign w:val="center"/>
            <w:hideMark/>
          </w:tcPr>
          <w:p w14:paraId="187E1C8E" w14:textId="48CEB6A9"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FERC-1, FERC-1F, &amp; FERC-3Q (electric and gas)</w:t>
            </w:r>
          </w:p>
        </w:tc>
        <w:tc>
          <w:tcPr>
            <w:tcW w:w="2101" w:type="dxa"/>
            <w:tcBorders>
              <w:top w:val="nil"/>
              <w:left w:val="nil"/>
              <w:bottom w:val="single" w:sz="4" w:space="0" w:color="auto"/>
              <w:right w:val="single" w:sz="4" w:space="0" w:color="auto"/>
            </w:tcBorders>
            <w:shd w:val="clear" w:color="auto" w:fill="auto"/>
            <w:vAlign w:val="bottom"/>
            <w:hideMark/>
          </w:tcPr>
          <w:p w14:paraId="391A2A36" w14:textId="218AA980" w:rsidR="00533D70" w:rsidRPr="0073506C" w:rsidRDefault="00533D70" w:rsidP="00E17A65">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4</w:t>
            </w:r>
          </w:p>
        </w:tc>
        <w:tc>
          <w:tcPr>
            <w:tcW w:w="1793" w:type="dxa"/>
            <w:tcBorders>
              <w:top w:val="nil"/>
              <w:left w:val="nil"/>
              <w:bottom w:val="single" w:sz="4" w:space="0" w:color="auto"/>
              <w:right w:val="single" w:sz="4" w:space="0" w:color="auto"/>
            </w:tcBorders>
            <w:shd w:val="clear" w:color="auto" w:fill="auto"/>
            <w:vAlign w:val="bottom"/>
            <w:hideMark/>
          </w:tcPr>
          <w:p w14:paraId="3BD21D0E" w14:textId="77777777" w:rsidR="00533D70" w:rsidRPr="0073506C" w:rsidRDefault="00533D70" w:rsidP="00533D70">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$659,280.00</w:t>
            </w:r>
          </w:p>
        </w:tc>
        <w:tc>
          <w:tcPr>
            <w:tcW w:w="1763" w:type="dxa"/>
            <w:tcBorders>
              <w:top w:val="nil"/>
              <w:left w:val="nil"/>
              <w:bottom w:val="single" w:sz="4" w:space="0" w:color="auto"/>
              <w:right w:val="single" w:sz="4" w:space="0" w:color="auto"/>
            </w:tcBorders>
            <w:shd w:val="clear" w:color="auto" w:fill="auto"/>
            <w:noWrap/>
            <w:vAlign w:val="bottom"/>
            <w:hideMark/>
          </w:tcPr>
          <w:p w14:paraId="06B167D9" w14:textId="5F95646C" w:rsidR="00533D70" w:rsidRPr="0073506C" w:rsidRDefault="00533D70" w:rsidP="00E17A65">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1E42AD" w:rsidRPr="0073506C">
              <w:rPr>
                <w:rFonts w:ascii="Times New Roman" w:eastAsia="Times New Roman" w:hAnsi="Times New Roman"/>
                <w:color w:val="000000"/>
                <w:sz w:val="26"/>
                <w:szCs w:val="26"/>
              </w:rPr>
              <w:t>14,793</w:t>
            </w:r>
            <w:r w:rsidRPr="0073506C">
              <w:rPr>
                <w:rFonts w:ascii="Times New Roman" w:eastAsia="Times New Roman" w:hAnsi="Times New Roman"/>
                <w:color w:val="000000"/>
                <w:sz w:val="26"/>
                <w:szCs w:val="26"/>
              </w:rPr>
              <w:t>.00</w:t>
            </w:r>
          </w:p>
        </w:tc>
        <w:tc>
          <w:tcPr>
            <w:tcW w:w="2060" w:type="dxa"/>
            <w:tcBorders>
              <w:top w:val="nil"/>
              <w:left w:val="nil"/>
              <w:bottom w:val="single" w:sz="4" w:space="0" w:color="auto"/>
              <w:right w:val="single" w:sz="4" w:space="0" w:color="auto"/>
            </w:tcBorders>
            <w:shd w:val="clear" w:color="auto" w:fill="auto"/>
            <w:noWrap/>
            <w:vAlign w:val="bottom"/>
            <w:hideMark/>
          </w:tcPr>
          <w:p w14:paraId="5EE9A76D" w14:textId="013A63AC" w:rsidR="00533D70" w:rsidRPr="0073506C" w:rsidRDefault="00533D70" w:rsidP="00E17A65">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1E42AD" w:rsidRPr="0073506C">
              <w:rPr>
                <w:rFonts w:ascii="Times New Roman" w:eastAsia="Times New Roman" w:hAnsi="Times New Roman"/>
                <w:color w:val="000000"/>
                <w:sz w:val="26"/>
                <w:szCs w:val="26"/>
              </w:rPr>
              <w:t>674,073.00</w:t>
            </w:r>
          </w:p>
        </w:tc>
      </w:tr>
    </w:tbl>
    <w:p w14:paraId="55FC1BFA" w14:textId="77777777" w:rsidR="003F4A59" w:rsidRPr="0073506C" w:rsidRDefault="003F4A59" w:rsidP="00BD0F89">
      <w:pPr>
        <w:spacing w:after="0" w:line="240" w:lineRule="auto"/>
        <w:rPr>
          <w:rFonts w:ascii="Times New Roman" w:hAnsi="Times New Roman"/>
          <w:sz w:val="26"/>
          <w:szCs w:val="26"/>
        </w:rPr>
      </w:pPr>
    </w:p>
    <w:p w14:paraId="43CA34DD" w14:textId="77777777" w:rsidR="00F20B97" w:rsidRPr="0073506C" w:rsidRDefault="00F20B97" w:rsidP="00BD0F89">
      <w:pPr>
        <w:spacing w:after="0" w:line="240" w:lineRule="auto"/>
        <w:rPr>
          <w:rFonts w:ascii="Times New Roman" w:hAnsi="Times New Roman"/>
          <w:b/>
          <w:sz w:val="26"/>
          <w:szCs w:val="26"/>
        </w:rPr>
      </w:pPr>
      <w:r w:rsidRPr="0073506C">
        <w:rPr>
          <w:rFonts w:ascii="Times New Roman" w:hAnsi="Times New Roman"/>
          <w:b/>
          <w:sz w:val="26"/>
          <w:szCs w:val="26"/>
        </w:rPr>
        <w:t>15. REASONS FOR CHANGES IN BURDEN INCLUDING THE NEED FOR ANY INCREASE</w:t>
      </w:r>
    </w:p>
    <w:p w14:paraId="3B838B49" w14:textId="77777777" w:rsidR="00E31823" w:rsidRPr="0073506C" w:rsidRDefault="00E31823" w:rsidP="00BD0F89">
      <w:pPr>
        <w:spacing w:after="0" w:line="240" w:lineRule="auto"/>
        <w:rPr>
          <w:rFonts w:ascii="Times New Roman" w:hAnsi="Times New Roman"/>
          <w:b/>
          <w:bCs/>
          <w:sz w:val="26"/>
          <w:szCs w:val="26"/>
          <w:u w:val="single"/>
        </w:rPr>
      </w:pPr>
      <w:bookmarkStart w:id="1" w:name="_bmk1"/>
    </w:p>
    <w:p w14:paraId="588F7CC4" w14:textId="194E8B32" w:rsidR="00A278D6" w:rsidRPr="0073506C" w:rsidRDefault="00A278D6" w:rsidP="00BD0F89">
      <w:pPr>
        <w:spacing w:after="0" w:line="240" w:lineRule="auto"/>
        <w:rPr>
          <w:rFonts w:ascii="Times New Roman" w:hAnsi="Times New Roman"/>
          <w:bCs/>
          <w:sz w:val="26"/>
          <w:szCs w:val="26"/>
        </w:rPr>
      </w:pPr>
      <w:r w:rsidRPr="0073506C">
        <w:rPr>
          <w:rFonts w:ascii="Times New Roman" w:hAnsi="Times New Roman"/>
          <w:bCs/>
          <w:sz w:val="26"/>
          <w:szCs w:val="26"/>
        </w:rPr>
        <w:t xml:space="preserve">There are no program changes or changes to the reporting </w:t>
      </w:r>
      <w:r w:rsidR="00241CFA" w:rsidRPr="0073506C">
        <w:rPr>
          <w:rFonts w:ascii="Times New Roman" w:hAnsi="Times New Roman"/>
          <w:bCs/>
          <w:sz w:val="26"/>
          <w:szCs w:val="26"/>
        </w:rPr>
        <w:t>or recordkeeping r</w:t>
      </w:r>
      <w:r w:rsidRPr="0073506C">
        <w:rPr>
          <w:rFonts w:ascii="Times New Roman" w:hAnsi="Times New Roman"/>
          <w:bCs/>
          <w:sz w:val="26"/>
          <w:szCs w:val="26"/>
        </w:rPr>
        <w:t>equirements.</w:t>
      </w:r>
      <w:r w:rsidR="009C352F" w:rsidRPr="0073506C">
        <w:rPr>
          <w:rFonts w:ascii="Times New Roman" w:hAnsi="Times New Roman"/>
          <w:bCs/>
          <w:sz w:val="26"/>
          <w:szCs w:val="26"/>
        </w:rPr>
        <w:t xml:space="preserve"> </w:t>
      </w:r>
    </w:p>
    <w:p w14:paraId="3A6E38E4" w14:textId="77777777" w:rsidR="00A278D6" w:rsidRPr="0073506C" w:rsidRDefault="00A278D6" w:rsidP="00BD0F89">
      <w:pPr>
        <w:spacing w:after="0" w:line="240" w:lineRule="auto"/>
        <w:rPr>
          <w:rFonts w:ascii="Times New Roman" w:hAnsi="Times New Roman"/>
          <w:bCs/>
          <w:sz w:val="26"/>
          <w:szCs w:val="26"/>
        </w:rPr>
      </w:pPr>
    </w:p>
    <w:p w14:paraId="40833C19" w14:textId="20AA2B61" w:rsidR="00241CFA" w:rsidRPr="0073506C" w:rsidRDefault="006955A3" w:rsidP="00BD0F89">
      <w:pPr>
        <w:spacing w:after="0" w:line="240" w:lineRule="auto"/>
        <w:rPr>
          <w:rFonts w:ascii="Times New Roman" w:hAnsi="Times New Roman"/>
          <w:bCs/>
          <w:sz w:val="26"/>
          <w:szCs w:val="26"/>
        </w:rPr>
      </w:pPr>
      <w:r w:rsidRPr="0073506C">
        <w:rPr>
          <w:rFonts w:ascii="Times New Roman" w:hAnsi="Times New Roman"/>
          <w:bCs/>
          <w:sz w:val="26"/>
          <w:szCs w:val="26"/>
        </w:rPr>
        <w:t>The following table show</w:t>
      </w:r>
      <w:r w:rsidR="00E31823" w:rsidRPr="0073506C">
        <w:rPr>
          <w:rFonts w:ascii="Times New Roman" w:hAnsi="Times New Roman"/>
          <w:bCs/>
          <w:sz w:val="26"/>
          <w:szCs w:val="26"/>
        </w:rPr>
        <w:t>s</w:t>
      </w:r>
      <w:r w:rsidRPr="0073506C">
        <w:rPr>
          <w:rFonts w:ascii="Times New Roman" w:hAnsi="Times New Roman"/>
          <w:bCs/>
          <w:sz w:val="26"/>
          <w:szCs w:val="26"/>
        </w:rPr>
        <w:t xml:space="preserve"> </w:t>
      </w:r>
      <w:r w:rsidR="00EF280E" w:rsidRPr="0073506C">
        <w:rPr>
          <w:rFonts w:ascii="Times New Roman" w:hAnsi="Times New Roman"/>
          <w:bCs/>
          <w:sz w:val="26"/>
          <w:szCs w:val="26"/>
        </w:rPr>
        <w:t xml:space="preserve">adjustments </w:t>
      </w:r>
      <w:r w:rsidR="00656733" w:rsidRPr="0073506C">
        <w:rPr>
          <w:rFonts w:ascii="Times New Roman" w:hAnsi="Times New Roman"/>
          <w:bCs/>
          <w:sz w:val="26"/>
          <w:szCs w:val="26"/>
        </w:rPr>
        <w:t xml:space="preserve">(such as </w:t>
      </w:r>
      <w:r w:rsidR="00EF280E" w:rsidRPr="0073506C">
        <w:rPr>
          <w:rFonts w:ascii="Times New Roman" w:hAnsi="Times New Roman"/>
          <w:bCs/>
          <w:sz w:val="26"/>
          <w:szCs w:val="26"/>
        </w:rPr>
        <w:t xml:space="preserve">normal industry fluctuations </w:t>
      </w:r>
      <w:r w:rsidR="00656733" w:rsidRPr="0073506C">
        <w:rPr>
          <w:rFonts w:ascii="Times New Roman" w:hAnsi="Times New Roman"/>
          <w:bCs/>
          <w:sz w:val="26"/>
          <w:szCs w:val="26"/>
        </w:rPr>
        <w:t>[</w:t>
      </w:r>
      <w:r w:rsidR="00EF280E" w:rsidRPr="0073506C">
        <w:rPr>
          <w:rFonts w:ascii="Times New Roman" w:hAnsi="Times New Roman"/>
          <w:bCs/>
          <w:sz w:val="26"/>
          <w:szCs w:val="26"/>
        </w:rPr>
        <w:t>companies merging, splitting, going into and leaving the business</w:t>
      </w:r>
      <w:r w:rsidR="00656733" w:rsidRPr="0073506C">
        <w:rPr>
          <w:rFonts w:ascii="Times New Roman" w:hAnsi="Times New Roman"/>
          <w:bCs/>
          <w:sz w:val="26"/>
          <w:szCs w:val="26"/>
        </w:rPr>
        <w:t>])</w:t>
      </w:r>
      <w:r w:rsidR="00EF280E" w:rsidRPr="0073506C">
        <w:rPr>
          <w:rFonts w:ascii="Times New Roman" w:hAnsi="Times New Roman"/>
          <w:bCs/>
          <w:sz w:val="26"/>
          <w:szCs w:val="26"/>
        </w:rPr>
        <w:t xml:space="preserve"> </w:t>
      </w:r>
      <w:r w:rsidRPr="0073506C">
        <w:rPr>
          <w:rFonts w:ascii="Times New Roman" w:hAnsi="Times New Roman"/>
          <w:bCs/>
          <w:sz w:val="26"/>
          <w:szCs w:val="26"/>
        </w:rPr>
        <w:t xml:space="preserve">and </w:t>
      </w:r>
      <w:r w:rsidR="00EF280E" w:rsidRPr="0073506C">
        <w:rPr>
          <w:rFonts w:ascii="Times New Roman" w:hAnsi="Times New Roman"/>
          <w:bCs/>
          <w:sz w:val="26"/>
          <w:szCs w:val="26"/>
        </w:rPr>
        <w:t>reflects</w:t>
      </w:r>
      <w:r w:rsidRPr="0073506C">
        <w:rPr>
          <w:rFonts w:ascii="Times New Roman" w:hAnsi="Times New Roman"/>
          <w:bCs/>
          <w:sz w:val="26"/>
          <w:szCs w:val="26"/>
        </w:rPr>
        <w:t xml:space="preserve"> </w:t>
      </w:r>
      <w:r w:rsidR="00EF280E" w:rsidRPr="0073506C">
        <w:rPr>
          <w:rFonts w:ascii="Times New Roman" w:hAnsi="Times New Roman"/>
          <w:bCs/>
          <w:sz w:val="26"/>
          <w:szCs w:val="26"/>
        </w:rPr>
        <w:t xml:space="preserve">metadata used in </w:t>
      </w:r>
      <w:r w:rsidRPr="0073506C">
        <w:rPr>
          <w:rFonts w:ascii="Times New Roman" w:hAnsi="Times New Roman"/>
          <w:bCs/>
          <w:sz w:val="26"/>
          <w:szCs w:val="26"/>
        </w:rPr>
        <w:t>ROCIS (and reginfo.gov)</w:t>
      </w:r>
      <w:r w:rsidR="00C731FD" w:rsidRPr="0073506C">
        <w:rPr>
          <w:rFonts w:ascii="Times New Roman" w:hAnsi="Times New Roman"/>
          <w:bCs/>
          <w:sz w:val="26"/>
          <w:szCs w:val="26"/>
        </w:rPr>
        <w:t>.</w:t>
      </w:r>
    </w:p>
    <w:p w14:paraId="49FDF8AA" w14:textId="2AF10674" w:rsidR="00241CFA" w:rsidRPr="0073506C" w:rsidRDefault="00241CFA">
      <w:pPr>
        <w:spacing w:after="160" w:line="259" w:lineRule="auto"/>
        <w:rPr>
          <w:rFonts w:ascii="Times New Roman" w:hAnsi="Times New Roman"/>
          <w:bCs/>
          <w:sz w:val="26"/>
          <w:szCs w:val="26"/>
        </w:rPr>
      </w:pPr>
    </w:p>
    <w:tbl>
      <w:tblPr>
        <w:tblW w:w="9260" w:type="dxa"/>
        <w:tblLayout w:type="fixed"/>
        <w:tblLook w:val="04A0" w:firstRow="1" w:lastRow="0" w:firstColumn="1" w:lastColumn="0" w:noHBand="0" w:noVBand="1"/>
      </w:tblPr>
      <w:tblGrid>
        <w:gridCol w:w="1430"/>
        <w:gridCol w:w="2340"/>
        <w:gridCol w:w="1187"/>
        <w:gridCol w:w="1296"/>
        <w:gridCol w:w="1430"/>
        <w:gridCol w:w="1577"/>
      </w:tblGrid>
      <w:tr w:rsidR="00533D70" w:rsidRPr="000F07BD" w14:paraId="466476A3" w14:textId="77777777" w:rsidTr="005C65C3">
        <w:trPr>
          <w:trHeight w:val="1168"/>
        </w:trPr>
        <w:tc>
          <w:tcPr>
            <w:tcW w:w="143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D221A1A" w14:textId="3DD7373E" w:rsidR="00533D70" w:rsidRPr="0073506C" w:rsidRDefault="00C72F19"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 Form No.</w:t>
            </w:r>
          </w:p>
        </w:tc>
        <w:tc>
          <w:tcPr>
            <w:tcW w:w="2340" w:type="dxa"/>
            <w:tcBorders>
              <w:top w:val="single" w:sz="8" w:space="0" w:color="auto"/>
              <w:left w:val="nil"/>
              <w:bottom w:val="single" w:sz="4" w:space="0" w:color="auto"/>
              <w:right w:val="single" w:sz="4" w:space="0" w:color="auto"/>
            </w:tcBorders>
            <w:shd w:val="clear" w:color="000000" w:fill="D9D9D9"/>
            <w:vAlign w:val="bottom"/>
            <w:hideMark/>
          </w:tcPr>
          <w:p w14:paraId="00503542"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w:t>
            </w:r>
          </w:p>
        </w:tc>
        <w:tc>
          <w:tcPr>
            <w:tcW w:w="1187" w:type="dxa"/>
            <w:tcBorders>
              <w:top w:val="single" w:sz="8" w:space="0" w:color="auto"/>
              <w:left w:val="nil"/>
              <w:bottom w:val="single" w:sz="4" w:space="0" w:color="auto"/>
              <w:right w:val="single" w:sz="4" w:space="0" w:color="auto"/>
            </w:tcBorders>
            <w:shd w:val="clear" w:color="000000" w:fill="D9D9D9"/>
            <w:vAlign w:val="bottom"/>
            <w:hideMark/>
          </w:tcPr>
          <w:p w14:paraId="2017E857"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Total Request</w:t>
            </w:r>
          </w:p>
        </w:tc>
        <w:tc>
          <w:tcPr>
            <w:tcW w:w="1296" w:type="dxa"/>
            <w:tcBorders>
              <w:top w:val="single" w:sz="8" w:space="0" w:color="auto"/>
              <w:left w:val="nil"/>
              <w:bottom w:val="single" w:sz="4" w:space="0" w:color="auto"/>
              <w:right w:val="single" w:sz="4" w:space="0" w:color="auto"/>
            </w:tcBorders>
            <w:shd w:val="clear" w:color="000000" w:fill="D9D9D9"/>
            <w:vAlign w:val="bottom"/>
            <w:hideMark/>
          </w:tcPr>
          <w:p w14:paraId="50391065"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Previously Approved</w:t>
            </w:r>
          </w:p>
        </w:tc>
        <w:tc>
          <w:tcPr>
            <w:tcW w:w="1430" w:type="dxa"/>
            <w:tcBorders>
              <w:top w:val="single" w:sz="8" w:space="0" w:color="auto"/>
              <w:left w:val="nil"/>
              <w:bottom w:val="single" w:sz="4" w:space="0" w:color="auto"/>
              <w:right w:val="single" w:sz="4" w:space="0" w:color="auto"/>
            </w:tcBorders>
            <w:shd w:val="clear" w:color="000000" w:fill="D9D9D9"/>
            <w:vAlign w:val="bottom"/>
            <w:hideMark/>
          </w:tcPr>
          <w:p w14:paraId="3836E329" w14:textId="77777777" w:rsidR="00533D70" w:rsidRPr="0073506C" w:rsidRDefault="00533D70" w:rsidP="00533D70">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Change due to Adjustment in Estimate</w:t>
            </w:r>
          </w:p>
        </w:tc>
        <w:tc>
          <w:tcPr>
            <w:tcW w:w="1577" w:type="dxa"/>
            <w:tcBorders>
              <w:top w:val="single" w:sz="8" w:space="0" w:color="auto"/>
              <w:left w:val="nil"/>
              <w:bottom w:val="single" w:sz="4" w:space="0" w:color="auto"/>
              <w:right w:val="single" w:sz="4" w:space="0" w:color="auto"/>
            </w:tcBorders>
            <w:shd w:val="clear" w:color="000000" w:fill="D9D9D9"/>
            <w:vAlign w:val="bottom"/>
            <w:hideMark/>
          </w:tcPr>
          <w:p w14:paraId="2CB56806" w14:textId="2656BDD8" w:rsidR="00533D70" w:rsidRPr="0073506C" w:rsidRDefault="00533D70" w:rsidP="00E17A65">
            <w:pPr>
              <w:spacing w:after="0" w:line="240" w:lineRule="auto"/>
              <w:jc w:val="center"/>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 xml:space="preserve">Average Annual Change Due to Agency Discretion </w:t>
            </w:r>
          </w:p>
        </w:tc>
      </w:tr>
      <w:tr w:rsidR="00533D70" w:rsidRPr="000F07BD" w14:paraId="6F742ABA" w14:textId="77777777" w:rsidTr="005C65C3">
        <w:trPr>
          <w:trHeight w:val="630"/>
        </w:trPr>
        <w:tc>
          <w:tcPr>
            <w:tcW w:w="1430" w:type="dxa"/>
            <w:vMerge w:val="restart"/>
            <w:tcBorders>
              <w:top w:val="nil"/>
              <w:left w:val="nil"/>
              <w:bottom w:val="single" w:sz="4" w:space="0" w:color="000000"/>
              <w:right w:val="single" w:sz="4" w:space="0" w:color="auto"/>
            </w:tcBorders>
            <w:shd w:val="clear" w:color="auto" w:fill="auto"/>
            <w:vAlign w:val="bottom"/>
            <w:hideMark/>
          </w:tcPr>
          <w:p w14:paraId="1728177F" w14:textId="77777777"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FERC-1</w:t>
            </w:r>
          </w:p>
        </w:tc>
        <w:tc>
          <w:tcPr>
            <w:tcW w:w="2340" w:type="dxa"/>
            <w:tcBorders>
              <w:top w:val="nil"/>
              <w:left w:val="nil"/>
              <w:bottom w:val="single" w:sz="4" w:space="0" w:color="auto"/>
              <w:right w:val="single" w:sz="4" w:space="0" w:color="auto"/>
            </w:tcBorders>
            <w:shd w:val="clear" w:color="auto" w:fill="auto"/>
            <w:vAlign w:val="center"/>
            <w:hideMark/>
          </w:tcPr>
          <w:p w14:paraId="781A132A"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187" w:type="dxa"/>
            <w:tcBorders>
              <w:top w:val="nil"/>
              <w:left w:val="nil"/>
              <w:bottom w:val="single" w:sz="4" w:space="0" w:color="auto"/>
              <w:right w:val="single" w:sz="4" w:space="0" w:color="auto"/>
            </w:tcBorders>
            <w:shd w:val="clear" w:color="auto" w:fill="auto"/>
            <w:vAlign w:val="bottom"/>
            <w:hideMark/>
          </w:tcPr>
          <w:p w14:paraId="1B5E1CA9"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207</w:t>
            </w:r>
          </w:p>
        </w:tc>
        <w:tc>
          <w:tcPr>
            <w:tcW w:w="1296" w:type="dxa"/>
            <w:tcBorders>
              <w:top w:val="nil"/>
              <w:left w:val="nil"/>
              <w:bottom w:val="single" w:sz="4" w:space="0" w:color="auto"/>
              <w:right w:val="single" w:sz="4" w:space="0" w:color="auto"/>
            </w:tcBorders>
            <w:shd w:val="clear" w:color="auto" w:fill="auto"/>
            <w:vAlign w:val="bottom"/>
            <w:hideMark/>
          </w:tcPr>
          <w:p w14:paraId="047E302D"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210</w:t>
            </w:r>
          </w:p>
        </w:tc>
        <w:tc>
          <w:tcPr>
            <w:tcW w:w="1430" w:type="dxa"/>
            <w:tcBorders>
              <w:top w:val="nil"/>
              <w:left w:val="nil"/>
              <w:bottom w:val="single" w:sz="4" w:space="0" w:color="auto"/>
              <w:right w:val="single" w:sz="4" w:space="0" w:color="auto"/>
            </w:tcBorders>
            <w:shd w:val="clear" w:color="auto" w:fill="auto"/>
            <w:vAlign w:val="bottom"/>
            <w:hideMark/>
          </w:tcPr>
          <w:p w14:paraId="780AEB56" w14:textId="046F146D"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-3</w:t>
            </w:r>
          </w:p>
        </w:tc>
        <w:tc>
          <w:tcPr>
            <w:tcW w:w="1577" w:type="dxa"/>
            <w:tcBorders>
              <w:top w:val="nil"/>
              <w:left w:val="nil"/>
              <w:bottom w:val="single" w:sz="4" w:space="0" w:color="auto"/>
              <w:right w:val="single" w:sz="4" w:space="0" w:color="auto"/>
            </w:tcBorders>
            <w:shd w:val="clear" w:color="auto" w:fill="auto"/>
            <w:vAlign w:val="bottom"/>
            <w:hideMark/>
          </w:tcPr>
          <w:p w14:paraId="55F33CE6" w14:textId="2D408AC6" w:rsidR="00533D70"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523567E5" w14:textId="77777777" w:rsidTr="005C65C3">
        <w:trPr>
          <w:trHeight w:val="630"/>
        </w:trPr>
        <w:tc>
          <w:tcPr>
            <w:tcW w:w="1430" w:type="dxa"/>
            <w:vMerge/>
            <w:tcBorders>
              <w:top w:val="nil"/>
              <w:left w:val="nil"/>
              <w:bottom w:val="single" w:sz="4" w:space="0" w:color="000000"/>
              <w:right w:val="single" w:sz="4" w:space="0" w:color="auto"/>
            </w:tcBorders>
            <w:vAlign w:val="center"/>
            <w:hideMark/>
          </w:tcPr>
          <w:p w14:paraId="56982658"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2603D2B7"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187" w:type="dxa"/>
            <w:tcBorders>
              <w:top w:val="nil"/>
              <w:left w:val="nil"/>
              <w:bottom w:val="single" w:sz="4" w:space="0" w:color="auto"/>
              <w:right w:val="single" w:sz="4" w:space="0" w:color="auto"/>
            </w:tcBorders>
            <w:shd w:val="clear" w:color="auto" w:fill="auto"/>
            <w:vAlign w:val="bottom"/>
            <w:hideMark/>
          </w:tcPr>
          <w:p w14:paraId="7BB77AA9" w14:textId="346F5757" w:rsidR="00533D70" w:rsidRPr="0073506C" w:rsidRDefault="00A92AC7"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241,776</w:t>
            </w:r>
          </w:p>
        </w:tc>
        <w:tc>
          <w:tcPr>
            <w:tcW w:w="1296" w:type="dxa"/>
            <w:tcBorders>
              <w:top w:val="nil"/>
              <w:left w:val="nil"/>
              <w:bottom w:val="single" w:sz="4" w:space="0" w:color="auto"/>
              <w:right w:val="single" w:sz="4" w:space="0" w:color="auto"/>
            </w:tcBorders>
            <w:shd w:val="clear" w:color="auto" w:fill="auto"/>
            <w:vAlign w:val="bottom"/>
            <w:hideMark/>
          </w:tcPr>
          <w:p w14:paraId="48E9B0D6"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245,280</w:t>
            </w:r>
          </w:p>
        </w:tc>
        <w:tc>
          <w:tcPr>
            <w:tcW w:w="1430" w:type="dxa"/>
            <w:tcBorders>
              <w:top w:val="nil"/>
              <w:left w:val="nil"/>
              <w:bottom w:val="single" w:sz="4" w:space="0" w:color="auto"/>
              <w:right w:val="single" w:sz="4" w:space="0" w:color="auto"/>
            </w:tcBorders>
            <w:shd w:val="clear" w:color="auto" w:fill="auto"/>
            <w:vAlign w:val="bottom"/>
            <w:hideMark/>
          </w:tcPr>
          <w:p w14:paraId="4831DCEE" w14:textId="1C133B46" w:rsidR="00533D70" w:rsidRPr="0073506C" w:rsidRDefault="00A175D6"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-3,504</w:t>
            </w:r>
          </w:p>
        </w:tc>
        <w:tc>
          <w:tcPr>
            <w:tcW w:w="1577" w:type="dxa"/>
            <w:tcBorders>
              <w:top w:val="nil"/>
              <w:left w:val="nil"/>
              <w:bottom w:val="single" w:sz="4" w:space="0" w:color="auto"/>
              <w:right w:val="single" w:sz="4" w:space="0" w:color="auto"/>
            </w:tcBorders>
            <w:shd w:val="clear" w:color="auto" w:fill="auto"/>
            <w:vAlign w:val="bottom"/>
            <w:hideMark/>
          </w:tcPr>
          <w:p w14:paraId="3BF57279" w14:textId="68BDE102" w:rsidR="00533D70"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48B8CEE1" w14:textId="77777777" w:rsidTr="005C65C3">
        <w:trPr>
          <w:trHeight w:val="315"/>
        </w:trPr>
        <w:tc>
          <w:tcPr>
            <w:tcW w:w="1430" w:type="dxa"/>
            <w:vMerge/>
            <w:tcBorders>
              <w:top w:val="nil"/>
              <w:left w:val="nil"/>
              <w:bottom w:val="single" w:sz="4" w:space="0" w:color="000000"/>
              <w:right w:val="single" w:sz="4" w:space="0" w:color="auto"/>
            </w:tcBorders>
            <w:vAlign w:val="center"/>
            <w:hideMark/>
          </w:tcPr>
          <w:p w14:paraId="65DF9128"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4CD0AAFC"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187" w:type="dxa"/>
            <w:tcBorders>
              <w:top w:val="nil"/>
              <w:left w:val="nil"/>
              <w:bottom w:val="single" w:sz="4" w:space="0" w:color="auto"/>
              <w:right w:val="single" w:sz="4" w:space="0" w:color="auto"/>
            </w:tcBorders>
            <w:shd w:val="clear" w:color="auto" w:fill="auto"/>
            <w:vAlign w:val="bottom"/>
            <w:hideMark/>
          </w:tcPr>
          <w:p w14:paraId="7C3C5E42" w14:textId="2E7671DC" w:rsidR="00533D70" w:rsidRPr="0073506C" w:rsidRDefault="00A175D6"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296" w:type="dxa"/>
            <w:tcBorders>
              <w:top w:val="nil"/>
              <w:left w:val="nil"/>
              <w:bottom w:val="single" w:sz="4" w:space="0" w:color="auto"/>
              <w:right w:val="single" w:sz="4" w:space="0" w:color="auto"/>
            </w:tcBorders>
            <w:shd w:val="clear" w:color="auto" w:fill="auto"/>
            <w:vAlign w:val="bottom"/>
            <w:hideMark/>
          </w:tcPr>
          <w:p w14:paraId="32F90C94" w14:textId="7D2D8F58"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430" w:type="dxa"/>
            <w:tcBorders>
              <w:top w:val="nil"/>
              <w:left w:val="nil"/>
              <w:bottom w:val="single" w:sz="4" w:space="0" w:color="auto"/>
              <w:right w:val="single" w:sz="4" w:space="0" w:color="auto"/>
            </w:tcBorders>
            <w:shd w:val="clear" w:color="auto" w:fill="auto"/>
            <w:vAlign w:val="bottom"/>
            <w:hideMark/>
          </w:tcPr>
          <w:p w14:paraId="17645452" w14:textId="7C37C318"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A175D6"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7F039D5C" w14:textId="10FAC2D1"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A175D6" w:rsidRPr="0073506C">
              <w:rPr>
                <w:rFonts w:ascii="Times New Roman" w:eastAsia="Times New Roman" w:hAnsi="Times New Roman"/>
                <w:color w:val="000000"/>
                <w:sz w:val="26"/>
                <w:szCs w:val="26"/>
              </w:rPr>
              <w:t>0</w:t>
            </w:r>
          </w:p>
        </w:tc>
      </w:tr>
      <w:tr w:rsidR="00533D70" w:rsidRPr="000F07BD" w14:paraId="1C1DCE88" w14:textId="77777777" w:rsidTr="005C65C3">
        <w:trPr>
          <w:trHeight w:val="630"/>
        </w:trPr>
        <w:tc>
          <w:tcPr>
            <w:tcW w:w="1430" w:type="dxa"/>
            <w:vMerge w:val="restart"/>
            <w:tcBorders>
              <w:top w:val="nil"/>
              <w:left w:val="nil"/>
              <w:bottom w:val="single" w:sz="4" w:space="0" w:color="000000"/>
              <w:right w:val="single" w:sz="4" w:space="0" w:color="auto"/>
            </w:tcBorders>
            <w:shd w:val="clear" w:color="auto" w:fill="auto"/>
            <w:vAlign w:val="bottom"/>
            <w:hideMark/>
          </w:tcPr>
          <w:p w14:paraId="74E55C56" w14:textId="77777777"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FERC-1F</w:t>
            </w:r>
          </w:p>
        </w:tc>
        <w:tc>
          <w:tcPr>
            <w:tcW w:w="2340" w:type="dxa"/>
            <w:tcBorders>
              <w:top w:val="nil"/>
              <w:left w:val="nil"/>
              <w:bottom w:val="single" w:sz="4" w:space="0" w:color="auto"/>
              <w:right w:val="single" w:sz="4" w:space="0" w:color="auto"/>
            </w:tcBorders>
            <w:shd w:val="clear" w:color="auto" w:fill="auto"/>
            <w:vAlign w:val="center"/>
            <w:hideMark/>
          </w:tcPr>
          <w:p w14:paraId="1E143DD7"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187" w:type="dxa"/>
            <w:tcBorders>
              <w:top w:val="nil"/>
              <w:left w:val="nil"/>
              <w:bottom w:val="single" w:sz="4" w:space="0" w:color="auto"/>
              <w:right w:val="single" w:sz="4" w:space="0" w:color="auto"/>
            </w:tcBorders>
            <w:shd w:val="clear" w:color="auto" w:fill="auto"/>
            <w:vAlign w:val="bottom"/>
            <w:hideMark/>
          </w:tcPr>
          <w:p w14:paraId="0995187B"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5</w:t>
            </w:r>
          </w:p>
        </w:tc>
        <w:tc>
          <w:tcPr>
            <w:tcW w:w="1296" w:type="dxa"/>
            <w:tcBorders>
              <w:top w:val="nil"/>
              <w:left w:val="nil"/>
              <w:bottom w:val="single" w:sz="4" w:space="0" w:color="auto"/>
              <w:right w:val="single" w:sz="4" w:space="0" w:color="auto"/>
            </w:tcBorders>
            <w:shd w:val="clear" w:color="auto" w:fill="auto"/>
            <w:vAlign w:val="bottom"/>
            <w:hideMark/>
          </w:tcPr>
          <w:p w14:paraId="37D8E314"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5</w:t>
            </w:r>
          </w:p>
        </w:tc>
        <w:tc>
          <w:tcPr>
            <w:tcW w:w="1430" w:type="dxa"/>
            <w:tcBorders>
              <w:top w:val="nil"/>
              <w:left w:val="nil"/>
              <w:bottom w:val="single" w:sz="4" w:space="0" w:color="auto"/>
              <w:right w:val="single" w:sz="4" w:space="0" w:color="auto"/>
            </w:tcBorders>
            <w:shd w:val="clear" w:color="auto" w:fill="auto"/>
            <w:vAlign w:val="bottom"/>
            <w:hideMark/>
          </w:tcPr>
          <w:p w14:paraId="168C392E" w14:textId="7F1080BF"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1C7A550F" w14:textId="6AD98F48" w:rsidR="00533D70" w:rsidRPr="0073506C" w:rsidRDefault="00A175D6"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r w:rsidR="00533D70" w:rsidRPr="0073506C">
              <w:rPr>
                <w:rFonts w:ascii="Times New Roman" w:eastAsia="Times New Roman" w:hAnsi="Times New Roman"/>
                <w:color w:val="000000"/>
                <w:sz w:val="26"/>
                <w:szCs w:val="26"/>
              </w:rPr>
              <w:t> </w:t>
            </w:r>
          </w:p>
        </w:tc>
      </w:tr>
      <w:tr w:rsidR="00533D70" w:rsidRPr="000F07BD" w14:paraId="2BE01063" w14:textId="77777777" w:rsidTr="005C65C3">
        <w:trPr>
          <w:trHeight w:val="630"/>
        </w:trPr>
        <w:tc>
          <w:tcPr>
            <w:tcW w:w="1430" w:type="dxa"/>
            <w:vMerge/>
            <w:tcBorders>
              <w:top w:val="nil"/>
              <w:left w:val="nil"/>
              <w:bottom w:val="single" w:sz="4" w:space="0" w:color="000000"/>
              <w:right w:val="single" w:sz="4" w:space="0" w:color="auto"/>
            </w:tcBorders>
            <w:vAlign w:val="center"/>
            <w:hideMark/>
          </w:tcPr>
          <w:p w14:paraId="3E890615"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29BB22D4"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187" w:type="dxa"/>
            <w:tcBorders>
              <w:top w:val="nil"/>
              <w:left w:val="nil"/>
              <w:bottom w:val="single" w:sz="4" w:space="0" w:color="auto"/>
              <w:right w:val="single" w:sz="4" w:space="0" w:color="auto"/>
            </w:tcBorders>
            <w:shd w:val="clear" w:color="auto" w:fill="auto"/>
            <w:vAlign w:val="bottom"/>
            <w:hideMark/>
          </w:tcPr>
          <w:p w14:paraId="0B33F8A2" w14:textId="372821C3" w:rsidR="00533D70" w:rsidRPr="0073506C" w:rsidRDefault="00A92AC7"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610</w:t>
            </w:r>
          </w:p>
        </w:tc>
        <w:tc>
          <w:tcPr>
            <w:tcW w:w="1296" w:type="dxa"/>
            <w:tcBorders>
              <w:top w:val="nil"/>
              <w:left w:val="nil"/>
              <w:bottom w:val="single" w:sz="4" w:space="0" w:color="auto"/>
              <w:right w:val="single" w:sz="4" w:space="0" w:color="auto"/>
            </w:tcBorders>
            <w:shd w:val="clear" w:color="auto" w:fill="auto"/>
            <w:vAlign w:val="bottom"/>
            <w:hideMark/>
          </w:tcPr>
          <w:p w14:paraId="63D61B9E"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610</w:t>
            </w:r>
          </w:p>
        </w:tc>
        <w:tc>
          <w:tcPr>
            <w:tcW w:w="1430" w:type="dxa"/>
            <w:tcBorders>
              <w:top w:val="nil"/>
              <w:left w:val="nil"/>
              <w:bottom w:val="single" w:sz="4" w:space="0" w:color="auto"/>
              <w:right w:val="single" w:sz="4" w:space="0" w:color="auto"/>
            </w:tcBorders>
            <w:shd w:val="clear" w:color="auto" w:fill="auto"/>
            <w:vAlign w:val="bottom"/>
            <w:hideMark/>
          </w:tcPr>
          <w:p w14:paraId="27EE6227" w14:textId="6DB4FD58"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 </w:t>
            </w:r>
            <w:r w:rsidR="00587081"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7F383F44" w14:textId="19A411C8" w:rsidR="00533D70" w:rsidRPr="0073506C" w:rsidRDefault="00A175D6"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6D95A80C" w14:textId="77777777" w:rsidTr="005C65C3">
        <w:trPr>
          <w:trHeight w:val="315"/>
        </w:trPr>
        <w:tc>
          <w:tcPr>
            <w:tcW w:w="1430" w:type="dxa"/>
            <w:vMerge/>
            <w:tcBorders>
              <w:top w:val="nil"/>
              <w:left w:val="nil"/>
              <w:bottom w:val="single" w:sz="4" w:space="0" w:color="000000"/>
              <w:right w:val="single" w:sz="4" w:space="0" w:color="auto"/>
            </w:tcBorders>
            <w:vAlign w:val="center"/>
            <w:hideMark/>
          </w:tcPr>
          <w:p w14:paraId="4DE16308"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5AA1052B"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187" w:type="dxa"/>
            <w:tcBorders>
              <w:top w:val="nil"/>
              <w:left w:val="nil"/>
              <w:bottom w:val="single" w:sz="4" w:space="0" w:color="auto"/>
              <w:right w:val="single" w:sz="4" w:space="0" w:color="auto"/>
            </w:tcBorders>
            <w:shd w:val="clear" w:color="auto" w:fill="auto"/>
            <w:vAlign w:val="bottom"/>
            <w:hideMark/>
          </w:tcPr>
          <w:p w14:paraId="6E502599" w14:textId="267E9F88"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A175D6" w:rsidRPr="0073506C">
              <w:rPr>
                <w:rFonts w:ascii="Times New Roman" w:eastAsia="Times New Roman" w:hAnsi="Times New Roman"/>
                <w:color w:val="000000"/>
                <w:sz w:val="26"/>
                <w:szCs w:val="26"/>
              </w:rPr>
              <w:t>0</w:t>
            </w:r>
          </w:p>
        </w:tc>
        <w:tc>
          <w:tcPr>
            <w:tcW w:w="1296" w:type="dxa"/>
            <w:tcBorders>
              <w:top w:val="nil"/>
              <w:left w:val="nil"/>
              <w:bottom w:val="single" w:sz="4" w:space="0" w:color="auto"/>
              <w:right w:val="single" w:sz="4" w:space="0" w:color="auto"/>
            </w:tcBorders>
            <w:shd w:val="clear" w:color="auto" w:fill="auto"/>
            <w:vAlign w:val="bottom"/>
            <w:hideMark/>
          </w:tcPr>
          <w:p w14:paraId="13BF5CC4" w14:textId="2B57F192"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430" w:type="dxa"/>
            <w:tcBorders>
              <w:top w:val="nil"/>
              <w:left w:val="nil"/>
              <w:bottom w:val="single" w:sz="4" w:space="0" w:color="auto"/>
              <w:right w:val="single" w:sz="4" w:space="0" w:color="auto"/>
            </w:tcBorders>
            <w:shd w:val="clear" w:color="auto" w:fill="auto"/>
            <w:vAlign w:val="bottom"/>
            <w:hideMark/>
          </w:tcPr>
          <w:p w14:paraId="2F567A2F" w14:textId="2B74CA00"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239A32A5" w14:textId="297A0571"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A175D6" w:rsidRPr="0073506C">
              <w:rPr>
                <w:rFonts w:ascii="Times New Roman" w:eastAsia="Times New Roman" w:hAnsi="Times New Roman"/>
                <w:color w:val="000000"/>
                <w:sz w:val="26"/>
                <w:szCs w:val="26"/>
              </w:rPr>
              <w:t>0</w:t>
            </w:r>
          </w:p>
        </w:tc>
      </w:tr>
      <w:tr w:rsidR="00533D70" w:rsidRPr="000F07BD" w14:paraId="21B01E4C" w14:textId="77777777" w:rsidTr="005C65C3">
        <w:trPr>
          <w:trHeight w:val="630"/>
        </w:trPr>
        <w:tc>
          <w:tcPr>
            <w:tcW w:w="1430" w:type="dxa"/>
            <w:vMerge w:val="restart"/>
            <w:tcBorders>
              <w:top w:val="nil"/>
              <w:left w:val="nil"/>
              <w:bottom w:val="single" w:sz="4" w:space="0" w:color="000000"/>
              <w:right w:val="single" w:sz="4" w:space="0" w:color="auto"/>
            </w:tcBorders>
            <w:shd w:val="clear" w:color="auto" w:fill="auto"/>
            <w:vAlign w:val="bottom"/>
            <w:hideMark/>
          </w:tcPr>
          <w:p w14:paraId="215CD8D6" w14:textId="3DCC6CCA"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FERC-3Q</w:t>
            </w:r>
            <w:r w:rsidR="00C72F19" w:rsidRPr="0073506C">
              <w:rPr>
                <w:rFonts w:ascii="Times New Roman" w:eastAsia="Times New Roman" w:hAnsi="Times New Roman"/>
                <w:b/>
                <w:bCs/>
                <w:color w:val="000000"/>
                <w:sz w:val="26"/>
                <w:szCs w:val="26"/>
              </w:rPr>
              <w:t>,</w:t>
            </w:r>
            <w:r w:rsidRPr="0073506C">
              <w:rPr>
                <w:rFonts w:ascii="Times New Roman" w:eastAsia="Times New Roman" w:hAnsi="Times New Roman"/>
                <w:b/>
                <w:bCs/>
                <w:color w:val="000000"/>
                <w:sz w:val="26"/>
                <w:szCs w:val="26"/>
              </w:rPr>
              <w:t xml:space="preserve"> electric</w:t>
            </w:r>
          </w:p>
        </w:tc>
        <w:tc>
          <w:tcPr>
            <w:tcW w:w="2340" w:type="dxa"/>
            <w:tcBorders>
              <w:top w:val="nil"/>
              <w:left w:val="nil"/>
              <w:bottom w:val="single" w:sz="4" w:space="0" w:color="auto"/>
              <w:right w:val="single" w:sz="4" w:space="0" w:color="auto"/>
            </w:tcBorders>
            <w:shd w:val="clear" w:color="auto" w:fill="auto"/>
            <w:vAlign w:val="center"/>
            <w:hideMark/>
          </w:tcPr>
          <w:p w14:paraId="01F7429E"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187" w:type="dxa"/>
            <w:tcBorders>
              <w:top w:val="nil"/>
              <w:left w:val="nil"/>
              <w:bottom w:val="single" w:sz="4" w:space="0" w:color="auto"/>
              <w:right w:val="single" w:sz="4" w:space="0" w:color="auto"/>
            </w:tcBorders>
            <w:shd w:val="clear" w:color="auto" w:fill="auto"/>
            <w:vAlign w:val="bottom"/>
            <w:hideMark/>
          </w:tcPr>
          <w:p w14:paraId="05C355B5"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636</w:t>
            </w:r>
          </w:p>
        </w:tc>
        <w:tc>
          <w:tcPr>
            <w:tcW w:w="1296" w:type="dxa"/>
            <w:tcBorders>
              <w:top w:val="nil"/>
              <w:left w:val="nil"/>
              <w:bottom w:val="single" w:sz="4" w:space="0" w:color="auto"/>
              <w:right w:val="single" w:sz="4" w:space="0" w:color="auto"/>
            </w:tcBorders>
            <w:shd w:val="clear" w:color="auto" w:fill="auto"/>
            <w:vAlign w:val="bottom"/>
            <w:hideMark/>
          </w:tcPr>
          <w:p w14:paraId="31BBBDF9"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639</w:t>
            </w:r>
          </w:p>
        </w:tc>
        <w:tc>
          <w:tcPr>
            <w:tcW w:w="1430" w:type="dxa"/>
            <w:tcBorders>
              <w:top w:val="nil"/>
              <w:left w:val="nil"/>
              <w:bottom w:val="single" w:sz="4" w:space="0" w:color="auto"/>
              <w:right w:val="single" w:sz="4" w:space="0" w:color="auto"/>
            </w:tcBorders>
            <w:shd w:val="clear" w:color="auto" w:fill="auto"/>
            <w:vAlign w:val="bottom"/>
            <w:hideMark/>
          </w:tcPr>
          <w:p w14:paraId="0A73D34A" w14:textId="73643FAC"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-3</w:t>
            </w:r>
          </w:p>
        </w:tc>
        <w:tc>
          <w:tcPr>
            <w:tcW w:w="1577" w:type="dxa"/>
            <w:tcBorders>
              <w:top w:val="nil"/>
              <w:left w:val="nil"/>
              <w:bottom w:val="single" w:sz="4" w:space="0" w:color="auto"/>
              <w:right w:val="single" w:sz="4" w:space="0" w:color="auto"/>
            </w:tcBorders>
            <w:shd w:val="clear" w:color="auto" w:fill="auto"/>
            <w:vAlign w:val="bottom"/>
            <w:hideMark/>
          </w:tcPr>
          <w:p w14:paraId="187D804F" w14:textId="634CD352" w:rsidR="00533D70"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39490F82" w14:textId="77777777" w:rsidTr="005C65C3">
        <w:trPr>
          <w:trHeight w:val="630"/>
        </w:trPr>
        <w:tc>
          <w:tcPr>
            <w:tcW w:w="1430" w:type="dxa"/>
            <w:vMerge/>
            <w:tcBorders>
              <w:top w:val="nil"/>
              <w:left w:val="nil"/>
              <w:bottom w:val="single" w:sz="4" w:space="0" w:color="000000"/>
              <w:right w:val="single" w:sz="4" w:space="0" w:color="auto"/>
            </w:tcBorders>
            <w:vAlign w:val="center"/>
            <w:hideMark/>
          </w:tcPr>
          <w:p w14:paraId="7C86FF4B"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61FCD2D9"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187" w:type="dxa"/>
            <w:tcBorders>
              <w:top w:val="nil"/>
              <w:left w:val="nil"/>
              <w:bottom w:val="single" w:sz="4" w:space="0" w:color="auto"/>
              <w:right w:val="single" w:sz="4" w:space="0" w:color="auto"/>
            </w:tcBorders>
            <w:shd w:val="clear" w:color="auto" w:fill="auto"/>
            <w:vAlign w:val="bottom"/>
            <w:hideMark/>
          </w:tcPr>
          <w:p w14:paraId="3B31B4F6" w14:textId="576DE5E3" w:rsidR="00533D70"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106,848</w:t>
            </w:r>
          </w:p>
        </w:tc>
        <w:tc>
          <w:tcPr>
            <w:tcW w:w="1296" w:type="dxa"/>
            <w:tcBorders>
              <w:top w:val="nil"/>
              <w:left w:val="nil"/>
              <w:bottom w:val="single" w:sz="4" w:space="0" w:color="auto"/>
              <w:right w:val="single" w:sz="4" w:space="0" w:color="auto"/>
            </w:tcBorders>
            <w:shd w:val="clear" w:color="auto" w:fill="auto"/>
            <w:vAlign w:val="bottom"/>
            <w:hideMark/>
          </w:tcPr>
          <w:p w14:paraId="7CF80AF2"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107,352</w:t>
            </w:r>
          </w:p>
        </w:tc>
        <w:tc>
          <w:tcPr>
            <w:tcW w:w="1430" w:type="dxa"/>
            <w:tcBorders>
              <w:top w:val="nil"/>
              <w:left w:val="nil"/>
              <w:bottom w:val="single" w:sz="4" w:space="0" w:color="auto"/>
              <w:right w:val="single" w:sz="4" w:space="0" w:color="auto"/>
            </w:tcBorders>
            <w:shd w:val="clear" w:color="auto" w:fill="auto"/>
            <w:vAlign w:val="bottom"/>
            <w:hideMark/>
          </w:tcPr>
          <w:p w14:paraId="52C8CDFD" w14:textId="1553CF5A" w:rsidR="00533D70" w:rsidRPr="0073506C" w:rsidRDefault="0058708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-504</w:t>
            </w:r>
          </w:p>
        </w:tc>
        <w:tc>
          <w:tcPr>
            <w:tcW w:w="1577" w:type="dxa"/>
            <w:tcBorders>
              <w:top w:val="nil"/>
              <w:left w:val="nil"/>
              <w:bottom w:val="single" w:sz="4" w:space="0" w:color="auto"/>
              <w:right w:val="single" w:sz="4" w:space="0" w:color="auto"/>
            </w:tcBorders>
            <w:shd w:val="clear" w:color="auto" w:fill="auto"/>
            <w:vAlign w:val="bottom"/>
            <w:hideMark/>
          </w:tcPr>
          <w:p w14:paraId="7C934849" w14:textId="25CB8238"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0888360B" w14:textId="77777777" w:rsidTr="005C65C3">
        <w:trPr>
          <w:trHeight w:val="315"/>
        </w:trPr>
        <w:tc>
          <w:tcPr>
            <w:tcW w:w="1430" w:type="dxa"/>
            <w:vMerge/>
            <w:tcBorders>
              <w:top w:val="nil"/>
              <w:left w:val="nil"/>
              <w:bottom w:val="single" w:sz="4" w:space="0" w:color="000000"/>
              <w:right w:val="single" w:sz="4" w:space="0" w:color="auto"/>
            </w:tcBorders>
            <w:vAlign w:val="center"/>
            <w:hideMark/>
          </w:tcPr>
          <w:p w14:paraId="42E4B2C9"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5AABAA93"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187" w:type="dxa"/>
            <w:tcBorders>
              <w:top w:val="nil"/>
              <w:left w:val="nil"/>
              <w:bottom w:val="single" w:sz="4" w:space="0" w:color="auto"/>
              <w:right w:val="single" w:sz="4" w:space="0" w:color="auto"/>
            </w:tcBorders>
            <w:shd w:val="clear" w:color="auto" w:fill="auto"/>
            <w:vAlign w:val="bottom"/>
            <w:hideMark/>
          </w:tcPr>
          <w:p w14:paraId="06BBB647" w14:textId="67EBAC15"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C77C2C" w:rsidRPr="0073506C">
              <w:rPr>
                <w:rFonts w:ascii="Times New Roman" w:eastAsia="Times New Roman" w:hAnsi="Times New Roman"/>
                <w:color w:val="000000"/>
                <w:sz w:val="26"/>
                <w:szCs w:val="26"/>
              </w:rPr>
              <w:t>0</w:t>
            </w:r>
          </w:p>
        </w:tc>
        <w:tc>
          <w:tcPr>
            <w:tcW w:w="1296" w:type="dxa"/>
            <w:tcBorders>
              <w:top w:val="nil"/>
              <w:left w:val="nil"/>
              <w:bottom w:val="single" w:sz="4" w:space="0" w:color="auto"/>
              <w:right w:val="single" w:sz="4" w:space="0" w:color="auto"/>
            </w:tcBorders>
            <w:shd w:val="clear" w:color="auto" w:fill="auto"/>
            <w:vAlign w:val="bottom"/>
            <w:hideMark/>
          </w:tcPr>
          <w:p w14:paraId="6A4C7258" w14:textId="05605AAF"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430" w:type="dxa"/>
            <w:tcBorders>
              <w:top w:val="nil"/>
              <w:left w:val="nil"/>
              <w:bottom w:val="single" w:sz="4" w:space="0" w:color="auto"/>
              <w:right w:val="single" w:sz="4" w:space="0" w:color="auto"/>
            </w:tcBorders>
            <w:shd w:val="clear" w:color="auto" w:fill="auto"/>
            <w:vAlign w:val="bottom"/>
            <w:hideMark/>
          </w:tcPr>
          <w:p w14:paraId="11CB8EC9" w14:textId="73258EFE"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 </w:t>
            </w:r>
            <w:r w:rsidR="007272D1" w:rsidRPr="0073506C">
              <w:rPr>
                <w:rFonts w:ascii="Times New Roman" w:eastAsia="Times New Roman" w:hAnsi="Times New Roman"/>
                <w:color w:val="000000"/>
                <w:sz w:val="26"/>
                <w:szCs w:val="26"/>
              </w:rPr>
              <w:t>$0</w:t>
            </w:r>
          </w:p>
        </w:tc>
        <w:tc>
          <w:tcPr>
            <w:tcW w:w="1577" w:type="dxa"/>
            <w:tcBorders>
              <w:top w:val="nil"/>
              <w:left w:val="nil"/>
              <w:bottom w:val="single" w:sz="4" w:space="0" w:color="auto"/>
              <w:right w:val="single" w:sz="4" w:space="0" w:color="auto"/>
            </w:tcBorders>
            <w:shd w:val="clear" w:color="auto" w:fill="auto"/>
            <w:vAlign w:val="bottom"/>
            <w:hideMark/>
          </w:tcPr>
          <w:p w14:paraId="49316F50" w14:textId="5735928B"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C77C2C" w:rsidRPr="0073506C">
              <w:rPr>
                <w:rFonts w:ascii="Times New Roman" w:eastAsia="Times New Roman" w:hAnsi="Times New Roman"/>
                <w:color w:val="000000"/>
                <w:sz w:val="26"/>
                <w:szCs w:val="26"/>
              </w:rPr>
              <w:t>0</w:t>
            </w:r>
          </w:p>
        </w:tc>
      </w:tr>
      <w:tr w:rsidR="00533D70" w:rsidRPr="000F07BD" w14:paraId="0B162B45" w14:textId="77777777" w:rsidTr="005C65C3">
        <w:trPr>
          <w:trHeight w:val="630"/>
        </w:trPr>
        <w:tc>
          <w:tcPr>
            <w:tcW w:w="1430" w:type="dxa"/>
            <w:vMerge w:val="restart"/>
            <w:tcBorders>
              <w:top w:val="nil"/>
              <w:left w:val="nil"/>
              <w:bottom w:val="single" w:sz="4" w:space="0" w:color="000000"/>
              <w:right w:val="single" w:sz="4" w:space="0" w:color="auto"/>
            </w:tcBorders>
            <w:shd w:val="clear" w:color="auto" w:fill="auto"/>
            <w:vAlign w:val="bottom"/>
            <w:hideMark/>
          </w:tcPr>
          <w:p w14:paraId="6C8DFFA3" w14:textId="165DD5C0" w:rsidR="00533D70" w:rsidRPr="0073506C" w:rsidRDefault="00533D70" w:rsidP="00533D70">
            <w:pPr>
              <w:spacing w:after="0" w:line="240" w:lineRule="auto"/>
              <w:rPr>
                <w:rFonts w:ascii="Times New Roman" w:eastAsia="Times New Roman" w:hAnsi="Times New Roman"/>
                <w:b/>
                <w:bCs/>
                <w:color w:val="000000"/>
                <w:sz w:val="26"/>
                <w:szCs w:val="26"/>
              </w:rPr>
            </w:pPr>
            <w:r w:rsidRPr="0073506C">
              <w:rPr>
                <w:rFonts w:ascii="Times New Roman" w:eastAsia="Times New Roman" w:hAnsi="Times New Roman"/>
                <w:b/>
                <w:bCs/>
                <w:color w:val="000000"/>
                <w:sz w:val="26"/>
                <w:szCs w:val="26"/>
              </w:rPr>
              <w:t>FERC-3Q</w:t>
            </w:r>
            <w:r w:rsidR="00C72F19" w:rsidRPr="0073506C">
              <w:rPr>
                <w:rFonts w:ascii="Times New Roman" w:eastAsia="Times New Roman" w:hAnsi="Times New Roman"/>
                <w:b/>
                <w:bCs/>
                <w:color w:val="000000"/>
                <w:sz w:val="26"/>
                <w:szCs w:val="26"/>
              </w:rPr>
              <w:t>, natural</w:t>
            </w:r>
            <w:r w:rsidRPr="0073506C">
              <w:rPr>
                <w:rFonts w:ascii="Times New Roman" w:eastAsia="Times New Roman" w:hAnsi="Times New Roman"/>
                <w:b/>
                <w:bCs/>
                <w:color w:val="000000"/>
                <w:sz w:val="26"/>
                <w:szCs w:val="26"/>
              </w:rPr>
              <w:t xml:space="preserve"> gas</w:t>
            </w:r>
          </w:p>
        </w:tc>
        <w:tc>
          <w:tcPr>
            <w:tcW w:w="2340" w:type="dxa"/>
            <w:tcBorders>
              <w:top w:val="nil"/>
              <w:left w:val="nil"/>
              <w:bottom w:val="single" w:sz="4" w:space="0" w:color="auto"/>
              <w:right w:val="single" w:sz="4" w:space="0" w:color="auto"/>
            </w:tcBorders>
            <w:shd w:val="clear" w:color="auto" w:fill="auto"/>
            <w:vAlign w:val="center"/>
            <w:hideMark/>
          </w:tcPr>
          <w:p w14:paraId="1E950089"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Number of Responses</w:t>
            </w:r>
          </w:p>
        </w:tc>
        <w:tc>
          <w:tcPr>
            <w:tcW w:w="1187" w:type="dxa"/>
            <w:tcBorders>
              <w:top w:val="nil"/>
              <w:left w:val="nil"/>
              <w:bottom w:val="single" w:sz="4" w:space="0" w:color="auto"/>
              <w:right w:val="single" w:sz="4" w:space="0" w:color="auto"/>
            </w:tcBorders>
            <w:shd w:val="clear" w:color="auto" w:fill="auto"/>
            <w:vAlign w:val="bottom"/>
            <w:hideMark/>
          </w:tcPr>
          <w:p w14:paraId="55424609"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495</w:t>
            </w:r>
          </w:p>
        </w:tc>
        <w:tc>
          <w:tcPr>
            <w:tcW w:w="1296" w:type="dxa"/>
            <w:tcBorders>
              <w:top w:val="nil"/>
              <w:left w:val="nil"/>
              <w:bottom w:val="single" w:sz="4" w:space="0" w:color="auto"/>
              <w:right w:val="single" w:sz="4" w:space="0" w:color="auto"/>
            </w:tcBorders>
            <w:shd w:val="clear" w:color="auto" w:fill="auto"/>
            <w:vAlign w:val="bottom"/>
            <w:hideMark/>
          </w:tcPr>
          <w:p w14:paraId="6A859EEF" w14:textId="3D43D46F" w:rsidR="00533D70" w:rsidRPr="0073506C" w:rsidRDefault="0058708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501</w:t>
            </w:r>
          </w:p>
        </w:tc>
        <w:tc>
          <w:tcPr>
            <w:tcW w:w="1430" w:type="dxa"/>
            <w:tcBorders>
              <w:top w:val="nil"/>
              <w:left w:val="nil"/>
              <w:bottom w:val="single" w:sz="4" w:space="0" w:color="auto"/>
              <w:right w:val="single" w:sz="4" w:space="0" w:color="auto"/>
            </w:tcBorders>
            <w:shd w:val="clear" w:color="auto" w:fill="auto"/>
            <w:vAlign w:val="bottom"/>
            <w:hideMark/>
          </w:tcPr>
          <w:p w14:paraId="232F2499" w14:textId="1654C4F2" w:rsidR="00533D70" w:rsidRPr="0073506C" w:rsidRDefault="00F8110F" w:rsidP="007272D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-6</w:t>
            </w:r>
          </w:p>
        </w:tc>
        <w:tc>
          <w:tcPr>
            <w:tcW w:w="1577" w:type="dxa"/>
            <w:tcBorders>
              <w:top w:val="nil"/>
              <w:left w:val="nil"/>
              <w:bottom w:val="single" w:sz="4" w:space="0" w:color="auto"/>
              <w:right w:val="single" w:sz="4" w:space="0" w:color="auto"/>
            </w:tcBorders>
            <w:shd w:val="clear" w:color="auto" w:fill="auto"/>
            <w:vAlign w:val="bottom"/>
            <w:hideMark/>
          </w:tcPr>
          <w:p w14:paraId="629BB907" w14:textId="4FCEC656" w:rsidR="00533D70" w:rsidRPr="0073506C" w:rsidRDefault="000F49DF"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533D70" w:rsidRPr="000F07BD" w14:paraId="27CFB583" w14:textId="77777777" w:rsidTr="005C65C3">
        <w:trPr>
          <w:trHeight w:val="630"/>
        </w:trPr>
        <w:tc>
          <w:tcPr>
            <w:tcW w:w="1430" w:type="dxa"/>
            <w:vMerge/>
            <w:tcBorders>
              <w:top w:val="nil"/>
              <w:left w:val="nil"/>
              <w:bottom w:val="single" w:sz="4" w:space="0" w:color="000000"/>
              <w:right w:val="single" w:sz="4" w:space="0" w:color="auto"/>
            </w:tcBorders>
            <w:vAlign w:val="center"/>
            <w:hideMark/>
          </w:tcPr>
          <w:p w14:paraId="6C86B4DB" w14:textId="77777777" w:rsidR="00533D70" w:rsidRPr="0073506C" w:rsidRDefault="00533D70"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14:paraId="06D517A5" w14:textId="77777777" w:rsidR="00533D70" w:rsidRPr="0073506C" w:rsidRDefault="00533D70"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Time Burden (Hr.)</w:t>
            </w:r>
          </w:p>
        </w:tc>
        <w:tc>
          <w:tcPr>
            <w:tcW w:w="1187" w:type="dxa"/>
            <w:tcBorders>
              <w:top w:val="nil"/>
              <w:left w:val="nil"/>
              <w:bottom w:val="single" w:sz="4" w:space="0" w:color="auto"/>
              <w:right w:val="single" w:sz="4" w:space="0" w:color="auto"/>
            </w:tcBorders>
            <w:shd w:val="clear" w:color="auto" w:fill="auto"/>
            <w:vAlign w:val="bottom"/>
            <w:hideMark/>
          </w:tcPr>
          <w:p w14:paraId="37F8BF94" w14:textId="2E191F57" w:rsidR="00533D70"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82,665</w:t>
            </w:r>
          </w:p>
        </w:tc>
        <w:tc>
          <w:tcPr>
            <w:tcW w:w="1296" w:type="dxa"/>
            <w:tcBorders>
              <w:top w:val="nil"/>
              <w:left w:val="nil"/>
              <w:bottom w:val="single" w:sz="4" w:space="0" w:color="auto"/>
              <w:right w:val="single" w:sz="4" w:space="0" w:color="auto"/>
            </w:tcBorders>
            <w:shd w:val="clear" w:color="auto" w:fill="auto"/>
            <w:vAlign w:val="bottom"/>
            <w:hideMark/>
          </w:tcPr>
          <w:p w14:paraId="5CDA51CD" w14:textId="77777777"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83,667</w:t>
            </w:r>
          </w:p>
        </w:tc>
        <w:tc>
          <w:tcPr>
            <w:tcW w:w="1430" w:type="dxa"/>
            <w:tcBorders>
              <w:top w:val="nil"/>
              <w:left w:val="nil"/>
              <w:bottom w:val="single" w:sz="4" w:space="0" w:color="auto"/>
              <w:right w:val="single" w:sz="4" w:space="0" w:color="auto"/>
            </w:tcBorders>
            <w:shd w:val="clear" w:color="auto" w:fill="auto"/>
            <w:vAlign w:val="bottom"/>
            <w:hideMark/>
          </w:tcPr>
          <w:p w14:paraId="3E8118CA" w14:textId="2E66E366" w:rsidR="00533D70" w:rsidRPr="0073506C" w:rsidRDefault="00C77C2C"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-1,002</w:t>
            </w:r>
          </w:p>
        </w:tc>
        <w:tc>
          <w:tcPr>
            <w:tcW w:w="1577" w:type="dxa"/>
            <w:tcBorders>
              <w:top w:val="nil"/>
              <w:left w:val="nil"/>
              <w:bottom w:val="single" w:sz="4" w:space="0" w:color="auto"/>
              <w:right w:val="single" w:sz="4" w:space="0" w:color="auto"/>
            </w:tcBorders>
            <w:shd w:val="clear" w:color="auto" w:fill="auto"/>
            <w:vAlign w:val="bottom"/>
            <w:hideMark/>
          </w:tcPr>
          <w:p w14:paraId="79A0C5C3" w14:textId="3C2E8151" w:rsidR="00533D70" w:rsidRPr="0073506C" w:rsidRDefault="00533D70"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r>
      <w:tr w:rsidR="00E17A65" w:rsidRPr="000F07BD" w14:paraId="2D74E08E" w14:textId="77777777" w:rsidTr="005C65C3">
        <w:trPr>
          <w:trHeight w:val="620"/>
        </w:trPr>
        <w:tc>
          <w:tcPr>
            <w:tcW w:w="1430" w:type="dxa"/>
            <w:vMerge/>
            <w:tcBorders>
              <w:top w:val="nil"/>
              <w:left w:val="nil"/>
              <w:bottom w:val="single" w:sz="4" w:space="0" w:color="000000"/>
              <w:right w:val="single" w:sz="4" w:space="0" w:color="auto"/>
            </w:tcBorders>
            <w:vAlign w:val="center"/>
            <w:hideMark/>
          </w:tcPr>
          <w:p w14:paraId="66733D2D" w14:textId="77777777" w:rsidR="00E17A65" w:rsidRPr="0073506C" w:rsidRDefault="00E17A65" w:rsidP="00533D70">
            <w:pPr>
              <w:spacing w:after="0" w:line="240" w:lineRule="auto"/>
              <w:rPr>
                <w:rFonts w:ascii="Times New Roman" w:eastAsia="Times New Roman" w:hAnsi="Times New Roman"/>
                <w:b/>
                <w:bCs/>
                <w:color w:val="000000"/>
                <w:sz w:val="26"/>
                <w:szCs w:val="26"/>
              </w:rPr>
            </w:pPr>
          </w:p>
        </w:tc>
        <w:tc>
          <w:tcPr>
            <w:tcW w:w="2340" w:type="dxa"/>
            <w:tcBorders>
              <w:top w:val="nil"/>
              <w:left w:val="nil"/>
              <w:right w:val="single" w:sz="4" w:space="0" w:color="auto"/>
            </w:tcBorders>
            <w:shd w:val="clear" w:color="auto" w:fill="auto"/>
            <w:vAlign w:val="center"/>
            <w:hideMark/>
          </w:tcPr>
          <w:p w14:paraId="6DFED856" w14:textId="1420B758" w:rsidR="00E17A65" w:rsidRPr="0073506C" w:rsidRDefault="00E17A65" w:rsidP="00533D70">
            <w:pPr>
              <w:spacing w:after="0" w:line="240" w:lineRule="auto"/>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Annual Cost Burden ($)</w:t>
            </w:r>
          </w:p>
        </w:tc>
        <w:tc>
          <w:tcPr>
            <w:tcW w:w="1187" w:type="dxa"/>
            <w:tcBorders>
              <w:top w:val="nil"/>
              <w:left w:val="nil"/>
              <w:right w:val="single" w:sz="4" w:space="0" w:color="auto"/>
            </w:tcBorders>
            <w:shd w:val="clear" w:color="auto" w:fill="auto"/>
            <w:vAlign w:val="bottom"/>
            <w:hideMark/>
          </w:tcPr>
          <w:p w14:paraId="64BE5825" w14:textId="5F23E248" w:rsidR="00E17A65"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C77C2C" w:rsidRPr="0073506C">
              <w:rPr>
                <w:rFonts w:ascii="Times New Roman" w:eastAsia="Times New Roman" w:hAnsi="Times New Roman"/>
                <w:color w:val="000000"/>
                <w:sz w:val="26"/>
                <w:szCs w:val="26"/>
              </w:rPr>
              <w:t>0</w:t>
            </w:r>
          </w:p>
        </w:tc>
        <w:tc>
          <w:tcPr>
            <w:tcW w:w="1296" w:type="dxa"/>
            <w:tcBorders>
              <w:top w:val="nil"/>
              <w:left w:val="nil"/>
              <w:right w:val="single" w:sz="4" w:space="0" w:color="auto"/>
            </w:tcBorders>
            <w:shd w:val="clear" w:color="auto" w:fill="auto"/>
            <w:vAlign w:val="bottom"/>
            <w:hideMark/>
          </w:tcPr>
          <w:p w14:paraId="75487BD9" w14:textId="7EACC689" w:rsidR="00E17A65"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p>
        </w:tc>
        <w:tc>
          <w:tcPr>
            <w:tcW w:w="1430" w:type="dxa"/>
            <w:tcBorders>
              <w:top w:val="nil"/>
              <w:left w:val="nil"/>
              <w:right w:val="single" w:sz="4" w:space="0" w:color="auto"/>
            </w:tcBorders>
            <w:shd w:val="clear" w:color="auto" w:fill="auto"/>
            <w:vAlign w:val="bottom"/>
            <w:hideMark/>
          </w:tcPr>
          <w:p w14:paraId="78C4300F" w14:textId="2C7A0F43" w:rsidR="00E17A65" w:rsidRPr="0073506C" w:rsidRDefault="007272D1"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$0</w:t>
            </w:r>
            <w:r w:rsidR="00E17A65" w:rsidRPr="0073506C">
              <w:rPr>
                <w:rFonts w:ascii="Times New Roman" w:eastAsia="Times New Roman" w:hAnsi="Times New Roman"/>
                <w:color w:val="000000"/>
                <w:sz w:val="26"/>
                <w:szCs w:val="26"/>
              </w:rPr>
              <w:t> </w:t>
            </w:r>
          </w:p>
        </w:tc>
        <w:tc>
          <w:tcPr>
            <w:tcW w:w="1577" w:type="dxa"/>
            <w:tcBorders>
              <w:top w:val="nil"/>
              <w:left w:val="nil"/>
              <w:right w:val="single" w:sz="4" w:space="0" w:color="auto"/>
            </w:tcBorders>
            <w:shd w:val="clear" w:color="auto" w:fill="auto"/>
            <w:vAlign w:val="bottom"/>
            <w:hideMark/>
          </w:tcPr>
          <w:p w14:paraId="1974B5F3" w14:textId="03EFEA17" w:rsidR="00E17A65" w:rsidRPr="0073506C" w:rsidRDefault="00E17A65" w:rsidP="007272D1">
            <w:pPr>
              <w:spacing w:after="0" w:line="240" w:lineRule="auto"/>
              <w:jc w:val="right"/>
              <w:rPr>
                <w:rFonts w:ascii="Times New Roman" w:eastAsia="Times New Roman" w:hAnsi="Times New Roman"/>
                <w:color w:val="000000"/>
                <w:sz w:val="26"/>
                <w:szCs w:val="26"/>
              </w:rPr>
            </w:pPr>
            <w:r w:rsidRPr="0073506C">
              <w:rPr>
                <w:rFonts w:ascii="Times New Roman" w:eastAsia="Times New Roman" w:hAnsi="Times New Roman"/>
                <w:color w:val="000000"/>
                <w:sz w:val="26"/>
                <w:szCs w:val="26"/>
              </w:rPr>
              <w:t>$</w:t>
            </w:r>
            <w:r w:rsidR="00C77C2C" w:rsidRPr="0073506C">
              <w:rPr>
                <w:rFonts w:ascii="Times New Roman" w:eastAsia="Times New Roman" w:hAnsi="Times New Roman"/>
                <w:color w:val="000000"/>
                <w:sz w:val="26"/>
                <w:szCs w:val="26"/>
              </w:rPr>
              <w:t>0</w:t>
            </w:r>
          </w:p>
        </w:tc>
      </w:tr>
    </w:tbl>
    <w:p w14:paraId="77571604" w14:textId="77777777" w:rsidR="005C65C3" w:rsidRPr="0073506C" w:rsidRDefault="005C65C3" w:rsidP="003A3343">
      <w:pPr>
        <w:spacing w:after="0" w:line="259" w:lineRule="auto"/>
        <w:rPr>
          <w:rFonts w:ascii="Times New Roman" w:hAnsi="Times New Roman"/>
          <w:bCs/>
          <w:sz w:val="26"/>
          <w:szCs w:val="26"/>
        </w:rPr>
      </w:pPr>
    </w:p>
    <w:p w14:paraId="06A2F2CD" w14:textId="62F4970E" w:rsidR="00B6477D" w:rsidRPr="0073506C" w:rsidRDefault="005C65C3" w:rsidP="003A3343">
      <w:pPr>
        <w:spacing w:after="0" w:line="259" w:lineRule="auto"/>
        <w:rPr>
          <w:rFonts w:ascii="Times New Roman" w:hAnsi="Times New Roman"/>
          <w:bCs/>
          <w:sz w:val="26"/>
          <w:szCs w:val="26"/>
        </w:rPr>
      </w:pPr>
      <w:r w:rsidRPr="0073506C">
        <w:rPr>
          <w:rFonts w:ascii="Times New Roman" w:hAnsi="Times New Roman"/>
          <w:bCs/>
          <w:sz w:val="26"/>
          <w:szCs w:val="26"/>
        </w:rPr>
        <w:t>The updated annual totals for FERC-3Q (electric and natural gas) are 1,131 responses and 189,513 burden hours.</w:t>
      </w:r>
    </w:p>
    <w:p w14:paraId="7B4EABF9" w14:textId="77777777" w:rsidR="005C65C3" w:rsidRPr="0073506C" w:rsidRDefault="005C65C3" w:rsidP="003A3343">
      <w:pPr>
        <w:spacing w:after="0" w:line="259" w:lineRule="auto"/>
        <w:rPr>
          <w:rFonts w:ascii="Times New Roman" w:hAnsi="Times New Roman"/>
          <w:bCs/>
          <w:sz w:val="26"/>
          <w:szCs w:val="26"/>
        </w:rPr>
      </w:pPr>
    </w:p>
    <w:bookmarkEnd w:id="1"/>
    <w:p w14:paraId="115E3405" w14:textId="77777777" w:rsidR="00F0627E" w:rsidRPr="0073506C" w:rsidRDefault="00F20B97" w:rsidP="00BD0F89">
      <w:pPr>
        <w:spacing w:after="0" w:line="240" w:lineRule="auto"/>
        <w:rPr>
          <w:rFonts w:ascii="Times New Roman" w:hAnsi="Times New Roman"/>
          <w:b/>
          <w:sz w:val="26"/>
          <w:szCs w:val="26"/>
        </w:rPr>
      </w:pPr>
      <w:r w:rsidRPr="0073506C">
        <w:rPr>
          <w:rFonts w:ascii="Times New Roman" w:hAnsi="Times New Roman"/>
          <w:b/>
          <w:sz w:val="26"/>
          <w:szCs w:val="26"/>
        </w:rPr>
        <w:t xml:space="preserve">16. </w:t>
      </w:r>
      <w:r w:rsidR="00F0627E" w:rsidRPr="0073506C">
        <w:rPr>
          <w:rFonts w:ascii="Times New Roman" w:hAnsi="Times New Roman"/>
          <w:b/>
          <w:sz w:val="26"/>
          <w:szCs w:val="26"/>
        </w:rPr>
        <w:t>TIME SCHEDULE FOR PUBLICATION OF DATA</w:t>
      </w:r>
    </w:p>
    <w:p w14:paraId="65FE4B4D" w14:textId="77777777" w:rsidR="00F0627E" w:rsidRPr="0073506C" w:rsidRDefault="00F0627E" w:rsidP="00BD0F89">
      <w:pPr>
        <w:spacing w:after="0" w:line="240" w:lineRule="auto"/>
        <w:rPr>
          <w:rFonts w:ascii="Times New Roman" w:hAnsi="Times New Roman"/>
          <w:sz w:val="26"/>
          <w:szCs w:val="26"/>
        </w:rPr>
      </w:pPr>
    </w:p>
    <w:p w14:paraId="679BBE9C" w14:textId="77777777" w:rsidR="001D289D" w:rsidRPr="0073506C" w:rsidRDefault="001D289D" w:rsidP="00BD0F89">
      <w:pPr>
        <w:spacing w:after="0" w:line="240" w:lineRule="auto"/>
        <w:rPr>
          <w:rFonts w:ascii="Times New Roman" w:hAnsi="Times New Roman"/>
          <w:sz w:val="26"/>
          <w:szCs w:val="26"/>
        </w:rPr>
      </w:pPr>
      <w:r w:rsidRPr="0073506C">
        <w:rPr>
          <w:rFonts w:ascii="Times New Roman" w:hAnsi="Times New Roman"/>
          <w:sz w:val="26"/>
          <w:szCs w:val="26"/>
        </w:rPr>
        <w:t xml:space="preserve">There is no publication of </w:t>
      </w:r>
      <w:r w:rsidR="00587AD0" w:rsidRPr="0073506C">
        <w:rPr>
          <w:rFonts w:ascii="Times New Roman" w:hAnsi="Times New Roman"/>
          <w:sz w:val="26"/>
          <w:szCs w:val="26"/>
        </w:rPr>
        <w:t>data</w:t>
      </w:r>
      <w:r w:rsidRPr="0073506C">
        <w:rPr>
          <w:rFonts w:ascii="Times New Roman" w:hAnsi="Times New Roman"/>
          <w:sz w:val="26"/>
          <w:szCs w:val="26"/>
        </w:rPr>
        <w:t xml:space="preserve">. </w:t>
      </w:r>
    </w:p>
    <w:p w14:paraId="5CEC4741" w14:textId="77777777" w:rsidR="00F20B97" w:rsidRPr="0073506C" w:rsidRDefault="00F20B97" w:rsidP="00BD0F89">
      <w:pPr>
        <w:spacing w:after="0" w:line="240" w:lineRule="auto"/>
        <w:rPr>
          <w:rFonts w:ascii="Times New Roman" w:hAnsi="Times New Roman"/>
          <w:sz w:val="26"/>
          <w:szCs w:val="26"/>
        </w:rPr>
      </w:pPr>
    </w:p>
    <w:p w14:paraId="6F76679F" w14:textId="77777777" w:rsidR="00F0627E" w:rsidRPr="0073506C" w:rsidRDefault="00F20B97" w:rsidP="00BD0F89">
      <w:pPr>
        <w:spacing w:after="0" w:line="240" w:lineRule="auto"/>
        <w:rPr>
          <w:rFonts w:ascii="Times New Roman" w:hAnsi="Times New Roman"/>
          <w:b/>
          <w:sz w:val="26"/>
          <w:szCs w:val="26"/>
        </w:rPr>
      </w:pPr>
      <w:r w:rsidRPr="0073506C">
        <w:rPr>
          <w:rFonts w:ascii="Times New Roman" w:hAnsi="Times New Roman"/>
          <w:b/>
          <w:sz w:val="26"/>
          <w:szCs w:val="26"/>
        </w:rPr>
        <w:t xml:space="preserve">17. </w:t>
      </w:r>
      <w:r w:rsidR="00F0627E" w:rsidRPr="0073506C">
        <w:rPr>
          <w:rFonts w:ascii="Times New Roman" w:hAnsi="Times New Roman"/>
          <w:b/>
          <w:sz w:val="26"/>
          <w:szCs w:val="26"/>
        </w:rPr>
        <w:t>DISPLAY OF EXPIRATION DATE</w:t>
      </w:r>
    </w:p>
    <w:p w14:paraId="2C7224E4" w14:textId="77777777" w:rsidR="00F0627E" w:rsidRPr="0073506C" w:rsidRDefault="00F0627E" w:rsidP="00BD0F89">
      <w:pPr>
        <w:spacing w:after="0" w:line="240" w:lineRule="auto"/>
        <w:rPr>
          <w:rFonts w:ascii="Times New Roman" w:hAnsi="Times New Roman"/>
          <w:sz w:val="26"/>
          <w:szCs w:val="26"/>
        </w:rPr>
      </w:pPr>
    </w:p>
    <w:p w14:paraId="31FE087C" w14:textId="77777777" w:rsidR="00027DC9" w:rsidRPr="0073506C" w:rsidRDefault="001D289D" w:rsidP="00BD0F89">
      <w:pPr>
        <w:spacing w:after="0" w:line="240" w:lineRule="auto"/>
        <w:rPr>
          <w:rFonts w:ascii="Times New Roman" w:hAnsi="Times New Roman"/>
          <w:color w:val="0000FF"/>
          <w:sz w:val="26"/>
          <w:szCs w:val="26"/>
          <w:u w:val="single"/>
        </w:rPr>
      </w:pPr>
      <w:r w:rsidRPr="0073506C">
        <w:rPr>
          <w:rFonts w:ascii="Times New Roman" w:hAnsi="Times New Roman"/>
          <w:sz w:val="26"/>
          <w:szCs w:val="26"/>
        </w:rPr>
        <w:t xml:space="preserve">The expiration dates are posted on ferc.gov at </w:t>
      </w:r>
      <w:hyperlink r:id="rId14" w:history="1">
        <w:r w:rsidRPr="0073506C">
          <w:rPr>
            <w:rStyle w:val="Hyperlink"/>
            <w:rFonts w:ascii="Times New Roman" w:hAnsi="Times New Roman"/>
            <w:sz w:val="26"/>
            <w:szCs w:val="26"/>
          </w:rPr>
          <w:t>http://www.ferc.gov/docs-filing/info-collections.asp</w:t>
        </w:r>
      </w:hyperlink>
      <w:r w:rsidRPr="0073506C">
        <w:rPr>
          <w:rFonts w:ascii="Times New Roman" w:hAnsi="Times New Roman"/>
          <w:sz w:val="26"/>
          <w:szCs w:val="26"/>
        </w:rPr>
        <w:t xml:space="preserve"> </w:t>
      </w:r>
      <w:r w:rsidR="00A51BC6" w:rsidRPr="0073506C">
        <w:rPr>
          <w:rFonts w:ascii="Times New Roman" w:hAnsi="Times New Roman"/>
          <w:sz w:val="26"/>
          <w:szCs w:val="26"/>
        </w:rPr>
        <w:t>and on the forms where applicable.</w:t>
      </w:r>
      <w:r w:rsidRPr="0073506C">
        <w:rPr>
          <w:rFonts w:ascii="Times New Roman" w:hAnsi="Times New Roman"/>
          <w:sz w:val="26"/>
          <w:szCs w:val="26"/>
        </w:rPr>
        <w:t xml:space="preserve"> </w:t>
      </w:r>
    </w:p>
    <w:p w14:paraId="799845B9" w14:textId="77777777" w:rsidR="00027DC9" w:rsidRPr="0073506C" w:rsidRDefault="00027DC9" w:rsidP="00BD0F89">
      <w:pPr>
        <w:spacing w:after="0" w:line="240" w:lineRule="auto"/>
        <w:rPr>
          <w:rFonts w:ascii="Times New Roman" w:hAnsi="Times New Roman"/>
          <w:sz w:val="26"/>
          <w:szCs w:val="26"/>
        </w:rPr>
      </w:pPr>
    </w:p>
    <w:p w14:paraId="61B7D1C0" w14:textId="77777777" w:rsidR="00F0627E" w:rsidRPr="0073506C" w:rsidRDefault="00F20B97" w:rsidP="00BD0F89">
      <w:pPr>
        <w:spacing w:after="0" w:line="240" w:lineRule="auto"/>
        <w:rPr>
          <w:rFonts w:ascii="Times New Roman" w:hAnsi="Times New Roman"/>
          <w:b/>
          <w:sz w:val="26"/>
          <w:szCs w:val="26"/>
        </w:rPr>
      </w:pPr>
      <w:r w:rsidRPr="0073506C">
        <w:rPr>
          <w:rFonts w:ascii="Times New Roman" w:hAnsi="Times New Roman"/>
          <w:b/>
          <w:sz w:val="26"/>
          <w:szCs w:val="26"/>
        </w:rPr>
        <w:t xml:space="preserve">18.  </w:t>
      </w:r>
      <w:r w:rsidR="00F0627E" w:rsidRPr="0073506C">
        <w:rPr>
          <w:rFonts w:ascii="Times New Roman" w:hAnsi="Times New Roman"/>
          <w:b/>
          <w:sz w:val="26"/>
          <w:szCs w:val="26"/>
        </w:rPr>
        <w:t>EXCEPTIONS TO THE CERTIFICATION STATEMENT</w:t>
      </w:r>
    </w:p>
    <w:p w14:paraId="63F6A337" w14:textId="77777777" w:rsidR="001D289D" w:rsidRPr="0073506C" w:rsidRDefault="001D289D" w:rsidP="00BD0F89">
      <w:pPr>
        <w:spacing w:after="0" w:line="240" w:lineRule="auto"/>
        <w:rPr>
          <w:rFonts w:ascii="Times New Roman" w:hAnsi="Times New Roman"/>
          <w:b/>
          <w:sz w:val="26"/>
          <w:szCs w:val="26"/>
        </w:rPr>
      </w:pPr>
    </w:p>
    <w:p w14:paraId="07E0677A" w14:textId="77777777" w:rsidR="00F0627E" w:rsidRPr="0073506C" w:rsidRDefault="001D289D" w:rsidP="00C87990">
      <w:pPr>
        <w:spacing w:after="160" w:line="240" w:lineRule="auto"/>
        <w:rPr>
          <w:rFonts w:ascii="Times New Roman" w:hAnsi="Times New Roman"/>
          <w:sz w:val="26"/>
          <w:szCs w:val="26"/>
        </w:rPr>
      </w:pPr>
      <w:r w:rsidRPr="0073506C">
        <w:rPr>
          <w:rFonts w:ascii="Times New Roman" w:hAnsi="Times New Roman"/>
          <w:sz w:val="26"/>
          <w:szCs w:val="26"/>
        </w:rPr>
        <w:t>There are no exception</w:t>
      </w:r>
      <w:r w:rsidR="000836EF" w:rsidRPr="0073506C">
        <w:rPr>
          <w:rFonts w:ascii="Times New Roman" w:hAnsi="Times New Roman"/>
          <w:sz w:val="26"/>
          <w:szCs w:val="26"/>
        </w:rPr>
        <w:t>s</w:t>
      </w:r>
      <w:r w:rsidRPr="0073506C">
        <w:rPr>
          <w:rFonts w:ascii="Times New Roman" w:hAnsi="Times New Roman"/>
          <w:sz w:val="26"/>
          <w:szCs w:val="26"/>
        </w:rPr>
        <w:t xml:space="preserve">. </w:t>
      </w:r>
    </w:p>
    <w:sectPr w:rsidR="00F0627E" w:rsidRPr="0073506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B04DF" w14:textId="77777777" w:rsidR="00A7338F" w:rsidRDefault="00A7338F" w:rsidP="009C7F55">
      <w:pPr>
        <w:spacing w:after="0" w:line="240" w:lineRule="auto"/>
      </w:pPr>
      <w:r>
        <w:separator/>
      </w:r>
    </w:p>
  </w:endnote>
  <w:endnote w:type="continuationSeparator" w:id="0">
    <w:p w14:paraId="7CC1BD6A" w14:textId="77777777" w:rsidR="00A7338F" w:rsidRDefault="00A7338F" w:rsidP="009C7F55">
      <w:pPr>
        <w:spacing w:after="0" w:line="240" w:lineRule="auto"/>
      </w:pPr>
      <w:r>
        <w:continuationSeparator/>
      </w:r>
    </w:p>
  </w:endnote>
  <w:endnote w:type="continuationNotice" w:id="1">
    <w:p w14:paraId="3F4B661B" w14:textId="77777777" w:rsidR="00A7338F" w:rsidRDefault="00A733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21257982" w:rsidR="00A7338F" w:rsidRDefault="00A7338F">
        <w:pPr>
          <w:pStyle w:val="Footer"/>
          <w:jc w:val="right"/>
        </w:pPr>
        <w:r>
          <w:fldChar w:fldCharType="begin"/>
        </w:r>
        <w:r>
          <w:instrText xml:space="preserve"> PAGE   \* MERGEFORMAT </w:instrText>
        </w:r>
        <w:r>
          <w:fldChar w:fldCharType="separate"/>
        </w:r>
        <w:r w:rsidR="008250BA">
          <w:rPr>
            <w:noProof/>
          </w:rPr>
          <w:t>1</w:t>
        </w:r>
        <w:r>
          <w:rPr>
            <w:noProof/>
          </w:rPr>
          <w:fldChar w:fldCharType="end"/>
        </w:r>
      </w:p>
    </w:sdtContent>
  </w:sdt>
  <w:p w14:paraId="70B209D8" w14:textId="77777777" w:rsidR="00A7338F" w:rsidRDefault="00A73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59A9A" w14:textId="77777777" w:rsidR="00A7338F" w:rsidRDefault="00A7338F" w:rsidP="009C7F55">
      <w:pPr>
        <w:spacing w:after="0" w:line="240" w:lineRule="auto"/>
      </w:pPr>
      <w:r>
        <w:separator/>
      </w:r>
    </w:p>
  </w:footnote>
  <w:footnote w:type="continuationSeparator" w:id="0">
    <w:p w14:paraId="7A9869DC" w14:textId="77777777" w:rsidR="00A7338F" w:rsidRDefault="00A7338F" w:rsidP="009C7F55">
      <w:pPr>
        <w:spacing w:after="0" w:line="240" w:lineRule="auto"/>
      </w:pPr>
      <w:r>
        <w:continuationSeparator/>
      </w:r>
    </w:p>
  </w:footnote>
  <w:footnote w:type="continuationNotice" w:id="1">
    <w:p w14:paraId="6AC17202" w14:textId="77777777" w:rsidR="00A7338F" w:rsidRDefault="00A7338F">
      <w:pPr>
        <w:spacing w:after="0" w:line="240" w:lineRule="auto"/>
      </w:pPr>
    </w:p>
  </w:footnote>
  <w:footnote w:id="2">
    <w:p w14:paraId="0B772BAC" w14:textId="07FB57AD"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FERC Form Nos. 1, 1-F, and 3-Q are part of the “Forms Refresh” effort, which is a separate a</w:t>
      </w:r>
      <w:r w:rsidR="00AA58D3">
        <w:rPr>
          <w:sz w:val="26"/>
          <w:szCs w:val="26"/>
        </w:rPr>
        <w:t>ctivity and not addressed here</w:t>
      </w:r>
      <w:r w:rsidR="00E603B8">
        <w:rPr>
          <w:sz w:val="26"/>
          <w:szCs w:val="26"/>
        </w:rPr>
        <w:t>.</w:t>
      </w:r>
      <w:r w:rsidRPr="0073506C">
        <w:rPr>
          <w:sz w:val="26"/>
          <w:szCs w:val="26"/>
        </w:rPr>
        <w:t xml:space="preserve"> </w:t>
      </w:r>
      <w:r w:rsidR="00E603B8">
        <w:rPr>
          <w:sz w:val="26"/>
          <w:szCs w:val="26"/>
        </w:rPr>
        <w:t xml:space="preserve"> </w:t>
      </w:r>
      <w:r w:rsidRPr="0073506C">
        <w:rPr>
          <w:sz w:val="26"/>
          <w:szCs w:val="26"/>
        </w:rPr>
        <w:t>(</w:t>
      </w:r>
      <w:r w:rsidR="00E603B8">
        <w:rPr>
          <w:sz w:val="26"/>
          <w:szCs w:val="26"/>
        </w:rPr>
        <w:t xml:space="preserve">It was </w:t>
      </w:r>
      <w:r w:rsidRPr="0073506C">
        <w:rPr>
          <w:sz w:val="26"/>
          <w:szCs w:val="26"/>
        </w:rPr>
        <w:t xml:space="preserve">started in Docket No. AD15-11 and </w:t>
      </w:r>
      <w:r w:rsidR="00E603B8">
        <w:rPr>
          <w:sz w:val="26"/>
          <w:szCs w:val="26"/>
        </w:rPr>
        <w:t xml:space="preserve">is </w:t>
      </w:r>
      <w:r w:rsidRPr="0073506C">
        <w:rPr>
          <w:sz w:val="26"/>
          <w:szCs w:val="26"/>
        </w:rPr>
        <w:t>ongoing in Docket No. RM19-12</w:t>
      </w:r>
      <w:r w:rsidR="00E603B8">
        <w:rPr>
          <w:sz w:val="26"/>
          <w:szCs w:val="26"/>
        </w:rPr>
        <w:t>.</w:t>
      </w:r>
      <w:r w:rsidRPr="0073506C">
        <w:rPr>
          <w:sz w:val="26"/>
          <w:szCs w:val="26"/>
        </w:rPr>
        <w:t xml:space="preserve">)  </w:t>
      </w:r>
      <w:r w:rsidR="00AA58D3">
        <w:rPr>
          <w:sz w:val="26"/>
          <w:szCs w:val="26"/>
        </w:rPr>
        <w:t xml:space="preserve">Order 859 </w:t>
      </w:r>
      <w:r w:rsidR="00E603B8">
        <w:rPr>
          <w:sz w:val="26"/>
          <w:szCs w:val="26"/>
        </w:rPr>
        <w:t xml:space="preserve">in Docket No. RM19-12 </w:t>
      </w:r>
      <w:r w:rsidR="00AA58D3">
        <w:rPr>
          <w:sz w:val="26"/>
          <w:szCs w:val="26"/>
        </w:rPr>
        <w:t xml:space="preserve">is posted in FERC’s eLibrary at </w:t>
      </w:r>
      <w:hyperlink r:id="rId1" w:history="1">
        <w:r w:rsidR="00AA58D3" w:rsidRPr="003331F4">
          <w:rPr>
            <w:rStyle w:val="Hyperlink"/>
            <w:sz w:val="26"/>
            <w:szCs w:val="26"/>
          </w:rPr>
          <w:t>https://elibrary.ferc.gov/idmws/common/opennat.asp?fileID=15278794</w:t>
        </w:r>
      </w:hyperlink>
      <w:r w:rsidR="00AA58D3">
        <w:rPr>
          <w:sz w:val="26"/>
          <w:szCs w:val="26"/>
        </w:rPr>
        <w:t xml:space="preserve">. </w:t>
      </w:r>
    </w:p>
  </w:footnote>
  <w:footnote w:id="3">
    <w:p w14:paraId="7EEB7197" w14:textId="76940915"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rPr>
        <w:t xml:space="preserve"> Unless otherwise specified, the FERC-3Q refers to both the electric and gas versions, which are separate ICs </w:t>
      </w:r>
      <w:r w:rsidR="00DF4233" w:rsidRPr="0073506C">
        <w:rPr>
          <w:sz w:val="26"/>
          <w:szCs w:val="26"/>
        </w:rPr>
        <w:t>(under OMB Control No.</w:t>
      </w:r>
      <w:r w:rsidR="00AD115A" w:rsidRPr="0073506C">
        <w:rPr>
          <w:sz w:val="26"/>
          <w:szCs w:val="26"/>
        </w:rPr>
        <w:t xml:space="preserve"> 1902-0205</w:t>
      </w:r>
      <w:r w:rsidR="00DF4233" w:rsidRPr="0073506C">
        <w:rPr>
          <w:sz w:val="26"/>
          <w:szCs w:val="26"/>
        </w:rPr>
        <w:t xml:space="preserve">) </w:t>
      </w:r>
      <w:r w:rsidRPr="0073506C">
        <w:rPr>
          <w:sz w:val="26"/>
          <w:szCs w:val="26"/>
        </w:rPr>
        <w:t>in ROCIS and reginfo.gov.</w:t>
      </w:r>
    </w:p>
  </w:footnote>
  <w:footnote w:id="4">
    <w:p w14:paraId="2971A43E" w14:textId="37B40AFD" w:rsidR="00A7338F" w:rsidRPr="0073506C" w:rsidRDefault="00A7338F" w:rsidP="00CC72A5">
      <w:pPr>
        <w:pStyle w:val="FootnoteText"/>
        <w:rPr>
          <w:sz w:val="26"/>
          <w:szCs w:val="26"/>
        </w:rPr>
      </w:pPr>
      <w:r w:rsidRPr="0073506C">
        <w:rPr>
          <w:sz w:val="26"/>
          <w:szCs w:val="26"/>
          <w:vertAlign w:val="superscript"/>
        </w:rPr>
        <w:footnoteRef/>
      </w:r>
      <w:r w:rsidRPr="0073506C">
        <w:rPr>
          <w:sz w:val="26"/>
          <w:szCs w:val="26"/>
          <w:vertAlign w:val="superscript"/>
        </w:rPr>
        <w:t xml:space="preserve"> </w:t>
      </w:r>
      <w:r w:rsidRPr="0073506C">
        <w:rPr>
          <w:sz w:val="26"/>
          <w:szCs w:val="26"/>
        </w:rPr>
        <w:t>18 CFR § 141.1.  Nonoperating entities formerly designated as Major and new entities that expect to be in the Major category should file as detailed in 18 CFR § 101, General Instructions (1)(A)(3).</w:t>
      </w:r>
    </w:p>
  </w:footnote>
  <w:footnote w:id="5">
    <w:p w14:paraId="07B6B811" w14:textId="6C8AF7B0" w:rsidR="00A7338F" w:rsidRPr="0073506C" w:rsidRDefault="00A7338F" w:rsidP="00CC72A5">
      <w:pPr>
        <w:pStyle w:val="FootnoteText"/>
        <w:rPr>
          <w:sz w:val="26"/>
          <w:szCs w:val="26"/>
        </w:rPr>
      </w:pPr>
      <w:r w:rsidRPr="0073506C">
        <w:rPr>
          <w:sz w:val="26"/>
          <w:szCs w:val="26"/>
          <w:vertAlign w:val="superscript"/>
        </w:rPr>
        <w:footnoteRef/>
      </w:r>
      <w:r w:rsidRPr="0073506C">
        <w:rPr>
          <w:sz w:val="26"/>
          <w:szCs w:val="26"/>
          <w:vertAlign w:val="superscript"/>
        </w:rPr>
        <w:t xml:space="preserve"> </w:t>
      </w:r>
      <w:r w:rsidRPr="0073506C">
        <w:rPr>
          <w:sz w:val="26"/>
          <w:szCs w:val="26"/>
        </w:rPr>
        <w:t>18 CFR § 141.2.  Nonoperating entities formerly designated as Nonmajor and new entities that expect to be in the Nonmajor category should file as detailed in 18 CFR § 101, General Instructions (1)(A)(2).</w:t>
      </w:r>
    </w:p>
  </w:footnote>
  <w:footnote w:id="6">
    <w:p w14:paraId="07C019FA" w14:textId="67B7196D" w:rsidR="00A7338F" w:rsidRPr="0073506C" w:rsidRDefault="00A7338F" w:rsidP="00CC72A5">
      <w:pPr>
        <w:pStyle w:val="FootnoteText"/>
        <w:rPr>
          <w:sz w:val="26"/>
          <w:szCs w:val="26"/>
        </w:rPr>
      </w:pPr>
      <w:r w:rsidRPr="0073506C">
        <w:rPr>
          <w:rStyle w:val="FootnoteReference"/>
          <w:rFonts w:eastAsia="Calibri"/>
          <w:sz w:val="26"/>
          <w:szCs w:val="26"/>
          <w:vertAlign w:val="superscript"/>
        </w:rPr>
        <w:footnoteRef/>
      </w:r>
      <w:r w:rsidRPr="0073506C">
        <w:rPr>
          <w:sz w:val="26"/>
          <w:szCs w:val="26"/>
        </w:rPr>
        <w:t xml:space="preserve"> 18 CFR 260.1(b). For natural gas, “Major” pertains to a company whose combined gas transported or stored for a fee exceed 50 million Dth in each of the three previous calendar years. 18 CFR 260.2(b).  “Nonmajor” pertains to a company not meeting the filing threshold for Major, but having total gas sales or volume transactions exceeding 200,000 Dth in each of the three previous calendar years.</w:t>
      </w:r>
    </w:p>
  </w:footnote>
  <w:footnote w:id="7">
    <w:p w14:paraId="484AE026" w14:textId="7CDA28AE" w:rsidR="00A7338F" w:rsidRPr="0073506C" w:rsidRDefault="00A7338F" w:rsidP="00CC72A5">
      <w:pPr>
        <w:pStyle w:val="FootnoteText"/>
        <w:rPr>
          <w:sz w:val="26"/>
          <w:szCs w:val="26"/>
        </w:rPr>
      </w:pPr>
      <w:r w:rsidRPr="0073506C">
        <w:rPr>
          <w:rStyle w:val="FootnoteReference"/>
          <w:rFonts w:eastAsia="Calibri"/>
          <w:sz w:val="26"/>
          <w:szCs w:val="26"/>
          <w:vertAlign w:val="superscript"/>
        </w:rPr>
        <w:footnoteRef/>
      </w:r>
      <w:r w:rsidRPr="0073506C">
        <w:rPr>
          <w:sz w:val="26"/>
          <w:szCs w:val="26"/>
        </w:rPr>
        <w:t xml:space="preserve"> </w:t>
      </w:r>
      <w:r w:rsidRPr="0073506C">
        <w:rPr>
          <w:i/>
          <w:sz w:val="26"/>
          <w:szCs w:val="26"/>
        </w:rPr>
        <w:t>See</w:t>
      </w:r>
      <w:r w:rsidRPr="0073506C">
        <w:rPr>
          <w:sz w:val="26"/>
          <w:szCs w:val="26"/>
        </w:rPr>
        <w:t xml:space="preserve"> 18 CFR Part 101 (Uniform System </w:t>
      </w:r>
      <w:r w:rsidR="00ED24E5">
        <w:rPr>
          <w:sz w:val="26"/>
          <w:szCs w:val="26"/>
        </w:rPr>
        <w:t>o</w:t>
      </w:r>
      <w:r w:rsidRPr="0073506C">
        <w:rPr>
          <w:sz w:val="26"/>
          <w:szCs w:val="26"/>
        </w:rPr>
        <w:t>f Accounts Prescribed For Public Utilities And Licensees Subject To The Provisions Of The Federal Power Act).</w:t>
      </w:r>
    </w:p>
  </w:footnote>
  <w:footnote w:id="8">
    <w:p w14:paraId="6046EF81" w14:textId="727E8669" w:rsidR="00A7338F" w:rsidRPr="0073506C" w:rsidRDefault="00A7338F" w:rsidP="00A93FF1">
      <w:pPr>
        <w:pStyle w:val="FootnoteText"/>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18 CFR 260.1(b) states that for natural gas companies as defined by the Natural Gas Act, Major pertains to a company whose combined gas transported or stored for a fee exceed 50 million Dth in each of the three previous calendar years.  18 CFR 260.2(b) states that for natural gas companies as defined by the Natural Gas Act, Non</w:t>
      </w:r>
      <w:r w:rsidR="001D4C72">
        <w:rPr>
          <w:sz w:val="26"/>
          <w:szCs w:val="26"/>
        </w:rPr>
        <w:t>m</w:t>
      </w:r>
      <w:r w:rsidRPr="0073506C">
        <w:rPr>
          <w:sz w:val="26"/>
          <w:szCs w:val="26"/>
        </w:rPr>
        <w:t>ajor pertains to a company not meeting the filing threshold for FERC Form No. 2, but having total gas sales or volume transactions exceeding 200,000 Dth in each of the three previous calendar years.</w:t>
      </w:r>
    </w:p>
  </w:footnote>
  <w:footnote w:id="9">
    <w:p w14:paraId="7B85E37A" w14:textId="77777777" w:rsidR="00A7338F" w:rsidRPr="0073506C" w:rsidRDefault="00A7338F" w:rsidP="00A326E2">
      <w:pPr>
        <w:pStyle w:val="FootnoteText"/>
        <w:rPr>
          <w:sz w:val="26"/>
          <w:szCs w:val="26"/>
        </w:rPr>
      </w:pPr>
      <w:r w:rsidRPr="0073506C">
        <w:rPr>
          <w:rStyle w:val="FootnoteReference"/>
          <w:rFonts w:eastAsia="Calibri"/>
          <w:sz w:val="26"/>
          <w:szCs w:val="26"/>
          <w:vertAlign w:val="superscript"/>
        </w:rPr>
        <w:footnoteRef/>
      </w:r>
      <w:r w:rsidRPr="0073506C">
        <w:rPr>
          <w:sz w:val="26"/>
          <w:szCs w:val="26"/>
        </w:rPr>
        <w:t xml:space="preserve"> </w:t>
      </w:r>
      <w:r w:rsidRPr="0073506C">
        <w:rPr>
          <w:i/>
          <w:sz w:val="26"/>
          <w:szCs w:val="26"/>
        </w:rPr>
        <w:t>See</w:t>
      </w:r>
      <w:r w:rsidRPr="0073506C">
        <w:rPr>
          <w:sz w:val="26"/>
          <w:szCs w:val="26"/>
        </w:rPr>
        <w:t xml:space="preserve"> 18 CFR Part 201 (Uniform System Of Accounts Prescribed For Natural Gas Companies Subject To The Provisions Of The Natural Gas Act).</w:t>
      </w:r>
    </w:p>
  </w:footnote>
  <w:footnote w:id="10">
    <w:p w14:paraId="11B36B18" w14:textId="2C49466A" w:rsidR="00F4048B" w:rsidRDefault="00F4048B">
      <w:pPr>
        <w:pStyle w:val="FootnoteText"/>
        <w:rPr>
          <w:sz w:val="26"/>
          <w:szCs w:val="26"/>
        </w:rPr>
      </w:pPr>
      <w:r w:rsidRPr="0073506C">
        <w:rPr>
          <w:rStyle w:val="FootnoteReference"/>
          <w:sz w:val="26"/>
          <w:szCs w:val="26"/>
          <w:vertAlign w:val="superscript"/>
        </w:rPr>
        <w:footnoteRef/>
      </w:r>
      <w:r>
        <w:rPr>
          <w:sz w:val="26"/>
          <w:szCs w:val="26"/>
        </w:rPr>
        <w:t>The BEA comment is posted in FERC’s eLibrary at</w:t>
      </w:r>
      <w:r w:rsidR="001D3353">
        <w:rPr>
          <w:sz w:val="26"/>
          <w:szCs w:val="26"/>
        </w:rPr>
        <w:t xml:space="preserve"> </w:t>
      </w:r>
      <w:r w:rsidR="001D3353" w:rsidRPr="001D3353">
        <w:rPr>
          <w:sz w:val="26"/>
          <w:szCs w:val="26"/>
        </w:rPr>
        <w:t>https://elibrary.ferc.gov/idmws/common/OpenNat.asp?fileID=15275219</w:t>
      </w:r>
      <w:r w:rsidR="001D3353">
        <w:rPr>
          <w:sz w:val="26"/>
          <w:szCs w:val="26"/>
        </w:rPr>
        <w:t>.</w:t>
      </w:r>
    </w:p>
    <w:p w14:paraId="79663573" w14:textId="77777777" w:rsidR="00F4048B" w:rsidRPr="0073506C" w:rsidRDefault="00F4048B">
      <w:pPr>
        <w:pStyle w:val="FootnoteText"/>
        <w:rPr>
          <w:sz w:val="26"/>
          <w:szCs w:val="26"/>
        </w:rPr>
      </w:pPr>
    </w:p>
  </w:footnote>
  <w:footnote w:id="11">
    <w:p w14:paraId="2236E29A" w14:textId="58EB0D7D" w:rsidR="00A7338F" w:rsidRPr="0073506C" w:rsidRDefault="00A7338F" w:rsidP="00F0627E">
      <w:pPr>
        <w:pStyle w:val="FootnoteText"/>
        <w:rPr>
          <w:sz w:val="26"/>
          <w:szCs w:val="26"/>
        </w:rPr>
      </w:pPr>
      <w:r w:rsidRPr="0073506C">
        <w:rPr>
          <w:rStyle w:val="FootnoteReference"/>
          <w:sz w:val="26"/>
          <w:szCs w:val="26"/>
          <w:vertAlign w:val="superscript"/>
        </w:rPr>
        <w:footnoteRef/>
      </w:r>
      <w:r w:rsidRPr="0073506C">
        <w:rPr>
          <w:sz w:val="26"/>
          <w:szCs w:val="26"/>
        </w:rPr>
        <w:t xml:space="preserve"> 18 C.F.R. §</w:t>
      </w:r>
      <w:r w:rsidR="00286A0D" w:rsidRPr="0073506C">
        <w:rPr>
          <w:sz w:val="26"/>
          <w:szCs w:val="26"/>
        </w:rPr>
        <w:t xml:space="preserve">§ </w:t>
      </w:r>
      <w:r w:rsidRPr="0073506C">
        <w:rPr>
          <w:sz w:val="26"/>
          <w:szCs w:val="26"/>
        </w:rPr>
        <w:t>388.112</w:t>
      </w:r>
      <w:r w:rsidR="00286A0D" w:rsidRPr="0073506C">
        <w:rPr>
          <w:sz w:val="26"/>
          <w:szCs w:val="26"/>
        </w:rPr>
        <w:t xml:space="preserve"> and 388.113</w:t>
      </w:r>
      <w:r w:rsidRPr="0073506C">
        <w:rPr>
          <w:sz w:val="26"/>
          <w:szCs w:val="26"/>
        </w:rPr>
        <w:t xml:space="preserve">.  More information on the CEII definition, program and requirements is posted at </w:t>
      </w:r>
      <w:hyperlink r:id="rId2" w:history="1">
        <w:r w:rsidRPr="0073506C">
          <w:rPr>
            <w:rStyle w:val="Hyperlink"/>
            <w:sz w:val="26"/>
            <w:szCs w:val="26"/>
          </w:rPr>
          <w:t>http://www.ferc.gov/legal/ceii-foia/ceii.asp</w:t>
        </w:r>
      </w:hyperlink>
      <w:r w:rsidRPr="0073506C">
        <w:rPr>
          <w:sz w:val="26"/>
          <w:szCs w:val="26"/>
        </w:rPr>
        <w:t xml:space="preserve">. </w:t>
      </w:r>
    </w:p>
  </w:footnote>
  <w:footnote w:id="12">
    <w:p w14:paraId="7560F308" w14:textId="6B651351" w:rsidR="00214C0F" w:rsidRPr="0073506C" w:rsidRDefault="00214C0F" w:rsidP="00214C0F">
      <w:pPr>
        <w:pStyle w:val="FootnoteText"/>
        <w:rPr>
          <w:sz w:val="26"/>
          <w:szCs w:val="26"/>
        </w:rPr>
      </w:pPr>
      <w:r w:rsidRPr="0073506C">
        <w:rPr>
          <w:rStyle w:val="FootnoteReference"/>
          <w:sz w:val="26"/>
          <w:szCs w:val="26"/>
          <w:vertAlign w:val="superscript"/>
        </w:rPr>
        <w:footnoteRef/>
      </w:r>
      <w:r w:rsidRPr="0073506C">
        <w:rPr>
          <w:sz w:val="26"/>
          <w:szCs w:val="26"/>
        </w:rPr>
        <w:t xml:space="preserve"> The Commission staff believes the FERC FTE (full-time equivalent) average cost for wages plus benefits is representative of the corresponding cost for the industry respondents. The FERC 2018 average salary plus benefits for one FERC FTE is $164,820/year (or $79.00/hour).</w:t>
      </w:r>
    </w:p>
  </w:footnote>
  <w:footnote w:id="13">
    <w:p w14:paraId="67695287" w14:textId="77777777" w:rsidR="00A7338F" w:rsidRPr="0073506C" w:rsidRDefault="00A7338F" w:rsidP="009E3BA7">
      <w:pPr>
        <w:pStyle w:val="FootnoteText"/>
        <w:rPr>
          <w:sz w:val="26"/>
          <w:szCs w:val="26"/>
        </w:rPr>
      </w:pPr>
      <w:r w:rsidRPr="0073506C">
        <w:rPr>
          <w:rStyle w:val="FootnoteReference"/>
          <w:sz w:val="26"/>
          <w:szCs w:val="26"/>
          <w:vertAlign w:val="superscript"/>
        </w:rPr>
        <w:footnoteRef/>
      </w:r>
      <w:r w:rsidRPr="0073506C">
        <w:rPr>
          <w:sz w:val="26"/>
          <w:szCs w:val="26"/>
        </w:rPr>
        <w:t xml:space="preserve"> The average burden and cost per response is calculated using the hourly wage figures described in detail below.</w:t>
      </w:r>
    </w:p>
  </w:footnote>
  <w:footnote w:id="14">
    <w:p w14:paraId="4E8FEBEB" w14:textId="77777777" w:rsidR="00A7338F" w:rsidRPr="0073506C" w:rsidRDefault="00A7338F" w:rsidP="009E3BA7">
      <w:pPr>
        <w:pStyle w:val="FootnoteText"/>
        <w:rPr>
          <w:sz w:val="26"/>
          <w:szCs w:val="26"/>
        </w:rPr>
      </w:pPr>
      <w:r w:rsidRPr="0073506C">
        <w:rPr>
          <w:rStyle w:val="FootnoteReference"/>
          <w:sz w:val="26"/>
          <w:szCs w:val="26"/>
          <w:vertAlign w:val="superscript"/>
        </w:rPr>
        <w:footnoteRef/>
      </w:r>
      <w:r w:rsidRPr="0073506C">
        <w:rPr>
          <w:sz w:val="26"/>
          <w:szCs w:val="26"/>
        </w:rPr>
        <w:t xml:space="preserve"> Every figure in this column is rounded to the nearest dollar.</w:t>
      </w:r>
    </w:p>
  </w:footnote>
  <w:footnote w:id="15">
    <w:p w14:paraId="4F41A94C" w14:textId="77777777"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The estimate uses the FERC’s FY 2018 average annual salary plus benefits of one FERC FTE (full-time equivalent [$164,820 per year or $79.00 per hour]).  (These estimates were updated in May 2018.)</w:t>
      </w:r>
    </w:p>
  </w:footnote>
  <w:footnote w:id="16">
    <w:p w14:paraId="2508AC6A" w14:textId="77777777"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rPr>
        <w:t xml:space="preserve"> This estimate was updated May 2018.</w:t>
      </w:r>
    </w:p>
  </w:footnote>
  <w:footnote w:id="17">
    <w:p w14:paraId="58CB363F" w14:textId="0C080B81" w:rsidR="00A7338F" w:rsidRPr="0073506C" w:rsidRDefault="00A7338F">
      <w:pPr>
        <w:pStyle w:val="FootnoteText"/>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The federal costs for the FERC-1, FERC-</w:t>
      </w:r>
      <w:r w:rsidR="00D24757" w:rsidRPr="0073506C">
        <w:rPr>
          <w:sz w:val="26"/>
          <w:szCs w:val="26"/>
        </w:rPr>
        <w:t>1-F</w:t>
      </w:r>
      <w:r w:rsidRPr="0073506C">
        <w:rPr>
          <w:sz w:val="26"/>
          <w:szCs w:val="26"/>
        </w:rPr>
        <w:t>, and FERC-</w:t>
      </w:r>
      <w:r w:rsidR="00D24757" w:rsidRPr="0073506C">
        <w:rPr>
          <w:sz w:val="26"/>
          <w:szCs w:val="26"/>
        </w:rPr>
        <w:t>3-Q</w:t>
      </w:r>
      <w:r w:rsidRPr="0073506C">
        <w:rPr>
          <w:sz w:val="26"/>
          <w:szCs w:val="26"/>
        </w:rPr>
        <w:t xml:space="preserve"> (for both electric and gas) will be included under the ICR for FERC-1 in ROCIS and reginfo.gov.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E9844" w14:textId="5658E5C2" w:rsidR="00A7338F" w:rsidRDefault="00A7338F">
    <w:pPr>
      <w:pStyle w:val="Header"/>
      <w:rPr>
        <w:rFonts w:ascii="Times New Roman" w:hAnsi="Times New Roman"/>
        <w:sz w:val="24"/>
        <w:szCs w:val="24"/>
      </w:rPr>
    </w:pPr>
    <w:r>
      <w:rPr>
        <w:rFonts w:ascii="Times New Roman" w:hAnsi="Times New Roman"/>
        <w:sz w:val="24"/>
        <w:szCs w:val="24"/>
      </w:rPr>
      <w:t>FERC Form Nos. 1, 1-F, and 3-Q</w:t>
    </w:r>
    <w:r w:rsidR="005F2FBA">
      <w:rPr>
        <w:rFonts w:ascii="Times New Roman" w:hAnsi="Times New Roman"/>
        <w:sz w:val="24"/>
        <w:szCs w:val="24"/>
      </w:rPr>
      <w:t xml:space="preserve"> (electric and natural gas)</w:t>
    </w:r>
    <w:r w:rsidR="00AE1B35">
      <w:rPr>
        <w:rFonts w:ascii="Times New Roman" w:hAnsi="Times New Roman"/>
        <w:sz w:val="24"/>
        <w:szCs w:val="24"/>
      </w:rPr>
      <w:t xml:space="preserve">, in Docket </w:t>
    </w:r>
    <w:r w:rsidR="00F22B61">
      <w:rPr>
        <w:rFonts w:ascii="Times New Roman" w:hAnsi="Times New Roman"/>
        <w:sz w:val="24"/>
        <w:szCs w:val="24"/>
      </w:rPr>
      <w:t xml:space="preserve">No. </w:t>
    </w:r>
    <w:r w:rsidR="00AE1B35">
      <w:rPr>
        <w:rFonts w:ascii="Times New Roman" w:hAnsi="Times New Roman"/>
        <w:sz w:val="24"/>
        <w:szCs w:val="24"/>
      </w:rPr>
      <w:t>IC19-22</w:t>
    </w:r>
  </w:p>
  <w:p w14:paraId="13188AEF" w14:textId="27C918F8" w:rsidR="00A7338F" w:rsidRPr="00274467" w:rsidRDefault="00A7338F">
    <w:pPr>
      <w:pStyle w:val="Header"/>
      <w:rPr>
        <w:rFonts w:ascii="Times New Roman" w:hAnsi="Times New Roman"/>
        <w:sz w:val="24"/>
        <w:szCs w:val="24"/>
      </w:rPr>
    </w:pPr>
    <w:r>
      <w:rPr>
        <w:rFonts w:ascii="Times New Roman" w:hAnsi="Times New Roman"/>
        <w:sz w:val="24"/>
        <w:szCs w:val="24"/>
      </w:rPr>
      <w:t>OMB Control Nos. 1902-0021</w:t>
    </w:r>
    <w:r w:rsidRPr="00DC516E">
      <w:rPr>
        <w:rFonts w:ascii="Times New Roman" w:hAnsi="Times New Roman"/>
        <w:sz w:val="24"/>
        <w:szCs w:val="24"/>
      </w:rPr>
      <w:t>, 1902-0029</w:t>
    </w:r>
    <w:r>
      <w:rPr>
        <w:rFonts w:ascii="Times New Roman" w:hAnsi="Times New Roman"/>
        <w:sz w:val="24"/>
        <w:szCs w:val="24"/>
      </w:rPr>
      <w:t>,</w:t>
    </w:r>
    <w:r w:rsidRPr="00DC516E">
      <w:rPr>
        <w:rFonts w:ascii="Times New Roman" w:hAnsi="Times New Roman"/>
        <w:sz w:val="24"/>
        <w:szCs w:val="24"/>
      </w:rPr>
      <w:t xml:space="preserve"> and 1902-0205</w:t>
    </w:r>
  </w:p>
  <w:p w14:paraId="48BC8A50" w14:textId="588CFCAB" w:rsidR="00A7338F" w:rsidRPr="002953E1" w:rsidRDefault="00AD115A" w:rsidP="00E17A65">
    <w:pPr>
      <w:pStyle w:val="Header"/>
      <w:tabs>
        <w:tab w:val="clear" w:pos="4680"/>
        <w:tab w:val="clear" w:pos="9360"/>
        <w:tab w:val="left" w:pos="3780"/>
      </w:tabs>
      <w:rPr>
        <w:rFonts w:ascii="Times New Roman" w:hAnsi="Times New Roman"/>
        <w:sz w:val="20"/>
        <w:szCs w:val="20"/>
      </w:rPr>
    </w:pPr>
    <w:r>
      <w:rPr>
        <w:rFonts w:ascii="Times New Roman" w:hAnsi="Times New Roman"/>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C4573"/>
    <w:multiLevelType w:val="hybridMultilevel"/>
    <w:tmpl w:val="4208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EF3953"/>
    <w:multiLevelType w:val="hybridMultilevel"/>
    <w:tmpl w:val="CFE8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6A02FA"/>
    <w:multiLevelType w:val="hybridMultilevel"/>
    <w:tmpl w:val="E0CCA850"/>
    <w:lvl w:ilvl="0" w:tplc="32BA5A66">
      <w:start w:val="1"/>
      <w:numFmt w:val="decimal"/>
      <w:lvlText w:val="%1)"/>
      <w:lvlJc w:val="left"/>
      <w:pPr>
        <w:ind w:left="720" w:hanging="360"/>
      </w:pPr>
      <w:rPr>
        <w:i w:val="0"/>
      </w:rPr>
    </w:lvl>
    <w:lvl w:ilvl="1" w:tplc="AB3C9B8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14ABA"/>
    <w:multiLevelType w:val="hybridMultilevel"/>
    <w:tmpl w:val="E314F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7"/>
  </w:num>
  <w:num w:numId="3">
    <w:abstractNumId w:val="19"/>
  </w:num>
  <w:num w:numId="4">
    <w:abstractNumId w:val="28"/>
  </w:num>
  <w:num w:numId="5">
    <w:abstractNumId w:val="5"/>
  </w:num>
  <w:num w:numId="6">
    <w:abstractNumId w:val="29"/>
  </w:num>
  <w:num w:numId="7">
    <w:abstractNumId w:val="6"/>
  </w:num>
  <w:num w:numId="8">
    <w:abstractNumId w:val="3"/>
  </w:num>
  <w:num w:numId="9">
    <w:abstractNumId w:val="17"/>
  </w:num>
  <w:num w:numId="10">
    <w:abstractNumId w:val="9"/>
  </w:num>
  <w:num w:numId="11">
    <w:abstractNumId w:val="22"/>
  </w:num>
  <w:num w:numId="12">
    <w:abstractNumId w:val="16"/>
  </w:num>
  <w:num w:numId="13">
    <w:abstractNumId w:val="4"/>
  </w:num>
  <w:num w:numId="14">
    <w:abstractNumId w:val="30"/>
  </w:num>
  <w:num w:numId="15">
    <w:abstractNumId w:val="11"/>
  </w:num>
  <w:num w:numId="16">
    <w:abstractNumId w:val="24"/>
  </w:num>
  <w:num w:numId="17">
    <w:abstractNumId w:val="8"/>
  </w:num>
  <w:num w:numId="18">
    <w:abstractNumId w:val="15"/>
  </w:num>
  <w:num w:numId="19">
    <w:abstractNumId w:val="20"/>
  </w:num>
  <w:num w:numId="20">
    <w:abstractNumId w:val="18"/>
  </w:num>
  <w:num w:numId="21">
    <w:abstractNumId w:val="26"/>
  </w:num>
  <w:num w:numId="22">
    <w:abstractNumId w:val="14"/>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3"/>
  </w:num>
  <w:num w:numId="28">
    <w:abstractNumId w:val="13"/>
  </w:num>
  <w:num w:numId="29">
    <w:abstractNumId w:val="25"/>
  </w:num>
  <w:num w:numId="30">
    <w:abstractNumId w:val="1"/>
  </w:num>
  <w:num w:numId="31">
    <w:abstractNumId w:val="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trackRevisions/>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15810"/>
    <w:rsid w:val="000201FB"/>
    <w:rsid w:val="00027DC9"/>
    <w:rsid w:val="00030D70"/>
    <w:rsid w:val="0003147A"/>
    <w:rsid w:val="00031C79"/>
    <w:rsid w:val="0003545C"/>
    <w:rsid w:val="00037F63"/>
    <w:rsid w:val="00040F9F"/>
    <w:rsid w:val="00041ECE"/>
    <w:rsid w:val="00042C21"/>
    <w:rsid w:val="00044A19"/>
    <w:rsid w:val="00045EFB"/>
    <w:rsid w:val="000650FC"/>
    <w:rsid w:val="00066375"/>
    <w:rsid w:val="00072071"/>
    <w:rsid w:val="000762E1"/>
    <w:rsid w:val="00077B16"/>
    <w:rsid w:val="0008302B"/>
    <w:rsid w:val="000836EF"/>
    <w:rsid w:val="00084A7F"/>
    <w:rsid w:val="000856A0"/>
    <w:rsid w:val="0009171A"/>
    <w:rsid w:val="00092424"/>
    <w:rsid w:val="000924F2"/>
    <w:rsid w:val="000930CB"/>
    <w:rsid w:val="000951BE"/>
    <w:rsid w:val="000A4E4C"/>
    <w:rsid w:val="000A6077"/>
    <w:rsid w:val="000B0965"/>
    <w:rsid w:val="000B40D1"/>
    <w:rsid w:val="000B51EA"/>
    <w:rsid w:val="000B72B1"/>
    <w:rsid w:val="000C0209"/>
    <w:rsid w:val="000D1D54"/>
    <w:rsid w:val="000D3F25"/>
    <w:rsid w:val="000E2F0F"/>
    <w:rsid w:val="000E4567"/>
    <w:rsid w:val="000E4925"/>
    <w:rsid w:val="000F07BD"/>
    <w:rsid w:val="000F1339"/>
    <w:rsid w:val="000F1377"/>
    <w:rsid w:val="000F448F"/>
    <w:rsid w:val="000F49DF"/>
    <w:rsid w:val="000F619B"/>
    <w:rsid w:val="000F6ABA"/>
    <w:rsid w:val="00100E2F"/>
    <w:rsid w:val="001021F0"/>
    <w:rsid w:val="00102BD6"/>
    <w:rsid w:val="0010332E"/>
    <w:rsid w:val="00104ACF"/>
    <w:rsid w:val="001072E3"/>
    <w:rsid w:val="00107DA8"/>
    <w:rsid w:val="001114E4"/>
    <w:rsid w:val="001121AE"/>
    <w:rsid w:val="00116509"/>
    <w:rsid w:val="00116CF2"/>
    <w:rsid w:val="001263E8"/>
    <w:rsid w:val="00130FC3"/>
    <w:rsid w:val="00133311"/>
    <w:rsid w:val="001360DE"/>
    <w:rsid w:val="0013718A"/>
    <w:rsid w:val="00141ED0"/>
    <w:rsid w:val="00151068"/>
    <w:rsid w:val="00152282"/>
    <w:rsid w:val="00156589"/>
    <w:rsid w:val="00163942"/>
    <w:rsid w:val="001668D3"/>
    <w:rsid w:val="00183CBA"/>
    <w:rsid w:val="00186976"/>
    <w:rsid w:val="001902A4"/>
    <w:rsid w:val="001968EA"/>
    <w:rsid w:val="001A450A"/>
    <w:rsid w:val="001A5362"/>
    <w:rsid w:val="001A62D9"/>
    <w:rsid w:val="001A6AE8"/>
    <w:rsid w:val="001B430C"/>
    <w:rsid w:val="001B5056"/>
    <w:rsid w:val="001C2900"/>
    <w:rsid w:val="001C2A53"/>
    <w:rsid w:val="001C34B8"/>
    <w:rsid w:val="001C74AB"/>
    <w:rsid w:val="001D0B5C"/>
    <w:rsid w:val="001D289D"/>
    <w:rsid w:val="001D3353"/>
    <w:rsid w:val="001D4C72"/>
    <w:rsid w:val="001D67EE"/>
    <w:rsid w:val="001D7B2E"/>
    <w:rsid w:val="001E1528"/>
    <w:rsid w:val="001E33A6"/>
    <w:rsid w:val="001E3E6B"/>
    <w:rsid w:val="001E42AD"/>
    <w:rsid w:val="001E55A1"/>
    <w:rsid w:val="001F096A"/>
    <w:rsid w:val="001F0B90"/>
    <w:rsid w:val="001F18B7"/>
    <w:rsid w:val="001F2364"/>
    <w:rsid w:val="001F56F4"/>
    <w:rsid w:val="001F7477"/>
    <w:rsid w:val="00200CB5"/>
    <w:rsid w:val="00201EDE"/>
    <w:rsid w:val="002123B8"/>
    <w:rsid w:val="00214C0F"/>
    <w:rsid w:val="002200D8"/>
    <w:rsid w:val="002213AA"/>
    <w:rsid w:val="00221430"/>
    <w:rsid w:val="00221EB9"/>
    <w:rsid w:val="00222BC5"/>
    <w:rsid w:val="00227F0E"/>
    <w:rsid w:val="00230706"/>
    <w:rsid w:val="00232B1B"/>
    <w:rsid w:val="00232DF7"/>
    <w:rsid w:val="00233478"/>
    <w:rsid w:val="002356D9"/>
    <w:rsid w:val="00236DFB"/>
    <w:rsid w:val="00241CFA"/>
    <w:rsid w:val="00244BC9"/>
    <w:rsid w:val="002476F2"/>
    <w:rsid w:val="00247EBC"/>
    <w:rsid w:val="00253F79"/>
    <w:rsid w:val="002570FB"/>
    <w:rsid w:val="0026269A"/>
    <w:rsid w:val="00266990"/>
    <w:rsid w:val="00271EF4"/>
    <w:rsid w:val="00274467"/>
    <w:rsid w:val="0027683E"/>
    <w:rsid w:val="0027754C"/>
    <w:rsid w:val="00283BFF"/>
    <w:rsid w:val="00286A0D"/>
    <w:rsid w:val="002913ED"/>
    <w:rsid w:val="00293111"/>
    <w:rsid w:val="00293F34"/>
    <w:rsid w:val="00295050"/>
    <w:rsid w:val="002953E1"/>
    <w:rsid w:val="00295EB7"/>
    <w:rsid w:val="002A352B"/>
    <w:rsid w:val="002A725B"/>
    <w:rsid w:val="002B093B"/>
    <w:rsid w:val="002B4655"/>
    <w:rsid w:val="002C0782"/>
    <w:rsid w:val="002C0DA6"/>
    <w:rsid w:val="002C248B"/>
    <w:rsid w:val="002C2F20"/>
    <w:rsid w:val="002C3322"/>
    <w:rsid w:val="002C5E41"/>
    <w:rsid w:val="002C6711"/>
    <w:rsid w:val="002D0023"/>
    <w:rsid w:val="002D5CAD"/>
    <w:rsid w:val="002D7472"/>
    <w:rsid w:val="002E034F"/>
    <w:rsid w:val="002E36BA"/>
    <w:rsid w:val="002E3C82"/>
    <w:rsid w:val="002E7379"/>
    <w:rsid w:val="002F0CAD"/>
    <w:rsid w:val="002F30F7"/>
    <w:rsid w:val="002F3E65"/>
    <w:rsid w:val="002F405E"/>
    <w:rsid w:val="002F4935"/>
    <w:rsid w:val="002F5C7C"/>
    <w:rsid w:val="002F641C"/>
    <w:rsid w:val="00300112"/>
    <w:rsid w:val="003023A8"/>
    <w:rsid w:val="003056DE"/>
    <w:rsid w:val="00306736"/>
    <w:rsid w:val="0031780A"/>
    <w:rsid w:val="0032632B"/>
    <w:rsid w:val="00331FD7"/>
    <w:rsid w:val="003334C6"/>
    <w:rsid w:val="00334904"/>
    <w:rsid w:val="00337481"/>
    <w:rsid w:val="003376ED"/>
    <w:rsid w:val="00343643"/>
    <w:rsid w:val="00344C60"/>
    <w:rsid w:val="00353E6D"/>
    <w:rsid w:val="003568D6"/>
    <w:rsid w:val="00357252"/>
    <w:rsid w:val="00361948"/>
    <w:rsid w:val="003625D4"/>
    <w:rsid w:val="00364E7B"/>
    <w:rsid w:val="003665B8"/>
    <w:rsid w:val="003725EE"/>
    <w:rsid w:val="003856AE"/>
    <w:rsid w:val="00395C37"/>
    <w:rsid w:val="00395E45"/>
    <w:rsid w:val="00397094"/>
    <w:rsid w:val="003A23FA"/>
    <w:rsid w:val="003A3343"/>
    <w:rsid w:val="003A3DE2"/>
    <w:rsid w:val="003A4EF3"/>
    <w:rsid w:val="003B49ED"/>
    <w:rsid w:val="003B6C91"/>
    <w:rsid w:val="003C0E57"/>
    <w:rsid w:val="003C1A04"/>
    <w:rsid w:val="003C729F"/>
    <w:rsid w:val="003D08BB"/>
    <w:rsid w:val="003D205A"/>
    <w:rsid w:val="003D2490"/>
    <w:rsid w:val="003D79BB"/>
    <w:rsid w:val="003E6B4D"/>
    <w:rsid w:val="003E74C9"/>
    <w:rsid w:val="003F25BB"/>
    <w:rsid w:val="003F4A59"/>
    <w:rsid w:val="00403FA6"/>
    <w:rsid w:val="004101B0"/>
    <w:rsid w:val="00411202"/>
    <w:rsid w:val="00413357"/>
    <w:rsid w:val="00413C13"/>
    <w:rsid w:val="00414464"/>
    <w:rsid w:val="00415251"/>
    <w:rsid w:val="00415856"/>
    <w:rsid w:val="00427C6E"/>
    <w:rsid w:val="004345EE"/>
    <w:rsid w:val="00434D25"/>
    <w:rsid w:val="004432C4"/>
    <w:rsid w:val="0044394A"/>
    <w:rsid w:val="00444280"/>
    <w:rsid w:val="00444888"/>
    <w:rsid w:val="00445DAD"/>
    <w:rsid w:val="00446E92"/>
    <w:rsid w:val="004470B4"/>
    <w:rsid w:val="00450550"/>
    <w:rsid w:val="00450F57"/>
    <w:rsid w:val="00456A2B"/>
    <w:rsid w:val="00457793"/>
    <w:rsid w:val="004665B0"/>
    <w:rsid w:val="0047089C"/>
    <w:rsid w:val="00471F97"/>
    <w:rsid w:val="004733B2"/>
    <w:rsid w:val="0047741E"/>
    <w:rsid w:val="00480D2F"/>
    <w:rsid w:val="004830DC"/>
    <w:rsid w:val="0048721A"/>
    <w:rsid w:val="00487B87"/>
    <w:rsid w:val="00487C6B"/>
    <w:rsid w:val="00490D11"/>
    <w:rsid w:val="00493DD9"/>
    <w:rsid w:val="00494814"/>
    <w:rsid w:val="004A36E5"/>
    <w:rsid w:val="004A3B7F"/>
    <w:rsid w:val="004B26EF"/>
    <w:rsid w:val="004B31EF"/>
    <w:rsid w:val="004B7E8E"/>
    <w:rsid w:val="004C3208"/>
    <w:rsid w:val="004C3C5F"/>
    <w:rsid w:val="004C5451"/>
    <w:rsid w:val="004C5C74"/>
    <w:rsid w:val="004C7946"/>
    <w:rsid w:val="004D07A4"/>
    <w:rsid w:val="004E0BBC"/>
    <w:rsid w:val="004E2A6E"/>
    <w:rsid w:val="004F0530"/>
    <w:rsid w:val="004F4BCE"/>
    <w:rsid w:val="004F5376"/>
    <w:rsid w:val="00500D5E"/>
    <w:rsid w:val="0050228B"/>
    <w:rsid w:val="005052A7"/>
    <w:rsid w:val="00512214"/>
    <w:rsid w:val="00513CC8"/>
    <w:rsid w:val="0051491B"/>
    <w:rsid w:val="00515869"/>
    <w:rsid w:val="00515F5E"/>
    <w:rsid w:val="00517EC0"/>
    <w:rsid w:val="00524C2C"/>
    <w:rsid w:val="0052605E"/>
    <w:rsid w:val="00531594"/>
    <w:rsid w:val="00532CEA"/>
    <w:rsid w:val="00533D70"/>
    <w:rsid w:val="00534DFB"/>
    <w:rsid w:val="005513D0"/>
    <w:rsid w:val="00554E46"/>
    <w:rsid w:val="00554E82"/>
    <w:rsid w:val="00565432"/>
    <w:rsid w:val="00566FD5"/>
    <w:rsid w:val="005676E5"/>
    <w:rsid w:val="00570BB8"/>
    <w:rsid w:val="00576739"/>
    <w:rsid w:val="00584669"/>
    <w:rsid w:val="00587081"/>
    <w:rsid w:val="00587AD0"/>
    <w:rsid w:val="005900E2"/>
    <w:rsid w:val="00590632"/>
    <w:rsid w:val="0059069E"/>
    <w:rsid w:val="005929C3"/>
    <w:rsid w:val="00594E71"/>
    <w:rsid w:val="005A007F"/>
    <w:rsid w:val="005A0F1F"/>
    <w:rsid w:val="005A33F0"/>
    <w:rsid w:val="005A6433"/>
    <w:rsid w:val="005A7AF4"/>
    <w:rsid w:val="005B0185"/>
    <w:rsid w:val="005B04A8"/>
    <w:rsid w:val="005B04C3"/>
    <w:rsid w:val="005B4F28"/>
    <w:rsid w:val="005B7BC6"/>
    <w:rsid w:val="005C55C8"/>
    <w:rsid w:val="005C5DAB"/>
    <w:rsid w:val="005C5FA3"/>
    <w:rsid w:val="005C65C3"/>
    <w:rsid w:val="005D08A7"/>
    <w:rsid w:val="005D1C9E"/>
    <w:rsid w:val="005D3BC2"/>
    <w:rsid w:val="005D4F8B"/>
    <w:rsid w:val="005E0B91"/>
    <w:rsid w:val="005E77C1"/>
    <w:rsid w:val="005F1EFB"/>
    <w:rsid w:val="005F2FBA"/>
    <w:rsid w:val="005F6706"/>
    <w:rsid w:val="00600A02"/>
    <w:rsid w:val="00600BD2"/>
    <w:rsid w:val="006128B2"/>
    <w:rsid w:val="00613ECA"/>
    <w:rsid w:val="006241F8"/>
    <w:rsid w:val="0062523A"/>
    <w:rsid w:val="00630B8E"/>
    <w:rsid w:val="00631DA8"/>
    <w:rsid w:val="00633864"/>
    <w:rsid w:val="00635ED2"/>
    <w:rsid w:val="006377D8"/>
    <w:rsid w:val="00641282"/>
    <w:rsid w:val="006540D2"/>
    <w:rsid w:val="00654909"/>
    <w:rsid w:val="00656733"/>
    <w:rsid w:val="00666CEE"/>
    <w:rsid w:val="0067145A"/>
    <w:rsid w:val="00672874"/>
    <w:rsid w:val="00673209"/>
    <w:rsid w:val="00676409"/>
    <w:rsid w:val="00677D55"/>
    <w:rsid w:val="00680C13"/>
    <w:rsid w:val="00694C84"/>
    <w:rsid w:val="006955A3"/>
    <w:rsid w:val="006B083F"/>
    <w:rsid w:val="006B137D"/>
    <w:rsid w:val="006B2D5B"/>
    <w:rsid w:val="006B48FF"/>
    <w:rsid w:val="006C0AA8"/>
    <w:rsid w:val="006C4D26"/>
    <w:rsid w:val="006C66E8"/>
    <w:rsid w:val="006D22CF"/>
    <w:rsid w:val="006D6EBD"/>
    <w:rsid w:val="006E159B"/>
    <w:rsid w:val="006E1DFD"/>
    <w:rsid w:val="006E4F89"/>
    <w:rsid w:val="006E5D79"/>
    <w:rsid w:val="006F26C7"/>
    <w:rsid w:val="006F33DA"/>
    <w:rsid w:val="006F5CD1"/>
    <w:rsid w:val="00701724"/>
    <w:rsid w:val="007038AF"/>
    <w:rsid w:val="00705579"/>
    <w:rsid w:val="007060B2"/>
    <w:rsid w:val="007163E6"/>
    <w:rsid w:val="00725E44"/>
    <w:rsid w:val="007272D1"/>
    <w:rsid w:val="007300B3"/>
    <w:rsid w:val="007347F9"/>
    <w:rsid w:val="0073506C"/>
    <w:rsid w:val="00736C27"/>
    <w:rsid w:val="007421B8"/>
    <w:rsid w:val="00742B28"/>
    <w:rsid w:val="007445A8"/>
    <w:rsid w:val="00756BE0"/>
    <w:rsid w:val="007603ED"/>
    <w:rsid w:val="0076535E"/>
    <w:rsid w:val="00780149"/>
    <w:rsid w:val="00782DCD"/>
    <w:rsid w:val="0078772D"/>
    <w:rsid w:val="00797209"/>
    <w:rsid w:val="007A5AF7"/>
    <w:rsid w:val="007A6113"/>
    <w:rsid w:val="007B529B"/>
    <w:rsid w:val="007B7AC3"/>
    <w:rsid w:val="007C32BF"/>
    <w:rsid w:val="007C5E46"/>
    <w:rsid w:val="007C66F3"/>
    <w:rsid w:val="007D00E6"/>
    <w:rsid w:val="007D26C3"/>
    <w:rsid w:val="007D2EF7"/>
    <w:rsid w:val="007D436E"/>
    <w:rsid w:val="007D5E97"/>
    <w:rsid w:val="007E0D8A"/>
    <w:rsid w:val="007E640A"/>
    <w:rsid w:val="007E7453"/>
    <w:rsid w:val="007F1D30"/>
    <w:rsid w:val="007F41F8"/>
    <w:rsid w:val="007F773F"/>
    <w:rsid w:val="00802160"/>
    <w:rsid w:val="00803BFB"/>
    <w:rsid w:val="00810A96"/>
    <w:rsid w:val="00811E58"/>
    <w:rsid w:val="00812301"/>
    <w:rsid w:val="008143EC"/>
    <w:rsid w:val="00816F96"/>
    <w:rsid w:val="00817365"/>
    <w:rsid w:val="00820173"/>
    <w:rsid w:val="0082124B"/>
    <w:rsid w:val="00824ED3"/>
    <w:rsid w:val="008250BA"/>
    <w:rsid w:val="00841F27"/>
    <w:rsid w:val="00842D7E"/>
    <w:rsid w:val="0084303A"/>
    <w:rsid w:val="008530FC"/>
    <w:rsid w:val="00855994"/>
    <w:rsid w:val="00856707"/>
    <w:rsid w:val="008634BD"/>
    <w:rsid w:val="00867915"/>
    <w:rsid w:val="00881CBE"/>
    <w:rsid w:val="00883041"/>
    <w:rsid w:val="008833AD"/>
    <w:rsid w:val="0088425D"/>
    <w:rsid w:val="008B0A71"/>
    <w:rsid w:val="008B0CCF"/>
    <w:rsid w:val="008B14CD"/>
    <w:rsid w:val="008B6230"/>
    <w:rsid w:val="008C00AE"/>
    <w:rsid w:val="008C1CB2"/>
    <w:rsid w:val="008C4024"/>
    <w:rsid w:val="008C6BC7"/>
    <w:rsid w:val="008D4B3A"/>
    <w:rsid w:val="008D52BD"/>
    <w:rsid w:val="008E05A7"/>
    <w:rsid w:val="008E6E94"/>
    <w:rsid w:val="008E7655"/>
    <w:rsid w:val="008F6EF7"/>
    <w:rsid w:val="008F711B"/>
    <w:rsid w:val="00900535"/>
    <w:rsid w:val="00902C25"/>
    <w:rsid w:val="00906819"/>
    <w:rsid w:val="00913164"/>
    <w:rsid w:val="0092238A"/>
    <w:rsid w:val="00923E07"/>
    <w:rsid w:val="00924DFC"/>
    <w:rsid w:val="0092686E"/>
    <w:rsid w:val="009312F1"/>
    <w:rsid w:val="00932D78"/>
    <w:rsid w:val="0094390D"/>
    <w:rsid w:val="00944F95"/>
    <w:rsid w:val="0094509B"/>
    <w:rsid w:val="0094517B"/>
    <w:rsid w:val="00946E0D"/>
    <w:rsid w:val="00953EDD"/>
    <w:rsid w:val="00954D76"/>
    <w:rsid w:val="00957B46"/>
    <w:rsid w:val="00960A67"/>
    <w:rsid w:val="009658D5"/>
    <w:rsid w:val="0096666B"/>
    <w:rsid w:val="00967F31"/>
    <w:rsid w:val="009738AE"/>
    <w:rsid w:val="00973DE4"/>
    <w:rsid w:val="00973E82"/>
    <w:rsid w:val="00974AFC"/>
    <w:rsid w:val="009844B9"/>
    <w:rsid w:val="009852B7"/>
    <w:rsid w:val="009A1489"/>
    <w:rsid w:val="009A1E1A"/>
    <w:rsid w:val="009A27AC"/>
    <w:rsid w:val="009B11E7"/>
    <w:rsid w:val="009B15CB"/>
    <w:rsid w:val="009B3BC7"/>
    <w:rsid w:val="009B513C"/>
    <w:rsid w:val="009B6F37"/>
    <w:rsid w:val="009C352F"/>
    <w:rsid w:val="009C451A"/>
    <w:rsid w:val="009C7060"/>
    <w:rsid w:val="009C7F55"/>
    <w:rsid w:val="009D3942"/>
    <w:rsid w:val="009D5AC4"/>
    <w:rsid w:val="009E0C70"/>
    <w:rsid w:val="009E14B3"/>
    <w:rsid w:val="009E3BA7"/>
    <w:rsid w:val="009F136F"/>
    <w:rsid w:val="009F1CCD"/>
    <w:rsid w:val="009F2120"/>
    <w:rsid w:val="009F308B"/>
    <w:rsid w:val="009F616E"/>
    <w:rsid w:val="009F6869"/>
    <w:rsid w:val="009F6CFB"/>
    <w:rsid w:val="009F6D6D"/>
    <w:rsid w:val="00A008B4"/>
    <w:rsid w:val="00A02532"/>
    <w:rsid w:val="00A03054"/>
    <w:rsid w:val="00A04B1E"/>
    <w:rsid w:val="00A06351"/>
    <w:rsid w:val="00A06841"/>
    <w:rsid w:val="00A10FBC"/>
    <w:rsid w:val="00A116AE"/>
    <w:rsid w:val="00A175D6"/>
    <w:rsid w:val="00A23DF1"/>
    <w:rsid w:val="00A23F07"/>
    <w:rsid w:val="00A24B3E"/>
    <w:rsid w:val="00A27235"/>
    <w:rsid w:val="00A278D6"/>
    <w:rsid w:val="00A27B71"/>
    <w:rsid w:val="00A31CD3"/>
    <w:rsid w:val="00A326E2"/>
    <w:rsid w:val="00A32CC6"/>
    <w:rsid w:val="00A33CDF"/>
    <w:rsid w:val="00A3739B"/>
    <w:rsid w:val="00A37EC4"/>
    <w:rsid w:val="00A4362B"/>
    <w:rsid w:val="00A51BC6"/>
    <w:rsid w:val="00A52612"/>
    <w:rsid w:val="00A541FD"/>
    <w:rsid w:val="00A60DFC"/>
    <w:rsid w:val="00A6647B"/>
    <w:rsid w:val="00A67EF4"/>
    <w:rsid w:val="00A71CBD"/>
    <w:rsid w:val="00A7338F"/>
    <w:rsid w:val="00A8054E"/>
    <w:rsid w:val="00A83026"/>
    <w:rsid w:val="00A83CFF"/>
    <w:rsid w:val="00A84F60"/>
    <w:rsid w:val="00A92AC7"/>
    <w:rsid w:val="00A93FF1"/>
    <w:rsid w:val="00A94966"/>
    <w:rsid w:val="00A962BC"/>
    <w:rsid w:val="00A96327"/>
    <w:rsid w:val="00A9668A"/>
    <w:rsid w:val="00AA05FF"/>
    <w:rsid w:val="00AA0765"/>
    <w:rsid w:val="00AA2BD5"/>
    <w:rsid w:val="00AA58D3"/>
    <w:rsid w:val="00AB3680"/>
    <w:rsid w:val="00AB42C6"/>
    <w:rsid w:val="00AB6AC1"/>
    <w:rsid w:val="00AB7D6C"/>
    <w:rsid w:val="00AB7F2C"/>
    <w:rsid w:val="00AC485F"/>
    <w:rsid w:val="00AC60DF"/>
    <w:rsid w:val="00AC66B6"/>
    <w:rsid w:val="00AD01B0"/>
    <w:rsid w:val="00AD115A"/>
    <w:rsid w:val="00AD180E"/>
    <w:rsid w:val="00AD2C01"/>
    <w:rsid w:val="00AE1B35"/>
    <w:rsid w:val="00AE4AE7"/>
    <w:rsid w:val="00AE6820"/>
    <w:rsid w:val="00AF2AA1"/>
    <w:rsid w:val="00AF2BF2"/>
    <w:rsid w:val="00AF3755"/>
    <w:rsid w:val="00AF4F3C"/>
    <w:rsid w:val="00AF7046"/>
    <w:rsid w:val="00B05CEF"/>
    <w:rsid w:val="00B13D59"/>
    <w:rsid w:val="00B14E3F"/>
    <w:rsid w:val="00B270B9"/>
    <w:rsid w:val="00B303A5"/>
    <w:rsid w:val="00B31EEB"/>
    <w:rsid w:val="00B33512"/>
    <w:rsid w:val="00B406E6"/>
    <w:rsid w:val="00B5132F"/>
    <w:rsid w:val="00B5758E"/>
    <w:rsid w:val="00B6311A"/>
    <w:rsid w:val="00B6477D"/>
    <w:rsid w:val="00B66C65"/>
    <w:rsid w:val="00B705E5"/>
    <w:rsid w:val="00B740A7"/>
    <w:rsid w:val="00B74E8B"/>
    <w:rsid w:val="00B75C18"/>
    <w:rsid w:val="00B75FEE"/>
    <w:rsid w:val="00B770B2"/>
    <w:rsid w:val="00B81214"/>
    <w:rsid w:val="00BA0479"/>
    <w:rsid w:val="00BA412D"/>
    <w:rsid w:val="00BA47E0"/>
    <w:rsid w:val="00BA7959"/>
    <w:rsid w:val="00BB4271"/>
    <w:rsid w:val="00BB5037"/>
    <w:rsid w:val="00BC5CED"/>
    <w:rsid w:val="00BD0F89"/>
    <w:rsid w:val="00BD1E81"/>
    <w:rsid w:val="00BD77BE"/>
    <w:rsid w:val="00BD7A22"/>
    <w:rsid w:val="00BE00F1"/>
    <w:rsid w:val="00BE264B"/>
    <w:rsid w:val="00BE3C78"/>
    <w:rsid w:val="00BE6430"/>
    <w:rsid w:val="00BE75DC"/>
    <w:rsid w:val="00BF189C"/>
    <w:rsid w:val="00BF3095"/>
    <w:rsid w:val="00BF4790"/>
    <w:rsid w:val="00C030D2"/>
    <w:rsid w:val="00C0510A"/>
    <w:rsid w:val="00C10D6A"/>
    <w:rsid w:val="00C110FB"/>
    <w:rsid w:val="00C128FF"/>
    <w:rsid w:val="00C139CA"/>
    <w:rsid w:val="00C27D83"/>
    <w:rsid w:val="00C42E58"/>
    <w:rsid w:val="00C443EF"/>
    <w:rsid w:val="00C4624A"/>
    <w:rsid w:val="00C47938"/>
    <w:rsid w:val="00C5088F"/>
    <w:rsid w:val="00C51648"/>
    <w:rsid w:val="00C532EB"/>
    <w:rsid w:val="00C54986"/>
    <w:rsid w:val="00C557D6"/>
    <w:rsid w:val="00C561C1"/>
    <w:rsid w:val="00C56D52"/>
    <w:rsid w:val="00C57F88"/>
    <w:rsid w:val="00C70452"/>
    <w:rsid w:val="00C72F19"/>
    <w:rsid w:val="00C731FD"/>
    <w:rsid w:val="00C740BC"/>
    <w:rsid w:val="00C75FFF"/>
    <w:rsid w:val="00C77C2C"/>
    <w:rsid w:val="00C8155F"/>
    <w:rsid w:val="00C8405D"/>
    <w:rsid w:val="00C8596E"/>
    <w:rsid w:val="00C87990"/>
    <w:rsid w:val="00C96383"/>
    <w:rsid w:val="00CA16B4"/>
    <w:rsid w:val="00CA2AF6"/>
    <w:rsid w:val="00CA4364"/>
    <w:rsid w:val="00CA6D90"/>
    <w:rsid w:val="00CA7B4A"/>
    <w:rsid w:val="00CB2F25"/>
    <w:rsid w:val="00CC16D9"/>
    <w:rsid w:val="00CC3F8D"/>
    <w:rsid w:val="00CC52A8"/>
    <w:rsid w:val="00CC6A15"/>
    <w:rsid w:val="00CC72A5"/>
    <w:rsid w:val="00CD146E"/>
    <w:rsid w:val="00CD2ED1"/>
    <w:rsid w:val="00CD3908"/>
    <w:rsid w:val="00CD4025"/>
    <w:rsid w:val="00CD4031"/>
    <w:rsid w:val="00CD5F6C"/>
    <w:rsid w:val="00CE2887"/>
    <w:rsid w:val="00CF2498"/>
    <w:rsid w:val="00D042E5"/>
    <w:rsid w:val="00D11211"/>
    <w:rsid w:val="00D12C80"/>
    <w:rsid w:val="00D13613"/>
    <w:rsid w:val="00D17E68"/>
    <w:rsid w:val="00D21E6B"/>
    <w:rsid w:val="00D2462F"/>
    <w:rsid w:val="00D24757"/>
    <w:rsid w:val="00D26A54"/>
    <w:rsid w:val="00D354B7"/>
    <w:rsid w:val="00D36922"/>
    <w:rsid w:val="00D44FCA"/>
    <w:rsid w:val="00D50329"/>
    <w:rsid w:val="00D522C0"/>
    <w:rsid w:val="00D52E91"/>
    <w:rsid w:val="00D53FDE"/>
    <w:rsid w:val="00D54AEE"/>
    <w:rsid w:val="00D6259D"/>
    <w:rsid w:val="00D62D87"/>
    <w:rsid w:val="00D631E3"/>
    <w:rsid w:val="00D66646"/>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732"/>
    <w:rsid w:val="00DB2809"/>
    <w:rsid w:val="00DB4D60"/>
    <w:rsid w:val="00DB684E"/>
    <w:rsid w:val="00DC2DF2"/>
    <w:rsid w:val="00DC516E"/>
    <w:rsid w:val="00DD64B9"/>
    <w:rsid w:val="00DE1ED3"/>
    <w:rsid w:val="00DE2213"/>
    <w:rsid w:val="00DE45F5"/>
    <w:rsid w:val="00DE55CB"/>
    <w:rsid w:val="00DF015E"/>
    <w:rsid w:val="00DF4233"/>
    <w:rsid w:val="00DF4375"/>
    <w:rsid w:val="00E0190B"/>
    <w:rsid w:val="00E05251"/>
    <w:rsid w:val="00E07461"/>
    <w:rsid w:val="00E147E8"/>
    <w:rsid w:val="00E14A9B"/>
    <w:rsid w:val="00E17A65"/>
    <w:rsid w:val="00E20CEF"/>
    <w:rsid w:val="00E220E3"/>
    <w:rsid w:val="00E229C1"/>
    <w:rsid w:val="00E248AE"/>
    <w:rsid w:val="00E25E23"/>
    <w:rsid w:val="00E31823"/>
    <w:rsid w:val="00E3186C"/>
    <w:rsid w:val="00E33205"/>
    <w:rsid w:val="00E41507"/>
    <w:rsid w:val="00E44F78"/>
    <w:rsid w:val="00E45830"/>
    <w:rsid w:val="00E47DBC"/>
    <w:rsid w:val="00E47DF9"/>
    <w:rsid w:val="00E47F59"/>
    <w:rsid w:val="00E53F53"/>
    <w:rsid w:val="00E55236"/>
    <w:rsid w:val="00E5589D"/>
    <w:rsid w:val="00E55FFB"/>
    <w:rsid w:val="00E603B8"/>
    <w:rsid w:val="00E62B7D"/>
    <w:rsid w:val="00E64B16"/>
    <w:rsid w:val="00E6521C"/>
    <w:rsid w:val="00E71432"/>
    <w:rsid w:val="00E72FAA"/>
    <w:rsid w:val="00E742EF"/>
    <w:rsid w:val="00E83743"/>
    <w:rsid w:val="00E837F5"/>
    <w:rsid w:val="00E85160"/>
    <w:rsid w:val="00E90F63"/>
    <w:rsid w:val="00E9381D"/>
    <w:rsid w:val="00E96DA4"/>
    <w:rsid w:val="00E96FA8"/>
    <w:rsid w:val="00EA0F6E"/>
    <w:rsid w:val="00EA13DC"/>
    <w:rsid w:val="00EA431C"/>
    <w:rsid w:val="00EA483D"/>
    <w:rsid w:val="00EA5213"/>
    <w:rsid w:val="00EB1F54"/>
    <w:rsid w:val="00EB4AFD"/>
    <w:rsid w:val="00EB790F"/>
    <w:rsid w:val="00EC2F1A"/>
    <w:rsid w:val="00EC66AC"/>
    <w:rsid w:val="00ED0585"/>
    <w:rsid w:val="00ED24E5"/>
    <w:rsid w:val="00ED4466"/>
    <w:rsid w:val="00ED4806"/>
    <w:rsid w:val="00ED6497"/>
    <w:rsid w:val="00EE2A51"/>
    <w:rsid w:val="00EE3F5A"/>
    <w:rsid w:val="00EE3F87"/>
    <w:rsid w:val="00EF280E"/>
    <w:rsid w:val="00F00BB4"/>
    <w:rsid w:val="00F03B07"/>
    <w:rsid w:val="00F04C98"/>
    <w:rsid w:val="00F0627E"/>
    <w:rsid w:val="00F14E3D"/>
    <w:rsid w:val="00F1537F"/>
    <w:rsid w:val="00F16E26"/>
    <w:rsid w:val="00F176BF"/>
    <w:rsid w:val="00F20B97"/>
    <w:rsid w:val="00F22B61"/>
    <w:rsid w:val="00F22C78"/>
    <w:rsid w:val="00F24965"/>
    <w:rsid w:val="00F2523E"/>
    <w:rsid w:val="00F271DD"/>
    <w:rsid w:val="00F33D5A"/>
    <w:rsid w:val="00F34348"/>
    <w:rsid w:val="00F35B01"/>
    <w:rsid w:val="00F4048B"/>
    <w:rsid w:val="00F42B4E"/>
    <w:rsid w:val="00F42BCC"/>
    <w:rsid w:val="00F43C6B"/>
    <w:rsid w:val="00F44E01"/>
    <w:rsid w:val="00F45526"/>
    <w:rsid w:val="00F4797B"/>
    <w:rsid w:val="00F50DEC"/>
    <w:rsid w:val="00F552DF"/>
    <w:rsid w:val="00F56391"/>
    <w:rsid w:val="00F60F4E"/>
    <w:rsid w:val="00F63B33"/>
    <w:rsid w:val="00F74D83"/>
    <w:rsid w:val="00F75CD2"/>
    <w:rsid w:val="00F8004A"/>
    <w:rsid w:val="00F8110F"/>
    <w:rsid w:val="00F830D4"/>
    <w:rsid w:val="00F83E09"/>
    <w:rsid w:val="00F84151"/>
    <w:rsid w:val="00F86665"/>
    <w:rsid w:val="00F90E4B"/>
    <w:rsid w:val="00F958BA"/>
    <w:rsid w:val="00F97AD7"/>
    <w:rsid w:val="00F97BD8"/>
    <w:rsid w:val="00FA2D8C"/>
    <w:rsid w:val="00FB5639"/>
    <w:rsid w:val="00FB6F1D"/>
    <w:rsid w:val="00FD1DA6"/>
    <w:rsid w:val="00FD484D"/>
    <w:rsid w:val="00FD504F"/>
    <w:rsid w:val="00FE19F4"/>
    <w:rsid w:val="00FE4084"/>
    <w:rsid w:val="00FE4B4B"/>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553929959">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ferc.gov/idmws/common/opennat.asp?fileID=15278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2019-07-17T04:00:00+00:00</Date>
    <Status xmlns="d6eefc7d-9817-4fa6-84d5-3bc009be21b8">Draft</Status>
    <_x0032__x002e__x0020_Docket_x0020_Number xmlns="d6eefc7d-9817-4fa6-84d5-3bc009be21b8" xsi:nil="true"/>
    <_x0032__x002e__x0020_Collection_x0020_Number xmlns="d6eefc7d-9817-4fa6-84d5-3bc009be21b8">1F</_x0032__x002e__x0020_Collection_x0020_Number>
    <_x0031__x002e__x0020_Docket_x0020_Number xmlns="d6eefc7d-9817-4fa6-84d5-3bc009be21b8">IC19-22</_x0031__x002e__x0020_Docket_x0020_Number>
    <_x0033__x002e__x0020_Collection_x0020_Number xmlns="d6eefc7d-9817-4fa6-84d5-3bc009be21b8">3Q</_x0033__x002e__x0020_Collection_x0020_Number>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13E93-6970-43CE-8D04-9EEB0D8A3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B9602-0331-48FF-8DAC-FAAE3F122AB8}">
  <ds:schemaRefs>
    <ds:schemaRef ds:uri="http://schemas.microsoft.com/office/2006/metadata/customXsn"/>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9DF57017-6D35-4700-942D-9BCDC1A55FC4}">
  <ds:schemaRefs>
    <ds:schemaRef ds:uri="http://schemas.microsoft.com/office/2006/documentManagement/types"/>
    <ds:schemaRef ds:uri="http://purl.org/dc/dcmitype/"/>
    <ds:schemaRef ds:uri="d6eefc7d-9817-4fa6-84d5-3bc009be21b8"/>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2D0448F9-BBE8-47D6-ACCE-55399A47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2019-06-28T18:16:00Z</cp:lastPrinted>
  <dcterms:created xsi:type="dcterms:W3CDTF">2019-07-17T13:41:00Z</dcterms:created>
  <dcterms:modified xsi:type="dcterms:W3CDTF">2019-07-17T13:41:00Z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