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6CA1" w:rsidR="00B36CA1" w:rsidRDefault="00710FA1">
      <w:pPr>
        <w:tabs>
          <w:tab w:val="center" w:pos="4680"/>
        </w:tabs>
        <w:rPr>
          <w:rFonts w:ascii="Arial" w:hAnsi="Arial" w:cs="Arial"/>
          <w:bCs/>
        </w:rPr>
      </w:pPr>
      <w:r w:rsidRPr="00071871">
        <w:rPr>
          <w:rFonts w:ascii="Arial" w:hAnsi="Arial" w:cs="Arial"/>
          <w:bCs/>
        </w:rPr>
        <w:tab/>
      </w:r>
      <w:r w:rsidRPr="00B36CA1" w:rsidR="00B36CA1">
        <w:rPr>
          <w:rFonts w:ascii="Arial" w:hAnsi="Arial" w:cs="Arial"/>
          <w:bCs/>
        </w:rPr>
        <w:t>Internal Revenue Service</w:t>
      </w:r>
    </w:p>
    <w:p w:rsidRPr="00B36CA1" w:rsidR="00B76400" w:rsidRDefault="00B36CA1">
      <w:pPr>
        <w:tabs>
          <w:tab w:val="center" w:pos="4680"/>
        </w:tabs>
        <w:rPr>
          <w:rFonts w:ascii="Arial" w:hAnsi="Arial" w:cs="Arial"/>
          <w:bCs/>
        </w:rPr>
      </w:pPr>
      <w:r w:rsidRPr="00B36CA1">
        <w:rPr>
          <w:rFonts w:ascii="Arial" w:hAnsi="Arial" w:cs="Arial"/>
          <w:bCs/>
        </w:rPr>
        <w:tab/>
      </w:r>
      <w:r w:rsidRPr="00B36CA1" w:rsidR="00B76400">
        <w:rPr>
          <w:rFonts w:ascii="Arial" w:hAnsi="Arial" w:cs="Arial"/>
          <w:bCs/>
        </w:rPr>
        <w:t>OMB Control Number 1545-1558</w:t>
      </w:r>
    </w:p>
    <w:p w:rsidRPr="00B36CA1" w:rsidR="00710FA1" w:rsidP="00B76400" w:rsidRDefault="00710FA1">
      <w:pPr>
        <w:tabs>
          <w:tab w:val="center" w:pos="4680"/>
        </w:tabs>
        <w:jc w:val="center"/>
        <w:rPr>
          <w:rFonts w:ascii="Arial" w:hAnsi="Arial" w:cs="Arial"/>
          <w:bCs/>
        </w:rPr>
      </w:pPr>
      <w:r w:rsidRPr="00B36CA1">
        <w:rPr>
          <w:rFonts w:ascii="Arial" w:hAnsi="Arial" w:cs="Arial"/>
          <w:bCs/>
        </w:rPr>
        <w:t>SUPPORTING STATEMENT</w:t>
      </w:r>
    </w:p>
    <w:p w:rsidRPr="00450BB9" w:rsidR="00B36CA1" w:rsidP="00B36CA1" w:rsidRDefault="00710FA1">
      <w:pPr>
        <w:widowControl/>
        <w:jc w:val="center"/>
        <w:rPr>
          <w:rFonts w:ascii="Arial" w:hAnsi="Arial" w:cs="Arial"/>
          <w:b/>
          <w:bCs/>
        </w:rPr>
      </w:pPr>
      <w:r w:rsidRPr="00450BB9">
        <w:rPr>
          <w:rFonts w:ascii="Arial" w:hAnsi="Arial" w:cs="Arial"/>
          <w:b/>
          <w:bCs/>
        </w:rPr>
        <w:t>Revenue Procedure 97-43</w:t>
      </w:r>
    </w:p>
    <w:p w:rsidRPr="00450BB9" w:rsidR="00710FA1" w:rsidP="00B36CA1" w:rsidRDefault="00B36CA1">
      <w:pPr>
        <w:widowControl/>
        <w:jc w:val="center"/>
        <w:rPr>
          <w:rFonts w:ascii="Arial" w:hAnsi="Arial" w:cs="Arial"/>
          <w:i/>
          <w:iCs/>
          <w:color w:val="231F20"/>
        </w:rPr>
      </w:pPr>
      <w:r w:rsidRPr="00450BB9">
        <w:rPr>
          <w:rFonts w:ascii="Arial" w:hAnsi="Arial" w:cs="Arial"/>
          <w:bCs/>
        </w:rPr>
        <w:t>(26 CFR 601.204</w:t>
      </w:r>
      <w:r w:rsidRPr="00450BB9">
        <w:rPr>
          <w:rFonts w:ascii="Arial" w:hAnsi="Arial" w:cs="Arial"/>
          <w:i/>
          <w:iCs/>
          <w:color w:val="231F20"/>
        </w:rPr>
        <w:t xml:space="preserve"> Changes in accounting periods and in methods of accounting)</w:t>
      </w:r>
    </w:p>
    <w:p w:rsidRPr="00450BB9" w:rsidR="00633BCD" w:rsidP="00633BCD" w:rsidRDefault="00633BCD">
      <w:pPr>
        <w:jc w:val="center"/>
        <w:rPr>
          <w:rFonts w:ascii="Arial" w:hAnsi="Arial" w:cs="Arial"/>
          <w:bCs/>
        </w:rPr>
      </w:pPr>
      <w:r w:rsidRPr="00450BB9">
        <w:rPr>
          <w:rFonts w:ascii="Arial" w:hAnsi="Arial" w:cs="Arial"/>
          <w:bCs/>
        </w:rPr>
        <w:t>&amp;</w:t>
      </w:r>
    </w:p>
    <w:p w:rsidRPr="00450BB9" w:rsidR="00710FA1" w:rsidP="00633BCD" w:rsidRDefault="00633BCD">
      <w:pPr>
        <w:jc w:val="center"/>
        <w:rPr>
          <w:rFonts w:ascii="Arial" w:hAnsi="Arial" w:cs="Arial"/>
          <w:b/>
          <w:bCs/>
        </w:rPr>
      </w:pPr>
      <w:r w:rsidRPr="00450BB9">
        <w:rPr>
          <w:rFonts w:ascii="Arial" w:hAnsi="Arial" w:cs="Arial"/>
          <w:b/>
          <w:bCs/>
        </w:rPr>
        <w:t>Revenue Ruling 97-39</w:t>
      </w:r>
    </w:p>
    <w:p w:rsidRPr="00450BB9" w:rsidR="00710FA1" w:rsidP="00450BB9" w:rsidRDefault="00450BB9">
      <w:pPr>
        <w:widowControl/>
        <w:rPr>
          <w:rFonts w:ascii="Arial" w:hAnsi="Arial" w:cs="Arial"/>
          <w:bCs/>
        </w:rPr>
      </w:pPr>
      <w:r w:rsidRPr="00450BB9">
        <w:rPr>
          <w:rFonts w:ascii="Arial" w:hAnsi="Arial" w:cs="Arial"/>
          <w:bCs/>
          <w:color w:val="231F20"/>
        </w:rPr>
        <w:t>(Section 475—Mark-to-Market Accounting Method for Dealers in Securities)</w:t>
      </w:r>
    </w:p>
    <w:p w:rsidR="00710FA1" w:rsidRDefault="00710FA1">
      <w:pPr>
        <w:rPr>
          <w:rFonts w:ascii="Arial" w:hAnsi="Arial" w:cs="Arial"/>
          <w:bCs/>
        </w:rPr>
      </w:pPr>
    </w:p>
    <w:p w:rsidRPr="00071871" w:rsidR="00450BB9" w:rsidRDefault="00450BB9">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w:t>
      </w:r>
      <w:r w:rsidRPr="00071871">
        <w:rPr>
          <w:rFonts w:ascii="Arial" w:hAnsi="Arial" w:cs="Arial"/>
          <w:bCs/>
        </w:rPr>
        <w:tab/>
      </w:r>
      <w:r w:rsidRPr="00071871">
        <w:rPr>
          <w:rFonts w:ascii="Arial" w:hAnsi="Arial" w:cs="Arial"/>
          <w:bCs/>
          <w:u w:val="single"/>
        </w:rPr>
        <w:t>CIRCUMSTANCES NECESSITATING COLLECTION OF INFORMATION</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 xml:space="preserve">Section 1.475(c)-1 of the Internal Revenue Regulations was filed with the Federal Register on December 23, 1996.  This regulation, among other things, provides certain taxpayers with exemptions from the application of § 475(a) of the Internal Revenue Code which requires dealers in securities to apply mark-to-market accounting (MTM) to securities.  </w:t>
      </w:r>
      <w:r w:rsidRPr="00071871">
        <w:rPr>
          <w:rFonts w:ascii="Arial" w:hAnsi="Arial" w:cs="Arial"/>
          <w:bCs/>
          <w:u w:val="single"/>
        </w:rPr>
        <w:t>See</w:t>
      </w:r>
      <w:r w:rsidRPr="00071871">
        <w:rPr>
          <w:rFonts w:ascii="Arial" w:hAnsi="Arial" w:cs="Arial"/>
          <w:bCs/>
        </w:rPr>
        <w:t xml:space="preserve"> § 1.475(c)-1(a)(3) of the Income Tax Regulations (concerning taxpayers buying securities from or selling securities to members of the same consolidated group); § 1.475(c)-1(b) (concerning sellers of nonfinancial goods and services); and § 1.475(c)-1(c) (concerning taxpayers that engage in no more than negligible sales of securities</w:t>
      </w:r>
      <w:r w:rsidR="00B76400">
        <w:rPr>
          <w:rFonts w:ascii="Arial" w:hAnsi="Arial" w:cs="Arial"/>
          <w:bCs/>
        </w:rPr>
        <w:t>).  The regulation also permits</w:t>
      </w:r>
      <w:r w:rsidRPr="00071871">
        <w:rPr>
          <w:rFonts w:ascii="Arial" w:hAnsi="Arial" w:cs="Arial"/>
          <w:bCs/>
        </w:rPr>
        <w:t xml:space="preserve"> taxpayers to waive application of these exemptions and thus be required to apply MTM to securities.  However, Congress amended Section 475 in 1998, so that Section 1.475(c)-1(b) now has little practicable importance.</w:t>
      </w:r>
    </w:p>
    <w:p w:rsidRPr="00071871" w:rsidR="00710FA1" w:rsidRDefault="00710FA1">
      <w:pPr>
        <w:rPr>
          <w:rFonts w:ascii="Arial" w:hAnsi="Arial" w:cs="Arial"/>
          <w:bCs/>
        </w:rPr>
      </w:pPr>
      <w:r w:rsidRPr="00071871">
        <w:rPr>
          <w:rFonts w:ascii="Arial" w:hAnsi="Arial" w:cs="Arial"/>
          <w:bCs/>
        </w:rPr>
        <w:t xml:space="preserve">  </w:t>
      </w:r>
    </w:p>
    <w:p w:rsidRPr="00071871" w:rsidR="00710FA1" w:rsidRDefault="00710FA1">
      <w:pPr>
        <w:ind w:left="720"/>
        <w:rPr>
          <w:rFonts w:ascii="Arial" w:hAnsi="Arial" w:cs="Arial"/>
          <w:bCs/>
        </w:rPr>
      </w:pPr>
      <w:r w:rsidRPr="00071871">
        <w:rPr>
          <w:rFonts w:ascii="Arial" w:hAnsi="Arial" w:cs="Arial"/>
          <w:bCs/>
        </w:rPr>
        <w:t>A taxpayer's waiving an exemption under § 1.475(c)</w:t>
      </w:r>
      <w:r w:rsidRPr="00071871">
        <w:rPr>
          <w:rFonts w:ascii="Arial" w:hAnsi="Arial" w:cs="Arial"/>
          <w:bCs/>
        </w:rPr>
        <w:noBreakHyphen/>
        <w:t>1 may require the taxpayer to change its accounting method to reflect the application of MTM to securities.  Taxpayers that wish to change an accounting method must obtain the consent of the Commissioner. Section 446(e).  Revenue Procedure 97</w:t>
      </w:r>
      <w:r w:rsidRPr="00071871">
        <w:rPr>
          <w:rFonts w:ascii="Arial" w:hAnsi="Arial" w:cs="Arial"/>
          <w:bCs/>
        </w:rPr>
        <w:noBreakHyphen/>
        <w:t>43 grants automatic consent to taxpayers to change their accounting method to apply MTM to securities if such change results from waiving an exemption under §1.475(c)</w:t>
      </w:r>
      <w:r w:rsidRPr="00071871">
        <w:rPr>
          <w:rFonts w:ascii="Arial" w:hAnsi="Arial" w:cs="Arial"/>
          <w:bCs/>
        </w:rPr>
        <w:noBreakHyphen/>
        <w:t>l and the taxpayer provides certain information in order to obtain such consent.</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Consent is granted to taxpayers that make the waivers at issue after October 31, 1997 if the taxpayer files with the federal income tax return used to make the election a completed Form 3115 with an attached statement reporting prior identifications of securities made pursuant to § 475(b)(2).  An additional copy of these documents must simultaneously be sent to the national office of the Internal Revenue Service.  Consent is granted to taxpayers who have already made the elections at issue or do so on or before October 31, 1997 provided the Form 3115 and attachment is attached to the taxpayer's next-filed tax return and sent to the national office by October 31, 1997.</w:t>
      </w:r>
    </w:p>
    <w:p w:rsidR="00710FA1" w:rsidRDefault="00710FA1">
      <w:pPr>
        <w:rPr>
          <w:rFonts w:ascii="Arial" w:hAnsi="Arial" w:cs="Arial"/>
          <w:bCs/>
        </w:rPr>
      </w:pPr>
    </w:p>
    <w:p w:rsidRPr="00071871" w:rsidR="00056732" w:rsidRDefault="00056732">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lastRenderedPageBreak/>
        <w:t>2.</w:t>
      </w:r>
      <w:r w:rsidRPr="00071871">
        <w:rPr>
          <w:rFonts w:ascii="Arial" w:hAnsi="Arial" w:cs="Arial"/>
          <w:bCs/>
        </w:rPr>
        <w:tab/>
      </w:r>
      <w:r w:rsidRPr="00071871">
        <w:rPr>
          <w:rFonts w:ascii="Arial" w:hAnsi="Arial" w:cs="Arial"/>
          <w:bCs/>
          <w:u w:val="single"/>
        </w:rPr>
        <w:t>USE OF DATA</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The data will be used in conducting audits of taxpayers that elect to elect not to be governed by the exemption.  It will also be used by the Service to determine how many and what kind of taxpayers are using the elections at issue.</w:t>
      </w:r>
    </w:p>
    <w:p w:rsidRPr="00071871" w:rsidR="00710FA1" w:rsidRDefault="00710FA1">
      <w:pPr>
        <w:rPr>
          <w:rFonts w:ascii="Arial" w:hAnsi="Arial" w:cs="Arial"/>
          <w:bCs/>
        </w:rPr>
      </w:pPr>
    </w:p>
    <w:p w:rsidRPr="00071871" w:rsidR="00710FA1" w:rsidRDefault="00710FA1">
      <w:pPr>
        <w:rPr>
          <w:rFonts w:ascii="Arial" w:hAnsi="Arial" w:cs="Arial"/>
          <w:bCs/>
        </w:rPr>
      </w:pPr>
      <w:r w:rsidRPr="00071871">
        <w:rPr>
          <w:rFonts w:ascii="Arial" w:hAnsi="Arial" w:cs="Arial"/>
          <w:bCs/>
        </w:rPr>
        <w:t xml:space="preserve">  </w:t>
      </w:r>
    </w:p>
    <w:p w:rsidRPr="00071871" w:rsidR="00710FA1" w:rsidRDefault="00710FA1">
      <w:pPr>
        <w:tabs>
          <w:tab w:val="left" w:pos="-1440"/>
        </w:tabs>
        <w:ind w:left="720" w:hanging="720"/>
        <w:rPr>
          <w:rFonts w:ascii="Arial" w:hAnsi="Arial" w:cs="Arial"/>
          <w:bCs/>
        </w:rPr>
      </w:pPr>
      <w:r w:rsidRPr="00071871">
        <w:rPr>
          <w:rFonts w:ascii="Arial" w:hAnsi="Arial" w:cs="Arial"/>
          <w:bCs/>
        </w:rPr>
        <w:t>3.</w:t>
      </w:r>
      <w:r w:rsidRPr="00071871">
        <w:rPr>
          <w:rFonts w:ascii="Arial" w:hAnsi="Arial" w:cs="Arial"/>
          <w:bCs/>
        </w:rPr>
        <w:tab/>
      </w:r>
      <w:r w:rsidRPr="00071871">
        <w:rPr>
          <w:rFonts w:ascii="Arial" w:hAnsi="Arial" w:cs="Arial"/>
          <w:bCs/>
          <w:u w:val="single"/>
        </w:rPr>
        <w:t>USE OF IMPROVED INFORMATION TECHNOLOGY TO REDUCE BURDEN</w:t>
      </w:r>
    </w:p>
    <w:p w:rsidRPr="00071871" w:rsidR="00710FA1" w:rsidRDefault="00710FA1">
      <w:pPr>
        <w:rPr>
          <w:rFonts w:ascii="Arial" w:hAnsi="Arial" w:cs="Arial"/>
          <w:bCs/>
        </w:rPr>
      </w:pPr>
    </w:p>
    <w:p w:rsidRPr="000E4EE1" w:rsidR="00710FA1" w:rsidRDefault="001939A8">
      <w:pPr>
        <w:ind w:left="720"/>
        <w:rPr>
          <w:rFonts w:ascii="Arial" w:hAnsi="Arial" w:cs="Arial"/>
          <w:bCs/>
        </w:rPr>
      </w:pPr>
      <w:bookmarkStart w:name="_Hlk504642615" w:id="0"/>
      <w:r w:rsidRPr="001939A8">
        <w:rPr>
          <w:rFonts w:ascii="Arial" w:hAnsi="Arial" w:cs="Arial"/>
          <w:bCs/>
        </w:rPr>
        <w:t xml:space="preserve">Because there are no reporting requirements associated with </w:t>
      </w:r>
      <w:r>
        <w:rPr>
          <w:rFonts w:ascii="Arial" w:hAnsi="Arial" w:cs="Arial"/>
          <w:bCs/>
        </w:rPr>
        <w:t>this information collection</w:t>
      </w:r>
      <w:r w:rsidRPr="001939A8">
        <w:rPr>
          <w:rFonts w:ascii="Arial" w:hAnsi="Arial" w:cs="Arial"/>
          <w:bCs/>
        </w:rPr>
        <w:t xml:space="preserve">, electronic filing is not possible. </w:t>
      </w:r>
      <w:bookmarkEnd w:id="0"/>
      <w:r w:rsidRPr="00071871" w:rsidR="00710FA1">
        <w:rPr>
          <w:rFonts w:ascii="Arial" w:hAnsi="Arial" w:cs="Arial"/>
          <w:bCs/>
        </w:rPr>
        <w:t xml:space="preserve">IRS Publications, Regulations, Notices and Letters are to be electronically enabled on an as practicable basis in accordance with the IRS Reform and </w:t>
      </w:r>
      <w:r w:rsidRPr="000E4EE1" w:rsidR="00710FA1">
        <w:rPr>
          <w:rFonts w:ascii="Arial" w:hAnsi="Arial" w:cs="Arial"/>
          <w:bCs/>
        </w:rPr>
        <w:t>Restructuring Act of 1998.</w:t>
      </w:r>
    </w:p>
    <w:p w:rsidRPr="000E4EE1" w:rsidR="00710FA1" w:rsidRDefault="00710FA1">
      <w:pPr>
        <w:rPr>
          <w:rFonts w:ascii="Arial" w:hAnsi="Arial" w:cs="Arial"/>
          <w:bCs/>
        </w:rPr>
      </w:pPr>
    </w:p>
    <w:p w:rsidRPr="000E4EE1" w:rsidR="00710FA1" w:rsidRDefault="00710FA1">
      <w:pPr>
        <w:tabs>
          <w:tab w:val="left" w:pos="-1440"/>
        </w:tabs>
        <w:ind w:left="720" w:hanging="720"/>
        <w:rPr>
          <w:rFonts w:ascii="Arial" w:hAnsi="Arial" w:cs="Arial"/>
          <w:bCs/>
        </w:rPr>
      </w:pPr>
      <w:r w:rsidRPr="000E4EE1">
        <w:rPr>
          <w:rFonts w:ascii="Arial" w:hAnsi="Arial" w:cs="Arial"/>
          <w:bCs/>
        </w:rPr>
        <w:t>4.</w:t>
      </w:r>
      <w:r w:rsidRPr="000E4EE1">
        <w:rPr>
          <w:rFonts w:ascii="Arial" w:hAnsi="Arial" w:cs="Arial"/>
          <w:bCs/>
        </w:rPr>
        <w:tab/>
      </w:r>
      <w:r w:rsidRPr="000E4EE1">
        <w:rPr>
          <w:rFonts w:ascii="Arial" w:hAnsi="Arial" w:cs="Arial"/>
          <w:bCs/>
          <w:u w:val="single"/>
        </w:rPr>
        <w:t>EFFORTS TO IDENTIFY DUPLICATION</w:t>
      </w:r>
    </w:p>
    <w:p w:rsidRPr="000E4EE1" w:rsidR="00710FA1" w:rsidRDefault="00710FA1">
      <w:pPr>
        <w:rPr>
          <w:rFonts w:ascii="Arial" w:hAnsi="Arial" w:cs="Arial"/>
          <w:bCs/>
        </w:rPr>
      </w:pPr>
    </w:p>
    <w:p w:rsidRPr="000E4EE1" w:rsidR="000E4EE1" w:rsidRDefault="000E4EE1">
      <w:pPr>
        <w:ind w:left="720"/>
        <w:rPr>
          <w:rFonts w:ascii="Arial" w:hAnsi="Arial" w:cs="Arial"/>
          <w:iCs/>
        </w:rPr>
      </w:pPr>
      <w:r w:rsidRPr="000E4EE1">
        <w:rPr>
          <w:rFonts w:ascii="Arial" w:hAnsi="Arial" w:cs="Arial"/>
          <w:iCs/>
        </w:rPr>
        <w:t>The information obtained through this collection is unique and is not already available for use or adaptation from another source.</w:t>
      </w:r>
    </w:p>
    <w:p w:rsidRPr="000E4EE1" w:rsidR="00710FA1" w:rsidRDefault="00710FA1">
      <w:pPr>
        <w:rPr>
          <w:rFonts w:ascii="Arial" w:hAnsi="Arial" w:cs="Arial"/>
          <w:bCs/>
        </w:rPr>
      </w:pPr>
    </w:p>
    <w:p w:rsidRPr="000E4EE1" w:rsidR="00710FA1" w:rsidRDefault="00710FA1">
      <w:pPr>
        <w:tabs>
          <w:tab w:val="left" w:pos="-1440"/>
        </w:tabs>
        <w:ind w:left="720" w:hanging="720"/>
        <w:rPr>
          <w:rFonts w:ascii="Arial" w:hAnsi="Arial" w:cs="Arial"/>
          <w:bCs/>
        </w:rPr>
      </w:pPr>
      <w:r w:rsidRPr="000E4EE1">
        <w:rPr>
          <w:rFonts w:ascii="Arial" w:hAnsi="Arial" w:cs="Arial"/>
          <w:bCs/>
        </w:rPr>
        <w:t>5.</w:t>
      </w:r>
      <w:r w:rsidRPr="000E4EE1">
        <w:rPr>
          <w:rFonts w:ascii="Arial" w:hAnsi="Arial" w:cs="Arial"/>
          <w:bCs/>
        </w:rPr>
        <w:tab/>
      </w:r>
      <w:r w:rsidRPr="000E4EE1">
        <w:rPr>
          <w:rFonts w:ascii="Arial" w:hAnsi="Arial" w:cs="Arial"/>
          <w:bCs/>
          <w:u w:val="single"/>
        </w:rPr>
        <w:t>METHODS TO MINIMIZE BURDEN ON SMALL BUSINESSES OR OTHER ENTITIES</w:t>
      </w:r>
      <w:r w:rsidRPr="000E4EE1">
        <w:rPr>
          <w:rFonts w:ascii="Arial" w:hAnsi="Arial" w:cs="Arial"/>
          <w:bCs/>
        </w:rPr>
        <w:t xml:space="preserve">  </w:t>
      </w:r>
    </w:p>
    <w:p w:rsidRPr="000E4EE1" w:rsidR="00710FA1" w:rsidRDefault="00710FA1">
      <w:pPr>
        <w:rPr>
          <w:rFonts w:ascii="Arial" w:hAnsi="Arial" w:cs="Arial"/>
          <w:bCs/>
        </w:rPr>
      </w:pPr>
    </w:p>
    <w:p w:rsidRPr="000E4EE1" w:rsidR="00710FA1" w:rsidRDefault="000E4EE1">
      <w:pPr>
        <w:ind w:left="720"/>
        <w:rPr>
          <w:rFonts w:ascii="Arial" w:hAnsi="Arial" w:cs="Arial"/>
          <w:bCs/>
        </w:rPr>
      </w:pPr>
      <w:r w:rsidRPr="000E4EE1">
        <w:rPr>
          <w:rFonts w:ascii="Arial" w:hAnsi="Arial" w:cs="Arial"/>
        </w:rPr>
        <w:t>There is no undue burden on small businesses or entities by this collection due to the nature of the information required and providing the information is voluntary in order to obtain a benefit</w:t>
      </w:r>
      <w:r w:rsidR="002602CA">
        <w:rPr>
          <w:rFonts w:ascii="Arial" w:hAnsi="Arial" w:cs="Arial"/>
          <w:bCs/>
        </w:rPr>
        <w:t>. The IRS continuously strives to collect information with a minimum burden upon the taxpaying public and business of all sizes, and at a minimum cost to the government. The IRS periodically meets with the Internal Revenue Service Advisory Council (IRSCA), to ensure the agency is providing top quality service with no undue burden to individual and both small and large business</w:t>
      </w:r>
      <w:r w:rsidR="00602218">
        <w:rPr>
          <w:rFonts w:ascii="Arial" w:hAnsi="Arial" w:cs="Arial"/>
          <w:bCs/>
        </w:rPr>
        <w:t>es</w:t>
      </w:r>
      <w:r w:rsidR="002602CA">
        <w:rPr>
          <w:rFonts w:ascii="Arial" w:hAnsi="Arial" w:cs="Arial"/>
          <w:bCs/>
        </w:rPr>
        <w:t>.</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6.</w:t>
      </w:r>
      <w:r w:rsidRPr="00071871">
        <w:rPr>
          <w:rFonts w:ascii="Arial" w:hAnsi="Arial" w:cs="Arial"/>
          <w:bCs/>
        </w:rPr>
        <w:tab/>
      </w:r>
      <w:r w:rsidRPr="00071871">
        <w:rPr>
          <w:rFonts w:ascii="Arial" w:hAnsi="Arial" w:cs="Arial"/>
          <w:bCs/>
          <w:u w:val="single"/>
        </w:rPr>
        <w:t>CONSEQUENCES OF LESS FREQUENT COLLECTIONS ON FEDERAL PROGRAMS OR POLICY ACTIVITIES</w:t>
      </w:r>
    </w:p>
    <w:p w:rsidRPr="00071871" w:rsidR="00710FA1" w:rsidRDefault="00710FA1">
      <w:pPr>
        <w:rPr>
          <w:rFonts w:ascii="Arial" w:hAnsi="Arial" w:cs="Arial"/>
          <w:bCs/>
        </w:rPr>
      </w:pPr>
    </w:p>
    <w:p w:rsidRPr="00071871" w:rsidR="00710FA1" w:rsidRDefault="00B76400">
      <w:pPr>
        <w:ind w:left="720"/>
        <w:rPr>
          <w:rFonts w:ascii="Arial" w:hAnsi="Arial" w:cs="Arial"/>
          <w:bCs/>
        </w:rPr>
      </w:pPr>
      <w:r>
        <w:rPr>
          <w:rFonts w:ascii="Arial" w:hAnsi="Arial" w:cs="Arial"/>
          <w:bCs/>
        </w:rPr>
        <w:t>The information is used</w:t>
      </w:r>
      <w:r w:rsidRPr="00071871">
        <w:rPr>
          <w:rFonts w:ascii="Arial" w:hAnsi="Arial" w:cs="Arial"/>
          <w:bCs/>
        </w:rPr>
        <w:t xml:space="preserve"> by the Service to determine how many and what kind of taxpayers are using the elections at issue.</w:t>
      </w:r>
      <w:r>
        <w:rPr>
          <w:rFonts w:ascii="Arial" w:hAnsi="Arial" w:cs="Arial"/>
          <w:bCs/>
        </w:rPr>
        <w:t xml:space="preserve">  A less frequent collection will prevent the Service from conducting this audit.</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7.</w:t>
      </w:r>
      <w:r w:rsidRPr="00071871">
        <w:rPr>
          <w:rFonts w:ascii="Arial" w:hAnsi="Arial" w:cs="Arial"/>
          <w:bCs/>
        </w:rPr>
        <w:tab/>
      </w:r>
      <w:r w:rsidRPr="00071871">
        <w:rPr>
          <w:rFonts w:ascii="Arial" w:hAnsi="Arial" w:cs="Arial"/>
          <w:bCs/>
          <w:u w:val="single"/>
        </w:rPr>
        <w:t>SPECIAL CIRCUMSTANCES REQUIRING DATA COLLECTION TO BE INCONSISTENT WITH GUIDELINES IN 5 CFR 1320.5(d)(2)</w:t>
      </w:r>
      <w:r w:rsidRPr="00071871">
        <w:rPr>
          <w:rFonts w:ascii="Arial" w:hAnsi="Arial" w:cs="Arial"/>
          <w:bCs/>
        </w:rPr>
        <w:t xml:space="preserve"> </w:t>
      </w:r>
    </w:p>
    <w:p w:rsidRPr="00071871" w:rsidR="00710FA1" w:rsidRDefault="00710FA1">
      <w:pPr>
        <w:rPr>
          <w:rFonts w:ascii="Arial" w:hAnsi="Arial" w:cs="Arial"/>
          <w:bCs/>
        </w:rPr>
      </w:pPr>
    </w:p>
    <w:p w:rsidR="00710FA1" w:rsidRDefault="00B76400">
      <w:pPr>
        <w:ind w:left="720"/>
        <w:rPr>
          <w:rFonts w:ascii="Arial" w:hAnsi="Arial" w:cs="Arial"/>
          <w:bCs/>
        </w:rPr>
      </w:pPr>
      <w:r>
        <w:rPr>
          <w:rFonts w:ascii="Arial" w:hAnsi="Arial" w:cs="Arial"/>
          <w:bCs/>
        </w:rPr>
        <w:t>There are no special circumstances requiring data inconsistency.</w:t>
      </w:r>
    </w:p>
    <w:p w:rsidRPr="00071871" w:rsidR="00056732" w:rsidRDefault="00056732">
      <w:pPr>
        <w:ind w:left="720"/>
        <w:rPr>
          <w:rFonts w:ascii="Arial" w:hAnsi="Arial" w:cs="Arial"/>
          <w:bCs/>
        </w:rPr>
      </w:pP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lastRenderedPageBreak/>
        <w:t>8.</w:t>
      </w:r>
      <w:r w:rsidRPr="00071871">
        <w:rPr>
          <w:rFonts w:ascii="Arial" w:hAnsi="Arial" w:cs="Arial"/>
          <w:bCs/>
        </w:rPr>
        <w:tab/>
      </w:r>
      <w:r w:rsidRPr="00071871">
        <w:rPr>
          <w:rFonts w:ascii="Arial" w:hAnsi="Arial" w:cs="Arial"/>
          <w:bCs/>
          <w:u w:val="single"/>
        </w:rPr>
        <w:t>CONSULTATION WITH INDIVIDUALS OUTSIDE THE AGENCY ON AVAILABILITY OF DATA, FREQUENCY OF COLLECTION, CLARITY OF INSTRUCTIONS AND FORMS, AND DATA ELEMENTS</w:t>
      </w:r>
    </w:p>
    <w:p w:rsidRPr="00071871" w:rsidR="00710FA1" w:rsidRDefault="00710FA1">
      <w:pPr>
        <w:rPr>
          <w:rFonts w:ascii="Arial" w:hAnsi="Arial" w:cs="Arial"/>
          <w:bCs/>
        </w:rPr>
      </w:pPr>
    </w:p>
    <w:p w:rsidR="00F0006D" w:rsidRDefault="00710FA1">
      <w:pPr>
        <w:ind w:left="720"/>
        <w:rPr>
          <w:rFonts w:ascii="Arial" w:hAnsi="Arial" w:cs="Arial"/>
          <w:bCs/>
        </w:rPr>
      </w:pPr>
      <w:r w:rsidRPr="00071871">
        <w:rPr>
          <w:rFonts w:ascii="Arial" w:hAnsi="Arial" w:cs="Arial"/>
          <w:bCs/>
        </w:rPr>
        <w:t>Revenue Procedure 97-43 was published in the Internal Revenue Bulleti</w:t>
      </w:r>
      <w:r w:rsidR="00F0006D">
        <w:rPr>
          <w:rFonts w:ascii="Arial" w:hAnsi="Arial" w:cs="Arial"/>
          <w:bCs/>
        </w:rPr>
        <w:t>n on September 29, 1997 (1997-</w:t>
      </w:r>
      <w:r w:rsidR="00033AEA">
        <w:rPr>
          <w:rFonts w:ascii="Arial" w:hAnsi="Arial" w:cs="Arial"/>
          <w:bCs/>
        </w:rPr>
        <w:t>39</w:t>
      </w:r>
      <w:r w:rsidRPr="00071871">
        <w:rPr>
          <w:rFonts w:ascii="Arial" w:hAnsi="Arial" w:cs="Arial"/>
          <w:bCs/>
        </w:rPr>
        <w:t xml:space="preserve"> IRB 12). </w:t>
      </w:r>
    </w:p>
    <w:p w:rsidR="00F0006D" w:rsidRDefault="00F0006D">
      <w:pPr>
        <w:ind w:left="720"/>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Revenue Ruling 97-39 was published in the Internal Revenue Bulletin on September 29, 1997 (1997-39 IRB 4).</w:t>
      </w:r>
    </w:p>
    <w:p w:rsidRPr="00071871" w:rsidR="00710FA1" w:rsidRDefault="00710FA1">
      <w:pPr>
        <w:rPr>
          <w:rFonts w:ascii="Arial" w:hAnsi="Arial" w:cs="Arial"/>
          <w:bCs/>
        </w:rPr>
      </w:pPr>
    </w:p>
    <w:p w:rsidR="00F0006D" w:rsidRDefault="00F0006D">
      <w:pPr>
        <w:ind w:left="720"/>
        <w:rPr>
          <w:rFonts w:ascii="Arial" w:hAnsi="Arial" w:cs="Arial"/>
          <w:bCs/>
        </w:rPr>
      </w:pPr>
      <w:r w:rsidRPr="00071871">
        <w:rPr>
          <w:rFonts w:ascii="Arial" w:hAnsi="Arial" w:cs="Arial"/>
          <w:bCs/>
        </w:rPr>
        <w:t>Revenue Procedure 9</w:t>
      </w:r>
      <w:r>
        <w:rPr>
          <w:rFonts w:ascii="Arial" w:hAnsi="Arial" w:cs="Arial"/>
          <w:bCs/>
        </w:rPr>
        <w:t>8-46</w:t>
      </w:r>
      <w:r w:rsidRPr="00071871">
        <w:rPr>
          <w:rFonts w:ascii="Arial" w:hAnsi="Arial" w:cs="Arial"/>
          <w:bCs/>
        </w:rPr>
        <w:t xml:space="preserve"> was published in the Internal Revenue Bulletin on S</w:t>
      </w:r>
      <w:r>
        <w:rPr>
          <w:rFonts w:ascii="Arial" w:hAnsi="Arial" w:cs="Arial"/>
          <w:bCs/>
        </w:rPr>
        <w:t xml:space="preserve">eptember 8, 1998 (1998-36 IRB </w:t>
      </w:r>
      <w:r w:rsidRPr="00071871">
        <w:rPr>
          <w:rFonts w:ascii="Arial" w:hAnsi="Arial" w:cs="Arial"/>
          <w:bCs/>
        </w:rPr>
        <w:t>2</w:t>
      </w:r>
      <w:r>
        <w:rPr>
          <w:rFonts w:ascii="Arial" w:hAnsi="Arial" w:cs="Arial"/>
          <w:bCs/>
        </w:rPr>
        <w:t>1</w:t>
      </w:r>
      <w:r w:rsidRPr="00071871">
        <w:rPr>
          <w:rFonts w:ascii="Arial" w:hAnsi="Arial" w:cs="Arial"/>
          <w:bCs/>
        </w:rPr>
        <w:t xml:space="preserve">).  </w:t>
      </w:r>
    </w:p>
    <w:p w:rsidR="00F0006D" w:rsidRDefault="00F0006D">
      <w:pPr>
        <w:ind w:left="720"/>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 xml:space="preserve">We received no comments during the comment period in response to the Federal Register notice dated </w:t>
      </w:r>
      <w:r w:rsidR="00450BB9">
        <w:rPr>
          <w:rFonts w:ascii="Arial" w:hAnsi="Arial" w:cs="Arial"/>
          <w:bCs/>
        </w:rPr>
        <w:t>April</w:t>
      </w:r>
      <w:r w:rsidR="00B76400">
        <w:rPr>
          <w:rFonts w:ascii="Arial" w:hAnsi="Arial" w:cs="Arial"/>
          <w:bCs/>
        </w:rPr>
        <w:t xml:space="preserve"> </w:t>
      </w:r>
      <w:r w:rsidR="00450BB9">
        <w:rPr>
          <w:rFonts w:ascii="Arial" w:hAnsi="Arial" w:cs="Arial"/>
          <w:bCs/>
        </w:rPr>
        <w:t>22</w:t>
      </w:r>
      <w:r w:rsidR="008A243A">
        <w:rPr>
          <w:rFonts w:ascii="Arial" w:hAnsi="Arial" w:cs="Arial"/>
          <w:bCs/>
        </w:rPr>
        <w:t>, 201</w:t>
      </w:r>
      <w:r w:rsidR="00450BB9">
        <w:rPr>
          <w:rFonts w:ascii="Arial" w:hAnsi="Arial" w:cs="Arial"/>
          <w:bCs/>
        </w:rPr>
        <w:t>9</w:t>
      </w:r>
      <w:r w:rsidRPr="00071871" w:rsidR="00BF4840">
        <w:rPr>
          <w:rFonts w:ascii="Arial" w:hAnsi="Arial" w:cs="Arial"/>
          <w:bCs/>
        </w:rPr>
        <w:t xml:space="preserve"> (</w:t>
      </w:r>
      <w:r w:rsidR="00044DAC">
        <w:rPr>
          <w:rFonts w:ascii="Arial" w:hAnsi="Arial" w:cs="Arial"/>
          <w:bCs/>
        </w:rPr>
        <w:t>8</w:t>
      </w:r>
      <w:r w:rsidR="00450BB9">
        <w:rPr>
          <w:rFonts w:ascii="Arial" w:hAnsi="Arial" w:cs="Arial"/>
          <w:bCs/>
        </w:rPr>
        <w:t>4</w:t>
      </w:r>
      <w:r w:rsidRPr="00071871" w:rsidR="00BF4840">
        <w:rPr>
          <w:rFonts w:ascii="Arial" w:hAnsi="Arial" w:cs="Arial"/>
          <w:bCs/>
        </w:rPr>
        <w:t xml:space="preserve"> FR </w:t>
      </w:r>
      <w:r w:rsidR="00044DAC">
        <w:rPr>
          <w:rFonts w:ascii="Arial" w:hAnsi="Arial" w:cs="Arial"/>
          <w:bCs/>
        </w:rPr>
        <w:t>1</w:t>
      </w:r>
      <w:r w:rsidR="00450BB9">
        <w:rPr>
          <w:rFonts w:ascii="Arial" w:hAnsi="Arial" w:cs="Arial"/>
          <w:bCs/>
        </w:rPr>
        <w:t>6760</w:t>
      </w:r>
      <w:r w:rsidRPr="00071871" w:rsidR="00BF4840">
        <w:rPr>
          <w:rFonts w:ascii="Arial" w:hAnsi="Arial" w:cs="Arial"/>
          <w:bCs/>
        </w:rPr>
        <w:t>)</w:t>
      </w:r>
      <w:r w:rsidRPr="00071871">
        <w:rPr>
          <w:rFonts w:ascii="Arial" w:hAnsi="Arial" w:cs="Arial"/>
          <w:bCs/>
        </w:rPr>
        <w:t>.</w:t>
      </w:r>
    </w:p>
    <w:p w:rsidR="00710FA1" w:rsidRDefault="00710FA1">
      <w:pPr>
        <w:rPr>
          <w:rFonts w:ascii="Arial" w:hAnsi="Arial" w:cs="Arial"/>
          <w:bCs/>
        </w:rPr>
      </w:pPr>
    </w:p>
    <w:p w:rsidRPr="00071871" w:rsidR="00F0006D" w:rsidRDefault="00F0006D">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9.</w:t>
      </w:r>
      <w:r w:rsidRPr="00071871">
        <w:rPr>
          <w:rFonts w:ascii="Arial" w:hAnsi="Arial" w:cs="Arial"/>
          <w:bCs/>
        </w:rPr>
        <w:tab/>
      </w:r>
      <w:r w:rsidRPr="00071871">
        <w:rPr>
          <w:rFonts w:ascii="Arial" w:hAnsi="Arial" w:cs="Arial"/>
          <w:bCs/>
          <w:u w:val="single"/>
        </w:rPr>
        <w:t>EXPLANATION OF DECISION TO PROVIDE ANY PAYMENT OR GIFT TO RESPONDENTS</w:t>
      </w:r>
      <w:r w:rsidRPr="00071871">
        <w:rPr>
          <w:rFonts w:ascii="Arial" w:hAnsi="Arial" w:cs="Arial"/>
          <w:bCs/>
        </w:rPr>
        <w:t xml:space="preserve"> </w:t>
      </w:r>
    </w:p>
    <w:p w:rsidRPr="00071871" w:rsidR="00710FA1" w:rsidRDefault="00710FA1">
      <w:pPr>
        <w:rPr>
          <w:rFonts w:ascii="Arial" w:hAnsi="Arial" w:cs="Arial"/>
          <w:bCs/>
        </w:rPr>
      </w:pPr>
    </w:p>
    <w:p w:rsidRPr="00071871" w:rsidR="00710FA1" w:rsidRDefault="00710FA1">
      <w:pPr>
        <w:ind w:firstLine="720"/>
        <w:rPr>
          <w:rFonts w:ascii="Arial" w:hAnsi="Arial" w:cs="Arial"/>
          <w:bCs/>
        </w:rPr>
      </w:pPr>
      <w:r w:rsidRPr="00071871">
        <w:rPr>
          <w:rFonts w:ascii="Arial" w:hAnsi="Arial" w:cs="Arial"/>
          <w:bCs/>
        </w:rPr>
        <w:t>N</w:t>
      </w:r>
      <w:r w:rsidR="00044DAC">
        <w:rPr>
          <w:rFonts w:ascii="Arial" w:hAnsi="Arial" w:cs="Arial"/>
          <w:bCs/>
        </w:rPr>
        <w:t>o gifts or payments are being provided</w:t>
      </w:r>
      <w:r w:rsidRPr="00071871">
        <w:rPr>
          <w:rFonts w:ascii="Arial" w:hAnsi="Arial" w:cs="Arial"/>
          <w:bCs/>
        </w:rPr>
        <w:t>.</w:t>
      </w:r>
    </w:p>
    <w:p w:rsidRPr="00071871" w:rsidR="00710FA1" w:rsidRDefault="00710FA1">
      <w:pPr>
        <w:rPr>
          <w:rFonts w:ascii="Arial" w:hAnsi="Arial" w:cs="Arial"/>
          <w:bCs/>
        </w:rPr>
      </w:pPr>
    </w:p>
    <w:p w:rsidRPr="00071871" w:rsidR="00710FA1" w:rsidRDefault="00710FA1">
      <w:pPr>
        <w:rPr>
          <w:rFonts w:ascii="Arial" w:hAnsi="Arial" w:cs="Arial"/>
          <w:bCs/>
        </w:rPr>
      </w:pPr>
      <w:r w:rsidRPr="00071871">
        <w:rPr>
          <w:rFonts w:ascii="Arial" w:hAnsi="Arial" w:cs="Arial"/>
          <w:bCs/>
        </w:rPr>
        <w:t>10.</w:t>
      </w:r>
      <w:r w:rsidRPr="00071871">
        <w:rPr>
          <w:rFonts w:ascii="Arial" w:hAnsi="Arial" w:cs="Arial"/>
          <w:bCs/>
        </w:rPr>
        <w:tab/>
      </w:r>
      <w:r w:rsidRPr="00071871">
        <w:rPr>
          <w:rFonts w:ascii="Arial" w:hAnsi="Arial" w:cs="Arial"/>
          <w:bCs/>
          <w:u w:val="single"/>
        </w:rPr>
        <w:t>ASSURANCE OF CONFIDENTIALITY OF RESPONSES</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Generally, tax returns and tax return information are confidential as required by section 6103 of the Internal Revenue Code.</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11.</w:t>
      </w:r>
      <w:r w:rsidRPr="00071871">
        <w:rPr>
          <w:rFonts w:ascii="Arial" w:hAnsi="Arial" w:cs="Arial"/>
          <w:bCs/>
        </w:rPr>
        <w:tab/>
      </w:r>
      <w:r w:rsidRPr="00071871">
        <w:rPr>
          <w:rFonts w:ascii="Arial" w:hAnsi="Arial" w:cs="Arial"/>
          <w:bCs/>
          <w:u w:val="single"/>
        </w:rPr>
        <w:t>JUSTIFICATION OF SENSITIVE QUESTIONS</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No</w:t>
      </w:r>
      <w:r w:rsidR="00074FF6">
        <w:rPr>
          <w:rFonts w:ascii="Arial" w:hAnsi="Arial" w:cs="Arial"/>
          <w:bCs/>
        </w:rPr>
        <w:t xml:space="preserve"> personally Identifiable Information (PII) is being collected.</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12.</w:t>
      </w:r>
      <w:r w:rsidRPr="00071871">
        <w:rPr>
          <w:rFonts w:ascii="Arial" w:hAnsi="Arial" w:cs="Arial"/>
          <w:bCs/>
        </w:rPr>
        <w:tab/>
      </w:r>
      <w:r w:rsidRPr="00071871">
        <w:rPr>
          <w:rFonts w:ascii="Arial" w:hAnsi="Arial" w:cs="Arial"/>
          <w:bCs/>
          <w:u w:val="single"/>
        </w:rPr>
        <w:t>ESTIMATED BURDEN OF INFORMATION COLLECTION</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u w:val="single"/>
        </w:rPr>
        <w:t>Revenue Ruling 97-39:</w:t>
      </w:r>
    </w:p>
    <w:p w:rsidRPr="00071871" w:rsidR="00710FA1" w:rsidRDefault="00710FA1">
      <w:pPr>
        <w:ind w:left="720"/>
        <w:rPr>
          <w:rFonts w:ascii="Arial" w:hAnsi="Arial" w:cs="Arial"/>
          <w:bCs/>
        </w:rPr>
      </w:pPr>
      <w:r w:rsidRPr="00071871">
        <w:rPr>
          <w:rFonts w:ascii="Arial" w:hAnsi="Arial" w:cs="Arial"/>
          <w:bCs/>
        </w:rPr>
        <w:t>The collection of information in Holding 6 of the revenue ruling involves maintaining records on securities identified as exempt from MTM.  This collection of information is approved by the Office of Management and Budget in accordance with the Paperwork Reduction Act under control number 1545-1</w:t>
      </w:r>
      <w:r w:rsidR="00C04E7C">
        <w:rPr>
          <w:rFonts w:ascii="Arial" w:hAnsi="Arial" w:cs="Arial"/>
          <w:bCs/>
        </w:rPr>
        <w:t>558</w:t>
      </w:r>
      <w:r w:rsidRPr="00071871">
        <w:rPr>
          <w:rFonts w:ascii="Arial" w:hAnsi="Arial" w:cs="Arial"/>
          <w:bCs/>
        </w:rPr>
        <w:t>.</w:t>
      </w:r>
    </w:p>
    <w:p w:rsidR="00B20AF0" w:rsidP="00B20AF0" w:rsidRDefault="00B20AF0">
      <w:pPr>
        <w:ind w:left="720"/>
        <w:rPr>
          <w:rFonts w:ascii="Arial" w:hAnsi="Arial" w:cs="Arial"/>
          <w:bCs/>
        </w:rPr>
      </w:pPr>
    </w:p>
    <w:p w:rsidRPr="00B20AF0" w:rsidR="00B20AF0" w:rsidP="00B20AF0" w:rsidRDefault="00B20AF0">
      <w:pPr>
        <w:ind w:left="720"/>
        <w:rPr>
          <w:rFonts w:ascii="Arial" w:hAnsi="Arial" w:cs="Arial"/>
          <w:bCs/>
        </w:rPr>
      </w:pPr>
      <w:r w:rsidRPr="00B20AF0">
        <w:rPr>
          <w:rFonts w:ascii="Arial" w:hAnsi="Arial" w:cs="Arial"/>
          <w:bCs/>
        </w:rPr>
        <w:t>The recordkeeping burden described in</w:t>
      </w:r>
      <w:r>
        <w:rPr>
          <w:rFonts w:ascii="Arial" w:hAnsi="Arial" w:cs="Arial"/>
          <w:bCs/>
        </w:rPr>
        <w:t xml:space="preserve"> </w:t>
      </w:r>
      <w:r w:rsidRPr="00B20AF0">
        <w:rPr>
          <w:rFonts w:ascii="Arial" w:hAnsi="Arial" w:cs="Arial"/>
          <w:bCs/>
        </w:rPr>
        <w:t>Holding 6 was reviewed and approved by</w:t>
      </w:r>
      <w:r>
        <w:rPr>
          <w:rFonts w:ascii="Arial" w:hAnsi="Arial" w:cs="Arial"/>
          <w:bCs/>
        </w:rPr>
        <w:t xml:space="preserve"> </w:t>
      </w:r>
      <w:r w:rsidRPr="00B20AF0">
        <w:rPr>
          <w:rFonts w:ascii="Arial" w:hAnsi="Arial" w:cs="Arial"/>
          <w:bCs/>
        </w:rPr>
        <w:t>the Office of Management and Budget in</w:t>
      </w:r>
      <w:r>
        <w:rPr>
          <w:rFonts w:ascii="Arial" w:hAnsi="Arial" w:cs="Arial"/>
          <w:bCs/>
        </w:rPr>
        <w:t xml:space="preserve"> </w:t>
      </w:r>
      <w:r w:rsidRPr="00B20AF0">
        <w:rPr>
          <w:rFonts w:ascii="Arial" w:hAnsi="Arial" w:cs="Arial"/>
          <w:bCs/>
        </w:rPr>
        <w:t>accordance with the Paperwork Reduction</w:t>
      </w:r>
      <w:r>
        <w:rPr>
          <w:rFonts w:ascii="Arial" w:hAnsi="Arial" w:cs="Arial"/>
          <w:bCs/>
        </w:rPr>
        <w:t xml:space="preserve"> </w:t>
      </w:r>
      <w:r w:rsidRPr="00B20AF0">
        <w:rPr>
          <w:rFonts w:ascii="Arial" w:hAnsi="Arial" w:cs="Arial"/>
          <w:bCs/>
        </w:rPr>
        <w:t>Act (44 U.S.C. 3507) under control number</w:t>
      </w:r>
      <w:r>
        <w:rPr>
          <w:rFonts w:ascii="Arial" w:hAnsi="Arial" w:cs="Arial"/>
          <w:bCs/>
        </w:rPr>
        <w:t xml:space="preserve"> </w:t>
      </w:r>
      <w:r w:rsidRPr="00B20AF0">
        <w:rPr>
          <w:rFonts w:ascii="Arial" w:hAnsi="Arial" w:cs="Arial"/>
          <w:bCs/>
        </w:rPr>
        <w:t>1545–1496.</w:t>
      </w:r>
      <w:r>
        <w:rPr>
          <w:rFonts w:ascii="Arial" w:hAnsi="Arial" w:cs="Arial"/>
          <w:bCs/>
        </w:rPr>
        <w:t xml:space="preserve">  </w:t>
      </w:r>
      <w:r w:rsidRPr="00B20AF0">
        <w:rPr>
          <w:rFonts w:ascii="Arial" w:hAnsi="Arial" w:cs="Arial"/>
          <w:bCs/>
        </w:rPr>
        <w:t>The estimated total annual recordkeeping</w:t>
      </w:r>
      <w:r>
        <w:rPr>
          <w:rFonts w:ascii="Arial" w:hAnsi="Arial" w:cs="Arial"/>
          <w:bCs/>
        </w:rPr>
        <w:t xml:space="preserve"> </w:t>
      </w:r>
      <w:r w:rsidRPr="00B20AF0">
        <w:rPr>
          <w:rFonts w:ascii="Arial" w:hAnsi="Arial" w:cs="Arial"/>
          <w:bCs/>
        </w:rPr>
        <w:t>burden described in Holding 15 is</w:t>
      </w:r>
      <w:r>
        <w:rPr>
          <w:rFonts w:ascii="Arial" w:hAnsi="Arial" w:cs="Arial"/>
          <w:bCs/>
        </w:rPr>
        <w:t xml:space="preserve"> </w:t>
      </w:r>
      <w:r w:rsidRPr="00B20AF0">
        <w:rPr>
          <w:rFonts w:ascii="Arial" w:hAnsi="Arial" w:cs="Arial"/>
          <w:bCs/>
        </w:rPr>
        <w:t>450,000 hours.</w:t>
      </w:r>
    </w:p>
    <w:p w:rsidRPr="00B20AF0" w:rsidR="00B20AF0" w:rsidP="00B20AF0" w:rsidRDefault="00B20AF0">
      <w:pPr>
        <w:ind w:left="720"/>
        <w:rPr>
          <w:rFonts w:ascii="Arial" w:hAnsi="Arial" w:cs="Arial"/>
          <w:bCs/>
        </w:rPr>
      </w:pPr>
      <w:r w:rsidRPr="00B20AF0">
        <w:rPr>
          <w:rFonts w:ascii="Arial" w:hAnsi="Arial" w:cs="Arial"/>
          <w:bCs/>
        </w:rPr>
        <w:lastRenderedPageBreak/>
        <w:t>The estimated annual burden per</w:t>
      </w:r>
      <w:r>
        <w:rPr>
          <w:rFonts w:ascii="Arial" w:hAnsi="Arial" w:cs="Arial"/>
          <w:bCs/>
        </w:rPr>
        <w:t xml:space="preserve"> </w:t>
      </w:r>
      <w:r w:rsidRPr="00B20AF0">
        <w:rPr>
          <w:rFonts w:ascii="Arial" w:hAnsi="Arial" w:cs="Arial"/>
          <w:bCs/>
        </w:rPr>
        <w:t>recordkeeper varies from 15 hours to 45</w:t>
      </w:r>
      <w:r>
        <w:rPr>
          <w:rFonts w:ascii="Arial" w:hAnsi="Arial" w:cs="Arial"/>
          <w:bCs/>
        </w:rPr>
        <w:t xml:space="preserve"> </w:t>
      </w:r>
      <w:r w:rsidRPr="00B20AF0">
        <w:rPr>
          <w:rFonts w:ascii="Arial" w:hAnsi="Arial" w:cs="Arial"/>
          <w:bCs/>
        </w:rPr>
        <w:t>hours, depending on individual circumstances,</w:t>
      </w:r>
      <w:r>
        <w:rPr>
          <w:rFonts w:ascii="Arial" w:hAnsi="Arial" w:cs="Arial"/>
          <w:bCs/>
        </w:rPr>
        <w:t xml:space="preserve"> </w:t>
      </w:r>
      <w:r w:rsidRPr="00B20AF0">
        <w:rPr>
          <w:rFonts w:ascii="Arial" w:hAnsi="Arial" w:cs="Arial"/>
          <w:bCs/>
        </w:rPr>
        <w:t>with an estimated average of 22.5</w:t>
      </w:r>
      <w:r>
        <w:rPr>
          <w:rFonts w:ascii="Arial" w:hAnsi="Arial" w:cs="Arial"/>
          <w:bCs/>
        </w:rPr>
        <w:t xml:space="preserve"> </w:t>
      </w:r>
      <w:r w:rsidRPr="00B20AF0">
        <w:rPr>
          <w:rFonts w:ascii="Arial" w:hAnsi="Arial" w:cs="Arial"/>
          <w:bCs/>
        </w:rPr>
        <w:t>hours. The estimated number of recordkeepers</w:t>
      </w:r>
      <w:r>
        <w:rPr>
          <w:rFonts w:ascii="Arial" w:hAnsi="Arial" w:cs="Arial"/>
          <w:bCs/>
        </w:rPr>
        <w:t xml:space="preserve"> </w:t>
      </w:r>
      <w:r w:rsidRPr="00B20AF0">
        <w:rPr>
          <w:rFonts w:ascii="Arial" w:hAnsi="Arial" w:cs="Arial"/>
          <w:bCs/>
        </w:rPr>
        <w:t>is 20,000.</w:t>
      </w:r>
    </w:p>
    <w:p w:rsidR="00B20AF0" w:rsidRDefault="00B20AF0">
      <w:pPr>
        <w:ind w:left="720"/>
        <w:rPr>
          <w:rFonts w:ascii="Arial" w:hAnsi="Arial" w:cs="Arial"/>
          <w:bCs/>
          <w:u w:val="single"/>
        </w:rPr>
      </w:pPr>
    </w:p>
    <w:p w:rsidRPr="00071871" w:rsidR="00710FA1" w:rsidRDefault="00710FA1">
      <w:pPr>
        <w:ind w:left="720"/>
        <w:rPr>
          <w:rFonts w:ascii="Arial" w:hAnsi="Arial" w:cs="Arial"/>
          <w:bCs/>
        </w:rPr>
      </w:pPr>
      <w:r w:rsidRPr="00071871">
        <w:rPr>
          <w:rFonts w:ascii="Arial" w:hAnsi="Arial" w:cs="Arial"/>
          <w:bCs/>
          <w:u w:val="single"/>
        </w:rPr>
        <w:t>Revenue Procedure 97-43:</w:t>
      </w:r>
      <w:r w:rsidRPr="00071871">
        <w:rPr>
          <w:rFonts w:ascii="Arial" w:hAnsi="Arial" w:cs="Arial"/>
          <w:bCs/>
        </w:rPr>
        <w:t xml:space="preserve"> </w:t>
      </w:r>
    </w:p>
    <w:p w:rsidRPr="00071871" w:rsidR="00710FA1" w:rsidRDefault="00710FA1">
      <w:pPr>
        <w:ind w:left="720"/>
        <w:rPr>
          <w:rFonts w:ascii="Arial" w:hAnsi="Arial" w:cs="Arial"/>
          <w:bCs/>
        </w:rPr>
      </w:pPr>
      <w:r w:rsidRPr="00071871">
        <w:rPr>
          <w:rFonts w:ascii="Arial" w:hAnsi="Arial" w:cs="Arial"/>
          <w:bCs/>
        </w:rPr>
        <w:t>The collections of information in sections 2.02, 2.03, and 2.04 of the revenue procedure involve informing the Service when a waiver of an exemption under §1.475(c)-1 is made.  These collections of information are approved by the Office of Management and Budget in accordance with the Paperwork Reduction Act under control number 1545-</w:t>
      </w:r>
      <w:r w:rsidR="00C6754D">
        <w:rPr>
          <w:rFonts w:ascii="Arial" w:hAnsi="Arial" w:cs="Arial"/>
          <w:bCs/>
        </w:rPr>
        <w:t xml:space="preserve">1558 (Formerly under </w:t>
      </w:r>
      <w:r w:rsidRPr="00071871">
        <w:rPr>
          <w:rFonts w:ascii="Arial" w:hAnsi="Arial" w:cs="Arial"/>
          <w:bCs/>
        </w:rPr>
        <w:t>1496</w:t>
      </w:r>
      <w:r w:rsidR="00C6754D">
        <w:rPr>
          <w:rFonts w:ascii="Arial" w:hAnsi="Arial" w:cs="Arial"/>
          <w:bCs/>
        </w:rPr>
        <w:t>)</w:t>
      </w:r>
      <w:r w:rsidRPr="00071871">
        <w:rPr>
          <w:rFonts w:ascii="Arial" w:hAnsi="Arial" w:cs="Arial"/>
          <w:bCs/>
        </w:rPr>
        <w:t>.</w:t>
      </w:r>
    </w:p>
    <w:p w:rsidRPr="00071871" w:rsidR="00710FA1" w:rsidRDefault="00710FA1">
      <w:pPr>
        <w:rPr>
          <w:rFonts w:ascii="Arial" w:hAnsi="Arial" w:cs="Arial"/>
          <w:bCs/>
        </w:rPr>
      </w:pPr>
    </w:p>
    <w:p w:rsidR="00710FA1" w:rsidRDefault="00710FA1">
      <w:pPr>
        <w:ind w:left="720"/>
        <w:rPr>
          <w:rFonts w:ascii="Arial" w:hAnsi="Arial" w:cs="Arial"/>
          <w:bCs/>
        </w:rPr>
      </w:pPr>
      <w:r w:rsidRPr="00071871">
        <w:rPr>
          <w:rFonts w:ascii="Arial" w:hAnsi="Arial" w:cs="Arial"/>
          <w:bCs/>
        </w:rPr>
        <w:t xml:space="preserve">The collection of information in section 4.07(2) involves providing the Service with a statement describing the identifications, if any, made of securities exempt from MTM and the basis for such identifications.  We estimate that </w:t>
      </w:r>
      <w:r w:rsidRPr="00071871">
        <w:rPr>
          <w:rFonts w:ascii="Arial" w:hAnsi="Arial" w:cs="Arial"/>
          <w:b/>
          <w:bCs/>
        </w:rPr>
        <w:t>200 taxpayers</w:t>
      </w:r>
      <w:r w:rsidRPr="00071871">
        <w:rPr>
          <w:rFonts w:ascii="Arial" w:hAnsi="Arial" w:cs="Arial"/>
          <w:bCs/>
        </w:rPr>
        <w:t xml:space="preserve"> will make such submission annually.  The estimated burden per respondent varies from .25 hours to 50 hours, depending on individual circumstances, with an estimated </w:t>
      </w:r>
      <w:r w:rsidRPr="00071871">
        <w:rPr>
          <w:rFonts w:ascii="Arial" w:hAnsi="Arial" w:cs="Arial"/>
          <w:b/>
          <w:bCs/>
        </w:rPr>
        <w:t>average of 5 hours</w:t>
      </w:r>
      <w:r w:rsidRPr="00071871">
        <w:rPr>
          <w:rFonts w:ascii="Arial" w:hAnsi="Arial" w:cs="Arial"/>
          <w:bCs/>
        </w:rPr>
        <w:t xml:space="preserve"> for an estimated total annual burden of </w:t>
      </w:r>
      <w:r w:rsidRPr="00071871">
        <w:rPr>
          <w:rFonts w:ascii="Arial" w:hAnsi="Arial" w:cs="Arial"/>
          <w:b/>
          <w:bCs/>
        </w:rPr>
        <w:t>1,000 hours</w:t>
      </w:r>
      <w:r w:rsidRPr="00071871">
        <w:rPr>
          <w:rFonts w:ascii="Arial" w:hAnsi="Arial" w:cs="Arial"/>
          <w:bCs/>
        </w:rPr>
        <w:t>.</w:t>
      </w:r>
    </w:p>
    <w:p w:rsidR="00074FF6" w:rsidRDefault="00074FF6">
      <w:pPr>
        <w:ind w:left="720"/>
        <w:rPr>
          <w:rFonts w:ascii="Arial" w:hAnsi="Arial" w:cs="Arial"/>
          <w:bCs/>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ED289D" w:rsidR="001939A8" w:rsidTr="00725D75">
        <w:tc>
          <w:tcPr>
            <w:tcW w:w="1258" w:type="dxa"/>
            <w:shd w:val="clear" w:color="auto" w:fill="auto"/>
            <w:vAlign w:val="bottom"/>
          </w:tcPr>
          <w:p w:rsidRPr="001939A8" w:rsidR="001939A8" w:rsidP="00725D75" w:rsidRDefault="001939A8">
            <w:pPr>
              <w:keepNext/>
              <w:keepLines/>
              <w:numPr>
                <w:ilvl w:val="12"/>
                <w:numId w:val="0"/>
              </w:numPr>
              <w:jc w:val="center"/>
              <w:rPr>
                <w:rFonts w:ascii="Arial Narrow" w:hAnsi="Arial Narrow"/>
                <w:b/>
                <w:sz w:val="18"/>
                <w:szCs w:val="18"/>
              </w:rPr>
            </w:pPr>
            <w:bookmarkStart w:name="_Hlk495931810" w:id="1"/>
            <w:r w:rsidRPr="001939A8">
              <w:rPr>
                <w:rFonts w:ascii="Arial Narrow" w:hAnsi="Arial Narrow"/>
                <w:b/>
                <w:sz w:val="18"/>
                <w:szCs w:val="18"/>
              </w:rPr>
              <w:t>Authority</w:t>
            </w:r>
          </w:p>
        </w:tc>
        <w:tc>
          <w:tcPr>
            <w:tcW w:w="1916" w:type="dxa"/>
            <w:vAlign w:val="bottom"/>
          </w:tcPr>
          <w:p w:rsidRPr="001939A8" w:rsidR="001939A8" w:rsidP="00725D75" w:rsidRDefault="001939A8">
            <w:pPr>
              <w:keepNext/>
              <w:keepLines/>
              <w:numPr>
                <w:ilvl w:val="12"/>
                <w:numId w:val="0"/>
              </w:numPr>
              <w:jc w:val="center"/>
              <w:rPr>
                <w:rFonts w:ascii="Arial Narrow" w:hAnsi="Arial Narrow"/>
                <w:b/>
                <w:sz w:val="18"/>
                <w:szCs w:val="18"/>
              </w:rPr>
            </w:pPr>
            <w:r w:rsidRPr="001939A8">
              <w:rPr>
                <w:rFonts w:ascii="Arial Narrow" w:hAnsi="Arial Narrow"/>
                <w:b/>
                <w:sz w:val="18"/>
                <w:szCs w:val="18"/>
              </w:rPr>
              <w:t>Description</w:t>
            </w:r>
          </w:p>
        </w:tc>
        <w:tc>
          <w:tcPr>
            <w:tcW w:w="1170" w:type="dxa"/>
            <w:vAlign w:val="bottom"/>
          </w:tcPr>
          <w:p w:rsidRPr="00ED289D" w:rsidR="001939A8" w:rsidP="00725D75" w:rsidRDefault="001939A8">
            <w:pPr>
              <w:keepNext/>
              <w:keepLines/>
              <w:numPr>
                <w:ilvl w:val="12"/>
                <w:numId w:val="0"/>
              </w:numPr>
              <w:jc w:val="center"/>
              <w:rPr>
                <w:rFonts w:ascii="Arial Narrow" w:hAnsi="Arial Narrow"/>
                <w:b/>
                <w:sz w:val="18"/>
                <w:szCs w:val="18"/>
              </w:rPr>
            </w:pPr>
            <w:r w:rsidRPr="00ED289D">
              <w:rPr>
                <w:rFonts w:ascii="Arial Narrow" w:hAnsi="Arial Narrow"/>
                <w:b/>
                <w:sz w:val="18"/>
                <w:szCs w:val="18"/>
              </w:rPr>
              <w:t># of Respondents</w:t>
            </w:r>
          </w:p>
        </w:tc>
        <w:tc>
          <w:tcPr>
            <w:tcW w:w="1170" w:type="dxa"/>
            <w:vAlign w:val="bottom"/>
          </w:tcPr>
          <w:p w:rsidRPr="00ED289D" w:rsidR="001939A8" w:rsidP="00725D75" w:rsidRDefault="001939A8">
            <w:pPr>
              <w:keepNext/>
              <w:keepLines/>
              <w:numPr>
                <w:ilvl w:val="12"/>
                <w:numId w:val="0"/>
              </w:numPr>
              <w:jc w:val="center"/>
              <w:rPr>
                <w:rFonts w:ascii="Arial Narrow" w:hAnsi="Arial Narrow"/>
                <w:b/>
                <w:sz w:val="18"/>
                <w:szCs w:val="18"/>
              </w:rPr>
            </w:pPr>
            <w:r w:rsidRPr="00ED289D">
              <w:rPr>
                <w:rFonts w:ascii="Arial Narrow" w:hAnsi="Arial Narrow"/>
                <w:b/>
                <w:sz w:val="18"/>
                <w:szCs w:val="18"/>
              </w:rPr>
              <w:t># Responses per Respondent</w:t>
            </w:r>
          </w:p>
        </w:tc>
        <w:tc>
          <w:tcPr>
            <w:tcW w:w="1080" w:type="dxa"/>
            <w:shd w:val="clear" w:color="auto" w:fill="auto"/>
            <w:vAlign w:val="bottom"/>
          </w:tcPr>
          <w:p w:rsidRPr="00ED289D" w:rsidR="001939A8" w:rsidP="00725D75" w:rsidRDefault="001939A8">
            <w:pPr>
              <w:keepNext/>
              <w:keepLines/>
              <w:numPr>
                <w:ilvl w:val="12"/>
                <w:numId w:val="0"/>
              </w:numPr>
              <w:jc w:val="center"/>
              <w:rPr>
                <w:rFonts w:ascii="Arial Narrow" w:hAnsi="Arial Narrow"/>
                <w:b/>
                <w:sz w:val="18"/>
                <w:szCs w:val="18"/>
              </w:rPr>
            </w:pPr>
            <w:r w:rsidRPr="00ED289D">
              <w:rPr>
                <w:rFonts w:ascii="Arial Narrow" w:hAnsi="Arial Narrow"/>
                <w:b/>
                <w:sz w:val="18"/>
                <w:szCs w:val="18"/>
              </w:rPr>
              <w:t>Annual Responses</w:t>
            </w:r>
          </w:p>
        </w:tc>
        <w:tc>
          <w:tcPr>
            <w:tcW w:w="1170" w:type="dxa"/>
            <w:vAlign w:val="bottom"/>
          </w:tcPr>
          <w:p w:rsidRPr="00ED289D" w:rsidR="001939A8" w:rsidP="00725D75" w:rsidRDefault="001939A8">
            <w:pPr>
              <w:keepNext/>
              <w:keepLines/>
              <w:numPr>
                <w:ilvl w:val="12"/>
                <w:numId w:val="0"/>
              </w:numPr>
              <w:jc w:val="center"/>
              <w:rPr>
                <w:rFonts w:ascii="Arial Narrow" w:hAnsi="Arial Narrow"/>
                <w:b/>
                <w:sz w:val="18"/>
                <w:szCs w:val="18"/>
              </w:rPr>
            </w:pPr>
            <w:r w:rsidRPr="00ED289D">
              <w:rPr>
                <w:rFonts w:ascii="Arial Narrow" w:hAnsi="Arial Narrow"/>
                <w:b/>
                <w:sz w:val="18"/>
                <w:szCs w:val="18"/>
              </w:rPr>
              <w:t>Hours per Response</w:t>
            </w:r>
          </w:p>
        </w:tc>
        <w:tc>
          <w:tcPr>
            <w:tcW w:w="1170" w:type="dxa"/>
            <w:shd w:val="clear" w:color="auto" w:fill="auto"/>
            <w:vAlign w:val="bottom"/>
          </w:tcPr>
          <w:p w:rsidRPr="00ED289D" w:rsidR="001939A8" w:rsidP="00725D75" w:rsidRDefault="001939A8">
            <w:pPr>
              <w:keepNext/>
              <w:keepLines/>
              <w:numPr>
                <w:ilvl w:val="12"/>
                <w:numId w:val="0"/>
              </w:numPr>
              <w:jc w:val="center"/>
              <w:rPr>
                <w:rFonts w:ascii="Arial Narrow" w:hAnsi="Arial Narrow"/>
                <w:b/>
                <w:sz w:val="18"/>
                <w:szCs w:val="18"/>
              </w:rPr>
            </w:pPr>
            <w:r w:rsidRPr="00ED289D">
              <w:rPr>
                <w:rFonts w:ascii="Arial Narrow" w:hAnsi="Arial Narrow"/>
                <w:b/>
                <w:sz w:val="18"/>
                <w:szCs w:val="18"/>
              </w:rPr>
              <w:t>Total Burden</w:t>
            </w:r>
          </w:p>
        </w:tc>
      </w:tr>
      <w:tr w:rsidRPr="00ED289D" w:rsidR="001939A8" w:rsidTr="00ED289D">
        <w:tc>
          <w:tcPr>
            <w:tcW w:w="1258" w:type="dxa"/>
            <w:shd w:val="clear" w:color="auto" w:fill="auto"/>
            <w:vAlign w:val="bottom"/>
          </w:tcPr>
          <w:p w:rsidRPr="001939A8" w:rsidR="001939A8" w:rsidP="001939A8" w:rsidRDefault="009833B3">
            <w:pPr>
              <w:keepNext/>
              <w:keepLines/>
              <w:numPr>
                <w:ilvl w:val="12"/>
                <w:numId w:val="0"/>
              </w:numPr>
              <w:jc w:val="center"/>
              <w:rPr>
                <w:rFonts w:ascii="Arial Narrow" w:hAnsi="Arial Narrow"/>
                <w:sz w:val="18"/>
                <w:szCs w:val="18"/>
              </w:rPr>
            </w:pPr>
            <w:r>
              <w:rPr>
                <w:rFonts w:ascii="Arial Narrow" w:hAnsi="Arial Narrow"/>
                <w:sz w:val="18"/>
                <w:szCs w:val="18"/>
              </w:rPr>
              <w:t xml:space="preserve">IRC </w:t>
            </w:r>
            <w:r w:rsidRPr="009833B3">
              <w:rPr>
                <w:rFonts w:ascii="Arial Narrow" w:hAnsi="Arial Narrow"/>
                <w:bCs/>
                <w:sz w:val="18"/>
                <w:szCs w:val="18"/>
              </w:rPr>
              <w:t>1.475(c)-1</w:t>
            </w:r>
          </w:p>
        </w:tc>
        <w:tc>
          <w:tcPr>
            <w:tcW w:w="1916" w:type="dxa"/>
            <w:vAlign w:val="bottom"/>
          </w:tcPr>
          <w:p w:rsidRPr="00ED289D" w:rsidR="001939A8" w:rsidP="00ED289D" w:rsidRDefault="001939A8">
            <w:pPr>
              <w:keepNext/>
              <w:keepLines/>
              <w:numPr>
                <w:ilvl w:val="12"/>
                <w:numId w:val="0"/>
              </w:numPr>
              <w:jc w:val="center"/>
              <w:rPr>
                <w:rFonts w:ascii="Arial Narrow" w:hAnsi="Arial Narrow"/>
                <w:sz w:val="18"/>
                <w:szCs w:val="18"/>
              </w:rPr>
            </w:pPr>
            <w:r w:rsidRPr="00ED289D">
              <w:rPr>
                <w:rFonts w:ascii="Arial Narrow" w:hAnsi="Arial Narrow"/>
                <w:sz w:val="18"/>
                <w:szCs w:val="18"/>
              </w:rPr>
              <w:t xml:space="preserve">Rev. Proc. 97-43 </w:t>
            </w:r>
          </w:p>
          <w:p w:rsidRPr="001939A8" w:rsidR="001939A8" w:rsidP="001939A8" w:rsidRDefault="001939A8">
            <w:pPr>
              <w:keepNext/>
              <w:keepLines/>
              <w:numPr>
                <w:ilvl w:val="12"/>
                <w:numId w:val="0"/>
              </w:numPr>
              <w:jc w:val="center"/>
              <w:rPr>
                <w:rFonts w:ascii="Arial Narrow" w:hAnsi="Arial Narrow"/>
                <w:sz w:val="18"/>
                <w:szCs w:val="18"/>
              </w:rPr>
            </w:pPr>
            <w:r w:rsidRPr="00ED289D">
              <w:rPr>
                <w:rFonts w:ascii="Arial Narrow" w:hAnsi="Arial Narrow"/>
                <w:sz w:val="18"/>
                <w:szCs w:val="18"/>
              </w:rPr>
              <w:t>Section 4.07(2)</w:t>
            </w:r>
          </w:p>
        </w:tc>
        <w:tc>
          <w:tcPr>
            <w:tcW w:w="1170" w:type="dxa"/>
          </w:tcPr>
          <w:p w:rsidRPr="001939A8" w:rsidR="001939A8" w:rsidP="001939A8" w:rsidRDefault="001939A8">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200</w:t>
            </w:r>
          </w:p>
        </w:tc>
        <w:tc>
          <w:tcPr>
            <w:tcW w:w="1170" w:type="dxa"/>
            <w:vAlign w:val="bottom"/>
          </w:tcPr>
          <w:p w:rsidRPr="001939A8" w:rsidR="001939A8" w:rsidP="001939A8" w:rsidRDefault="001939A8">
            <w:pPr>
              <w:keepNext/>
              <w:keepLines/>
              <w:numPr>
                <w:ilvl w:val="12"/>
                <w:numId w:val="0"/>
              </w:numPr>
              <w:jc w:val="center"/>
              <w:rPr>
                <w:rFonts w:ascii="Arial Narrow" w:hAnsi="Arial Narrow"/>
                <w:sz w:val="18"/>
                <w:szCs w:val="18"/>
              </w:rPr>
            </w:pPr>
          </w:p>
        </w:tc>
        <w:tc>
          <w:tcPr>
            <w:tcW w:w="1080" w:type="dxa"/>
            <w:shd w:val="clear" w:color="auto" w:fill="auto"/>
          </w:tcPr>
          <w:p w:rsidRPr="001939A8" w:rsidR="001939A8" w:rsidP="001939A8" w:rsidRDefault="001939A8">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200</w:t>
            </w:r>
          </w:p>
        </w:tc>
        <w:tc>
          <w:tcPr>
            <w:tcW w:w="1170" w:type="dxa"/>
          </w:tcPr>
          <w:p w:rsidRPr="001939A8" w:rsidR="001939A8" w:rsidP="001939A8" w:rsidRDefault="001939A8">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5</w:t>
            </w:r>
          </w:p>
        </w:tc>
        <w:tc>
          <w:tcPr>
            <w:tcW w:w="1170" w:type="dxa"/>
            <w:shd w:val="clear" w:color="auto" w:fill="auto"/>
          </w:tcPr>
          <w:p w:rsidRPr="001939A8" w:rsidR="001939A8" w:rsidP="001939A8" w:rsidRDefault="001939A8">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1,000</w:t>
            </w:r>
          </w:p>
        </w:tc>
      </w:tr>
      <w:tr w:rsidRPr="00ED289D" w:rsidR="009833B3" w:rsidTr="00ED289D">
        <w:tc>
          <w:tcPr>
            <w:tcW w:w="1258" w:type="dxa"/>
            <w:shd w:val="clear" w:color="auto" w:fill="auto"/>
            <w:vAlign w:val="bottom"/>
          </w:tcPr>
          <w:p w:rsidRPr="001939A8" w:rsidR="009833B3" w:rsidP="009833B3" w:rsidRDefault="009833B3">
            <w:pPr>
              <w:keepNext/>
              <w:keepLines/>
              <w:numPr>
                <w:ilvl w:val="12"/>
                <w:numId w:val="0"/>
              </w:numPr>
              <w:jc w:val="center"/>
              <w:rPr>
                <w:rFonts w:ascii="Arial Narrow" w:hAnsi="Arial Narrow"/>
                <w:sz w:val="18"/>
                <w:szCs w:val="18"/>
              </w:rPr>
            </w:pPr>
            <w:r>
              <w:rPr>
                <w:rFonts w:ascii="Arial Narrow" w:hAnsi="Arial Narrow"/>
                <w:sz w:val="18"/>
                <w:szCs w:val="18"/>
              </w:rPr>
              <w:t xml:space="preserve">IRC </w:t>
            </w:r>
            <w:r w:rsidRPr="009833B3">
              <w:rPr>
                <w:rFonts w:ascii="Arial Narrow" w:hAnsi="Arial Narrow"/>
                <w:bCs/>
                <w:sz w:val="18"/>
                <w:szCs w:val="18"/>
              </w:rPr>
              <w:t>1.475(c)-1</w:t>
            </w:r>
          </w:p>
        </w:tc>
        <w:tc>
          <w:tcPr>
            <w:tcW w:w="1916" w:type="dxa"/>
            <w:vAlign w:val="bottom"/>
          </w:tcPr>
          <w:p w:rsidRPr="00ED289D" w:rsidR="009833B3" w:rsidP="009833B3" w:rsidRDefault="009833B3">
            <w:pPr>
              <w:rPr>
                <w:rFonts w:ascii="Arial Narrow" w:hAnsi="Arial Narrow" w:cs="Arial"/>
                <w:bCs/>
                <w:sz w:val="18"/>
                <w:szCs w:val="18"/>
              </w:rPr>
            </w:pPr>
            <w:r w:rsidRPr="00ED289D">
              <w:rPr>
                <w:rFonts w:ascii="Arial Narrow" w:hAnsi="Arial Narrow" w:cs="Arial"/>
                <w:bCs/>
                <w:sz w:val="18"/>
                <w:szCs w:val="18"/>
              </w:rPr>
              <w:t>Revenue Ruling 97-39</w:t>
            </w:r>
          </w:p>
          <w:p w:rsidRPr="00ED289D" w:rsidR="009833B3" w:rsidP="009833B3" w:rsidRDefault="009833B3">
            <w:pPr>
              <w:rPr>
                <w:rFonts w:ascii="Arial Narrow" w:hAnsi="Arial Narrow" w:cs="Arial"/>
                <w:bCs/>
                <w:sz w:val="18"/>
                <w:szCs w:val="18"/>
              </w:rPr>
            </w:pPr>
          </w:p>
        </w:tc>
        <w:tc>
          <w:tcPr>
            <w:tcW w:w="1170" w:type="dxa"/>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20,000</w:t>
            </w:r>
          </w:p>
        </w:tc>
        <w:tc>
          <w:tcPr>
            <w:tcW w:w="1170" w:type="dxa"/>
            <w:vAlign w:val="bottom"/>
          </w:tcPr>
          <w:p w:rsidRPr="001939A8" w:rsidR="009833B3" w:rsidP="009833B3" w:rsidRDefault="009833B3">
            <w:pPr>
              <w:keepNext/>
              <w:keepLines/>
              <w:numPr>
                <w:ilvl w:val="12"/>
                <w:numId w:val="0"/>
              </w:numPr>
              <w:jc w:val="center"/>
              <w:rPr>
                <w:rFonts w:ascii="Arial Narrow" w:hAnsi="Arial Narrow"/>
                <w:sz w:val="18"/>
                <w:szCs w:val="18"/>
              </w:rPr>
            </w:pPr>
          </w:p>
        </w:tc>
        <w:tc>
          <w:tcPr>
            <w:tcW w:w="1080" w:type="dxa"/>
            <w:shd w:val="clear" w:color="auto" w:fill="auto"/>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20,000</w:t>
            </w:r>
          </w:p>
        </w:tc>
        <w:tc>
          <w:tcPr>
            <w:tcW w:w="1170" w:type="dxa"/>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22.5</w:t>
            </w:r>
          </w:p>
        </w:tc>
        <w:tc>
          <w:tcPr>
            <w:tcW w:w="1170" w:type="dxa"/>
            <w:shd w:val="clear" w:color="auto" w:fill="auto"/>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450,000</w:t>
            </w:r>
          </w:p>
        </w:tc>
      </w:tr>
      <w:tr w:rsidRPr="00ED289D" w:rsidR="009833B3" w:rsidTr="00ED289D">
        <w:tc>
          <w:tcPr>
            <w:tcW w:w="1258" w:type="dxa"/>
            <w:shd w:val="clear" w:color="auto" w:fill="auto"/>
            <w:vAlign w:val="bottom"/>
          </w:tcPr>
          <w:p w:rsidRPr="001939A8" w:rsidR="009833B3" w:rsidP="009833B3" w:rsidRDefault="009833B3">
            <w:pPr>
              <w:keepNext/>
              <w:keepLines/>
              <w:numPr>
                <w:ilvl w:val="12"/>
                <w:numId w:val="0"/>
              </w:numPr>
              <w:jc w:val="center"/>
              <w:rPr>
                <w:rFonts w:ascii="Arial Narrow" w:hAnsi="Arial Narrow"/>
                <w:sz w:val="18"/>
                <w:szCs w:val="18"/>
              </w:rPr>
            </w:pPr>
            <w:r w:rsidRPr="001939A8">
              <w:rPr>
                <w:rFonts w:ascii="Arial Narrow" w:hAnsi="Arial Narrow"/>
                <w:sz w:val="18"/>
                <w:szCs w:val="18"/>
              </w:rPr>
              <w:t>Totals</w:t>
            </w:r>
          </w:p>
        </w:tc>
        <w:tc>
          <w:tcPr>
            <w:tcW w:w="1916" w:type="dxa"/>
            <w:vAlign w:val="bottom"/>
          </w:tcPr>
          <w:p w:rsidRPr="001939A8" w:rsidR="009833B3" w:rsidP="009833B3" w:rsidRDefault="009833B3">
            <w:pPr>
              <w:keepNext/>
              <w:keepLines/>
              <w:numPr>
                <w:ilvl w:val="12"/>
                <w:numId w:val="0"/>
              </w:numPr>
              <w:jc w:val="center"/>
              <w:rPr>
                <w:rFonts w:ascii="Arial Narrow" w:hAnsi="Arial Narrow"/>
                <w:sz w:val="18"/>
                <w:szCs w:val="18"/>
              </w:rPr>
            </w:pPr>
          </w:p>
        </w:tc>
        <w:tc>
          <w:tcPr>
            <w:tcW w:w="1170" w:type="dxa"/>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20,200</w:t>
            </w:r>
          </w:p>
        </w:tc>
        <w:tc>
          <w:tcPr>
            <w:tcW w:w="1170" w:type="dxa"/>
            <w:vAlign w:val="bottom"/>
          </w:tcPr>
          <w:p w:rsidRPr="001939A8" w:rsidR="009833B3" w:rsidP="009833B3" w:rsidRDefault="009833B3">
            <w:pPr>
              <w:keepNext/>
              <w:keepLines/>
              <w:numPr>
                <w:ilvl w:val="12"/>
                <w:numId w:val="0"/>
              </w:numPr>
              <w:jc w:val="center"/>
              <w:rPr>
                <w:rFonts w:ascii="Arial Narrow" w:hAnsi="Arial Narrow"/>
                <w:sz w:val="18"/>
                <w:szCs w:val="18"/>
              </w:rPr>
            </w:pPr>
          </w:p>
        </w:tc>
        <w:tc>
          <w:tcPr>
            <w:tcW w:w="1080" w:type="dxa"/>
            <w:shd w:val="clear" w:color="auto" w:fill="auto"/>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20,200</w:t>
            </w:r>
          </w:p>
        </w:tc>
        <w:tc>
          <w:tcPr>
            <w:tcW w:w="1170" w:type="dxa"/>
            <w:vAlign w:val="bottom"/>
          </w:tcPr>
          <w:p w:rsidRPr="001939A8" w:rsidR="009833B3" w:rsidP="009833B3" w:rsidRDefault="009833B3">
            <w:pPr>
              <w:keepNext/>
              <w:keepLines/>
              <w:numPr>
                <w:ilvl w:val="12"/>
                <w:numId w:val="0"/>
              </w:numPr>
              <w:jc w:val="center"/>
              <w:rPr>
                <w:rFonts w:ascii="Arial Narrow" w:hAnsi="Arial Narrow"/>
                <w:sz w:val="18"/>
                <w:szCs w:val="18"/>
              </w:rPr>
            </w:pPr>
          </w:p>
        </w:tc>
        <w:tc>
          <w:tcPr>
            <w:tcW w:w="1170" w:type="dxa"/>
            <w:shd w:val="clear" w:color="auto" w:fill="auto"/>
          </w:tcPr>
          <w:p w:rsidRPr="001939A8" w:rsidR="009833B3" w:rsidP="009833B3" w:rsidRDefault="009833B3">
            <w:pPr>
              <w:keepNext/>
              <w:keepLines/>
              <w:numPr>
                <w:ilvl w:val="12"/>
                <w:numId w:val="0"/>
              </w:numPr>
              <w:jc w:val="center"/>
              <w:rPr>
                <w:rFonts w:ascii="Arial Narrow" w:hAnsi="Arial Narrow"/>
                <w:sz w:val="18"/>
                <w:szCs w:val="18"/>
              </w:rPr>
            </w:pPr>
            <w:r w:rsidRPr="00ED289D">
              <w:rPr>
                <w:rFonts w:ascii="Arial Narrow" w:hAnsi="Arial Narrow" w:cs="Arial"/>
                <w:bCs/>
                <w:sz w:val="18"/>
                <w:szCs w:val="18"/>
              </w:rPr>
              <w:t>451,000</w:t>
            </w:r>
          </w:p>
        </w:tc>
      </w:tr>
      <w:bookmarkEnd w:id="1"/>
    </w:tbl>
    <w:p w:rsidRPr="00071871" w:rsidR="001939A8" w:rsidRDefault="001939A8">
      <w:pPr>
        <w:ind w:left="720"/>
        <w:rPr>
          <w:rFonts w:ascii="Arial" w:hAnsi="Arial" w:cs="Arial"/>
          <w:bCs/>
        </w:rPr>
      </w:pPr>
    </w:p>
    <w:p w:rsidRPr="00071871" w:rsidR="00710FA1" w:rsidRDefault="00710FA1">
      <w:pPr>
        <w:ind w:firstLine="720"/>
        <w:rPr>
          <w:rFonts w:ascii="Arial" w:hAnsi="Arial" w:cs="Arial"/>
          <w:bCs/>
        </w:rPr>
      </w:pP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13.</w:t>
      </w:r>
      <w:r w:rsidRPr="00071871">
        <w:rPr>
          <w:rFonts w:ascii="Arial" w:hAnsi="Arial" w:cs="Arial"/>
          <w:bCs/>
        </w:rPr>
        <w:tab/>
      </w:r>
      <w:r w:rsidRPr="00071871">
        <w:rPr>
          <w:rFonts w:ascii="Arial" w:hAnsi="Arial" w:cs="Arial"/>
          <w:bCs/>
          <w:u w:val="single"/>
        </w:rPr>
        <w:t>ESTIMATED TOTAL ANNUAL COST BURDEN TO RESPONDENTS</w:t>
      </w:r>
    </w:p>
    <w:p w:rsidR="00450BB9" w:rsidRDefault="00450BB9">
      <w:pPr>
        <w:ind w:left="720"/>
        <w:rPr>
          <w:rFonts w:ascii="Arial" w:hAnsi="Arial" w:cs="Arial"/>
          <w:bCs/>
        </w:rPr>
      </w:pPr>
    </w:p>
    <w:p w:rsidRPr="009833B3" w:rsidR="009833B3" w:rsidP="009833B3" w:rsidRDefault="009833B3">
      <w:pPr>
        <w:ind w:left="720"/>
        <w:rPr>
          <w:rFonts w:ascii="Arial" w:hAnsi="Arial" w:cs="Arial"/>
          <w:bCs/>
        </w:rPr>
      </w:pPr>
      <w:bookmarkStart w:name="_Hlk504654439" w:id="2"/>
      <w:r w:rsidRPr="009833B3">
        <w:rPr>
          <w:rFonts w:ascii="Arial" w:hAnsi="Arial" w:cs="Arial"/>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2"/>
    <w:p w:rsidRPr="00071871" w:rsidR="00710FA1" w:rsidRDefault="00710FA1">
      <w:pPr>
        <w:ind w:left="720"/>
        <w:rPr>
          <w:rFonts w:ascii="Arial" w:hAnsi="Arial" w:cs="Arial"/>
          <w:bCs/>
        </w:rPr>
      </w:pPr>
    </w:p>
    <w:p w:rsidRPr="00071871" w:rsidR="00710FA1" w:rsidRDefault="00710FA1">
      <w:pPr>
        <w:ind w:left="720"/>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14.</w:t>
      </w:r>
      <w:r w:rsidRPr="00071871">
        <w:rPr>
          <w:rFonts w:ascii="Arial" w:hAnsi="Arial" w:cs="Arial"/>
          <w:bCs/>
        </w:rPr>
        <w:tab/>
      </w:r>
      <w:r w:rsidRPr="00071871">
        <w:rPr>
          <w:rFonts w:ascii="Arial" w:hAnsi="Arial" w:cs="Arial"/>
          <w:bCs/>
          <w:u w:val="single"/>
        </w:rPr>
        <w:t>ESTIMATED ANNUALIZED COST TO THE FEDERAL GOVERNMENT</w:t>
      </w:r>
    </w:p>
    <w:p w:rsidRPr="00071871" w:rsidR="00710FA1" w:rsidRDefault="00710FA1">
      <w:pPr>
        <w:rPr>
          <w:rFonts w:ascii="Arial" w:hAnsi="Arial" w:cs="Arial"/>
          <w:bCs/>
        </w:rPr>
      </w:pPr>
    </w:p>
    <w:p w:rsidRPr="009833B3" w:rsidR="009833B3" w:rsidP="009833B3" w:rsidRDefault="009833B3">
      <w:pPr>
        <w:ind w:left="720"/>
        <w:rPr>
          <w:rFonts w:ascii="Arial" w:hAnsi="Arial" w:cs="Arial"/>
          <w:bCs/>
        </w:rPr>
      </w:pPr>
      <w:r w:rsidRPr="009833B3">
        <w:rPr>
          <w:rFonts w:ascii="Arial" w:hAnsi="Arial" w:cs="Arial"/>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071871" w:rsidR="009833B3" w:rsidP="009833B3" w:rsidRDefault="009833B3">
      <w:pPr>
        <w:ind w:left="720"/>
        <w:rPr>
          <w:rFonts w:ascii="Arial" w:hAnsi="Arial" w:cs="Arial"/>
          <w:bCs/>
        </w:rPr>
      </w:pP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15.</w:t>
      </w:r>
      <w:r w:rsidRPr="00071871">
        <w:rPr>
          <w:rFonts w:ascii="Arial" w:hAnsi="Arial" w:cs="Arial"/>
          <w:bCs/>
        </w:rPr>
        <w:tab/>
      </w:r>
      <w:r w:rsidRPr="00071871">
        <w:rPr>
          <w:rFonts w:ascii="Arial" w:hAnsi="Arial" w:cs="Arial"/>
          <w:bCs/>
          <w:u w:val="single"/>
        </w:rPr>
        <w:t>REASONS FOR CHANGE IN BURDEN</w:t>
      </w:r>
      <w:r w:rsidRPr="00071871">
        <w:rPr>
          <w:rFonts w:ascii="Arial" w:hAnsi="Arial" w:cs="Arial"/>
          <w:bCs/>
        </w:rPr>
        <w:t xml:space="preserve"> </w:t>
      </w:r>
    </w:p>
    <w:p w:rsidRPr="00071871" w:rsidR="00710FA1" w:rsidRDefault="00710FA1">
      <w:pPr>
        <w:rPr>
          <w:rFonts w:ascii="Arial" w:hAnsi="Arial" w:cs="Arial"/>
          <w:bCs/>
        </w:rPr>
      </w:pPr>
    </w:p>
    <w:p w:rsidR="00B20AF0" w:rsidRDefault="00710FA1">
      <w:pPr>
        <w:ind w:left="720"/>
        <w:rPr>
          <w:rFonts w:ascii="Arial" w:hAnsi="Arial" w:cs="Arial"/>
          <w:bCs/>
        </w:rPr>
      </w:pPr>
      <w:r w:rsidRPr="00071871">
        <w:rPr>
          <w:rFonts w:ascii="Arial" w:hAnsi="Arial" w:cs="Arial"/>
          <w:bCs/>
        </w:rPr>
        <w:t>The</w:t>
      </w:r>
      <w:r w:rsidR="00B20AF0">
        <w:rPr>
          <w:rFonts w:ascii="Arial" w:hAnsi="Arial" w:cs="Arial"/>
          <w:bCs/>
        </w:rPr>
        <w:t xml:space="preserve"> </w:t>
      </w:r>
      <w:r w:rsidRPr="00071871">
        <w:rPr>
          <w:rFonts w:ascii="Arial" w:hAnsi="Arial" w:cs="Arial"/>
          <w:bCs/>
        </w:rPr>
        <w:t>change in the paperwork burden previously approved by OMB</w:t>
      </w:r>
      <w:r w:rsidR="00B20AF0">
        <w:rPr>
          <w:rFonts w:ascii="Arial" w:hAnsi="Arial" w:cs="Arial"/>
          <w:bCs/>
        </w:rPr>
        <w:t xml:space="preserve"> is the result of combining t</w:t>
      </w:r>
      <w:r w:rsidR="00D47E00">
        <w:rPr>
          <w:rFonts w:ascii="Arial" w:hAnsi="Arial" w:cs="Arial"/>
          <w:bCs/>
        </w:rPr>
        <w:t>wo</w:t>
      </w:r>
      <w:r w:rsidR="00B20AF0">
        <w:rPr>
          <w:rFonts w:ascii="Arial" w:hAnsi="Arial" w:cs="Arial"/>
          <w:bCs/>
        </w:rPr>
        <w:t xml:space="preserve"> information collection ICR</w:t>
      </w:r>
      <w:r w:rsidR="006D7B7E">
        <w:rPr>
          <w:rFonts w:ascii="Arial" w:hAnsi="Arial" w:cs="Arial"/>
          <w:bCs/>
        </w:rPr>
        <w:t>s</w:t>
      </w:r>
      <w:bookmarkStart w:name="_GoBack" w:id="3"/>
      <w:bookmarkEnd w:id="3"/>
      <w:r w:rsidR="00B20AF0">
        <w:rPr>
          <w:rFonts w:ascii="Arial" w:hAnsi="Arial" w:cs="Arial"/>
          <w:bCs/>
        </w:rPr>
        <w:t xml:space="preserve"> into one.</w:t>
      </w:r>
      <w:r w:rsidRPr="00071871">
        <w:rPr>
          <w:rFonts w:ascii="Arial" w:hAnsi="Arial" w:cs="Arial"/>
          <w:bCs/>
        </w:rPr>
        <w:t xml:space="preserve">  </w:t>
      </w:r>
    </w:p>
    <w:p w:rsidR="00D47E00" w:rsidRDefault="00D47E00">
      <w:pPr>
        <w:ind w:left="720"/>
        <w:rPr>
          <w:rFonts w:ascii="Arial" w:hAnsi="Arial" w:cs="Arial"/>
          <w:bCs/>
        </w:rPr>
      </w:pPr>
    </w:p>
    <w:p w:rsidRPr="00D47E00" w:rsidR="00D47E00" w:rsidP="00D47E00" w:rsidRDefault="00D47E00">
      <w:pPr>
        <w:ind w:left="720"/>
        <w:rPr>
          <w:rFonts w:ascii="Arial" w:hAnsi="Arial" w:cs="Arial"/>
          <w:bCs/>
        </w:rPr>
      </w:pPr>
      <w:r w:rsidRPr="00D47E00">
        <w:rPr>
          <w:rFonts w:ascii="Arial" w:hAnsi="Arial" w:cs="Arial"/>
          <w:bCs/>
        </w:rPr>
        <w:t xml:space="preserve">The change in the paperwork burden previously approved by OMB is the result of Revenue Procedure 97-43 and Revenue Ruling 97-39 under one OMB control number 1545-1558.  </w:t>
      </w:r>
    </w:p>
    <w:p w:rsidRPr="00D47E00" w:rsidR="00D47E00" w:rsidP="00D47E00" w:rsidRDefault="00D47E00">
      <w:pPr>
        <w:ind w:left="720"/>
        <w:rPr>
          <w:rFonts w:ascii="Arial" w:hAnsi="Arial" w:cs="Arial"/>
          <w:bCs/>
        </w:rPr>
      </w:pPr>
    </w:p>
    <w:p w:rsidR="00D47E00" w:rsidP="00D47E00" w:rsidRDefault="00D47E00">
      <w:pPr>
        <w:ind w:left="720"/>
        <w:rPr>
          <w:rFonts w:ascii="Arial" w:hAnsi="Arial" w:cs="Arial"/>
          <w:bCs/>
        </w:rPr>
      </w:pPr>
      <w:r w:rsidRPr="00D47E00">
        <w:rPr>
          <w:rFonts w:ascii="Arial" w:hAnsi="Arial" w:cs="Arial"/>
          <w:bCs/>
        </w:rPr>
        <w:t>Revenue Ruling 97-39 was formerly under OMB control number 1545-1496 and was discontinued.</w:t>
      </w:r>
    </w:p>
    <w:p w:rsidR="00D47E00" w:rsidRDefault="00D47E00">
      <w:pPr>
        <w:ind w:left="720"/>
        <w:rPr>
          <w:rFonts w:ascii="Arial" w:hAnsi="Arial" w:cs="Arial"/>
          <w:bCs/>
        </w:rPr>
      </w:pPr>
    </w:p>
    <w:tbl>
      <w:tblPr>
        <w:tblW w:w="4613" w:type="pct"/>
        <w:tblBorders>
          <w:top w:val="single" w:color="C5DBEC" w:sz="6" w:space="0"/>
          <w:left w:val="single" w:color="C5DBEC" w:sz="6" w:space="0"/>
          <w:bottom w:val="single" w:color="C5DBEC" w:sz="6" w:space="0"/>
          <w:right w:val="single" w:color="C5DBEC" w:sz="6" w:space="0"/>
        </w:tblBorders>
        <w:tblLayout w:type="fixed"/>
        <w:tblCellMar>
          <w:top w:w="15" w:type="dxa"/>
          <w:left w:w="15" w:type="dxa"/>
          <w:bottom w:w="15" w:type="dxa"/>
          <w:right w:w="15" w:type="dxa"/>
        </w:tblCellMar>
        <w:tblLook w:val="04A0" w:firstRow="1" w:lastRow="0" w:firstColumn="1" w:lastColumn="0" w:noHBand="0" w:noVBand="1"/>
      </w:tblPr>
      <w:tblGrid>
        <w:gridCol w:w="4583"/>
        <w:gridCol w:w="1074"/>
        <w:gridCol w:w="7"/>
        <w:gridCol w:w="1422"/>
        <w:gridCol w:w="7"/>
        <w:gridCol w:w="1521"/>
        <w:gridCol w:w="7"/>
      </w:tblGrid>
      <w:tr w:rsidRPr="00ED289D" w:rsidR="00D47E00" w:rsidTr="009833B3">
        <w:trPr>
          <w:gridAfter w:val="1"/>
          <w:wAfter w:w="5" w:type="pct"/>
        </w:trPr>
        <w:tc>
          <w:tcPr>
            <w:tcW w:w="4995" w:type="pct"/>
            <w:gridSpan w:val="6"/>
            <w:tcBorders>
              <w:top w:val="outset" w:color="auto" w:sz="6" w:space="0"/>
              <w:left w:val="outset" w:color="auto" w:sz="6" w:space="0"/>
              <w:bottom w:val="outset" w:color="auto" w:sz="6" w:space="0"/>
              <w:right w:val="outset" w:color="auto" w:sz="6" w:space="0"/>
            </w:tcBorders>
            <w:vAlign w:val="center"/>
            <w:hideMark/>
          </w:tcPr>
          <w:p w:rsidRPr="00ED289D" w:rsidR="00D47E00" w:rsidP="009833B3" w:rsidRDefault="00D47E00">
            <w:pPr>
              <w:keepNext/>
              <w:keepLines/>
              <w:autoSpaceDE/>
              <w:autoSpaceDN/>
              <w:adjustRightInd/>
              <w:jc w:val="center"/>
              <w:rPr>
                <w:rFonts w:ascii="Arial Narrow" w:hAnsi="Arial Narrow" w:cs="Arial"/>
                <w:b/>
                <w:bCs/>
                <w:color w:val="000000"/>
                <w:sz w:val="18"/>
                <w:szCs w:val="18"/>
              </w:rPr>
            </w:pPr>
            <w:r w:rsidRPr="00ED289D">
              <w:rPr>
                <w:rFonts w:ascii="Arial Narrow" w:hAnsi="Arial Narrow" w:cs="Arial"/>
                <w:b/>
                <w:bCs/>
                <w:color w:val="000000"/>
                <w:sz w:val="18"/>
                <w:szCs w:val="18"/>
              </w:rPr>
              <w:t>List of ICs</w:t>
            </w:r>
          </w:p>
        </w:tc>
      </w:tr>
      <w:tr w:rsidRPr="00ED289D" w:rsidR="00D47E00" w:rsidTr="009833B3">
        <w:trPr>
          <w:gridAfter w:val="1"/>
          <w:wAfter w:w="4" w:type="pct"/>
        </w:trPr>
        <w:tc>
          <w:tcPr>
            <w:tcW w:w="2658" w:type="pct"/>
            <w:tcBorders>
              <w:top w:val="outset" w:color="auto" w:sz="6" w:space="0"/>
              <w:left w:val="outset" w:color="auto" w:sz="6" w:space="0"/>
              <w:bottom w:val="outset" w:color="auto" w:sz="6" w:space="0"/>
              <w:right w:val="outset" w:color="auto" w:sz="6" w:space="0"/>
            </w:tcBorders>
            <w:vAlign w:val="center"/>
            <w:hideMark/>
          </w:tcPr>
          <w:p w:rsidRPr="00ED289D" w:rsidR="00D47E00" w:rsidP="009833B3" w:rsidRDefault="00D47E00">
            <w:pPr>
              <w:keepNext/>
              <w:keepLines/>
              <w:autoSpaceDE/>
              <w:autoSpaceDN/>
              <w:adjustRightInd/>
              <w:jc w:val="center"/>
              <w:rPr>
                <w:rFonts w:ascii="Arial Narrow" w:hAnsi="Arial Narrow" w:cs="Arial"/>
                <w:b/>
                <w:bCs/>
                <w:color w:val="000000"/>
                <w:sz w:val="18"/>
                <w:szCs w:val="18"/>
              </w:rPr>
            </w:pPr>
            <w:r w:rsidRPr="00ED289D">
              <w:rPr>
                <w:rFonts w:ascii="Arial Narrow" w:hAnsi="Arial Narrow" w:cs="Arial"/>
                <w:b/>
                <w:bCs/>
                <w:color w:val="000000"/>
                <w:sz w:val="18"/>
                <w:szCs w:val="18"/>
              </w:rPr>
              <w:t>IC Title</w:t>
            </w:r>
          </w:p>
        </w:tc>
        <w:tc>
          <w:tcPr>
            <w:tcW w:w="623" w:type="pct"/>
            <w:tcBorders>
              <w:top w:val="outset" w:color="auto" w:sz="6" w:space="0"/>
              <w:left w:val="outset" w:color="auto" w:sz="6" w:space="0"/>
              <w:bottom w:val="outset" w:color="auto" w:sz="6" w:space="0"/>
              <w:right w:val="outset" w:color="auto" w:sz="6" w:space="0"/>
            </w:tcBorders>
            <w:vAlign w:val="center"/>
            <w:hideMark/>
          </w:tcPr>
          <w:p w:rsidRPr="00ED289D" w:rsidR="00D47E00" w:rsidP="009833B3" w:rsidRDefault="00D47E00">
            <w:pPr>
              <w:keepNext/>
              <w:keepLines/>
              <w:autoSpaceDE/>
              <w:autoSpaceDN/>
              <w:adjustRightInd/>
              <w:jc w:val="center"/>
              <w:rPr>
                <w:rFonts w:ascii="Arial Narrow" w:hAnsi="Arial Narrow" w:cs="Arial"/>
                <w:b/>
                <w:bCs/>
                <w:color w:val="000000"/>
                <w:sz w:val="18"/>
                <w:szCs w:val="18"/>
              </w:rPr>
            </w:pPr>
            <w:r w:rsidRPr="00ED289D">
              <w:rPr>
                <w:rFonts w:ascii="Arial Narrow" w:hAnsi="Arial Narrow" w:cs="Arial"/>
                <w:b/>
                <w:bCs/>
                <w:color w:val="000000"/>
                <w:sz w:val="18"/>
                <w:szCs w:val="18"/>
              </w:rPr>
              <w:t>Status</w:t>
            </w:r>
          </w:p>
        </w:tc>
        <w:tc>
          <w:tcPr>
            <w:tcW w:w="829" w:type="pct"/>
            <w:gridSpan w:val="2"/>
            <w:tcBorders>
              <w:top w:val="outset" w:color="auto" w:sz="6" w:space="0"/>
              <w:left w:val="outset" w:color="auto" w:sz="6" w:space="0"/>
              <w:bottom w:val="outset" w:color="auto" w:sz="6" w:space="0"/>
              <w:right w:val="outset" w:color="auto" w:sz="6" w:space="0"/>
            </w:tcBorders>
            <w:vAlign w:val="center"/>
            <w:hideMark/>
          </w:tcPr>
          <w:p w:rsidRPr="00ED289D" w:rsidR="00D47E00" w:rsidP="009833B3" w:rsidRDefault="00D47E00">
            <w:pPr>
              <w:keepNext/>
              <w:keepLines/>
              <w:autoSpaceDE/>
              <w:autoSpaceDN/>
              <w:adjustRightInd/>
              <w:jc w:val="center"/>
              <w:rPr>
                <w:rFonts w:ascii="Arial Narrow" w:hAnsi="Arial Narrow" w:cs="Arial"/>
                <w:b/>
                <w:bCs/>
                <w:color w:val="000000"/>
                <w:sz w:val="18"/>
                <w:szCs w:val="18"/>
              </w:rPr>
            </w:pPr>
            <w:r w:rsidRPr="00ED289D">
              <w:rPr>
                <w:rFonts w:ascii="Arial Narrow" w:hAnsi="Arial Narrow" w:cs="Arial"/>
                <w:b/>
                <w:bCs/>
                <w:color w:val="000000"/>
                <w:sz w:val="18"/>
                <w:szCs w:val="18"/>
              </w:rPr>
              <w:t>Responses</w:t>
            </w:r>
          </w:p>
        </w:tc>
        <w:tc>
          <w:tcPr>
            <w:tcW w:w="886" w:type="pct"/>
            <w:gridSpan w:val="2"/>
            <w:tcBorders>
              <w:top w:val="outset" w:color="auto" w:sz="6" w:space="0"/>
              <w:left w:val="outset" w:color="auto" w:sz="6" w:space="0"/>
              <w:bottom w:val="outset" w:color="auto" w:sz="6" w:space="0"/>
              <w:right w:val="outset" w:color="auto" w:sz="6" w:space="0"/>
            </w:tcBorders>
            <w:vAlign w:val="center"/>
            <w:hideMark/>
          </w:tcPr>
          <w:p w:rsidRPr="00ED289D" w:rsidR="00D47E00" w:rsidP="009833B3" w:rsidRDefault="00D47E00">
            <w:pPr>
              <w:keepNext/>
              <w:keepLines/>
              <w:autoSpaceDE/>
              <w:autoSpaceDN/>
              <w:adjustRightInd/>
              <w:ind w:left="-732" w:firstLine="732"/>
              <w:jc w:val="center"/>
              <w:rPr>
                <w:rFonts w:ascii="Arial Narrow" w:hAnsi="Arial Narrow" w:cs="Arial"/>
                <w:b/>
                <w:bCs/>
                <w:color w:val="000000"/>
                <w:sz w:val="18"/>
                <w:szCs w:val="18"/>
              </w:rPr>
            </w:pPr>
            <w:r w:rsidRPr="00ED289D">
              <w:rPr>
                <w:rFonts w:ascii="Arial Narrow" w:hAnsi="Arial Narrow" w:cs="Arial"/>
                <w:b/>
                <w:bCs/>
                <w:color w:val="000000"/>
                <w:sz w:val="18"/>
                <w:szCs w:val="18"/>
              </w:rPr>
              <w:t>Hours</w:t>
            </w:r>
          </w:p>
        </w:tc>
      </w:tr>
      <w:tr w:rsidRPr="00ED289D" w:rsidR="00D47E00" w:rsidTr="009833B3">
        <w:trPr>
          <w:gridAfter w:val="1"/>
          <w:wAfter w:w="4" w:type="pct"/>
        </w:trPr>
        <w:tc>
          <w:tcPr>
            <w:tcW w:w="2658" w:type="pct"/>
            <w:tcBorders>
              <w:top w:val="outset" w:color="auto" w:sz="6" w:space="0"/>
              <w:left w:val="outset" w:color="auto" w:sz="6" w:space="0"/>
              <w:bottom w:val="outset" w:color="auto" w:sz="6" w:space="0"/>
              <w:right w:val="outset" w:color="auto" w:sz="6" w:space="0"/>
            </w:tcBorders>
            <w:hideMark/>
          </w:tcPr>
          <w:p w:rsidRPr="00ED289D" w:rsidR="00D47E00" w:rsidP="009833B3" w:rsidRDefault="001327F9">
            <w:pPr>
              <w:keepNext/>
              <w:keepLines/>
              <w:autoSpaceDE/>
              <w:autoSpaceDN/>
              <w:adjustRightInd/>
              <w:rPr>
                <w:rFonts w:ascii="Arial Narrow" w:hAnsi="Arial Narrow" w:cs="Arial"/>
                <w:color w:val="000000"/>
                <w:sz w:val="18"/>
                <w:szCs w:val="18"/>
              </w:rPr>
            </w:pPr>
            <w:hyperlink w:history="1" r:id="rId6">
              <w:r w:rsidRPr="00ED289D" w:rsidR="00D47E00">
                <w:rPr>
                  <w:rFonts w:ascii="Arial Narrow" w:hAnsi="Arial Narrow" w:cs="Arial"/>
                  <w:color w:val="153870"/>
                  <w:sz w:val="18"/>
                  <w:szCs w:val="18"/>
                  <w:u w:val="single"/>
                </w:rPr>
                <w:t>Rev. Proc.98-46 Procedures for Electing Out of Exemptions Under Section 1.475(c)-1; and Revenue Ruling 97-39, Mark-to-Market Accounting Method for Dealers in Securities</w:t>
              </w:r>
            </w:hyperlink>
            <w:r w:rsidRPr="00ED289D" w:rsidR="00D47E00">
              <w:rPr>
                <w:rFonts w:ascii="Arial Narrow" w:hAnsi="Arial Narrow" w:cs="Arial"/>
                <w:color w:val="000000"/>
                <w:sz w:val="18"/>
                <w:szCs w:val="18"/>
              </w:rPr>
              <w:t xml:space="preserve"> </w:t>
            </w:r>
          </w:p>
        </w:tc>
        <w:tc>
          <w:tcPr>
            <w:tcW w:w="623" w:type="pct"/>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color w:val="000000"/>
                <w:sz w:val="18"/>
                <w:szCs w:val="18"/>
              </w:rPr>
            </w:pPr>
            <w:r w:rsidRPr="00ED289D">
              <w:rPr>
                <w:rFonts w:ascii="Arial Narrow" w:hAnsi="Arial Narrow" w:cs="Arial"/>
                <w:color w:val="000000"/>
                <w:sz w:val="18"/>
                <w:szCs w:val="18"/>
              </w:rPr>
              <w:t>Modified</w:t>
            </w:r>
          </w:p>
        </w:tc>
        <w:tc>
          <w:tcPr>
            <w:tcW w:w="829" w:type="pct"/>
            <w:gridSpan w:val="2"/>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color w:val="000000"/>
                <w:sz w:val="18"/>
                <w:szCs w:val="18"/>
              </w:rPr>
            </w:pPr>
            <w:r w:rsidRPr="00ED289D">
              <w:rPr>
                <w:rFonts w:ascii="Arial Narrow" w:hAnsi="Arial Narrow" w:cs="Arial"/>
                <w:color w:val="000000"/>
                <w:sz w:val="18"/>
                <w:szCs w:val="18"/>
              </w:rPr>
              <w:t>200</w:t>
            </w:r>
          </w:p>
        </w:tc>
        <w:tc>
          <w:tcPr>
            <w:tcW w:w="886" w:type="pct"/>
            <w:gridSpan w:val="2"/>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color w:val="000000"/>
                <w:sz w:val="18"/>
                <w:szCs w:val="18"/>
              </w:rPr>
            </w:pPr>
            <w:r w:rsidRPr="00ED289D">
              <w:rPr>
                <w:rFonts w:ascii="Arial Narrow" w:hAnsi="Arial Narrow" w:cs="Arial"/>
                <w:color w:val="000000"/>
                <w:sz w:val="18"/>
                <w:szCs w:val="18"/>
              </w:rPr>
              <w:t>1000</w:t>
            </w:r>
          </w:p>
        </w:tc>
      </w:tr>
      <w:tr w:rsidRPr="00ED289D" w:rsidR="00D47E00" w:rsidTr="009833B3">
        <w:trPr>
          <w:gridAfter w:val="1"/>
          <w:wAfter w:w="4" w:type="pct"/>
        </w:trPr>
        <w:tc>
          <w:tcPr>
            <w:tcW w:w="2658" w:type="pct"/>
            <w:tcBorders>
              <w:top w:val="outset" w:color="auto" w:sz="6" w:space="0"/>
              <w:left w:val="outset" w:color="auto" w:sz="6" w:space="0"/>
              <w:bottom w:val="outset" w:color="auto" w:sz="6" w:space="0"/>
              <w:right w:val="outset" w:color="auto" w:sz="6" w:space="0"/>
            </w:tcBorders>
            <w:hideMark/>
          </w:tcPr>
          <w:p w:rsidRPr="00ED289D" w:rsidR="00D47E00" w:rsidP="009833B3" w:rsidRDefault="001327F9">
            <w:pPr>
              <w:keepNext/>
              <w:keepLines/>
              <w:autoSpaceDE/>
              <w:autoSpaceDN/>
              <w:adjustRightInd/>
              <w:rPr>
                <w:rFonts w:ascii="Arial Narrow" w:hAnsi="Arial Narrow" w:cs="Arial"/>
                <w:color w:val="000000"/>
                <w:sz w:val="18"/>
                <w:szCs w:val="18"/>
              </w:rPr>
            </w:pPr>
            <w:hyperlink w:history="1" r:id="rId7">
              <w:r w:rsidRPr="00ED289D" w:rsidR="00D47E00">
                <w:rPr>
                  <w:rFonts w:ascii="Arial Narrow" w:hAnsi="Arial Narrow" w:cs="Arial"/>
                  <w:color w:val="153870"/>
                  <w:sz w:val="18"/>
                  <w:szCs w:val="18"/>
                  <w:u w:val="single"/>
                </w:rPr>
                <w:t>Revenue Ruling 97-39(Section 475-Mark-to-Market Accounting Method for Dealers in Securities)</w:t>
              </w:r>
            </w:hyperlink>
            <w:r w:rsidRPr="00ED289D" w:rsidR="00D47E00">
              <w:rPr>
                <w:rFonts w:ascii="Arial Narrow" w:hAnsi="Arial Narrow" w:cs="Arial"/>
                <w:color w:val="000000"/>
                <w:sz w:val="18"/>
                <w:szCs w:val="18"/>
              </w:rPr>
              <w:t xml:space="preserve"> </w:t>
            </w:r>
          </w:p>
        </w:tc>
        <w:tc>
          <w:tcPr>
            <w:tcW w:w="623" w:type="pct"/>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color w:val="000000"/>
                <w:sz w:val="18"/>
                <w:szCs w:val="18"/>
              </w:rPr>
            </w:pPr>
            <w:r w:rsidRPr="00ED289D">
              <w:rPr>
                <w:rFonts w:ascii="Arial Narrow" w:hAnsi="Arial Narrow" w:cs="Arial"/>
                <w:color w:val="000000"/>
                <w:sz w:val="18"/>
                <w:szCs w:val="18"/>
              </w:rPr>
              <w:t>New</w:t>
            </w:r>
          </w:p>
        </w:tc>
        <w:tc>
          <w:tcPr>
            <w:tcW w:w="829" w:type="pct"/>
            <w:gridSpan w:val="2"/>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color w:val="000000"/>
                <w:sz w:val="18"/>
                <w:szCs w:val="18"/>
              </w:rPr>
            </w:pPr>
            <w:r w:rsidRPr="00ED289D">
              <w:rPr>
                <w:rFonts w:ascii="Arial Narrow" w:hAnsi="Arial Narrow" w:cs="Arial"/>
                <w:color w:val="000000"/>
                <w:sz w:val="18"/>
                <w:szCs w:val="18"/>
              </w:rPr>
              <w:t>20000</w:t>
            </w:r>
          </w:p>
        </w:tc>
        <w:tc>
          <w:tcPr>
            <w:tcW w:w="886" w:type="pct"/>
            <w:gridSpan w:val="2"/>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color w:val="000000"/>
                <w:sz w:val="18"/>
                <w:szCs w:val="18"/>
              </w:rPr>
            </w:pPr>
            <w:r w:rsidRPr="00ED289D">
              <w:rPr>
                <w:rFonts w:ascii="Arial Narrow" w:hAnsi="Arial Narrow" w:cs="Arial"/>
                <w:color w:val="000000"/>
                <w:sz w:val="18"/>
                <w:szCs w:val="18"/>
              </w:rPr>
              <w:t>450000</w:t>
            </w:r>
          </w:p>
        </w:tc>
      </w:tr>
      <w:tr w:rsidRPr="00ED289D" w:rsidR="00D47E00" w:rsidTr="009833B3">
        <w:tc>
          <w:tcPr>
            <w:tcW w:w="2658" w:type="pct"/>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rPr>
                <w:rFonts w:ascii="Arial Narrow" w:hAnsi="Arial Narrow" w:cs="Arial"/>
                <w:b/>
                <w:color w:val="000000"/>
                <w:sz w:val="18"/>
                <w:szCs w:val="18"/>
              </w:rPr>
            </w:pPr>
            <w:r w:rsidRPr="00ED289D">
              <w:rPr>
                <w:rFonts w:ascii="Arial Narrow" w:hAnsi="Arial Narrow" w:cs="Arial"/>
                <w:b/>
                <w:color w:val="000000"/>
                <w:sz w:val="18"/>
                <w:szCs w:val="18"/>
              </w:rPr>
              <w:t>Total burden requested under this ICR:</w:t>
            </w:r>
          </w:p>
        </w:tc>
        <w:tc>
          <w:tcPr>
            <w:tcW w:w="627" w:type="pct"/>
            <w:gridSpan w:val="2"/>
            <w:tcBorders>
              <w:top w:val="outset" w:color="auto" w:sz="6" w:space="0"/>
              <w:left w:val="outset" w:color="auto" w:sz="6" w:space="0"/>
              <w:bottom w:val="outset" w:color="auto" w:sz="6" w:space="0"/>
              <w:right w:val="outset" w:color="auto" w:sz="6" w:space="0"/>
            </w:tcBorders>
          </w:tcPr>
          <w:p w:rsidRPr="00ED289D" w:rsidR="00D47E00" w:rsidP="009833B3" w:rsidRDefault="00D47E00">
            <w:pPr>
              <w:keepNext/>
              <w:keepLines/>
              <w:autoSpaceDE/>
              <w:autoSpaceDN/>
              <w:adjustRightInd/>
              <w:jc w:val="center"/>
              <w:rPr>
                <w:rFonts w:ascii="Arial Narrow" w:hAnsi="Arial Narrow" w:cs="Arial"/>
                <w:b/>
                <w:color w:val="000000"/>
                <w:sz w:val="18"/>
                <w:szCs w:val="18"/>
              </w:rPr>
            </w:pPr>
          </w:p>
        </w:tc>
        <w:tc>
          <w:tcPr>
            <w:tcW w:w="829" w:type="pct"/>
            <w:gridSpan w:val="2"/>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b/>
                <w:color w:val="000000"/>
                <w:sz w:val="18"/>
                <w:szCs w:val="18"/>
              </w:rPr>
            </w:pPr>
            <w:r w:rsidRPr="00ED289D">
              <w:rPr>
                <w:rFonts w:ascii="Arial Narrow" w:hAnsi="Arial Narrow" w:cs="Arial"/>
                <w:b/>
                <w:color w:val="000000"/>
                <w:sz w:val="18"/>
                <w:szCs w:val="18"/>
              </w:rPr>
              <w:t>20200</w:t>
            </w:r>
          </w:p>
        </w:tc>
        <w:tc>
          <w:tcPr>
            <w:tcW w:w="886" w:type="pct"/>
            <w:gridSpan w:val="2"/>
            <w:tcBorders>
              <w:top w:val="outset" w:color="auto" w:sz="6" w:space="0"/>
              <w:left w:val="outset" w:color="auto" w:sz="6" w:space="0"/>
              <w:bottom w:val="outset" w:color="auto" w:sz="6" w:space="0"/>
              <w:right w:val="outset" w:color="auto" w:sz="6" w:space="0"/>
            </w:tcBorders>
            <w:hideMark/>
          </w:tcPr>
          <w:p w:rsidRPr="00ED289D" w:rsidR="00D47E00" w:rsidP="009833B3" w:rsidRDefault="00D47E00">
            <w:pPr>
              <w:keepNext/>
              <w:keepLines/>
              <w:autoSpaceDE/>
              <w:autoSpaceDN/>
              <w:adjustRightInd/>
              <w:jc w:val="center"/>
              <w:rPr>
                <w:rFonts w:ascii="Arial Narrow" w:hAnsi="Arial Narrow" w:cs="Arial"/>
                <w:b/>
                <w:color w:val="000000"/>
                <w:sz w:val="18"/>
                <w:szCs w:val="18"/>
              </w:rPr>
            </w:pPr>
            <w:r w:rsidRPr="00ED289D">
              <w:rPr>
                <w:rFonts w:ascii="Arial Narrow" w:hAnsi="Arial Narrow" w:cs="Arial"/>
                <w:b/>
                <w:color w:val="000000"/>
                <w:sz w:val="18"/>
                <w:szCs w:val="18"/>
              </w:rPr>
              <w:t>451000</w:t>
            </w:r>
          </w:p>
        </w:tc>
      </w:tr>
    </w:tbl>
    <w:p w:rsidR="00D47E00" w:rsidRDefault="00D47E00">
      <w:pPr>
        <w:ind w:left="720"/>
        <w:rPr>
          <w:rFonts w:ascii="Arial" w:hAnsi="Arial" w:cs="Arial"/>
          <w:bCs/>
        </w:rPr>
      </w:pPr>
    </w:p>
    <w:p w:rsidR="009833B3" w:rsidRDefault="009833B3">
      <w:pPr>
        <w:ind w:left="720"/>
        <w:rPr>
          <w:rFonts w:ascii="Arial" w:hAnsi="Arial" w:cs="Arial"/>
          <w:bCs/>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9833B3" w:rsidR="009833B3" w:rsidTr="009833B3">
        <w:tc>
          <w:tcPr>
            <w:tcW w:w="8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833B3" w:rsidR="009833B3" w:rsidP="009833B3" w:rsidRDefault="009833B3">
            <w:pPr>
              <w:widowControl/>
              <w:autoSpaceDE/>
              <w:autoSpaceDN/>
              <w:adjustRightInd/>
              <w:jc w:val="center"/>
              <w:rPr>
                <w:rFonts w:ascii="Arial Narrow" w:hAnsi="Arial Narrow" w:cs="Arial"/>
                <w:b/>
                <w:bCs/>
                <w:color w:val="000000"/>
                <w:sz w:val="18"/>
                <w:szCs w:val="18"/>
              </w:rPr>
            </w:pPr>
            <w:r w:rsidRPr="009833B3">
              <w:rPr>
                <w:rFonts w:ascii="Arial Narrow" w:hAnsi="Arial Narrow" w:cs="Arial"/>
                <w:b/>
                <w:bCs/>
                <w:color w:val="000000"/>
                <w:sz w:val="18"/>
                <w:szCs w:val="18"/>
              </w:rPr>
              <w:t>Previously Approved</w:t>
            </w:r>
          </w:p>
        </w:tc>
      </w:tr>
      <w:tr w:rsidRPr="009833B3" w:rsidR="009833B3" w:rsidTr="009833B3">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20,200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20,000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200</w:t>
            </w:r>
          </w:p>
        </w:tc>
      </w:tr>
      <w:tr w:rsidRPr="009833B3" w:rsidR="009833B3" w:rsidTr="009833B3">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Annual Time Burden (</w:t>
            </w:r>
            <w:proofErr w:type="spellStart"/>
            <w:r w:rsidRPr="009833B3">
              <w:rPr>
                <w:rFonts w:ascii="Arial Narrow" w:hAnsi="Arial Narrow" w:cs="Arial"/>
                <w:color w:val="000000"/>
                <w:sz w:val="18"/>
                <w:szCs w:val="18"/>
              </w:rPr>
              <w:t>Hr</w:t>
            </w:r>
            <w:proofErr w:type="spellEnd"/>
            <w:r w:rsidRPr="009833B3">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451,000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450,000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833B3" w:rsidR="009833B3" w:rsidP="009833B3" w:rsidRDefault="009833B3">
            <w:pPr>
              <w:widowControl/>
              <w:autoSpaceDE/>
              <w:autoSpaceDN/>
              <w:adjustRightInd/>
              <w:rPr>
                <w:rFonts w:ascii="Arial Narrow" w:hAnsi="Arial Narrow" w:cs="Arial"/>
                <w:color w:val="000000"/>
                <w:sz w:val="18"/>
                <w:szCs w:val="18"/>
              </w:rPr>
            </w:pPr>
            <w:r w:rsidRPr="009833B3">
              <w:rPr>
                <w:rFonts w:ascii="Arial Narrow" w:hAnsi="Arial Narrow" w:cs="Arial"/>
                <w:color w:val="000000"/>
                <w:sz w:val="18"/>
                <w:szCs w:val="18"/>
              </w:rPr>
              <w:t>  1,000</w:t>
            </w:r>
          </w:p>
        </w:tc>
      </w:tr>
    </w:tbl>
    <w:p w:rsidR="009833B3" w:rsidRDefault="009833B3">
      <w:pPr>
        <w:ind w:left="720"/>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 xml:space="preserve">We are </w:t>
      </w:r>
      <w:r w:rsidR="00B20AF0">
        <w:rPr>
          <w:rFonts w:ascii="Arial" w:hAnsi="Arial" w:cs="Arial"/>
          <w:bCs/>
        </w:rPr>
        <w:t xml:space="preserve">also </w:t>
      </w:r>
      <w:r w:rsidRPr="00071871">
        <w:rPr>
          <w:rFonts w:ascii="Arial" w:hAnsi="Arial" w:cs="Arial"/>
          <w:bCs/>
        </w:rPr>
        <w:t>making this submission to renew the OMB approval.</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16.</w:t>
      </w:r>
      <w:r w:rsidRPr="00071871">
        <w:rPr>
          <w:rFonts w:ascii="Arial" w:hAnsi="Arial" w:cs="Arial"/>
          <w:bCs/>
        </w:rPr>
        <w:tab/>
      </w:r>
      <w:r w:rsidRPr="00071871">
        <w:rPr>
          <w:rFonts w:ascii="Arial" w:hAnsi="Arial" w:cs="Arial"/>
          <w:bCs/>
          <w:u w:val="single"/>
        </w:rPr>
        <w:t>PLANS FOR TABULATION, STATISTICAL ANALYSIS AND PUBLICATION</w:t>
      </w:r>
    </w:p>
    <w:p w:rsidRPr="00071871" w:rsidR="00710FA1" w:rsidRDefault="00710FA1">
      <w:pPr>
        <w:rPr>
          <w:rFonts w:ascii="Arial" w:hAnsi="Arial" w:cs="Arial"/>
          <w:bCs/>
        </w:rPr>
      </w:pPr>
    </w:p>
    <w:p w:rsidRPr="00071871" w:rsidR="00710FA1" w:rsidRDefault="004A4348">
      <w:pPr>
        <w:ind w:left="720"/>
        <w:rPr>
          <w:rFonts w:ascii="Arial" w:hAnsi="Arial" w:cs="Arial"/>
          <w:bCs/>
        </w:rPr>
      </w:pPr>
      <w:r>
        <w:rPr>
          <w:rFonts w:ascii="Arial" w:hAnsi="Arial" w:cs="Arial"/>
          <w:bCs/>
        </w:rPr>
        <w:t>There are no plans for tabulation, statistical analysis and publication</w:t>
      </w:r>
      <w:r w:rsidRPr="00071871" w:rsidR="00710FA1">
        <w:rPr>
          <w:rFonts w:ascii="Arial" w:hAnsi="Arial" w:cs="Arial"/>
          <w:bCs/>
        </w:rPr>
        <w:t>.</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17.</w:t>
      </w:r>
      <w:r w:rsidRPr="00071871">
        <w:rPr>
          <w:rFonts w:ascii="Arial" w:hAnsi="Arial" w:cs="Arial"/>
          <w:bCs/>
        </w:rPr>
        <w:tab/>
      </w:r>
      <w:r w:rsidRPr="00071871">
        <w:rPr>
          <w:rFonts w:ascii="Arial" w:hAnsi="Arial" w:cs="Arial"/>
          <w:bCs/>
          <w:u w:val="single"/>
        </w:rPr>
        <w:t>REASONS WHY DISPLAYING THE OMB EXPIRATION DATE IS INAPPROPRIATE</w:t>
      </w:r>
    </w:p>
    <w:p w:rsidRPr="00071871" w:rsidR="00710FA1" w:rsidRDefault="00710FA1">
      <w:pPr>
        <w:rPr>
          <w:rFonts w:ascii="Arial" w:hAnsi="Arial" w:cs="Arial"/>
          <w:bCs/>
        </w:rPr>
      </w:pPr>
    </w:p>
    <w:p w:rsidRPr="00071871" w:rsidR="00710FA1" w:rsidRDefault="00710FA1">
      <w:pPr>
        <w:ind w:left="720"/>
        <w:rPr>
          <w:rFonts w:ascii="Arial" w:hAnsi="Arial" w:cs="Arial"/>
          <w:bCs/>
        </w:rPr>
      </w:pPr>
      <w:r w:rsidRPr="00071871">
        <w:rPr>
          <w:rFonts w:ascii="Arial" w:hAnsi="Arial" w:cs="Arial"/>
          <w:bCs/>
        </w:rPr>
        <w:t>We believe that displaying the OMB expiration date is inappropriate because it would cause confusion by leading taxpayers to believe that the revenue procedure and revenue ruling sunset as of the expiration date.  Taxpayers may not be aware that the Service may request renewal of the OMB approval and obtain a new expiration before the old one expires.</w:t>
      </w:r>
    </w:p>
    <w:p w:rsidRPr="00071871" w:rsidR="00710FA1" w:rsidRDefault="00710FA1">
      <w:pPr>
        <w:rPr>
          <w:rFonts w:ascii="Arial" w:hAnsi="Arial" w:cs="Arial"/>
          <w:bCs/>
        </w:rPr>
      </w:pPr>
    </w:p>
    <w:p w:rsidRPr="00071871" w:rsidR="00710FA1" w:rsidRDefault="00710FA1">
      <w:pPr>
        <w:tabs>
          <w:tab w:val="left" w:pos="-1440"/>
        </w:tabs>
        <w:ind w:left="720" w:hanging="720"/>
        <w:rPr>
          <w:rFonts w:ascii="Arial" w:hAnsi="Arial" w:cs="Arial"/>
          <w:bCs/>
        </w:rPr>
      </w:pPr>
      <w:r w:rsidRPr="00071871">
        <w:rPr>
          <w:rFonts w:ascii="Arial" w:hAnsi="Arial" w:cs="Arial"/>
          <w:bCs/>
        </w:rPr>
        <w:t>18.</w:t>
      </w:r>
      <w:r w:rsidRPr="00071871">
        <w:rPr>
          <w:rFonts w:ascii="Arial" w:hAnsi="Arial" w:cs="Arial"/>
          <w:bCs/>
        </w:rPr>
        <w:tab/>
      </w:r>
      <w:r w:rsidRPr="00071871">
        <w:rPr>
          <w:rFonts w:ascii="Arial" w:hAnsi="Arial" w:cs="Arial"/>
          <w:bCs/>
          <w:u w:val="single"/>
        </w:rPr>
        <w:t>EXCEPTIONS TO THE CERTIFICATION STATEMENT ON OMB FORM 83-I</w:t>
      </w:r>
    </w:p>
    <w:p w:rsidRPr="00071871" w:rsidR="00710FA1" w:rsidRDefault="00710FA1">
      <w:pPr>
        <w:rPr>
          <w:rFonts w:ascii="Arial" w:hAnsi="Arial" w:cs="Arial"/>
          <w:bCs/>
        </w:rPr>
      </w:pPr>
    </w:p>
    <w:p w:rsidRPr="00071871" w:rsidR="00710FA1" w:rsidRDefault="004A4348">
      <w:pPr>
        <w:ind w:left="720"/>
        <w:rPr>
          <w:rFonts w:ascii="Arial" w:hAnsi="Arial" w:cs="Arial"/>
          <w:bCs/>
        </w:rPr>
      </w:pPr>
      <w:r>
        <w:rPr>
          <w:rFonts w:ascii="Arial" w:hAnsi="Arial" w:cs="Arial"/>
          <w:bCs/>
        </w:rPr>
        <w:t>There are no exceptions</w:t>
      </w:r>
      <w:r w:rsidRPr="00071871" w:rsidR="00710FA1">
        <w:rPr>
          <w:rFonts w:ascii="Arial" w:hAnsi="Arial" w:cs="Arial"/>
          <w:bCs/>
        </w:rPr>
        <w:t>.</w:t>
      </w:r>
    </w:p>
    <w:p w:rsidRPr="00071871" w:rsidR="00710FA1" w:rsidRDefault="00710FA1">
      <w:pPr>
        <w:rPr>
          <w:rFonts w:ascii="Arial" w:hAnsi="Arial" w:cs="Arial"/>
          <w:bCs/>
        </w:rPr>
      </w:pPr>
    </w:p>
    <w:p w:rsidRPr="00071871" w:rsidR="00710FA1" w:rsidRDefault="00710FA1">
      <w:pPr>
        <w:rPr>
          <w:rFonts w:ascii="Arial" w:hAnsi="Arial" w:cs="Arial"/>
          <w:bCs/>
        </w:rPr>
      </w:pPr>
      <w:r w:rsidRPr="00071871">
        <w:rPr>
          <w:rFonts w:ascii="Arial" w:hAnsi="Arial" w:cs="Arial"/>
          <w:bCs/>
          <w:u w:val="single"/>
        </w:rPr>
        <w:t>Note</w:t>
      </w:r>
      <w:r w:rsidRPr="00071871">
        <w:rPr>
          <w:rFonts w:ascii="Arial" w:hAnsi="Arial" w:cs="Arial"/>
          <w:bCs/>
        </w:rPr>
        <w:t>:  The following paragraph applies to all of the collection of information in this submission:</w:t>
      </w:r>
    </w:p>
    <w:p w:rsidRPr="00071871" w:rsidR="00710FA1" w:rsidRDefault="00710FA1">
      <w:pPr>
        <w:rPr>
          <w:rFonts w:ascii="Arial" w:hAnsi="Arial" w:cs="Arial"/>
          <w:bCs/>
        </w:rPr>
      </w:pPr>
    </w:p>
    <w:p w:rsidRPr="00071871" w:rsidR="00BF4840" w:rsidP="00BF4840" w:rsidRDefault="00710FA1">
      <w:pPr>
        <w:ind w:firstLine="720"/>
        <w:rPr>
          <w:rFonts w:ascii="Arial" w:hAnsi="Arial" w:cs="Arial"/>
          <w:bCs/>
        </w:rPr>
      </w:pPr>
      <w:r w:rsidRPr="00071871">
        <w:rPr>
          <w:rFonts w:ascii="Arial" w:hAnsi="Arial" w:cs="Arial"/>
          <w:bCs/>
        </w:rPr>
        <w:t>An agency may not conduct or sponsor, and a person is not required to respond to, a collection of information unless the collection of information displays a valid OMB number.  Books and records relating to the collection of information must be retained as long as their contents may become material in the administration of any internal revenue law.  Generally, tax returns and tax return information are confidential, as required by 26 USC § 6103.</w:t>
      </w:r>
    </w:p>
    <w:p w:rsidRPr="00071871" w:rsidR="00BF4840" w:rsidP="004A4348" w:rsidRDefault="00BF4840">
      <w:pPr>
        <w:rPr>
          <w:rFonts w:ascii="Arial" w:hAnsi="Arial" w:cs="Arial"/>
        </w:rPr>
      </w:pPr>
    </w:p>
    <w:p w:rsidRPr="00071871" w:rsidR="00710FA1" w:rsidP="00BF4840" w:rsidRDefault="00710FA1">
      <w:pPr>
        <w:ind w:firstLine="720"/>
        <w:rPr>
          <w:rFonts w:ascii="Arial" w:hAnsi="Arial" w:cs="Arial"/>
          <w:bCs/>
        </w:rPr>
      </w:pPr>
    </w:p>
    <w:sectPr w:rsidRPr="00071871" w:rsidR="00710FA1" w:rsidSect="00710FA1">
      <w:head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7F9" w:rsidRDefault="001327F9">
      <w:r>
        <w:separator/>
      </w:r>
    </w:p>
  </w:endnote>
  <w:endnote w:type="continuationSeparator" w:id="0">
    <w:p w:rsidR="001327F9" w:rsidRDefault="0013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7F9" w:rsidRDefault="001327F9">
      <w:r>
        <w:separator/>
      </w:r>
    </w:p>
  </w:footnote>
  <w:footnote w:type="continuationSeparator" w:id="0">
    <w:p w:rsidR="001327F9" w:rsidRDefault="00132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00" w:rsidRDefault="00D47E00">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6D7B7E">
      <w:rPr>
        <w:rFonts w:cs="Courier"/>
        <w:noProof/>
      </w:rPr>
      <w:t>6</w:t>
    </w:r>
    <w:r>
      <w:rPr>
        <w:rFonts w:cs="Courier"/>
      </w:rPr>
      <w:fldChar w:fldCharType="end"/>
    </w:r>
  </w:p>
  <w:p w:rsidR="00D47E00" w:rsidRDefault="00D47E00"/>
  <w:p w:rsidR="00D47E00" w:rsidRDefault="00D47E00">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A1"/>
    <w:rsid w:val="00033AEA"/>
    <w:rsid w:val="00044DAC"/>
    <w:rsid w:val="00056732"/>
    <w:rsid w:val="00071871"/>
    <w:rsid w:val="00074FF6"/>
    <w:rsid w:val="000A5511"/>
    <w:rsid w:val="000E4EE1"/>
    <w:rsid w:val="001327F9"/>
    <w:rsid w:val="00143E93"/>
    <w:rsid w:val="0019278C"/>
    <w:rsid w:val="001939A8"/>
    <w:rsid w:val="001A62FA"/>
    <w:rsid w:val="001E47BD"/>
    <w:rsid w:val="002602CA"/>
    <w:rsid w:val="00286C54"/>
    <w:rsid w:val="00295B90"/>
    <w:rsid w:val="002E22A4"/>
    <w:rsid w:val="003B3A81"/>
    <w:rsid w:val="003B706F"/>
    <w:rsid w:val="003C45F1"/>
    <w:rsid w:val="00450BB9"/>
    <w:rsid w:val="004A4348"/>
    <w:rsid w:val="00544367"/>
    <w:rsid w:val="00602218"/>
    <w:rsid w:val="00633BCD"/>
    <w:rsid w:val="006D7B7E"/>
    <w:rsid w:val="00710FA1"/>
    <w:rsid w:val="00725D75"/>
    <w:rsid w:val="007B0DBA"/>
    <w:rsid w:val="007D1C18"/>
    <w:rsid w:val="00811A3F"/>
    <w:rsid w:val="008A243A"/>
    <w:rsid w:val="009833B3"/>
    <w:rsid w:val="009920F8"/>
    <w:rsid w:val="009C2F0B"/>
    <w:rsid w:val="009F0609"/>
    <w:rsid w:val="00AC2EEA"/>
    <w:rsid w:val="00B20AF0"/>
    <w:rsid w:val="00B36CA1"/>
    <w:rsid w:val="00B76400"/>
    <w:rsid w:val="00BE62EA"/>
    <w:rsid w:val="00BF4840"/>
    <w:rsid w:val="00C04E7C"/>
    <w:rsid w:val="00C6754D"/>
    <w:rsid w:val="00CB1403"/>
    <w:rsid w:val="00D47E00"/>
    <w:rsid w:val="00DE0488"/>
    <w:rsid w:val="00DF4043"/>
    <w:rsid w:val="00ED289D"/>
    <w:rsid w:val="00EF3C1E"/>
    <w:rsid w:val="00F0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75A66"/>
  <w15:chartTrackingRefBased/>
  <w15:docId w15:val="{C4D6003B-8F9C-4AE3-B0AB-839F6E98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074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47E00"/>
    <w:rPr>
      <w:color w:val="153870"/>
      <w:u w:val="single"/>
    </w:rPr>
  </w:style>
  <w:style w:type="paragraph" w:styleId="BalloonText">
    <w:name w:val="Balloon Text"/>
    <w:basedOn w:val="Normal"/>
    <w:link w:val="BalloonTextChar"/>
    <w:rsid w:val="00D47E00"/>
    <w:rPr>
      <w:rFonts w:ascii="Segoe UI" w:hAnsi="Segoe UI" w:cs="Segoe UI"/>
      <w:sz w:val="18"/>
      <w:szCs w:val="18"/>
    </w:rPr>
  </w:style>
  <w:style w:type="character" w:customStyle="1" w:styleId="BalloonTextChar">
    <w:name w:val="Balloon Text Char"/>
    <w:link w:val="BalloonText"/>
    <w:rsid w:val="00D47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7715">
      <w:bodyDiv w:val="1"/>
      <w:marLeft w:val="0"/>
      <w:marRight w:val="0"/>
      <w:marTop w:val="0"/>
      <w:marBottom w:val="0"/>
      <w:divBdr>
        <w:top w:val="none" w:sz="0" w:space="0" w:color="auto"/>
        <w:left w:val="none" w:sz="0" w:space="0" w:color="auto"/>
        <w:bottom w:val="none" w:sz="0" w:space="0" w:color="auto"/>
        <w:right w:val="none" w:sz="0" w:space="0" w:color="auto"/>
      </w:divBdr>
      <w:divsChild>
        <w:div w:id="1529028735">
          <w:marLeft w:val="0"/>
          <w:marRight w:val="0"/>
          <w:marTop w:val="0"/>
          <w:marBottom w:val="0"/>
          <w:divBdr>
            <w:top w:val="none" w:sz="0" w:space="0" w:color="auto"/>
            <w:left w:val="none" w:sz="0" w:space="0" w:color="auto"/>
            <w:bottom w:val="none" w:sz="0" w:space="0" w:color="auto"/>
            <w:right w:val="none" w:sz="0" w:space="0" w:color="auto"/>
          </w:divBdr>
          <w:divsChild>
            <w:div w:id="416826248">
              <w:marLeft w:val="0"/>
              <w:marRight w:val="0"/>
              <w:marTop w:val="0"/>
              <w:marBottom w:val="0"/>
              <w:divBdr>
                <w:top w:val="single" w:sz="6" w:space="11" w:color="FCFCFC"/>
                <w:left w:val="single" w:sz="6" w:space="11" w:color="ECECEC"/>
                <w:bottom w:val="single" w:sz="6" w:space="4" w:color="ECECEC"/>
                <w:right w:val="single" w:sz="6" w:space="11" w:color="ECECEC"/>
              </w:divBdr>
              <w:divsChild>
                <w:div w:id="1911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ocis.gov/rocis/LoadIC.do?TYPE=EDIT&amp;requestId=298542&amp;ICR_REF_NBR=201905-1545-014&amp;ICID=236215&amp;record_owner_flag=A&amp;menu=currentICRPack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cis.gov/rocis/LoadIC.do?TYPE=EDIT&amp;requestId=298542&amp;ICR_REF_NBR=201905-1545-014&amp;ICID=18724&amp;record_owner_flag=A&amp;menu=currentICRPackag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10917</CharactersWithSpaces>
  <SharedDoc>false</SharedDoc>
  <HLinks>
    <vt:vector size="12" baseType="variant">
      <vt:variant>
        <vt:i4>4128893</vt:i4>
      </vt:variant>
      <vt:variant>
        <vt:i4>3</vt:i4>
      </vt:variant>
      <vt:variant>
        <vt:i4>0</vt:i4>
      </vt:variant>
      <vt:variant>
        <vt:i4>5</vt:i4>
      </vt:variant>
      <vt:variant>
        <vt:lpwstr>https://www.rocis.gov/rocis/LoadIC.do?TYPE=EDIT&amp;requestId=298542&amp;ICR_REF_NBR=201905-1545-014&amp;ICID=236215&amp;record_owner_flag=A&amp;menu=currentICRPackage</vt:lpwstr>
      </vt:variant>
      <vt:variant>
        <vt:lpwstr/>
      </vt:variant>
      <vt:variant>
        <vt:i4>7864422</vt:i4>
      </vt:variant>
      <vt:variant>
        <vt:i4>0</vt:i4>
      </vt:variant>
      <vt:variant>
        <vt:i4>0</vt:i4>
      </vt:variant>
      <vt:variant>
        <vt:i4>5</vt:i4>
      </vt:variant>
      <vt:variant>
        <vt:lpwstr>https://www.rocis.gov/rocis/LoadIC.do?TYPE=EDIT&amp;requestId=298542&amp;ICR_REF_NBR=201905-1545-014&amp;ICID=18724&amp;record_owner_flag=A&amp;menu=currentICRPackage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XHFNB</dc:creator>
  <cp:keywords/>
  <cp:lastModifiedBy>DO PRA</cp:lastModifiedBy>
  <cp:revision>5</cp:revision>
  <dcterms:created xsi:type="dcterms:W3CDTF">2020-08-10T17:54:00Z</dcterms:created>
  <dcterms:modified xsi:type="dcterms:W3CDTF">2020-08-12T14:19:00Z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