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8C61F0" w:rsidRDefault="00FD1B34" w:rsidP="009E3D48">
      <w:pPr>
        <w:jc w:val="center"/>
        <w:rPr>
          <w:rFonts w:asciiTheme="minorHAnsi" w:hAnsiTheme="minorHAnsi"/>
          <w:b/>
          <w:bCs/>
          <w:sz w:val="22"/>
        </w:rPr>
      </w:pPr>
      <w:r w:rsidRPr="00FD1B34">
        <w:rPr>
          <w:rFonts w:asciiTheme="minorHAnsi" w:hAnsiTheme="minorHAnsi"/>
          <w:b/>
          <w:bCs/>
          <w:sz w:val="22"/>
        </w:rPr>
        <w:t>Commercial Revitalization Deduction</w:t>
      </w:r>
    </w:p>
    <w:p w:rsidR="00182BE3" w:rsidRDefault="008A247E" w:rsidP="00576A09">
      <w:pPr>
        <w:jc w:val="center"/>
        <w:rPr>
          <w:rFonts w:asciiTheme="minorHAnsi" w:hAnsiTheme="minorHAnsi"/>
          <w:b/>
          <w:bCs/>
          <w:sz w:val="22"/>
        </w:rPr>
      </w:pPr>
      <w:r w:rsidRPr="008A247E">
        <w:rPr>
          <w:rFonts w:asciiTheme="minorHAnsi" w:hAnsiTheme="minorHAnsi"/>
          <w:b/>
          <w:bCs/>
          <w:sz w:val="22"/>
        </w:rPr>
        <w:t>Revenue Procedure 2003-38</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8A247E">
        <w:rPr>
          <w:rFonts w:asciiTheme="minorHAnsi" w:hAnsiTheme="minorHAnsi"/>
          <w:b/>
          <w:bCs/>
          <w:sz w:val="22"/>
        </w:rPr>
        <w:t>1818</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745F68" w:rsidRPr="00576A09" w:rsidRDefault="00F86E0A" w:rsidP="00745F68">
      <w:pPr>
        <w:pStyle w:val="Default"/>
        <w:tabs>
          <w:tab w:val="left" w:pos="540"/>
          <w:tab w:val="left" w:pos="720"/>
        </w:tabs>
        <w:ind w:left="540"/>
        <w:rPr>
          <w:rFonts w:asciiTheme="minorHAnsi" w:hAnsiTheme="minorHAnsi"/>
          <w:sz w:val="22"/>
        </w:rPr>
      </w:pPr>
      <w:bookmarkStart w:id="1" w:name="_Hlk3889996"/>
      <w:r>
        <w:rPr>
          <w:rFonts w:asciiTheme="minorHAnsi" w:hAnsiTheme="minorHAnsi"/>
          <w:sz w:val="22"/>
        </w:rPr>
        <w:t>T</w:t>
      </w:r>
      <w:r w:rsidRPr="00F86E0A">
        <w:rPr>
          <w:rFonts w:asciiTheme="minorHAnsi" w:hAnsiTheme="minorHAnsi"/>
          <w:sz w:val="22"/>
        </w:rPr>
        <w:t xml:space="preserve">his revenue procedure provides the time and manner for states to make allocations under § </w:t>
      </w:r>
      <w:bookmarkStart w:id="2" w:name="_Hlk7731642"/>
      <w:r w:rsidRPr="00F86E0A">
        <w:rPr>
          <w:rFonts w:asciiTheme="minorHAnsi" w:hAnsiTheme="minorHAnsi"/>
          <w:sz w:val="22"/>
        </w:rPr>
        <w:t xml:space="preserve">1400I </w:t>
      </w:r>
      <w:bookmarkEnd w:id="2"/>
      <w:r w:rsidRPr="00F86E0A">
        <w:rPr>
          <w:rFonts w:asciiTheme="minorHAnsi" w:hAnsiTheme="minorHAnsi"/>
          <w:sz w:val="22"/>
        </w:rPr>
        <w:t>of the Internal Revenue Code of commercial revitalization expenditures to a new or substantially rehabilitated building that is placed in service by a taxpayer in a renewal community.  Once the taxpayer has received this allocation, the taxpayer may elect to deduct the commercial revitalization expenditures over a more accelerated method than is otherwise allowable under the depreciation provisions of the Code (hereinafter, this deduction is referred to as the “commercial revitalization expenditure deduction”).</w:t>
      </w: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F86E0A" w:rsidP="00E37E63">
      <w:pPr>
        <w:widowControl w:val="0"/>
        <w:autoSpaceDE w:val="0"/>
        <w:autoSpaceDN w:val="0"/>
        <w:adjustRightInd w:val="0"/>
        <w:ind w:left="540"/>
        <w:rPr>
          <w:rFonts w:asciiTheme="minorHAnsi" w:eastAsia="Times New Roman" w:hAnsiTheme="minorHAnsi" w:cs="Times New Roman"/>
          <w:sz w:val="22"/>
        </w:rPr>
      </w:pPr>
      <w:r w:rsidRPr="00F86E0A">
        <w:rPr>
          <w:rFonts w:asciiTheme="minorHAnsi" w:eastAsia="Times New Roman" w:hAnsiTheme="minorHAnsi" w:cs="Times New Roman"/>
          <w:sz w:val="22"/>
        </w:rPr>
        <w:t>The information will be used by revenue agents to determine if the taxpayer is entitled to claim the commercial revitalization expenditure deduction.</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F86E0A" w:rsidP="00801000">
      <w:pPr>
        <w:ind w:left="540"/>
        <w:rPr>
          <w:rFonts w:asciiTheme="minorHAnsi" w:hAnsiTheme="minorHAnsi"/>
          <w:sz w:val="22"/>
        </w:rPr>
      </w:pPr>
      <w:r w:rsidRPr="00F86E0A">
        <w:rPr>
          <w:rFonts w:asciiTheme="minorHAnsi" w:hAnsiTheme="minorHAnsi"/>
          <w:sz w:val="22"/>
        </w:rPr>
        <w:t>There are no plans to provide electronic filing because electronic filing is not appropriate for the collection of information in this submission.</w:t>
      </w:r>
      <w:r w:rsidR="00C25CB7">
        <w:rPr>
          <w:rFonts w:asciiTheme="minorHAnsi" w:hAnsiTheme="minorHAnsi"/>
          <w:sz w:val="22"/>
        </w:rPr>
        <w:t xml:space="preserve">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576A09" w:rsidP="00C25CB7">
      <w:pPr>
        <w:tabs>
          <w:tab w:val="left" w:pos="540"/>
        </w:tabs>
        <w:ind w:left="540"/>
        <w:rPr>
          <w:rFonts w:asciiTheme="minorHAnsi" w:hAnsiTheme="minorHAnsi"/>
          <w:sz w:val="22"/>
        </w:rPr>
      </w:pPr>
      <w:r w:rsidRPr="00576A09">
        <w:rPr>
          <w:rFonts w:asciiTheme="minorHAnsi" w:hAnsiTheme="minorHAnsi"/>
          <w:sz w:val="22"/>
        </w:rPr>
        <w:t>There are no small entities affected by this collection</w:t>
      </w:r>
      <w:r w:rsidR="00BE131C">
        <w:rPr>
          <w:rFonts w:asciiTheme="minorHAnsi" w:hAnsiTheme="minorHAnsi"/>
          <w:sz w:val="22"/>
        </w:rPr>
        <w:t xml:space="preserve"> because u</w:t>
      </w:r>
      <w:r w:rsidR="00BE131C" w:rsidRPr="00BE131C">
        <w:rPr>
          <w:rFonts w:asciiTheme="minorHAnsi" w:hAnsiTheme="minorHAnsi"/>
          <w:sz w:val="22"/>
        </w:rPr>
        <w:t xml:space="preserve">nder </w:t>
      </w:r>
      <w:hyperlink r:id="rId12" w:history="1">
        <w:r w:rsidR="00BE131C" w:rsidRPr="00BE131C">
          <w:rPr>
            <w:rStyle w:val="Hyperlink"/>
            <w:rFonts w:asciiTheme="minorHAnsi" w:hAnsiTheme="minorHAnsi"/>
            <w:sz w:val="22"/>
          </w:rPr>
          <w:t>§ 1400I(d)</w:t>
        </w:r>
      </w:hyperlink>
      <w:r w:rsidR="00BE131C" w:rsidRPr="00BE131C">
        <w:rPr>
          <w:rFonts w:asciiTheme="minorHAnsi" w:hAnsiTheme="minorHAnsi"/>
          <w:sz w:val="22"/>
        </w:rPr>
        <w:t xml:space="preserve">, the commercial revitalization agency for each state is permitted to allocate up to $ 12 million of commercial revitalization expenditure amounts with respect to each renewal community located within the state for each calendar year after 2001 and before 2010. Pursuant to </w:t>
      </w:r>
      <w:hyperlink r:id="rId13" w:history="1">
        <w:r w:rsidR="00BE131C" w:rsidRPr="00BE131C">
          <w:rPr>
            <w:rStyle w:val="Hyperlink"/>
            <w:rFonts w:asciiTheme="minorHAnsi" w:hAnsiTheme="minorHAnsi"/>
            <w:sz w:val="22"/>
          </w:rPr>
          <w:t>§ 1400I(e)</w:t>
        </w:r>
      </w:hyperlink>
      <w:r w:rsidR="00BE131C" w:rsidRPr="00BE131C">
        <w:rPr>
          <w:rFonts w:asciiTheme="minorHAnsi" w:hAnsiTheme="minorHAnsi"/>
          <w:sz w:val="22"/>
        </w:rPr>
        <w:t xml:space="preserve">, the allocation must be made pursuant to a qualified allocation plan (as defined in </w:t>
      </w:r>
      <w:hyperlink r:id="rId14" w:history="1">
        <w:r w:rsidR="00BE131C" w:rsidRPr="00BE131C">
          <w:rPr>
            <w:rStyle w:val="Hyperlink"/>
            <w:rFonts w:asciiTheme="minorHAnsi" w:hAnsiTheme="minorHAnsi"/>
            <w:sz w:val="22"/>
          </w:rPr>
          <w:t>§ 1400I(e)(2)</w:t>
        </w:r>
      </w:hyperlink>
      <w:r w:rsidR="00BE131C" w:rsidRPr="00BE131C">
        <w:rPr>
          <w:rFonts w:asciiTheme="minorHAnsi" w:hAnsiTheme="minorHAnsi"/>
          <w:sz w:val="22"/>
        </w:rPr>
        <w:t xml:space="preserve">) that is approved by the governmental unit of which the commercial revitalization agency is a part. Further, the commercial revitalization agency must notify the chief executive officer (or its equivalent) of the local jurisdiction in which the qualified revitalization building is located of the allocation and provide that individual a reasonable opportunity to comment on the allocation. The term "commercial revitalization agency" is defined in </w:t>
      </w:r>
      <w:hyperlink r:id="rId15" w:history="1">
        <w:r w:rsidR="00BE131C" w:rsidRPr="00BE131C">
          <w:rPr>
            <w:rStyle w:val="Hyperlink"/>
            <w:rFonts w:asciiTheme="minorHAnsi" w:hAnsiTheme="minorHAnsi"/>
            <w:sz w:val="22"/>
          </w:rPr>
          <w:t>§ 1400I(d)(3)</w:t>
        </w:r>
      </w:hyperlink>
      <w:r w:rsidR="00BE131C" w:rsidRPr="00BE131C">
        <w:rPr>
          <w:rFonts w:asciiTheme="minorHAnsi" w:hAnsiTheme="minorHAnsi"/>
          <w:sz w:val="22"/>
        </w:rPr>
        <w:t xml:space="preserve"> as any agency authorized by a state to carry out </w:t>
      </w:r>
      <w:hyperlink r:id="rId16" w:history="1">
        <w:r w:rsidR="00BE131C" w:rsidRPr="00BE131C">
          <w:rPr>
            <w:rStyle w:val="Hyperlink"/>
            <w:rFonts w:asciiTheme="minorHAnsi" w:hAnsiTheme="minorHAnsi"/>
            <w:sz w:val="22"/>
          </w:rPr>
          <w:t>§ 1400I</w:t>
        </w:r>
      </w:hyperlink>
      <w:r w:rsidR="00BE131C" w:rsidRPr="00BE131C">
        <w:rPr>
          <w:rFonts w:asciiTheme="minorHAnsi" w:hAnsiTheme="minorHAnsi"/>
          <w:sz w:val="22"/>
        </w:rPr>
        <w:t>. Neither the original nor a copy of the qualified allocation plan is to be sent to the Internal Revenue Service</w:t>
      </w:r>
      <w:r w:rsidRPr="00576A09">
        <w:rPr>
          <w:rFonts w:asciiTheme="minorHAnsi" w:hAnsiTheme="minorHAnsi"/>
          <w:sz w:val="22"/>
        </w:rPr>
        <w:t>.</w:t>
      </w:r>
      <w:r w:rsidR="00C25CB7">
        <w:rPr>
          <w:rFonts w:asciiTheme="minorHAnsi" w:hAnsiTheme="minorHAnsi"/>
          <w:sz w:val="22"/>
        </w:rPr>
        <w:t xml:space="preserv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w:t>
      </w:r>
      <w:r w:rsidR="00F86E0A">
        <w:rPr>
          <w:rFonts w:asciiTheme="minorHAnsi" w:hAnsiTheme="minorHAnsi"/>
          <w:sz w:val="22"/>
        </w:rPr>
        <w:t xml:space="preserve">section </w:t>
      </w:r>
      <w:r w:rsidR="00F86E0A" w:rsidRPr="00F86E0A">
        <w:rPr>
          <w:rFonts w:asciiTheme="minorHAnsi" w:hAnsiTheme="minorHAnsi"/>
          <w:sz w:val="22"/>
        </w:rPr>
        <w:t xml:space="preserve">1400I </w:t>
      </w:r>
      <w:r w:rsidR="00A24315" w:rsidRPr="00F87A66">
        <w:rPr>
          <w:rFonts w:asciiTheme="minorHAnsi" w:hAnsiTheme="minorHAnsi"/>
          <w:sz w:val="22"/>
        </w:rPr>
        <w:t xml:space="preserve">of the Treasury </w:t>
      </w:r>
      <w:r w:rsidR="00A24315" w:rsidRPr="006A7D3C">
        <w:rPr>
          <w:rFonts w:asciiTheme="minorHAnsi" w:hAnsiTheme="minorHAnsi"/>
          <w:sz w:val="22"/>
        </w:rPr>
        <w:t>Regulat</w:t>
      </w:r>
      <w:r w:rsidR="00A24315" w:rsidRPr="00F87A66">
        <w:rPr>
          <w:rFonts w:asciiTheme="minorHAnsi" w:hAnsiTheme="minorHAnsi"/>
          <w:sz w:val="22"/>
        </w:rPr>
        <w:t>ion</w:t>
      </w:r>
      <w:r w:rsidR="00745F68">
        <w:rPr>
          <w:rFonts w:asciiTheme="minorHAnsi" w:hAnsiTheme="minorHAnsi"/>
          <w:sz w:val="22"/>
        </w:rPr>
        <w:t>s</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FD1B34">
        <w:rPr>
          <w:rFonts w:asciiTheme="minorHAnsi" w:hAnsiTheme="minorHAnsi"/>
          <w:sz w:val="22"/>
        </w:rPr>
        <w:t>April</w:t>
      </w:r>
      <w:r w:rsidR="00A163F1">
        <w:rPr>
          <w:rFonts w:asciiTheme="minorHAnsi" w:hAnsiTheme="minorHAnsi"/>
          <w:sz w:val="22"/>
        </w:rPr>
        <w:t xml:space="preserve"> </w:t>
      </w:r>
      <w:r w:rsidR="00FD1B34">
        <w:rPr>
          <w:rFonts w:asciiTheme="minorHAnsi" w:hAnsiTheme="minorHAnsi"/>
          <w:sz w:val="22"/>
        </w:rPr>
        <w:t>15</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FD1B34" w:rsidRPr="00FD1B34">
        <w:t xml:space="preserve"> </w:t>
      </w:r>
      <w:r w:rsidR="00FD1B34" w:rsidRPr="00FD1B34">
        <w:rPr>
          <w:rFonts w:asciiTheme="minorHAnsi" w:hAnsiTheme="minorHAnsi"/>
          <w:sz w:val="22"/>
        </w:rPr>
        <w:t>15293</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F86E0A" w:rsidRPr="00F86E0A" w:rsidRDefault="00F86E0A" w:rsidP="00F86E0A">
      <w:pPr>
        <w:ind w:left="540"/>
        <w:rPr>
          <w:rFonts w:asciiTheme="minorHAnsi" w:hAnsiTheme="minorHAnsi"/>
          <w:sz w:val="22"/>
        </w:rPr>
      </w:pPr>
      <w:r w:rsidRPr="00F86E0A">
        <w:rPr>
          <w:rFonts w:asciiTheme="minorHAnsi" w:hAnsiTheme="minorHAnsi"/>
          <w:sz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http://www.irs.gov/uac/Privacy-Impact-Assessments-PIA.</w:t>
      </w:r>
    </w:p>
    <w:p w:rsidR="00F86E0A" w:rsidRPr="00F86E0A" w:rsidRDefault="00F86E0A" w:rsidP="00F86E0A">
      <w:pPr>
        <w:ind w:left="540"/>
        <w:rPr>
          <w:rFonts w:asciiTheme="minorHAnsi" w:hAnsiTheme="minorHAnsi"/>
          <w:sz w:val="22"/>
        </w:rPr>
      </w:pPr>
    </w:p>
    <w:p w:rsidR="00617F74" w:rsidRPr="00617F74" w:rsidRDefault="00F86E0A" w:rsidP="00F86E0A">
      <w:pPr>
        <w:ind w:left="540"/>
        <w:rPr>
          <w:rFonts w:asciiTheme="minorHAnsi" w:hAnsiTheme="minorHAnsi"/>
          <w:sz w:val="22"/>
        </w:rPr>
      </w:pPr>
      <w:r w:rsidRPr="00F86E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617F74" w:rsidRDefault="00617F74" w:rsidP="00617F74">
      <w:pPr>
        <w:ind w:left="540"/>
        <w:rPr>
          <w:rFonts w:asciiTheme="minorHAnsi" w:hAnsiTheme="minorHAnsi"/>
          <w:sz w:val="22"/>
        </w:rPr>
      </w:pPr>
    </w:p>
    <w:p w:rsidR="00B860C5" w:rsidRPr="00F86E0A" w:rsidRDefault="009E3D48" w:rsidP="005078BE">
      <w:pPr>
        <w:pStyle w:val="ListParagraph"/>
        <w:numPr>
          <w:ilvl w:val="0"/>
          <w:numId w:val="1"/>
        </w:numPr>
        <w:tabs>
          <w:tab w:val="left" w:pos="540"/>
        </w:tabs>
        <w:ind w:left="540" w:hanging="540"/>
        <w:rPr>
          <w:rFonts w:asciiTheme="minorHAnsi" w:hAnsiTheme="minorHAnsi"/>
          <w:sz w:val="22"/>
        </w:rPr>
      </w:pPr>
      <w:r w:rsidRPr="00F86E0A">
        <w:rPr>
          <w:rFonts w:asciiTheme="minorHAnsi" w:hAnsiTheme="minorHAnsi"/>
          <w:b/>
          <w:sz w:val="22"/>
          <w:u w:val="single"/>
        </w:rPr>
        <w:t xml:space="preserve">ESTIMATED BURDEN OF INFORMATION COLLECTION </w:t>
      </w:r>
    </w:p>
    <w:p w:rsidR="00F86E0A" w:rsidRDefault="00F86E0A" w:rsidP="00F86E0A">
      <w:pPr>
        <w:tabs>
          <w:tab w:val="left" w:pos="540"/>
        </w:tabs>
        <w:rPr>
          <w:rFonts w:asciiTheme="minorHAnsi" w:hAnsiTheme="minorHAnsi"/>
          <w:sz w:val="22"/>
        </w:rPr>
      </w:pPr>
    </w:p>
    <w:p w:rsidR="00F86E0A" w:rsidRPr="00F86E0A" w:rsidRDefault="00F86E0A" w:rsidP="00F86E0A">
      <w:pPr>
        <w:tabs>
          <w:tab w:val="left" w:pos="540"/>
        </w:tabs>
        <w:ind w:left="540"/>
        <w:rPr>
          <w:rFonts w:asciiTheme="minorHAnsi" w:hAnsiTheme="minorHAnsi"/>
          <w:sz w:val="22"/>
        </w:rPr>
      </w:pPr>
      <w:r w:rsidRPr="00F86E0A">
        <w:rPr>
          <w:rFonts w:asciiTheme="minorHAnsi" w:hAnsiTheme="minorHAnsi"/>
          <w:sz w:val="22"/>
        </w:rPr>
        <w:t>The collections of information are in Sections 4.02, 5, and 6.02 of this revenue procedure. Taxpayers are required to obtain from a state an allocation of commercial revitalization expenditures in order to claim the commercial revitalization expenditure deduction.  The information will be used to verify that a taxpayer is entitled to claim the commercial revitalization expenditure deduction.  The estimated total annual reporting burden is 200 hours.  The estimated annual burden per respondent varies from 1 to 4 hours, depending on individual circumstances, with an estimated average of 2.5 hours.  The estimated number of respondents and is 80.</w:t>
      </w:r>
      <w:r>
        <w:rPr>
          <w:rFonts w:asciiTheme="minorHAnsi" w:hAnsiTheme="minorHAnsi"/>
          <w:sz w:val="22"/>
        </w:rPr>
        <w:t xml:space="preserve"> </w:t>
      </w:r>
    </w:p>
    <w:p w:rsidR="00641BA3" w:rsidRPr="00641BA3" w:rsidRDefault="00641BA3" w:rsidP="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F86E0A">
            <w:pPr>
              <w:keepNext/>
              <w:keepLines/>
              <w:widowControl w:val="0"/>
              <w:autoSpaceDN w:val="0"/>
              <w:jc w:val="center"/>
              <w:rPr>
                <w:rFonts w:ascii="Arial Narrow" w:hAnsi="Arial Narrow" w:cs="Calibri"/>
                <w:color w:val="000000"/>
                <w:sz w:val="20"/>
                <w:szCs w:val="20"/>
                <w:highlight w:val="yellow"/>
              </w:rPr>
            </w:pPr>
            <w:r w:rsidRPr="00F86E0A">
              <w:rPr>
                <w:rFonts w:ascii="Arial Narrow" w:hAnsi="Arial Narrow" w:cs="Calibri"/>
                <w:color w:val="000000"/>
                <w:sz w:val="20"/>
                <w:szCs w:val="20"/>
              </w:rPr>
              <w:t>Rev. Proc.</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D04DF8" w:rsidRDefault="002E0ED0">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2003-38</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2E0ED0" w:rsidP="005E6135">
            <w:pPr>
              <w:keepNext/>
              <w:keepLines/>
              <w:widowControl w:val="0"/>
              <w:autoSpaceDN w:val="0"/>
              <w:rPr>
                <w:rFonts w:ascii="Arial Narrow" w:hAnsi="Arial Narrow" w:cs="Calibri"/>
                <w:color w:val="000000"/>
                <w:sz w:val="20"/>
                <w:szCs w:val="20"/>
              </w:rPr>
            </w:pPr>
            <w:r w:rsidRPr="002E0ED0">
              <w:rPr>
                <w:rFonts w:ascii="Arial Narrow" w:hAnsi="Arial Narrow" w:cs="Calibri"/>
                <w:color w:val="000000"/>
                <w:sz w:val="20"/>
                <w:szCs w:val="20"/>
              </w:rPr>
              <w:t>Commercial Revitalization Deduction</w:t>
            </w:r>
          </w:p>
        </w:tc>
        <w:tc>
          <w:tcPr>
            <w:tcW w:w="990" w:type="dxa"/>
            <w:tcBorders>
              <w:top w:val="single" w:sz="8" w:space="0" w:color="auto"/>
              <w:left w:val="nil"/>
              <w:bottom w:val="single" w:sz="8" w:space="0" w:color="auto"/>
              <w:right w:val="single" w:sz="8" w:space="0" w:color="auto"/>
            </w:tcBorders>
            <w:noWrap/>
            <w:vAlign w:val="center"/>
          </w:tcPr>
          <w:p w:rsidR="00A648C2" w:rsidRDefault="00F86E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F86E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80</w:t>
            </w:r>
          </w:p>
        </w:tc>
        <w:tc>
          <w:tcPr>
            <w:tcW w:w="990" w:type="dxa"/>
            <w:tcBorders>
              <w:top w:val="single" w:sz="8" w:space="0" w:color="auto"/>
              <w:left w:val="nil"/>
              <w:bottom w:val="single" w:sz="8" w:space="0" w:color="auto"/>
              <w:right w:val="single" w:sz="8" w:space="0" w:color="auto"/>
            </w:tcBorders>
            <w:noWrap/>
            <w:vAlign w:val="center"/>
          </w:tcPr>
          <w:p w:rsidR="00A648C2" w:rsidRDefault="00F86E0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 hours</w:t>
            </w:r>
          </w:p>
        </w:tc>
        <w:tc>
          <w:tcPr>
            <w:tcW w:w="1260" w:type="dxa"/>
            <w:tcBorders>
              <w:top w:val="single" w:sz="8" w:space="0" w:color="auto"/>
              <w:left w:val="nil"/>
              <w:bottom w:val="single" w:sz="8" w:space="0" w:color="auto"/>
              <w:right w:val="single" w:sz="8" w:space="0" w:color="auto"/>
            </w:tcBorders>
            <w:noWrap/>
            <w:vAlign w:val="center"/>
          </w:tcPr>
          <w:p w:rsidR="00A648C2" w:rsidRDefault="00F86E0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w:t>
            </w:r>
          </w:p>
        </w:tc>
      </w:tr>
      <w:tr w:rsidR="00E823E6"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F86E0A">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80</w:t>
            </w:r>
          </w:p>
        </w:tc>
        <w:tc>
          <w:tcPr>
            <w:tcW w:w="1170" w:type="dxa"/>
            <w:tcBorders>
              <w:top w:val="single" w:sz="8" w:space="0" w:color="auto"/>
              <w:left w:val="nil"/>
              <w:bottom w:val="single" w:sz="8" w:space="0" w:color="auto"/>
              <w:right w:val="single" w:sz="8" w:space="0" w:color="auto"/>
            </w:tcBorders>
            <w:noWrap/>
            <w:vAlign w:val="center"/>
          </w:tcPr>
          <w:p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Default="00F86E0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80</w:t>
            </w:r>
          </w:p>
        </w:tc>
        <w:tc>
          <w:tcPr>
            <w:tcW w:w="990" w:type="dxa"/>
            <w:tcBorders>
              <w:top w:val="single" w:sz="8" w:space="0" w:color="auto"/>
              <w:left w:val="nil"/>
              <w:bottom w:val="single" w:sz="8" w:space="0" w:color="auto"/>
              <w:right w:val="single" w:sz="8" w:space="0" w:color="auto"/>
            </w:tcBorders>
            <w:noWrap/>
            <w:vAlign w:val="center"/>
          </w:tcPr>
          <w:p w:rsidR="00E823E6" w:rsidRDefault="00E823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RDefault="00F86E0A"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w:t>
            </w:r>
          </w:p>
        </w:tc>
      </w:tr>
    </w:tbl>
    <w:p w:rsidR="009E3D48" w:rsidRDefault="0047046A" w:rsidP="006007BC">
      <w:pPr>
        <w:autoSpaceDE w:val="0"/>
        <w:autoSpaceDN w:val="0"/>
        <w:adjustRightInd w:val="0"/>
        <w:ind w:left="540"/>
        <w:rPr>
          <w:rFonts w:cs="Times New Roman"/>
          <w:szCs w:val="24"/>
        </w:rPr>
      </w:pPr>
      <w:r>
        <w:rPr>
          <w:rFonts w:cs="Times New Roman"/>
          <w:szCs w:val="24"/>
        </w:rPr>
        <w:tab/>
      </w:r>
      <w:r w:rsidRPr="00DC1585">
        <w:rPr>
          <w:rFonts w:cs="Times New Roman"/>
          <w:szCs w:val="24"/>
        </w:rPr>
        <w:tab/>
      </w:r>
    </w:p>
    <w:p w:rsidR="00F86E0A" w:rsidRDefault="00F86E0A" w:rsidP="006007BC">
      <w:pPr>
        <w:autoSpaceDE w:val="0"/>
        <w:autoSpaceDN w:val="0"/>
        <w:adjustRightInd w:val="0"/>
        <w:ind w:left="540"/>
        <w:rPr>
          <w:szCs w:val="24"/>
        </w:rPr>
      </w:pPr>
    </w:p>
    <w:p w:rsidR="00F86E0A" w:rsidRPr="00DC1585" w:rsidRDefault="00F86E0A" w:rsidP="006007BC">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RDefault="00D463E0" w:rsidP="009E3D48">
      <w:pPr>
        <w:tabs>
          <w:tab w:val="left" w:pos="540"/>
        </w:tabs>
        <w:ind w:left="540" w:hanging="540"/>
        <w:rPr>
          <w:rFonts w:asciiTheme="minorHAnsi" w:hAnsiTheme="minorHAnsi"/>
          <w:b/>
          <w:sz w:val="22"/>
        </w:rPr>
      </w:pPr>
    </w:p>
    <w:p w:rsidR="00F240B3" w:rsidRDefault="00F86E0A" w:rsidP="00F240B3">
      <w:pPr>
        <w:tabs>
          <w:tab w:val="left" w:pos="540"/>
        </w:tabs>
        <w:ind w:left="540" w:hanging="540"/>
        <w:rPr>
          <w:rFonts w:asciiTheme="minorHAnsi" w:hAnsiTheme="minorHAnsi"/>
          <w:sz w:val="22"/>
        </w:rPr>
      </w:pPr>
      <w:r>
        <w:rPr>
          <w:rFonts w:asciiTheme="minorHAnsi" w:hAnsiTheme="minorHAnsi"/>
          <w:b/>
          <w:sz w:val="22"/>
        </w:rPr>
        <w:t xml:space="preserve">           </w:t>
      </w:r>
      <w:r w:rsidRPr="00F86E0A">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F86E0A" w:rsidRPr="00F86E0A" w:rsidRDefault="00F86E0A" w:rsidP="00F240B3">
      <w:pPr>
        <w:tabs>
          <w:tab w:val="left" w:pos="540"/>
        </w:tabs>
        <w:ind w:left="540" w:hanging="540"/>
        <w:rPr>
          <w:rFonts w:asciiTheme="minorHAnsi" w:hAnsiTheme="minorHAnsi"/>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2E0ED0">
        <w:rPr>
          <w:rFonts w:asciiTheme="minorHAnsi" w:hAnsiTheme="minorHAnsi"/>
          <w:b/>
          <w:sz w:val="22"/>
          <w:u w:val="single"/>
        </w:rPr>
        <w:t>REAS</w:t>
      </w:r>
      <w:r w:rsidRPr="00583C88">
        <w:rPr>
          <w:rFonts w:asciiTheme="minorHAnsi" w:hAnsiTheme="minorHAnsi"/>
          <w:b/>
          <w:sz w:val="22"/>
          <w:u w:val="single"/>
        </w:rPr>
        <w:t>ONS</w:t>
      </w:r>
      <w:r w:rsidRPr="00DC1585">
        <w:rPr>
          <w:rFonts w:asciiTheme="minorHAnsi" w:hAnsiTheme="minorHAnsi"/>
          <w:b/>
          <w:sz w:val="22"/>
          <w:u w:val="single"/>
        </w:rPr>
        <w:t xml:space="preserve">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F86E0A" w:rsidP="00F86E0A">
      <w:pPr>
        <w:tabs>
          <w:tab w:val="left" w:pos="540"/>
        </w:tabs>
        <w:ind w:left="540"/>
        <w:rPr>
          <w:rFonts w:asciiTheme="minorHAnsi" w:hAnsiTheme="minorHAnsi"/>
          <w:sz w:val="22"/>
        </w:rPr>
      </w:pPr>
      <w:r>
        <w:rPr>
          <w:rFonts w:asciiTheme="minorHAnsi" w:hAnsiTheme="minorHAnsi"/>
          <w:sz w:val="22"/>
        </w:rPr>
        <w:t>There have been no changes that would affect burden.</w:t>
      </w:r>
    </w:p>
    <w:p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2E0ED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80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2E0ED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80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2E0ED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2E0ED0"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200</w:t>
            </w:r>
          </w:p>
        </w:tc>
      </w:tr>
    </w:tbl>
    <w:p w:rsidR="0084728B" w:rsidRDefault="0084728B" w:rsidP="00DB3926">
      <w:pPr>
        <w:tabs>
          <w:tab w:val="left" w:pos="540"/>
        </w:tabs>
        <w:ind w:left="540" w:hanging="540"/>
        <w:rPr>
          <w:rFonts w:asciiTheme="minorHAnsi" w:hAnsiTheme="minorHAnsi"/>
          <w:sz w:val="22"/>
        </w:rPr>
      </w:pPr>
    </w:p>
    <w:p w:rsidR="00583C88" w:rsidRDefault="00583C88"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DD" w:rsidRDefault="002A38DD" w:rsidP="009E3D48">
      <w:r>
        <w:separator/>
      </w:r>
    </w:p>
  </w:endnote>
  <w:endnote w:type="continuationSeparator" w:id="0">
    <w:p w:rsidR="002A38DD" w:rsidRDefault="002A38DD"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377D5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DD" w:rsidRDefault="002A38DD" w:rsidP="009E3D48">
      <w:r>
        <w:separator/>
      </w:r>
    </w:p>
  </w:footnote>
  <w:footnote w:type="continuationSeparator" w:id="0">
    <w:p w:rsidR="002A38DD" w:rsidRDefault="002A38DD"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1A5"/>
    <w:rsid w:val="00097F65"/>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D050E"/>
    <w:rsid w:val="001D1550"/>
    <w:rsid w:val="001F656C"/>
    <w:rsid w:val="00235AD5"/>
    <w:rsid w:val="002456AB"/>
    <w:rsid w:val="002600AF"/>
    <w:rsid w:val="002736EC"/>
    <w:rsid w:val="00277A26"/>
    <w:rsid w:val="002911BE"/>
    <w:rsid w:val="002A38DD"/>
    <w:rsid w:val="002A463C"/>
    <w:rsid w:val="002C05CE"/>
    <w:rsid w:val="002C7C4B"/>
    <w:rsid w:val="002E0ED0"/>
    <w:rsid w:val="002E399E"/>
    <w:rsid w:val="00313D91"/>
    <w:rsid w:val="003178E8"/>
    <w:rsid w:val="003709BF"/>
    <w:rsid w:val="00377A8D"/>
    <w:rsid w:val="00377D5E"/>
    <w:rsid w:val="003965E9"/>
    <w:rsid w:val="003F6658"/>
    <w:rsid w:val="00453441"/>
    <w:rsid w:val="00455DF9"/>
    <w:rsid w:val="004606C9"/>
    <w:rsid w:val="0047046A"/>
    <w:rsid w:val="004C6454"/>
    <w:rsid w:val="004E6B1C"/>
    <w:rsid w:val="005247E6"/>
    <w:rsid w:val="00550E5B"/>
    <w:rsid w:val="00576A09"/>
    <w:rsid w:val="00583C88"/>
    <w:rsid w:val="005B773F"/>
    <w:rsid w:val="005D75B6"/>
    <w:rsid w:val="005E6135"/>
    <w:rsid w:val="006007BC"/>
    <w:rsid w:val="006031DF"/>
    <w:rsid w:val="00617F74"/>
    <w:rsid w:val="00637C90"/>
    <w:rsid w:val="00641BA3"/>
    <w:rsid w:val="00651FD9"/>
    <w:rsid w:val="006546DD"/>
    <w:rsid w:val="00694B45"/>
    <w:rsid w:val="006A7D3C"/>
    <w:rsid w:val="006B08BA"/>
    <w:rsid w:val="00700CA4"/>
    <w:rsid w:val="00716113"/>
    <w:rsid w:val="00732204"/>
    <w:rsid w:val="00736DBB"/>
    <w:rsid w:val="00745F68"/>
    <w:rsid w:val="00750E5E"/>
    <w:rsid w:val="00761CB0"/>
    <w:rsid w:val="00770EAA"/>
    <w:rsid w:val="007C611A"/>
    <w:rsid w:val="00801000"/>
    <w:rsid w:val="008208C7"/>
    <w:rsid w:val="0084728B"/>
    <w:rsid w:val="00895855"/>
    <w:rsid w:val="008A247E"/>
    <w:rsid w:val="008C61F0"/>
    <w:rsid w:val="008F35C9"/>
    <w:rsid w:val="009015EE"/>
    <w:rsid w:val="009078DC"/>
    <w:rsid w:val="009302A1"/>
    <w:rsid w:val="00946CFC"/>
    <w:rsid w:val="0096150B"/>
    <w:rsid w:val="00964FD7"/>
    <w:rsid w:val="00996DDD"/>
    <w:rsid w:val="009975B2"/>
    <w:rsid w:val="009A2892"/>
    <w:rsid w:val="009B164F"/>
    <w:rsid w:val="009E3D48"/>
    <w:rsid w:val="00A163F1"/>
    <w:rsid w:val="00A24315"/>
    <w:rsid w:val="00A35947"/>
    <w:rsid w:val="00A633B2"/>
    <w:rsid w:val="00A648C2"/>
    <w:rsid w:val="00A751EF"/>
    <w:rsid w:val="00A873B0"/>
    <w:rsid w:val="00AA034F"/>
    <w:rsid w:val="00AE0BE9"/>
    <w:rsid w:val="00B041DE"/>
    <w:rsid w:val="00B23E9D"/>
    <w:rsid w:val="00B248B3"/>
    <w:rsid w:val="00B70C5C"/>
    <w:rsid w:val="00B860C5"/>
    <w:rsid w:val="00BD1F42"/>
    <w:rsid w:val="00BE131C"/>
    <w:rsid w:val="00C14F69"/>
    <w:rsid w:val="00C25CB7"/>
    <w:rsid w:val="00C2679C"/>
    <w:rsid w:val="00C526C2"/>
    <w:rsid w:val="00C5319F"/>
    <w:rsid w:val="00CA65F8"/>
    <w:rsid w:val="00CB358B"/>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61655"/>
    <w:rsid w:val="00F82330"/>
    <w:rsid w:val="00F86E0A"/>
    <w:rsid w:val="00F87A66"/>
    <w:rsid w:val="00F972DB"/>
    <w:rsid w:val="00FB0C4B"/>
    <w:rsid w:val="00FB42DF"/>
    <w:rsid w:val="00FB7B94"/>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
    <w:name w:val="Unresolved Mention"/>
    <w:basedOn w:val="DefaultParagraphFont"/>
    <w:uiPriority w:val="99"/>
    <w:semiHidden/>
    <w:unhideWhenUsed/>
    <w:rsid w:val="00BE13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
    <w:name w:val="Unresolved Mention"/>
    <w:basedOn w:val="DefaultParagraphFont"/>
    <w:uiPriority w:val="99"/>
    <w:semiHidden/>
    <w:unhideWhenUsed/>
    <w:rsid w:val="00BE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vance.lexis.com/search/?pdmfid=1001091&amp;crid=4c57d94e-415d-4d35-a5bd-3f0c3d71ae45&amp;pdsearchterms=Revenue+Procedure+2003-38&amp;pdstartin=snapshot&amp;pdtypeofsearch=searchboxclick&amp;pdsearchtype=SearchBox&amp;pdqttype=and&amp;pdpsf=&amp;pdquerytemplateid=urn%3Aquerytemplate%3Af52b7180ad043dea4bdd8d074f998e74~%5EFederal&amp;ecomp=gfrLkkk&amp;earg=pdpsf&amp;prid=4fad743e-fc9d-44cc-8dec-b585a0aecb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3AD810-1C75-4B9F-ABE9-07C106F8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2019-06-05T14:38:00Z</dcterms:created>
  <dcterms:modified xsi:type="dcterms:W3CDTF">2019-06-05T14:38:00Z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