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90"/>
        <w:tblW w:w="0" w:type="auto"/>
        <w:tblLayout w:type="fixed"/>
        <w:tblCellMar>
          <w:left w:w="144" w:type="dxa"/>
          <w:right w:w="144" w:type="dxa"/>
        </w:tblCellMar>
        <w:tblLook w:val="0000" w:firstRow="0" w:lastRow="0" w:firstColumn="0" w:lastColumn="0" w:noHBand="0" w:noVBand="0"/>
      </w:tblPr>
      <w:tblGrid>
        <w:gridCol w:w="5490"/>
        <w:gridCol w:w="3870"/>
      </w:tblGrid>
      <w:tr w:rsidRPr="00CC2919" w:rsidR="00AB4AF8" w:rsidTr="00D964AE" w14:paraId="2719022E" w14:textId="77777777">
        <w:trPr>
          <w:cantSplit/>
        </w:trPr>
        <w:tc>
          <w:tcPr>
            <w:tcW w:w="5490" w:type="dxa"/>
            <w:vMerge w:val="restart"/>
            <w:tcBorders>
              <w:top w:val="single" w:color="000000" w:sz="7" w:space="0"/>
              <w:left w:val="single" w:color="000000" w:sz="7" w:space="0"/>
              <w:right w:val="single" w:color="FFFFFF" w:sz="6" w:space="0"/>
            </w:tcBorders>
          </w:tcPr>
          <w:p w:rsidRPr="00CC2919" w:rsidR="00AB4AF8" w:rsidP="00D964AE" w:rsidRDefault="00AB4AF8" w14:paraId="1C34E4E4" w14:textId="77777777">
            <w:pPr>
              <w:spacing w:line="39" w:lineRule="exact"/>
              <w:rPr>
                <w:rFonts w:cs="Courier New"/>
              </w:rPr>
            </w:pPr>
            <w:bookmarkStart w:name="_GoBack" w:id="0"/>
            <w:bookmarkEnd w:id="0"/>
          </w:p>
          <w:p w:rsidRPr="00CC2919" w:rsidR="00AB4AF8" w:rsidP="00D964AE" w:rsidRDefault="00AB4AF8" w14:paraId="343DB5C0" w14:textId="77777777">
            <w:pPr>
              <w:widowControl/>
              <w:jc w:val="center"/>
              <w:rPr>
                <w:b/>
                <w:bCs/>
                <w:szCs w:val="20"/>
              </w:rPr>
            </w:pPr>
          </w:p>
          <w:p w:rsidRPr="00CC2919" w:rsidR="00AB4AF8" w:rsidP="00D964AE" w:rsidRDefault="00AB4AF8" w14:paraId="3E72660F" w14:textId="77777777">
            <w:pPr>
              <w:widowControl/>
              <w:jc w:val="center"/>
              <w:rPr>
                <w:rFonts w:ascii="Arial Black" w:hAnsi="Arial Black"/>
                <w:b/>
                <w:bCs/>
                <w:sz w:val="18"/>
                <w:szCs w:val="18"/>
              </w:rPr>
            </w:pPr>
            <w:r w:rsidRPr="00CC2919">
              <w:rPr>
                <w:rFonts w:ascii="Arial Black" w:hAnsi="Arial Black"/>
                <w:b/>
                <w:bCs/>
                <w:sz w:val="18"/>
                <w:szCs w:val="18"/>
              </w:rPr>
              <w:t>EMPLOYMENT AND TRAINING ADMINISTRATION ADVISORY SYSTEM</w:t>
            </w:r>
          </w:p>
          <w:p w:rsidRPr="00CC2919" w:rsidR="00AB4AF8" w:rsidP="00D964AE" w:rsidRDefault="00AB4AF8" w14:paraId="45C22916" w14:textId="77777777">
            <w:pPr>
              <w:widowControl/>
              <w:jc w:val="center"/>
              <w:rPr>
                <w:rFonts w:ascii="Arial Black" w:hAnsi="Arial Black"/>
                <w:sz w:val="18"/>
                <w:szCs w:val="18"/>
              </w:rPr>
            </w:pPr>
            <w:r w:rsidRPr="00CC2919">
              <w:rPr>
                <w:rFonts w:ascii="Arial Black" w:hAnsi="Arial Black"/>
                <w:b/>
                <w:bCs/>
                <w:sz w:val="18"/>
                <w:szCs w:val="18"/>
              </w:rPr>
              <w:t>U.S. DEPARTMENT OF LABOR</w:t>
            </w:r>
          </w:p>
          <w:p w:rsidRPr="00CC2919" w:rsidR="00AB4AF8" w:rsidP="00D964AE" w:rsidRDefault="00AB4AF8" w14:paraId="44AF1073" w14:textId="77777777">
            <w:pPr>
              <w:widowControl/>
              <w:jc w:val="center"/>
              <w:rPr>
                <w:rFonts w:ascii="Arial Black" w:hAnsi="Arial Black"/>
                <w:sz w:val="18"/>
                <w:szCs w:val="18"/>
              </w:rPr>
            </w:pPr>
            <w:r w:rsidRPr="00CC2919">
              <w:rPr>
                <w:rFonts w:ascii="Arial Black" w:hAnsi="Arial Black"/>
                <w:b/>
                <w:bCs/>
                <w:sz w:val="18"/>
                <w:szCs w:val="18"/>
              </w:rPr>
              <w:t>Washington, D.C. 20210</w:t>
            </w:r>
          </w:p>
          <w:p w:rsidRPr="00CC2919" w:rsidR="00AB4AF8" w:rsidP="00D964AE" w:rsidRDefault="00AB4AF8" w14:paraId="0B16F55B" w14:textId="77777777">
            <w:pPr>
              <w:widowControl/>
              <w:jc w:val="center"/>
              <w:rPr>
                <w:szCs w:val="20"/>
              </w:rPr>
            </w:pPr>
          </w:p>
        </w:tc>
        <w:tc>
          <w:tcPr>
            <w:tcW w:w="3870" w:type="dxa"/>
            <w:tcBorders>
              <w:top w:val="single" w:color="000000" w:sz="7" w:space="0"/>
              <w:left w:val="single" w:color="000000" w:sz="7" w:space="0"/>
              <w:bottom w:val="single" w:color="FFFFFF" w:sz="6" w:space="0"/>
              <w:right w:val="single" w:color="000000" w:sz="7" w:space="0"/>
            </w:tcBorders>
          </w:tcPr>
          <w:p w:rsidRPr="00CC2919" w:rsidR="00AB4AF8" w:rsidP="00D964AE" w:rsidRDefault="00AB4AF8" w14:paraId="0ACF54EA" w14:textId="77777777">
            <w:pPr>
              <w:spacing w:line="39" w:lineRule="exact"/>
              <w:rPr>
                <w:szCs w:val="20"/>
              </w:rPr>
            </w:pPr>
          </w:p>
          <w:p w:rsidRPr="00CC2919" w:rsidR="00AB4AF8" w:rsidP="00D964AE" w:rsidRDefault="00AB4AF8" w14:paraId="4EF958F8" w14:textId="77777777">
            <w:pPr>
              <w:widowControl/>
              <w:rPr>
                <w:sz w:val="18"/>
                <w:szCs w:val="18"/>
              </w:rPr>
            </w:pPr>
            <w:r w:rsidRPr="00CC2919">
              <w:rPr>
                <w:b/>
                <w:bCs/>
                <w:sz w:val="18"/>
                <w:szCs w:val="18"/>
              </w:rPr>
              <w:t>CLASSIFICATION</w:t>
            </w:r>
          </w:p>
          <w:p w:rsidRPr="00CC2919" w:rsidR="00AB4AF8" w:rsidP="00ED4656" w:rsidRDefault="00ED4656" w14:paraId="4ED6F244" w14:textId="77777777">
            <w:pPr>
              <w:widowControl/>
              <w:rPr>
                <w:rFonts w:ascii="Times New Roman" w:hAnsi="Times New Roman"/>
                <w:sz w:val="22"/>
                <w:szCs w:val="22"/>
              </w:rPr>
            </w:pPr>
            <w:r w:rsidRPr="00CC2919">
              <w:rPr>
                <w:rFonts w:ascii="Times New Roman" w:hAnsi="Times New Roman"/>
                <w:sz w:val="22"/>
                <w:szCs w:val="22"/>
              </w:rPr>
              <w:t>Federal Bonding Grants</w:t>
            </w:r>
          </w:p>
        </w:tc>
      </w:tr>
      <w:tr w:rsidRPr="00CC2919" w:rsidR="00AB4AF8" w:rsidTr="00D964AE" w14:paraId="5D39FEA9" w14:textId="77777777">
        <w:trPr>
          <w:cantSplit/>
        </w:trPr>
        <w:tc>
          <w:tcPr>
            <w:tcW w:w="5490" w:type="dxa"/>
            <w:vMerge/>
            <w:tcBorders>
              <w:left w:val="single" w:color="000000" w:sz="7" w:space="0"/>
              <w:right w:val="single" w:color="FFFFFF" w:sz="6" w:space="0"/>
            </w:tcBorders>
          </w:tcPr>
          <w:p w:rsidRPr="00CC2919" w:rsidR="00AB4AF8" w:rsidP="00D964AE" w:rsidRDefault="00AB4AF8" w14:paraId="057572A2" w14:textId="77777777">
            <w:pPr>
              <w:widowControl/>
              <w:rPr>
                <w:szCs w:val="20"/>
              </w:rPr>
            </w:pPr>
          </w:p>
        </w:tc>
        <w:tc>
          <w:tcPr>
            <w:tcW w:w="3870" w:type="dxa"/>
            <w:tcBorders>
              <w:top w:val="single" w:color="000000" w:sz="7" w:space="0"/>
              <w:left w:val="single" w:color="000000" w:sz="7" w:space="0"/>
              <w:bottom w:val="single" w:color="FFFFFF" w:sz="6" w:space="0"/>
              <w:right w:val="single" w:color="000000" w:sz="7" w:space="0"/>
            </w:tcBorders>
          </w:tcPr>
          <w:p w:rsidRPr="00CC2919" w:rsidR="00AB4AF8" w:rsidP="00D964AE" w:rsidRDefault="00AB4AF8" w14:paraId="05BB751D" w14:textId="77777777">
            <w:pPr>
              <w:spacing w:line="39" w:lineRule="exact"/>
              <w:rPr>
                <w:szCs w:val="20"/>
              </w:rPr>
            </w:pPr>
          </w:p>
          <w:p w:rsidRPr="00CC2919" w:rsidR="00AB4AF8" w:rsidP="00D964AE" w:rsidRDefault="00AB4AF8" w14:paraId="03889F39" w14:textId="77777777">
            <w:pPr>
              <w:widowControl/>
              <w:rPr>
                <w:sz w:val="18"/>
                <w:szCs w:val="18"/>
              </w:rPr>
            </w:pPr>
            <w:r w:rsidRPr="00CC2919">
              <w:rPr>
                <w:b/>
                <w:bCs/>
                <w:sz w:val="18"/>
                <w:szCs w:val="18"/>
              </w:rPr>
              <w:t>CORRESPONDENCE SYMBOL</w:t>
            </w:r>
          </w:p>
          <w:p w:rsidRPr="00CC2919" w:rsidR="00AB4AF8" w:rsidP="00D964AE" w:rsidRDefault="00ED4656" w14:paraId="2B50FE56" w14:textId="77777777">
            <w:pPr>
              <w:widowControl/>
              <w:rPr>
                <w:rFonts w:ascii="Times New Roman" w:hAnsi="Times New Roman"/>
                <w:sz w:val="22"/>
                <w:szCs w:val="22"/>
              </w:rPr>
            </w:pPr>
            <w:r w:rsidRPr="00CC2919">
              <w:rPr>
                <w:rFonts w:ascii="Times New Roman" w:hAnsi="Times New Roman"/>
                <w:sz w:val="22"/>
                <w:szCs w:val="22"/>
              </w:rPr>
              <w:t>OWI/DYS</w:t>
            </w:r>
          </w:p>
        </w:tc>
      </w:tr>
      <w:tr w:rsidRPr="00CC2919" w:rsidR="00AB4AF8" w:rsidTr="00D964AE" w14:paraId="0408CFF8" w14:textId="77777777">
        <w:trPr>
          <w:cantSplit/>
        </w:trPr>
        <w:tc>
          <w:tcPr>
            <w:tcW w:w="5490" w:type="dxa"/>
            <w:vMerge/>
            <w:tcBorders>
              <w:left w:val="single" w:color="000000" w:sz="7" w:space="0"/>
              <w:bottom w:val="double" w:color="000000" w:sz="7" w:space="0"/>
              <w:right w:val="single" w:color="FFFFFF" w:sz="6" w:space="0"/>
            </w:tcBorders>
          </w:tcPr>
          <w:p w:rsidRPr="00CC2919" w:rsidR="00AB4AF8" w:rsidP="00D964AE" w:rsidRDefault="00AB4AF8" w14:paraId="14EB75EF" w14:textId="77777777">
            <w:pPr>
              <w:widowControl/>
              <w:spacing w:after="58"/>
            </w:pPr>
          </w:p>
        </w:tc>
        <w:tc>
          <w:tcPr>
            <w:tcW w:w="3870" w:type="dxa"/>
            <w:tcBorders>
              <w:top w:val="single" w:color="000000" w:sz="7" w:space="0"/>
              <w:left w:val="single" w:color="000000" w:sz="7" w:space="0"/>
              <w:bottom w:val="double" w:color="000000" w:sz="7" w:space="0"/>
              <w:right w:val="single" w:color="000000" w:sz="7" w:space="0"/>
            </w:tcBorders>
          </w:tcPr>
          <w:p w:rsidRPr="00CC2919" w:rsidR="00AB4AF8" w:rsidP="00D964AE" w:rsidRDefault="00AB4AF8" w14:paraId="281811D1" w14:textId="77777777">
            <w:pPr>
              <w:spacing w:line="39" w:lineRule="exact"/>
            </w:pPr>
          </w:p>
          <w:p w:rsidRPr="00CC2919" w:rsidR="00AB4AF8" w:rsidP="00D964AE" w:rsidRDefault="00AB4AF8" w14:paraId="3E70370C" w14:textId="77777777">
            <w:pPr>
              <w:widowControl/>
              <w:rPr>
                <w:sz w:val="18"/>
                <w:szCs w:val="18"/>
              </w:rPr>
            </w:pPr>
            <w:r w:rsidRPr="00CC2919">
              <w:rPr>
                <w:b/>
                <w:bCs/>
                <w:sz w:val="18"/>
                <w:szCs w:val="18"/>
              </w:rPr>
              <w:t>DATE</w:t>
            </w:r>
          </w:p>
          <w:p w:rsidRPr="00CC2919" w:rsidR="00AB4AF8" w:rsidP="00D964AE" w:rsidRDefault="00AB4AF8" w14:paraId="71FCA312" w14:textId="77777777">
            <w:pPr>
              <w:widowControl/>
              <w:spacing w:after="58"/>
              <w:rPr>
                <w:rFonts w:ascii="Times New Roman" w:hAnsi="Times New Roman"/>
                <w:sz w:val="22"/>
                <w:szCs w:val="22"/>
              </w:rPr>
            </w:pPr>
          </w:p>
        </w:tc>
      </w:tr>
    </w:tbl>
    <w:p w:rsidRPr="00CC2919" w:rsidR="00AB4AF8" w:rsidP="004A54A4" w:rsidRDefault="00AB4AF8" w14:paraId="611F1C42" w14:textId="77777777">
      <w:pPr>
        <w:widowControl/>
        <w:rPr>
          <w:rFonts w:ascii="Times New Roman" w:hAnsi="Times New Roman"/>
          <w:b/>
          <w:bCs/>
          <w:sz w:val="16"/>
          <w:szCs w:val="16"/>
        </w:rPr>
      </w:pPr>
    </w:p>
    <w:p w:rsidRPr="00CC2919" w:rsidR="0004745F" w:rsidP="004323A3" w:rsidRDefault="00E73D53" w14:paraId="018BEE8A" w14:textId="77777777">
      <w:pPr>
        <w:pStyle w:val="TEGLHeading2"/>
        <w:tabs>
          <w:tab w:val="left" w:pos="1080"/>
          <w:tab w:val="left" w:pos="1260"/>
          <w:tab w:val="left" w:pos="1350"/>
          <w:tab w:val="left" w:pos="1440"/>
          <w:tab w:val="left" w:pos="1530"/>
        </w:tabs>
      </w:pPr>
      <w:r w:rsidRPr="00CC2919">
        <w:t>ADVISORY:</w:t>
      </w:r>
      <w:r w:rsidRPr="00CC2919">
        <w:tab/>
      </w:r>
      <w:r w:rsidRPr="00CC2919">
        <w:tab/>
      </w:r>
      <w:r w:rsidRPr="00CC2919" w:rsidR="007740FB">
        <w:t xml:space="preserve">TRAINING AND EMPLOYMENT GUIDANCE LETTER NO. </w:t>
      </w:r>
    </w:p>
    <w:p w:rsidRPr="00CC2919" w:rsidR="0004745F" w:rsidP="00CB6E25" w:rsidRDefault="0004745F" w14:paraId="704AE073" w14:textId="77777777">
      <w:pPr>
        <w:pStyle w:val="TEGLHeading2"/>
      </w:pPr>
    </w:p>
    <w:p w:rsidRPr="00CC2919" w:rsidR="00BC3611" w:rsidP="001C4838" w:rsidRDefault="0004745F" w14:paraId="03917E17" w14:textId="77777777">
      <w:pPr>
        <w:widowControl/>
        <w:tabs>
          <w:tab w:val="left" w:pos="1530"/>
          <w:tab w:val="left" w:pos="1620"/>
          <w:tab w:val="left" w:pos="1800"/>
        </w:tabs>
        <w:ind w:left="180" w:hanging="180"/>
        <w:rPr>
          <w:rStyle w:val="StyleTimesNewRoman12pt"/>
        </w:rPr>
      </w:pPr>
      <w:r w:rsidRPr="00CC2919">
        <w:rPr>
          <w:rFonts w:ascii="Times New Roman" w:hAnsi="Times New Roman"/>
          <w:b/>
          <w:sz w:val="24"/>
        </w:rPr>
        <w:t>TO:</w:t>
      </w:r>
      <w:r w:rsidRPr="00CC2919" w:rsidR="004A54A4">
        <w:rPr>
          <w:rStyle w:val="StyleTimesNewRoman12pt"/>
        </w:rPr>
        <w:tab/>
      </w:r>
      <w:r w:rsidRPr="00CC2919" w:rsidR="00AC4F35">
        <w:rPr>
          <w:rStyle w:val="StyleTimesNewRoman12pt"/>
        </w:rPr>
        <w:t>STATE WORKFORCE AGENCIES</w:t>
      </w:r>
    </w:p>
    <w:p w:rsidRPr="00CC2919" w:rsidR="00BC3611" w:rsidP="001C4838" w:rsidRDefault="004A54A4" w14:paraId="7F9EDCFE" w14:textId="77777777">
      <w:pPr>
        <w:widowControl/>
        <w:tabs>
          <w:tab w:val="left" w:pos="1530"/>
        </w:tabs>
        <w:rPr>
          <w:rStyle w:val="StyleTimesNewRoman12pt"/>
        </w:rPr>
      </w:pPr>
      <w:r w:rsidRPr="00CC2919">
        <w:rPr>
          <w:rStyle w:val="StyleTimesNewRoman12pt"/>
        </w:rPr>
        <w:tab/>
      </w:r>
      <w:r w:rsidRPr="00CC2919" w:rsidR="006113B5">
        <w:rPr>
          <w:rStyle w:val="StyleTimesNewRoman12pt"/>
        </w:rPr>
        <w:t>STATE WORKFORCE ADMINISTRATORS</w:t>
      </w:r>
    </w:p>
    <w:p w:rsidRPr="00CC2919" w:rsidR="0004745F" w:rsidP="001C4838" w:rsidRDefault="004A54A4" w14:paraId="0C90F5A9" w14:textId="77777777">
      <w:pPr>
        <w:pStyle w:val="TEGLHeading2"/>
        <w:tabs>
          <w:tab w:val="left" w:pos="1530"/>
        </w:tabs>
        <w:rPr>
          <w:rStyle w:val="StyleTimesNewRoman12pt"/>
          <w:b w:val="0"/>
        </w:rPr>
      </w:pPr>
      <w:r w:rsidRPr="00CC2919">
        <w:rPr>
          <w:rStyle w:val="StyleTimesNewRoman12pt"/>
        </w:rPr>
        <w:tab/>
      </w:r>
      <w:r w:rsidRPr="00CC2919" w:rsidR="006113B5">
        <w:rPr>
          <w:rStyle w:val="StyleTimesNewRoman12pt"/>
          <w:b w:val="0"/>
        </w:rPr>
        <w:t>STATE WORKFORCE ADMINISTRATORS WAGNER-PEYSER</w:t>
      </w:r>
    </w:p>
    <w:p w:rsidRPr="00CC2919" w:rsidR="006113B5" w:rsidP="003276E6" w:rsidRDefault="006113B5" w14:paraId="302D11C3" w14:textId="77777777">
      <w:pPr>
        <w:pStyle w:val="TEGLHeading2"/>
        <w:rPr>
          <w:rStyle w:val="StyleTimesNewRoman12pt"/>
          <w:b w:val="0"/>
        </w:rPr>
      </w:pPr>
    </w:p>
    <w:p w:rsidRPr="00CC2919" w:rsidR="006113B5" w:rsidP="001C4838" w:rsidRDefault="0004745F" w14:paraId="4C0F369D" w14:textId="77777777">
      <w:pPr>
        <w:pStyle w:val="Default"/>
        <w:tabs>
          <w:tab w:val="left" w:pos="1350"/>
          <w:tab w:val="left" w:pos="1440"/>
          <w:tab w:val="left" w:pos="1530"/>
          <w:tab w:val="left" w:pos="1620"/>
        </w:tabs>
      </w:pPr>
      <w:r w:rsidRPr="00CC2919">
        <w:rPr>
          <w:b/>
        </w:rPr>
        <w:t>FROM:</w:t>
      </w:r>
      <w:r w:rsidRPr="00CC2919" w:rsidR="00D964AE">
        <w:rPr>
          <w:rStyle w:val="StyleTimesNewRoman12pt"/>
        </w:rPr>
        <w:tab/>
      </w:r>
      <w:r w:rsidRPr="00CC2919" w:rsidR="006113B5">
        <w:rPr>
          <w:rStyle w:val="StyleTimesNewRoman12pt"/>
        </w:rPr>
        <w:t xml:space="preserve"> </w:t>
      </w:r>
      <w:r w:rsidRPr="00CC2919" w:rsidR="004A54A4">
        <w:rPr>
          <w:rStyle w:val="StyleTimesNewRoman12pt"/>
        </w:rPr>
        <w:tab/>
      </w:r>
      <w:r w:rsidRPr="00CC2919" w:rsidR="004A54A4">
        <w:rPr>
          <w:rStyle w:val="StyleTimesNewRoman12pt"/>
        </w:rPr>
        <w:tab/>
      </w:r>
      <w:r w:rsidRPr="00CC2919" w:rsidR="00FD4A5D">
        <w:t xml:space="preserve">JOHN PALLASCH </w:t>
      </w:r>
      <w:r w:rsidRPr="00CC2919" w:rsidR="006113B5">
        <w:t xml:space="preserve"> </w:t>
      </w:r>
    </w:p>
    <w:p w:rsidRPr="00CC2919" w:rsidR="0004745F" w:rsidP="001C4838" w:rsidRDefault="006113B5" w14:paraId="7EAEF787" w14:textId="77777777">
      <w:pPr>
        <w:pStyle w:val="BalloonText"/>
        <w:tabs>
          <w:tab w:val="left" w:pos="1260"/>
          <w:tab w:val="left" w:pos="1530"/>
          <w:tab w:val="left" w:pos="1620"/>
          <w:tab w:val="left" w:pos="1710"/>
        </w:tabs>
        <w:ind w:left="720" w:firstLine="630"/>
        <w:rPr>
          <w:rStyle w:val="Hyperlink"/>
          <w:rFonts w:ascii="Times New Roman" w:hAnsi="Times New Roman" w:cs="Times New Roman"/>
          <w:sz w:val="24"/>
          <w:szCs w:val="24"/>
        </w:rPr>
      </w:pPr>
      <w:r w:rsidRPr="00CC2919">
        <w:rPr>
          <w:sz w:val="24"/>
          <w:szCs w:val="24"/>
        </w:rPr>
        <w:t xml:space="preserve"> </w:t>
      </w:r>
      <w:r w:rsidRPr="00CC2919" w:rsidR="004A54A4">
        <w:rPr>
          <w:sz w:val="24"/>
          <w:szCs w:val="24"/>
        </w:rPr>
        <w:tab/>
      </w:r>
      <w:r w:rsidRPr="00CC2919">
        <w:rPr>
          <w:rFonts w:ascii="Times New Roman" w:hAnsi="Times New Roman" w:cs="Times New Roman"/>
          <w:sz w:val="24"/>
          <w:szCs w:val="24"/>
        </w:rPr>
        <w:t>Assistant Secretary</w:t>
      </w:r>
    </w:p>
    <w:p w:rsidRPr="00CC2919" w:rsidR="008953F4" w:rsidP="00D964AE" w:rsidRDefault="008953F4" w14:paraId="195AF5B9" w14:textId="77777777">
      <w:pPr>
        <w:widowControl/>
        <w:rPr>
          <w:rStyle w:val="StyleTimesNewRoman12pt"/>
        </w:rPr>
      </w:pPr>
    </w:p>
    <w:p w:rsidRPr="00CC2919" w:rsidR="0004745F" w:rsidP="001C4838" w:rsidRDefault="0004745F" w14:paraId="51918177" w14:textId="77777777">
      <w:pPr>
        <w:widowControl/>
        <w:ind w:left="1530" w:hanging="1530"/>
        <w:rPr>
          <w:rFonts w:ascii="Times New Roman" w:hAnsi="Times New Roman"/>
          <w:bCs/>
          <w:sz w:val="24"/>
        </w:rPr>
      </w:pPr>
      <w:r w:rsidRPr="00CC2919">
        <w:rPr>
          <w:rFonts w:ascii="Times New Roman" w:hAnsi="Times New Roman"/>
          <w:b/>
          <w:sz w:val="24"/>
        </w:rPr>
        <w:t>SUBJECT:</w:t>
      </w:r>
      <w:r w:rsidRPr="00CC2919" w:rsidR="00D964AE">
        <w:rPr>
          <w:rStyle w:val="StyleTimesNewRoman12pt"/>
        </w:rPr>
        <w:tab/>
      </w:r>
      <w:r w:rsidRPr="00CC2919" w:rsidR="006113B5">
        <w:rPr>
          <w:rFonts w:ascii="Times New Roman" w:hAnsi="Times New Roman"/>
          <w:bCs/>
          <w:sz w:val="24"/>
        </w:rPr>
        <w:t>Fidelity Bonding Demonstration Grants to</w:t>
      </w:r>
      <w:r w:rsidRPr="00CC2919" w:rsidR="006113B5">
        <w:rPr>
          <w:rFonts w:ascii="Times New Roman" w:hAnsi="Times New Roman"/>
          <w:sz w:val="24"/>
        </w:rPr>
        <w:t xml:space="preserve"> State Workforce Agencies</w:t>
      </w:r>
      <w:r w:rsidRPr="00CC2919" w:rsidR="006113B5">
        <w:rPr>
          <w:rFonts w:ascii="Times New Roman" w:hAnsi="Times New Roman"/>
          <w:bCs/>
          <w:sz w:val="24"/>
        </w:rPr>
        <w:t xml:space="preserve"> to Support Employment Opportunities for Ex-Offenders</w:t>
      </w:r>
      <w:r w:rsidRPr="00CC2919" w:rsidR="00092E61">
        <w:rPr>
          <w:rFonts w:ascii="Times New Roman" w:hAnsi="Times New Roman"/>
          <w:bCs/>
          <w:sz w:val="24"/>
        </w:rPr>
        <w:t>,</w:t>
      </w:r>
      <w:r w:rsidRPr="00CC2919" w:rsidR="00823A87">
        <w:rPr>
          <w:rFonts w:ascii="Times New Roman" w:hAnsi="Times New Roman"/>
          <w:bCs/>
          <w:sz w:val="24"/>
        </w:rPr>
        <w:t xml:space="preserve"> </w:t>
      </w:r>
      <w:r w:rsidRPr="00CC2919" w:rsidR="00092E61">
        <w:rPr>
          <w:rFonts w:ascii="Times New Roman" w:hAnsi="Times New Roman"/>
          <w:bCs/>
          <w:sz w:val="24"/>
        </w:rPr>
        <w:t>I</w:t>
      </w:r>
      <w:r w:rsidRPr="00CC2919" w:rsidR="00157CC1">
        <w:rPr>
          <w:rFonts w:ascii="Times New Roman" w:hAnsi="Times New Roman"/>
          <w:bCs/>
          <w:sz w:val="24"/>
        </w:rPr>
        <w:t>ncluding Ex-Offenders Recovering</w:t>
      </w:r>
      <w:r w:rsidRPr="00CC2919" w:rsidR="00823A87">
        <w:rPr>
          <w:rFonts w:ascii="Times New Roman" w:hAnsi="Times New Roman"/>
          <w:bCs/>
          <w:sz w:val="24"/>
        </w:rPr>
        <w:t xml:space="preserve"> from Opioid and </w:t>
      </w:r>
      <w:r w:rsidRPr="00CC2919" w:rsidR="00150659">
        <w:rPr>
          <w:rFonts w:ascii="Times New Roman" w:hAnsi="Times New Roman"/>
          <w:bCs/>
          <w:sz w:val="24"/>
        </w:rPr>
        <w:t>O</w:t>
      </w:r>
      <w:r w:rsidRPr="00CC2919" w:rsidR="00823A87">
        <w:rPr>
          <w:rFonts w:ascii="Times New Roman" w:hAnsi="Times New Roman"/>
          <w:bCs/>
          <w:sz w:val="24"/>
        </w:rPr>
        <w:t>ther Drug Addictions</w:t>
      </w:r>
    </w:p>
    <w:p w:rsidRPr="00CC2919" w:rsidR="0004745F" w:rsidP="00B5211E" w:rsidRDefault="0004745F" w14:paraId="5620821A" w14:textId="77777777">
      <w:pPr>
        <w:widowControl/>
        <w:spacing w:line="276" w:lineRule="auto"/>
        <w:rPr>
          <w:rStyle w:val="StyleTimesNewRoman12pt"/>
        </w:rPr>
      </w:pPr>
    </w:p>
    <w:p w:rsidRPr="00CC2919" w:rsidR="0004745F" w:rsidP="00BA3B44" w:rsidRDefault="0004745F" w14:paraId="382C1169" w14:textId="77777777">
      <w:pPr>
        <w:widowControl/>
        <w:numPr>
          <w:ilvl w:val="0"/>
          <w:numId w:val="1"/>
        </w:numPr>
        <w:tabs>
          <w:tab w:val="left" w:pos="360"/>
        </w:tabs>
        <w:rPr>
          <w:rStyle w:val="StyleTimesNewRoman12pt"/>
        </w:rPr>
      </w:pPr>
      <w:r w:rsidRPr="00CC2919">
        <w:rPr>
          <w:rFonts w:ascii="Times New Roman" w:hAnsi="Times New Roman"/>
          <w:b/>
          <w:sz w:val="24"/>
          <w:u w:val="single"/>
        </w:rPr>
        <w:t>Purpose</w:t>
      </w:r>
      <w:r w:rsidRPr="00CC2919">
        <w:rPr>
          <w:rFonts w:ascii="Times New Roman" w:hAnsi="Times New Roman"/>
          <w:b/>
          <w:sz w:val="24"/>
        </w:rPr>
        <w:t>.</w:t>
      </w:r>
      <w:r w:rsidRPr="00CC2919">
        <w:rPr>
          <w:rStyle w:val="StyleTimesNewRoman12pt"/>
        </w:rPr>
        <w:t xml:space="preserve">  </w:t>
      </w:r>
      <w:r w:rsidRPr="00CC2919" w:rsidR="006113B5">
        <w:rPr>
          <w:rFonts w:ascii="Times New Roman" w:hAnsi="Times New Roman"/>
          <w:sz w:val="24"/>
        </w:rPr>
        <w:t>To announce the availability of up to $</w:t>
      </w:r>
      <w:r w:rsidRPr="00CC2919" w:rsidR="00136806">
        <w:rPr>
          <w:rFonts w:ascii="Times New Roman" w:hAnsi="Times New Roman"/>
          <w:sz w:val="24"/>
        </w:rPr>
        <w:t>3.3</w:t>
      </w:r>
      <w:r w:rsidRPr="00CC2919" w:rsidR="00A151B6">
        <w:rPr>
          <w:rFonts w:ascii="Times New Roman" w:hAnsi="Times New Roman"/>
          <w:sz w:val="24"/>
        </w:rPr>
        <w:t xml:space="preserve"> </w:t>
      </w:r>
      <w:r w:rsidRPr="00CC2919" w:rsidR="006113B5">
        <w:rPr>
          <w:rFonts w:ascii="Times New Roman" w:hAnsi="Times New Roman"/>
          <w:sz w:val="24"/>
        </w:rPr>
        <w:t xml:space="preserve">million for Fidelity </w:t>
      </w:r>
      <w:r w:rsidRPr="00CC2919" w:rsidR="006113B5">
        <w:rPr>
          <w:rFonts w:ascii="Times New Roman" w:hAnsi="Times New Roman"/>
          <w:bCs/>
          <w:sz w:val="24"/>
        </w:rPr>
        <w:t>Bonding Demonstration Grants</w:t>
      </w:r>
      <w:r w:rsidRPr="00CC2919" w:rsidR="006113B5">
        <w:rPr>
          <w:rFonts w:ascii="Times New Roman" w:hAnsi="Times New Roman"/>
          <w:sz w:val="24"/>
        </w:rPr>
        <w:t xml:space="preserve"> for Program Year 20</w:t>
      </w:r>
      <w:r w:rsidRPr="00CC2919" w:rsidR="00F123AD">
        <w:rPr>
          <w:rFonts w:ascii="Times New Roman" w:hAnsi="Times New Roman"/>
          <w:sz w:val="24"/>
        </w:rPr>
        <w:t>20</w:t>
      </w:r>
      <w:r w:rsidRPr="00CC2919" w:rsidR="006113B5">
        <w:rPr>
          <w:rFonts w:ascii="Times New Roman" w:hAnsi="Times New Roman"/>
          <w:sz w:val="24"/>
        </w:rPr>
        <w:t>.  These grants will enable states to expand their use of fidelity bonds to help persons with criminal records</w:t>
      </w:r>
      <w:r w:rsidRPr="00CC2919" w:rsidR="00150659">
        <w:rPr>
          <w:rFonts w:ascii="Times New Roman" w:hAnsi="Times New Roman"/>
          <w:sz w:val="24"/>
        </w:rPr>
        <w:t>,</w:t>
      </w:r>
      <w:r w:rsidRPr="00CC2919" w:rsidR="00BA3B44">
        <w:rPr>
          <w:rFonts w:ascii="Times New Roman" w:hAnsi="Times New Roman"/>
          <w:sz w:val="24"/>
        </w:rPr>
        <w:t xml:space="preserve"> </w:t>
      </w:r>
      <w:r w:rsidRPr="00CC2919" w:rsidR="00823A87">
        <w:rPr>
          <w:rFonts w:ascii="Times New Roman" w:hAnsi="Times New Roman"/>
          <w:sz w:val="24"/>
        </w:rPr>
        <w:t>including ex-offenders r</w:t>
      </w:r>
      <w:r w:rsidRPr="00CC2919" w:rsidR="00BA3B44">
        <w:rPr>
          <w:rFonts w:ascii="Times New Roman" w:hAnsi="Times New Roman"/>
          <w:sz w:val="24"/>
        </w:rPr>
        <w:t>ecover</w:t>
      </w:r>
      <w:r w:rsidRPr="00CC2919" w:rsidR="00157CC1">
        <w:rPr>
          <w:rFonts w:ascii="Times New Roman" w:hAnsi="Times New Roman"/>
          <w:sz w:val="24"/>
        </w:rPr>
        <w:t>ing</w:t>
      </w:r>
      <w:r w:rsidRPr="00CC2919" w:rsidR="00823A87">
        <w:rPr>
          <w:rFonts w:ascii="Times New Roman" w:hAnsi="Times New Roman"/>
          <w:sz w:val="24"/>
        </w:rPr>
        <w:t xml:space="preserve"> from opioid and other drug a</w:t>
      </w:r>
      <w:r w:rsidRPr="00CC2919" w:rsidR="00BA3B44">
        <w:rPr>
          <w:rFonts w:ascii="Times New Roman" w:hAnsi="Times New Roman"/>
          <w:sz w:val="24"/>
        </w:rPr>
        <w:t>ddictions</w:t>
      </w:r>
      <w:r w:rsidRPr="00CC2919" w:rsidR="00A37B31">
        <w:rPr>
          <w:rFonts w:ascii="Times New Roman" w:hAnsi="Times New Roman"/>
          <w:sz w:val="24"/>
        </w:rPr>
        <w:t>,</w:t>
      </w:r>
      <w:r w:rsidRPr="00CC2919" w:rsidR="009755A4">
        <w:rPr>
          <w:rFonts w:ascii="Times New Roman" w:hAnsi="Times New Roman"/>
          <w:sz w:val="24"/>
        </w:rPr>
        <w:t xml:space="preserve"> </w:t>
      </w:r>
      <w:r w:rsidRPr="00CC2919" w:rsidR="00823A87">
        <w:rPr>
          <w:rFonts w:ascii="Times New Roman" w:hAnsi="Times New Roman"/>
          <w:sz w:val="24"/>
        </w:rPr>
        <w:t>obtain employment.</w:t>
      </w:r>
    </w:p>
    <w:p w:rsidRPr="00CC2919" w:rsidR="0004745F" w:rsidP="00B5211E" w:rsidRDefault="0004745F" w14:paraId="0DA4CD8D" w14:textId="77777777">
      <w:pPr>
        <w:widowControl/>
        <w:rPr>
          <w:rStyle w:val="StyleTimesNewRoman12pt"/>
        </w:rPr>
      </w:pPr>
    </w:p>
    <w:p w:rsidRPr="00CC2919" w:rsidR="00F1556E" w:rsidP="00BE2172" w:rsidRDefault="00F1556E" w14:paraId="066E5CFD" w14:textId="77777777">
      <w:pPr>
        <w:widowControl/>
        <w:numPr>
          <w:ilvl w:val="0"/>
          <w:numId w:val="1"/>
        </w:numPr>
        <w:tabs>
          <w:tab w:val="left" w:pos="360"/>
        </w:tabs>
        <w:rPr>
          <w:rStyle w:val="StyleTimesNewRoman12pt"/>
        </w:rPr>
      </w:pPr>
      <w:r w:rsidRPr="00CC2919">
        <w:rPr>
          <w:rFonts w:ascii="Times New Roman" w:hAnsi="Times New Roman"/>
          <w:b/>
          <w:sz w:val="24"/>
          <w:u w:val="single"/>
        </w:rPr>
        <w:t>Action Requested</w:t>
      </w:r>
      <w:r w:rsidRPr="00CC2919">
        <w:rPr>
          <w:rFonts w:ascii="Times New Roman" w:hAnsi="Times New Roman"/>
          <w:b/>
          <w:sz w:val="24"/>
        </w:rPr>
        <w:t>.</w:t>
      </w:r>
      <w:r w:rsidRPr="00CC2919">
        <w:rPr>
          <w:rStyle w:val="StyleTimesNewRoman12pt"/>
        </w:rPr>
        <w:t xml:space="preserve"> </w:t>
      </w:r>
      <w:r w:rsidRPr="00CC2919" w:rsidR="006113B5">
        <w:rPr>
          <w:rStyle w:val="StyleTimesNewRoman12pt"/>
        </w:rPr>
        <w:t xml:space="preserve"> </w:t>
      </w:r>
      <w:r w:rsidR="00DA340A">
        <w:rPr>
          <w:rStyle w:val="StyleTimesNewRoman12pt"/>
        </w:rPr>
        <w:t xml:space="preserve">The </w:t>
      </w:r>
      <w:r w:rsidR="00BE2172">
        <w:rPr>
          <w:rStyle w:val="StyleTimesNewRoman12pt"/>
        </w:rPr>
        <w:t>E</w:t>
      </w:r>
      <w:r w:rsidRPr="00BE2172" w:rsidR="00BE2172">
        <w:rPr>
          <w:rStyle w:val="StyleTimesNewRoman12pt"/>
        </w:rPr>
        <w:t>mployment and Training Administration (ETA), U.S. Department o</w:t>
      </w:r>
      <w:r w:rsidR="00BE2172">
        <w:rPr>
          <w:rStyle w:val="StyleTimesNewRoman12pt"/>
        </w:rPr>
        <w:t>f Labor (DOL, or the De</w:t>
      </w:r>
      <w:r w:rsidR="00BE2172">
        <w:rPr>
          <w:rStyle w:val="StyleTimesNewRoman12pt"/>
        </w:rPr>
        <w:lastRenderedPageBreak/>
        <w:t>partment)</w:t>
      </w:r>
      <w:r w:rsidRPr="00BE2172" w:rsidR="00BE2172">
        <w:rPr>
          <w:rStyle w:val="StyleTimesNewRoman12pt"/>
        </w:rPr>
        <w:t xml:space="preserve"> </w:t>
      </w:r>
      <w:r w:rsidR="00DA340A">
        <w:rPr>
          <w:rStyle w:val="StyleTimesNewRoman12pt"/>
        </w:rPr>
        <w:t xml:space="preserve">encourages </w:t>
      </w:r>
      <w:r w:rsidRPr="00CC2919" w:rsidR="006113B5">
        <w:rPr>
          <w:rFonts w:ascii="Times New Roman" w:hAnsi="Times New Roman"/>
          <w:sz w:val="24"/>
        </w:rPr>
        <w:t xml:space="preserve">State Workforce Agencies </w:t>
      </w:r>
      <w:r w:rsidR="00DA340A">
        <w:rPr>
          <w:rFonts w:ascii="Times New Roman" w:hAnsi="Times New Roman"/>
          <w:sz w:val="24"/>
        </w:rPr>
        <w:t xml:space="preserve">to </w:t>
      </w:r>
      <w:r w:rsidRPr="00CC2919" w:rsidR="006113B5">
        <w:rPr>
          <w:rFonts w:ascii="Times New Roman" w:hAnsi="Times New Roman"/>
          <w:sz w:val="24"/>
        </w:rPr>
        <w:t xml:space="preserve">consider applying for the grants described in this TEGL.  The application deadline is </w:t>
      </w:r>
      <w:r w:rsidRPr="0011339A" w:rsidR="006113B5">
        <w:rPr>
          <w:rFonts w:ascii="Times New Roman" w:hAnsi="Times New Roman"/>
          <w:sz w:val="24"/>
          <w:highlight w:val="lightGray"/>
        </w:rPr>
        <w:t>XX-XX-XXXX</w:t>
      </w:r>
      <w:r w:rsidRPr="00CC2919" w:rsidR="006113B5">
        <w:rPr>
          <w:rFonts w:ascii="Times New Roman" w:hAnsi="Times New Roman"/>
          <w:sz w:val="24"/>
        </w:rPr>
        <w:t>.</w:t>
      </w:r>
    </w:p>
    <w:p w:rsidRPr="00CC2919" w:rsidR="00F1556E" w:rsidP="00B5211E" w:rsidRDefault="00F1556E" w14:paraId="52F20351" w14:textId="77777777">
      <w:pPr>
        <w:pStyle w:val="ListParagraph"/>
        <w:rPr>
          <w:rFonts w:ascii="Times New Roman" w:hAnsi="Times New Roman"/>
          <w:sz w:val="24"/>
        </w:rPr>
      </w:pPr>
    </w:p>
    <w:p w:rsidRPr="00CC2919" w:rsidR="00F123AD" w:rsidP="00B5211E" w:rsidRDefault="00152697" w14:paraId="2976171D" w14:textId="77777777">
      <w:pPr>
        <w:widowControl/>
        <w:numPr>
          <w:ilvl w:val="0"/>
          <w:numId w:val="1"/>
        </w:numPr>
        <w:tabs>
          <w:tab w:val="left" w:pos="360"/>
        </w:tabs>
        <w:rPr>
          <w:rFonts w:ascii="Times New Roman" w:hAnsi="Times New Roman"/>
          <w:sz w:val="24"/>
        </w:rPr>
      </w:pPr>
      <w:r w:rsidRPr="00CC2919">
        <w:rPr>
          <w:rFonts w:ascii="Times New Roman" w:hAnsi="Times New Roman"/>
          <w:b/>
          <w:sz w:val="24"/>
          <w:u w:val="single"/>
        </w:rPr>
        <w:t xml:space="preserve">Summary and </w:t>
      </w:r>
      <w:r w:rsidRPr="00CC2919" w:rsidR="0004745F">
        <w:rPr>
          <w:rFonts w:ascii="Times New Roman" w:hAnsi="Times New Roman"/>
          <w:b/>
          <w:sz w:val="24"/>
          <w:u w:val="single"/>
        </w:rPr>
        <w:t>Background</w:t>
      </w:r>
      <w:r w:rsidRPr="00CC2919" w:rsidR="0004745F">
        <w:rPr>
          <w:rFonts w:ascii="Times New Roman" w:hAnsi="Times New Roman"/>
          <w:b/>
          <w:sz w:val="24"/>
        </w:rPr>
        <w:t>.</w:t>
      </w:r>
      <w:r w:rsidRPr="00CC2919" w:rsidR="0004745F">
        <w:rPr>
          <w:rFonts w:ascii="Times New Roman" w:hAnsi="Times New Roman"/>
          <w:sz w:val="24"/>
          <w:u w:val="words"/>
        </w:rPr>
        <w:t xml:space="preserve"> </w:t>
      </w:r>
      <w:r w:rsidRPr="00CC2919" w:rsidR="00426B9B">
        <w:rPr>
          <w:rFonts w:ascii="Times New Roman" w:hAnsi="Times New Roman"/>
          <w:sz w:val="24"/>
          <w:u w:val="words"/>
        </w:rPr>
        <w:t xml:space="preserve"> </w:t>
      </w:r>
    </w:p>
    <w:p w:rsidRPr="00CC2919" w:rsidR="00F123AD" w:rsidP="00136806" w:rsidRDefault="00F123AD" w14:paraId="32618176" w14:textId="77777777">
      <w:pPr>
        <w:pStyle w:val="ListParagraph"/>
        <w:rPr>
          <w:rFonts w:ascii="Times New Roman" w:hAnsi="Times New Roman"/>
          <w:color w:val="000000"/>
          <w:sz w:val="24"/>
        </w:rPr>
      </w:pPr>
    </w:p>
    <w:p w:rsidRPr="00CC2919" w:rsidR="00F123AD" w:rsidP="00136806" w:rsidRDefault="00F123AD" w14:paraId="61B0621C" w14:textId="77777777">
      <w:pPr>
        <w:widowControl/>
        <w:numPr>
          <w:ilvl w:val="1"/>
          <w:numId w:val="1"/>
        </w:numPr>
        <w:tabs>
          <w:tab w:val="left" w:pos="360"/>
        </w:tabs>
        <w:rPr>
          <w:rFonts w:ascii="Times New Roman" w:hAnsi="Times New Roman"/>
          <w:sz w:val="24"/>
        </w:rPr>
      </w:pPr>
      <w:r w:rsidRPr="00CC2919">
        <w:rPr>
          <w:rFonts w:ascii="Times New Roman" w:hAnsi="Times New Roman"/>
          <w:color w:val="000000"/>
          <w:sz w:val="24"/>
        </w:rPr>
        <w:t xml:space="preserve">Summary - </w:t>
      </w:r>
      <w:r w:rsidRPr="00CC2919" w:rsidR="00426B9B">
        <w:rPr>
          <w:rFonts w:ascii="Times New Roman" w:hAnsi="Times New Roman"/>
          <w:color w:val="000000"/>
          <w:sz w:val="24"/>
        </w:rPr>
        <w:t>The Department</w:t>
      </w:r>
      <w:r w:rsidRPr="00CC2919" w:rsidR="0092218B">
        <w:rPr>
          <w:rFonts w:ascii="Times New Roman" w:hAnsi="Times New Roman"/>
          <w:color w:val="000000"/>
          <w:sz w:val="24"/>
        </w:rPr>
        <w:t xml:space="preserve"> </w:t>
      </w:r>
      <w:r w:rsidRPr="00CC2919" w:rsidR="00426B9B">
        <w:rPr>
          <w:rFonts w:ascii="Times New Roman" w:hAnsi="Times New Roman"/>
          <w:color w:val="000000"/>
          <w:sz w:val="24"/>
        </w:rPr>
        <w:t xml:space="preserve">is committed to helping those involved </w:t>
      </w:r>
      <w:r w:rsidRPr="00CC2919" w:rsidR="004D30FE">
        <w:rPr>
          <w:rFonts w:ascii="Times New Roman" w:hAnsi="Times New Roman"/>
          <w:color w:val="000000"/>
          <w:sz w:val="24"/>
        </w:rPr>
        <w:t xml:space="preserve">in </w:t>
      </w:r>
      <w:r w:rsidRPr="00CC2919" w:rsidR="00426B9B">
        <w:rPr>
          <w:rFonts w:ascii="Times New Roman" w:hAnsi="Times New Roman"/>
          <w:color w:val="000000"/>
          <w:sz w:val="24"/>
        </w:rPr>
        <w:t>the criminal justice system</w:t>
      </w:r>
      <w:r w:rsidRPr="00CC2919" w:rsidR="00150659">
        <w:rPr>
          <w:rFonts w:ascii="Times New Roman" w:hAnsi="Times New Roman"/>
          <w:color w:val="000000"/>
          <w:sz w:val="24"/>
        </w:rPr>
        <w:t>,</w:t>
      </w:r>
      <w:r w:rsidRPr="00CC2919" w:rsidR="00823A87">
        <w:rPr>
          <w:rFonts w:ascii="Times New Roman" w:hAnsi="Times New Roman"/>
          <w:sz w:val="24"/>
        </w:rPr>
        <w:t xml:space="preserve"> including ex-offenders recover</w:t>
      </w:r>
      <w:r w:rsidRPr="00CC2919" w:rsidR="00157CC1">
        <w:rPr>
          <w:rFonts w:ascii="Times New Roman" w:hAnsi="Times New Roman"/>
          <w:sz w:val="24"/>
        </w:rPr>
        <w:t xml:space="preserve">ing </w:t>
      </w:r>
      <w:r w:rsidRPr="00CC2919" w:rsidR="00823A87">
        <w:rPr>
          <w:rFonts w:ascii="Times New Roman" w:hAnsi="Times New Roman"/>
          <w:sz w:val="24"/>
        </w:rPr>
        <w:t>from opioid and other drug addictions</w:t>
      </w:r>
      <w:r w:rsidRPr="00CC2919" w:rsidR="00870CB0">
        <w:rPr>
          <w:rFonts w:ascii="Times New Roman" w:hAnsi="Times New Roman"/>
          <w:sz w:val="24"/>
        </w:rPr>
        <w:t>,</w:t>
      </w:r>
      <w:r w:rsidRPr="00CC2919" w:rsidR="00823A87">
        <w:rPr>
          <w:rFonts w:ascii="Times New Roman" w:hAnsi="Times New Roman"/>
          <w:sz w:val="24"/>
        </w:rPr>
        <w:t xml:space="preserve"> obtain employment</w:t>
      </w:r>
      <w:r w:rsidRPr="00CC2919" w:rsidR="00426B9B">
        <w:rPr>
          <w:rFonts w:ascii="Times New Roman" w:hAnsi="Times New Roman"/>
          <w:color w:val="000000"/>
          <w:sz w:val="24"/>
        </w:rPr>
        <w:t xml:space="preserve"> </w:t>
      </w:r>
      <w:r w:rsidRPr="00CC2919" w:rsidR="00870CB0">
        <w:rPr>
          <w:rFonts w:ascii="Times New Roman" w:hAnsi="Times New Roman"/>
          <w:color w:val="000000"/>
          <w:sz w:val="24"/>
        </w:rPr>
        <w:t>in</w:t>
      </w:r>
      <w:r w:rsidRPr="00CC2919" w:rsidR="00426B9B">
        <w:rPr>
          <w:rFonts w:ascii="Times New Roman" w:hAnsi="Times New Roman"/>
          <w:color w:val="000000"/>
          <w:sz w:val="24"/>
        </w:rPr>
        <w:t xml:space="preserve"> family-sustaining jobs</w:t>
      </w:r>
      <w:r w:rsidRPr="00CC2919" w:rsidR="004D30FE">
        <w:rPr>
          <w:rFonts w:ascii="Times New Roman" w:hAnsi="Times New Roman"/>
          <w:color w:val="000000"/>
          <w:sz w:val="24"/>
        </w:rPr>
        <w:t>;</w:t>
      </w:r>
      <w:r w:rsidRPr="00CC2919" w:rsidR="00426B9B">
        <w:rPr>
          <w:rFonts w:ascii="Times New Roman" w:hAnsi="Times New Roman"/>
          <w:color w:val="000000"/>
          <w:sz w:val="24"/>
        </w:rPr>
        <w:t xml:space="preserve"> better informing employers about the knowledge, skills, and abilities of this population</w:t>
      </w:r>
      <w:r w:rsidRPr="00CC2919" w:rsidR="004D30FE">
        <w:rPr>
          <w:rFonts w:ascii="Times New Roman" w:hAnsi="Times New Roman"/>
          <w:color w:val="000000"/>
          <w:sz w:val="24"/>
        </w:rPr>
        <w:t>;</w:t>
      </w:r>
      <w:r w:rsidRPr="00CC2919" w:rsidR="00426B9B">
        <w:rPr>
          <w:rFonts w:ascii="Times New Roman" w:hAnsi="Times New Roman"/>
          <w:color w:val="000000"/>
          <w:sz w:val="24"/>
        </w:rPr>
        <w:t xml:space="preserve"> and advancing strategies to a</w:t>
      </w:r>
      <w:r w:rsidRPr="00CC2919" w:rsidR="00823A87">
        <w:rPr>
          <w:rFonts w:ascii="Times New Roman" w:hAnsi="Times New Roman"/>
          <w:color w:val="000000"/>
          <w:sz w:val="24"/>
        </w:rPr>
        <w:t>ddress the barriers</w:t>
      </w:r>
      <w:r w:rsidRPr="00CC2919" w:rsidR="00426B9B">
        <w:rPr>
          <w:rFonts w:ascii="Times New Roman" w:hAnsi="Times New Roman"/>
          <w:color w:val="000000"/>
          <w:sz w:val="24"/>
        </w:rPr>
        <w:t xml:space="preserve"> to reemployment.</w:t>
      </w:r>
      <w:r w:rsidRPr="00CC2919" w:rsidR="00CA7D4A">
        <w:rPr>
          <w:rFonts w:ascii="Times New Roman" w:hAnsi="Times New Roman"/>
          <w:color w:val="000000"/>
          <w:sz w:val="24"/>
        </w:rPr>
        <w:t xml:space="preserve">  </w:t>
      </w:r>
      <w:r w:rsidRPr="00CC2919" w:rsidR="00DD0A7B">
        <w:rPr>
          <w:rFonts w:ascii="Times New Roman" w:hAnsi="Times New Roman"/>
          <w:color w:val="000000"/>
          <w:sz w:val="24"/>
        </w:rPr>
        <w:t>T</w:t>
      </w:r>
      <w:r w:rsidRPr="00CC2919" w:rsidR="00426B9B">
        <w:rPr>
          <w:rFonts w:ascii="Times New Roman" w:hAnsi="Times New Roman"/>
          <w:color w:val="000000"/>
          <w:sz w:val="24"/>
        </w:rPr>
        <w:t xml:space="preserve">hrough the Federal Bonding Program (FBP), </w:t>
      </w:r>
      <w:r w:rsidR="007810E9">
        <w:rPr>
          <w:rFonts w:ascii="Times New Roman" w:hAnsi="Times New Roman"/>
          <w:color w:val="000000"/>
          <w:sz w:val="24"/>
        </w:rPr>
        <w:t>ETA</w:t>
      </w:r>
      <w:r w:rsidRPr="00CC2919" w:rsidR="00426B9B">
        <w:rPr>
          <w:rFonts w:ascii="Times New Roman" w:hAnsi="Times New Roman"/>
          <w:color w:val="000000"/>
          <w:sz w:val="24"/>
        </w:rPr>
        <w:t xml:space="preserve"> provides fidelity bonds to employers to help reduce the risks of hiring individuals whose criminal backgrounds pose barriers to securing employment.  </w:t>
      </w:r>
    </w:p>
    <w:p w:rsidRPr="00CC2919" w:rsidR="00645855" w:rsidP="00645855" w:rsidRDefault="00645855" w14:paraId="46B0A8A2" w14:textId="77777777">
      <w:pPr>
        <w:widowControl/>
        <w:tabs>
          <w:tab w:val="left" w:pos="360"/>
        </w:tabs>
        <w:ind w:left="1080"/>
        <w:rPr>
          <w:rFonts w:ascii="Times New Roman" w:hAnsi="Times New Roman"/>
          <w:sz w:val="24"/>
        </w:rPr>
      </w:pPr>
    </w:p>
    <w:p w:rsidRPr="00CC2919" w:rsidR="00A4144D" w:rsidP="00136806" w:rsidRDefault="00F123AD" w14:paraId="02422E3D" w14:textId="77777777">
      <w:pPr>
        <w:widowControl/>
        <w:numPr>
          <w:ilvl w:val="1"/>
          <w:numId w:val="1"/>
        </w:numPr>
        <w:tabs>
          <w:tab w:val="left" w:pos="360"/>
        </w:tabs>
        <w:rPr>
          <w:rFonts w:ascii="Times New Roman" w:hAnsi="Times New Roman" w:eastAsia="Calibri"/>
          <w:color w:val="000000"/>
          <w:sz w:val="24"/>
        </w:rPr>
      </w:pPr>
      <w:r w:rsidRPr="00CC2919">
        <w:rPr>
          <w:rFonts w:ascii="Times New Roman" w:hAnsi="Times New Roman"/>
          <w:sz w:val="24"/>
        </w:rPr>
        <w:t xml:space="preserve">Background - </w:t>
      </w:r>
      <w:r w:rsidRPr="00CC2919" w:rsidR="00426B9B">
        <w:rPr>
          <w:rFonts w:ascii="Times New Roman" w:hAnsi="Times New Roman"/>
          <w:sz w:val="24"/>
        </w:rPr>
        <w:t>FBP is authorized under Section 169 of the Workforce Innovation and Opportunity A</w:t>
      </w:r>
      <w:r w:rsidRPr="00CC2919" w:rsidR="004B796F">
        <w:rPr>
          <w:rFonts w:ascii="Times New Roman" w:hAnsi="Times New Roman"/>
          <w:sz w:val="24"/>
        </w:rPr>
        <w:t xml:space="preserve">ct (WIOA).  Over the years, </w:t>
      </w:r>
      <w:r w:rsidRPr="00CC2919" w:rsidR="00426B9B">
        <w:rPr>
          <w:rFonts w:ascii="Times New Roman" w:hAnsi="Times New Roman"/>
          <w:sz w:val="24"/>
        </w:rPr>
        <w:t>FBP remained a small program</w:t>
      </w:r>
      <w:r w:rsidRPr="00CC2919" w:rsidR="008A427E">
        <w:rPr>
          <w:rFonts w:ascii="Times New Roman" w:hAnsi="Times New Roman"/>
          <w:sz w:val="24"/>
        </w:rPr>
        <w:t xml:space="preserve">, </w:t>
      </w:r>
      <w:r w:rsidRPr="00CC2919" w:rsidR="006757E9">
        <w:rPr>
          <w:rFonts w:ascii="Times New Roman" w:hAnsi="Times New Roman"/>
          <w:sz w:val="24"/>
        </w:rPr>
        <w:t xml:space="preserve">but in </w:t>
      </w:r>
      <w:r w:rsidRPr="00CC2919" w:rsidR="008A427E">
        <w:rPr>
          <w:rFonts w:ascii="Times New Roman" w:hAnsi="Times New Roman"/>
          <w:sz w:val="24"/>
        </w:rPr>
        <w:t>June 2019</w:t>
      </w:r>
      <w:r w:rsidR="007810E9">
        <w:rPr>
          <w:rFonts w:ascii="Times New Roman" w:hAnsi="Times New Roman"/>
          <w:sz w:val="24"/>
        </w:rPr>
        <w:t>,</w:t>
      </w:r>
      <w:r w:rsidRPr="00CC2919" w:rsidR="008A427E">
        <w:rPr>
          <w:rFonts w:ascii="Times New Roman" w:hAnsi="Times New Roman"/>
          <w:sz w:val="24"/>
        </w:rPr>
        <w:t xml:space="preserve"> </w:t>
      </w:r>
      <w:r w:rsidR="00095760">
        <w:rPr>
          <w:rFonts w:ascii="Times New Roman" w:hAnsi="Times New Roman"/>
          <w:sz w:val="24"/>
        </w:rPr>
        <w:t xml:space="preserve">the Department </w:t>
      </w:r>
      <w:r w:rsidRPr="00CC2919" w:rsidR="008A427E">
        <w:rPr>
          <w:rFonts w:ascii="Times New Roman" w:hAnsi="Times New Roman"/>
          <w:sz w:val="24"/>
        </w:rPr>
        <w:t>award</w:t>
      </w:r>
      <w:r w:rsidR="007810E9">
        <w:rPr>
          <w:rFonts w:ascii="Times New Roman" w:hAnsi="Times New Roman"/>
          <w:sz w:val="24"/>
        </w:rPr>
        <w:t>ed</w:t>
      </w:r>
      <w:r w:rsidRPr="00CC2919" w:rsidR="008A427E">
        <w:rPr>
          <w:rFonts w:ascii="Times New Roman" w:hAnsi="Times New Roman"/>
          <w:sz w:val="24"/>
        </w:rPr>
        <w:t xml:space="preserve"> $2,234,122 for Fidelity Bonding Demonstration Grants to </w:t>
      </w:r>
      <w:r w:rsidRPr="00CC2919" w:rsidR="00BA2DE8">
        <w:rPr>
          <w:rFonts w:ascii="Times New Roman" w:hAnsi="Times New Roman"/>
          <w:sz w:val="24"/>
        </w:rPr>
        <w:t>2</w:t>
      </w:r>
      <w:r w:rsidR="00BA2DE8">
        <w:rPr>
          <w:rFonts w:ascii="Times New Roman" w:hAnsi="Times New Roman"/>
          <w:sz w:val="24"/>
        </w:rPr>
        <w:t xml:space="preserve">3 </w:t>
      </w:r>
      <w:r w:rsidRPr="00CC2919" w:rsidR="008A427E">
        <w:rPr>
          <w:rFonts w:ascii="Times New Roman" w:hAnsi="Times New Roman"/>
          <w:sz w:val="24"/>
        </w:rPr>
        <w:t>states</w:t>
      </w:r>
      <w:r w:rsidR="00AE46CE">
        <w:rPr>
          <w:rFonts w:ascii="Times New Roman" w:hAnsi="Times New Roman"/>
          <w:sz w:val="24"/>
        </w:rPr>
        <w:t xml:space="preserve"> and one</w:t>
      </w:r>
      <w:r w:rsidR="001D1A22">
        <w:rPr>
          <w:rFonts w:ascii="Times New Roman" w:hAnsi="Times New Roman"/>
          <w:sz w:val="24"/>
        </w:rPr>
        <w:t xml:space="preserve"> </w:t>
      </w:r>
      <w:r w:rsidR="00BA2DE8">
        <w:rPr>
          <w:rFonts w:ascii="Times New Roman" w:hAnsi="Times New Roman"/>
          <w:sz w:val="24"/>
        </w:rPr>
        <w:t xml:space="preserve">outlying </w:t>
      </w:r>
      <w:r w:rsidR="00334BF5">
        <w:rPr>
          <w:rFonts w:ascii="Times New Roman" w:hAnsi="Times New Roman"/>
          <w:sz w:val="24"/>
        </w:rPr>
        <w:t xml:space="preserve">area </w:t>
      </w:r>
      <w:r w:rsidRPr="00CC2919" w:rsidR="00770334">
        <w:rPr>
          <w:rFonts w:ascii="Times New Roman" w:hAnsi="Times New Roman"/>
          <w:sz w:val="24"/>
        </w:rPr>
        <w:t xml:space="preserve">to expand their </w:t>
      </w:r>
      <w:r w:rsidRPr="00CC2919" w:rsidR="008A427E">
        <w:rPr>
          <w:rFonts w:ascii="Times New Roman" w:hAnsi="Times New Roman"/>
          <w:sz w:val="24"/>
        </w:rPr>
        <w:t xml:space="preserve">use of fidelity bonds to help persons with criminal records </w:t>
      </w:r>
      <w:r w:rsidR="001F5AD7">
        <w:rPr>
          <w:rFonts w:ascii="Times New Roman" w:hAnsi="Times New Roman"/>
          <w:sz w:val="24"/>
        </w:rPr>
        <w:t>get em</w:t>
      </w:r>
      <w:r w:rsidRPr="00CC2919" w:rsidR="00770334">
        <w:rPr>
          <w:rFonts w:ascii="Times New Roman" w:hAnsi="Times New Roman"/>
          <w:sz w:val="24"/>
        </w:rPr>
        <w:t>ploy</w:t>
      </w:r>
      <w:r w:rsidRPr="00CC2919" w:rsidR="008A427E">
        <w:rPr>
          <w:rFonts w:ascii="Times New Roman" w:hAnsi="Times New Roman"/>
          <w:sz w:val="24"/>
        </w:rPr>
        <w:t>men</w:t>
      </w:r>
      <w:r w:rsidR="001F5AD7">
        <w:rPr>
          <w:rFonts w:ascii="Times New Roman" w:hAnsi="Times New Roman"/>
          <w:sz w:val="24"/>
        </w:rPr>
        <w:t>t</w:t>
      </w:r>
      <w:r w:rsidRPr="00CC2919" w:rsidR="008A427E">
        <w:rPr>
          <w:rFonts w:ascii="Times New Roman" w:hAnsi="Times New Roman"/>
          <w:sz w:val="24"/>
        </w:rPr>
        <w:t>.</w:t>
      </w:r>
      <w:r w:rsidRPr="00CC2919" w:rsidR="00BB0565">
        <w:rPr>
          <w:rFonts w:ascii="Times New Roman" w:hAnsi="Times New Roman"/>
          <w:sz w:val="24"/>
        </w:rPr>
        <w:t xml:space="preserve"> </w:t>
      </w:r>
      <w:r w:rsidR="00BB25F2">
        <w:rPr>
          <w:rFonts w:ascii="Times New Roman" w:hAnsi="Times New Roman"/>
          <w:sz w:val="24"/>
        </w:rPr>
        <w:t xml:space="preserve"> </w:t>
      </w:r>
      <w:r w:rsidRPr="00CC2919" w:rsidR="00426B9B">
        <w:rPr>
          <w:rFonts w:ascii="Times New Roman" w:hAnsi="Times New Roman"/>
          <w:sz w:val="24"/>
        </w:rPr>
        <w:t xml:space="preserve">The Department </w:t>
      </w:r>
      <w:r w:rsidRPr="00CC2919" w:rsidR="003854CC">
        <w:rPr>
          <w:rFonts w:ascii="Times New Roman" w:hAnsi="Times New Roman"/>
          <w:sz w:val="24"/>
        </w:rPr>
        <w:t xml:space="preserve">now wishes to further </w:t>
      </w:r>
      <w:r w:rsidRPr="00CC2919" w:rsidR="00426B9B">
        <w:rPr>
          <w:rFonts w:ascii="Times New Roman" w:hAnsi="Times New Roman"/>
          <w:sz w:val="24"/>
        </w:rPr>
        <w:t>increase the use of fidelity bonds</w:t>
      </w:r>
      <w:r w:rsidRPr="00CC2919" w:rsidR="003854CC">
        <w:rPr>
          <w:rFonts w:ascii="Times New Roman" w:hAnsi="Times New Roman"/>
          <w:sz w:val="24"/>
        </w:rPr>
        <w:t xml:space="preserve"> </w:t>
      </w:r>
      <w:r w:rsidRPr="00CC2919" w:rsidR="00770334">
        <w:rPr>
          <w:rFonts w:ascii="Times New Roman" w:hAnsi="Times New Roman"/>
          <w:sz w:val="24"/>
        </w:rPr>
        <w:t>by</w:t>
      </w:r>
      <w:r w:rsidRPr="00CC2919" w:rsidR="00426B9B">
        <w:rPr>
          <w:rFonts w:ascii="Times New Roman" w:hAnsi="Times New Roman"/>
          <w:sz w:val="24"/>
        </w:rPr>
        <w:t xml:space="preserve"> </w:t>
      </w:r>
      <w:r w:rsidRPr="00CC2919" w:rsidR="003854CC">
        <w:rPr>
          <w:rFonts w:ascii="Times New Roman" w:hAnsi="Times New Roman"/>
          <w:sz w:val="24"/>
        </w:rPr>
        <w:t>offering</w:t>
      </w:r>
      <w:r w:rsidRPr="00CC2919" w:rsidR="00426B9B">
        <w:rPr>
          <w:rFonts w:ascii="Times New Roman" w:hAnsi="Times New Roman"/>
          <w:sz w:val="24"/>
        </w:rPr>
        <w:t xml:space="preserve"> funds to </w:t>
      </w:r>
      <w:r w:rsidRPr="00CC2919" w:rsidR="00A4144D">
        <w:rPr>
          <w:rFonts w:ascii="Times New Roman" w:hAnsi="Times New Roman"/>
          <w:sz w:val="24"/>
        </w:rPr>
        <w:t xml:space="preserve">the </w:t>
      </w:r>
      <w:r w:rsidRPr="00CC2919" w:rsidR="00BB0565">
        <w:rPr>
          <w:rFonts w:ascii="Times New Roman" w:hAnsi="Times New Roman"/>
          <w:sz w:val="24"/>
        </w:rPr>
        <w:t xml:space="preserve">states and </w:t>
      </w:r>
      <w:r w:rsidRPr="00CC2919" w:rsidR="005D10BC">
        <w:rPr>
          <w:rFonts w:ascii="Times New Roman" w:hAnsi="Times New Roman"/>
          <w:sz w:val="24"/>
        </w:rPr>
        <w:t>outlying areas</w:t>
      </w:r>
      <w:r w:rsidRPr="00CC2919" w:rsidR="00426B9B">
        <w:rPr>
          <w:rFonts w:ascii="Times New Roman" w:hAnsi="Times New Roman"/>
          <w:sz w:val="24"/>
        </w:rPr>
        <w:t xml:space="preserve"> </w:t>
      </w:r>
      <w:r w:rsidRPr="00CC2919" w:rsidR="003854CC">
        <w:rPr>
          <w:rFonts w:ascii="Times New Roman" w:hAnsi="Times New Roman"/>
          <w:sz w:val="24"/>
        </w:rPr>
        <w:t>that did not receive grants last year.</w:t>
      </w:r>
      <w:r w:rsidRPr="00CC2919" w:rsidR="00B95D3F">
        <w:rPr>
          <w:rFonts w:ascii="Times New Roman" w:hAnsi="Times New Roman"/>
          <w:sz w:val="24"/>
        </w:rPr>
        <w:t xml:space="preserve">  </w:t>
      </w:r>
    </w:p>
    <w:p w:rsidRPr="00CC2919" w:rsidR="00645855" w:rsidP="00645855" w:rsidRDefault="00645855" w14:paraId="3FF49667" w14:textId="77777777">
      <w:pPr>
        <w:widowControl/>
        <w:tabs>
          <w:tab w:val="left" w:pos="360"/>
        </w:tabs>
        <w:ind w:left="1080"/>
        <w:rPr>
          <w:rFonts w:ascii="Times New Roman" w:hAnsi="Times New Roman" w:eastAsia="Calibri"/>
          <w:color w:val="000000"/>
          <w:sz w:val="24"/>
        </w:rPr>
      </w:pPr>
    </w:p>
    <w:p w:rsidRPr="00CC2919" w:rsidR="00136806" w:rsidP="00136806" w:rsidRDefault="00B95D3F" w14:paraId="253AC8C3" w14:textId="77777777">
      <w:pPr>
        <w:widowControl/>
        <w:tabs>
          <w:tab w:val="left" w:pos="360"/>
        </w:tabs>
        <w:ind w:left="1080"/>
        <w:rPr>
          <w:rFonts w:ascii="Times New Roman" w:hAnsi="Times New Roman" w:eastAsia="Calibri"/>
          <w:color w:val="000000"/>
          <w:sz w:val="24"/>
        </w:rPr>
      </w:pPr>
      <w:r w:rsidRPr="00CC2919">
        <w:rPr>
          <w:rFonts w:ascii="Times New Roman" w:hAnsi="Times New Roman"/>
          <w:sz w:val="24"/>
        </w:rPr>
        <w:lastRenderedPageBreak/>
        <w:t>State Workforce Agencies apply for the grant</w:t>
      </w:r>
      <w:r w:rsidRPr="00CC2919" w:rsidR="00B3346D">
        <w:rPr>
          <w:rFonts w:ascii="Times New Roman" w:hAnsi="Times New Roman"/>
          <w:sz w:val="24"/>
        </w:rPr>
        <w:t xml:space="preserve"> on behalf of their respective states</w:t>
      </w:r>
      <w:r w:rsidR="001D5AB1">
        <w:rPr>
          <w:rFonts w:ascii="Times New Roman" w:hAnsi="Times New Roman"/>
          <w:sz w:val="24"/>
        </w:rPr>
        <w:t xml:space="preserve"> and s</w:t>
      </w:r>
      <w:r w:rsidRPr="00CC2919" w:rsidR="00426B9B">
        <w:rPr>
          <w:rFonts w:ascii="Times New Roman" w:hAnsi="Times New Roman"/>
          <w:sz w:val="24"/>
        </w:rPr>
        <w:t>tate</w:t>
      </w:r>
      <w:r w:rsidRPr="00CC2919" w:rsidR="00845280">
        <w:rPr>
          <w:rFonts w:ascii="Times New Roman" w:hAnsi="Times New Roman"/>
          <w:sz w:val="24"/>
        </w:rPr>
        <w:t>s</w:t>
      </w:r>
      <w:r w:rsidRPr="00CC2919" w:rsidR="00786F6E">
        <w:rPr>
          <w:rFonts w:ascii="Times New Roman" w:hAnsi="Times New Roman"/>
          <w:sz w:val="24"/>
        </w:rPr>
        <w:t xml:space="preserve"> </w:t>
      </w:r>
      <w:r w:rsidRPr="00CC2919" w:rsidR="00426B9B">
        <w:rPr>
          <w:rFonts w:ascii="Times New Roman" w:hAnsi="Times New Roman"/>
          <w:sz w:val="24"/>
        </w:rPr>
        <w:t>will operate this grant</w:t>
      </w:r>
      <w:r w:rsidRPr="00CC2919" w:rsidR="00976C06">
        <w:rPr>
          <w:rFonts w:ascii="Times New Roman" w:hAnsi="Times New Roman"/>
          <w:sz w:val="24"/>
        </w:rPr>
        <w:t xml:space="preserve"> </w:t>
      </w:r>
      <w:r w:rsidRPr="00CC2919" w:rsidR="00012046">
        <w:rPr>
          <w:rFonts w:ascii="Times New Roman" w:hAnsi="Times New Roman"/>
          <w:sz w:val="24"/>
        </w:rPr>
        <w:t xml:space="preserve">through </w:t>
      </w:r>
      <w:r w:rsidRPr="00CC2919" w:rsidR="00976C06">
        <w:rPr>
          <w:rFonts w:ascii="Times New Roman" w:hAnsi="Times New Roman"/>
          <w:sz w:val="24"/>
        </w:rPr>
        <w:t xml:space="preserve">their current </w:t>
      </w:r>
      <w:r w:rsidRPr="00CC2919" w:rsidR="002B318E">
        <w:rPr>
          <w:rFonts w:ascii="Times New Roman" w:hAnsi="Times New Roman"/>
          <w:sz w:val="24"/>
        </w:rPr>
        <w:t>FBP</w:t>
      </w:r>
      <w:r w:rsidRPr="00CC2919" w:rsidR="00976C06">
        <w:rPr>
          <w:rFonts w:ascii="Times New Roman" w:hAnsi="Times New Roman"/>
          <w:sz w:val="24"/>
        </w:rPr>
        <w:t xml:space="preserve">.  </w:t>
      </w:r>
      <w:r w:rsidRPr="00CC2919" w:rsidR="0019771B">
        <w:rPr>
          <w:rFonts w:ascii="Times New Roman" w:hAnsi="Times New Roman"/>
          <w:sz w:val="24"/>
        </w:rPr>
        <w:t>S</w:t>
      </w:r>
      <w:r w:rsidRPr="00CC2919" w:rsidR="00976C06">
        <w:rPr>
          <w:rFonts w:ascii="Times New Roman" w:hAnsi="Times New Roman"/>
          <w:sz w:val="24"/>
        </w:rPr>
        <w:t xml:space="preserve">tates that do not currently operate </w:t>
      </w:r>
      <w:r w:rsidRPr="00CC2919" w:rsidR="0019771B">
        <w:rPr>
          <w:rFonts w:ascii="Times New Roman" w:hAnsi="Times New Roman"/>
          <w:sz w:val="24"/>
        </w:rPr>
        <w:t>a</w:t>
      </w:r>
      <w:r w:rsidRPr="00CC2919" w:rsidR="002B318E">
        <w:rPr>
          <w:rFonts w:ascii="Times New Roman" w:hAnsi="Times New Roman"/>
          <w:sz w:val="24"/>
        </w:rPr>
        <w:t xml:space="preserve"> FBP</w:t>
      </w:r>
      <w:r w:rsidRPr="00CC2919" w:rsidR="008E5D0A">
        <w:rPr>
          <w:rFonts w:ascii="Times New Roman" w:hAnsi="Times New Roman"/>
          <w:sz w:val="24"/>
        </w:rPr>
        <w:t xml:space="preserve"> </w:t>
      </w:r>
      <w:r w:rsidRPr="00CC2919" w:rsidR="00976C06">
        <w:rPr>
          <w:rFonts w:ascii="Times New Roman" w:hAnsi="Times New Roman"/>
          <w:sz w:val="24"/>
        </w:rPr>
        <w:t>must designate a</w:t>
      </w:r>
      <w:r w:rsidRPr="00CC2919" w:rsidR="00DB5579">
        <w:rPr>
          <w:rFonts w:ascii="Times New Roman" w:hAnsi="Times New Roman"/>
          <w:sz w:val="24"/>
        </w:rPr>
        <w:t xml:space="preserve"> </w:t>
      </w:r>
      <w:r w:rsidRPr="00CC2919" w:rsidR="00976C06">
        <w:rPr>
          <w:rFonts w:ascii="Times New Roman" w:hAnsi="Times New Roman"/>
          <w:sz w:val="24"/>
        </w:rPr>
        <w:t>staff person to serve as the state bonding coordinator for this grant.</w:t>
      </w:r>
      <w:r w:rsidRPr="00CC2919" w:rsidR="00F21C3B">
        <w:rPr>
          <w:rFonts w:ascii="Times New Roman" w:hAnsi="Times New Roman"/>
          <w:sz w:val="24"/>
        </w:rPr>
        <w:t xml:space="preserve">  </w:t>
      </w:r>
      <w:r w:rsidRPr="00CC2919" w:rsidR="00426B9B">
        <w:rPr>
          <w:rFonts w:ascii="Times New Roman" w:hAnsi="Times New Roman"/>
          <w:sz w:val="24"/>
        </w:rPr>
        <w:t>States will use their own procurement policies and procedures to select an insurance provider to purchase bonds</w:t>
      </w:r>
      <w:r w:rsidRPr="00CC2919" w:rsidR="00D130DC">
        <w:rPr>
          <w:rFonts w:ascii="Times New Roman" w:hAnsi="Times New Roman"/>
          <w:sz w:val="24"/>
        </w:rPr>
        <w:t xml:space="preserve"> or</w:t>
      </w:r>
      <w:r w:rsidRPr="00CC2919" w:rsidR="002B318E">
        <w:rPr>
          <w:rFonts w:ascii="Times New Roman" w:hAnsi="Times New Roman"/>
          <w:sz w:val="24"/>
        </w:rPr>
        <w:t xml:space="preserve"> </w:t>
      </w:r>
      <w:r w:rsidRPr="00CC2919" w:rsidR="00D130DC">
        <w:rPr>
          <w:rFonts w:ascii="Times New Roman" w:hAnsi="Times New Roman"/>
          <w:sz w:val="24"/>
        </w:rPr>
        <w:t>may continue to purchase fidelity bonds through the Department of Labor’s FBP contractor</w:t>
      </w:r>
      <w:r w:rsidRPr="00CC2919" w:rsidR="008E5D0A">
        <w:rPr>
          <w:rFonts w:ascii="Times New Roman" w:hAnsi="Times New Roman"/>
          <w:sz w:val="24"/>
        </w:rPr>
        <w:t>,</w:t>
      </w:r>
      <w:r w:rsidRPr="00CC2919" w:rsidR="002B318E">
        <w:rPr>
          <w:rFonts w:ascii="Times New Roman" w:hAnsi="Times New Roman"/>
          <w:sz w:val="24"/>
        </w:rPr>
        <w:t xml:space="preserve"> </w:t>
      </w:r>
      <w:r w:rsidRPr="00CC2919" w:rsidR="008A7DEA">
        <w:rPr>
          <w:rFonts w:ascii="Times New Roman" w:hAnsi="Times New Roman"/>
          <w:sz w:val="24"/>
        </w:rPr>
        <w:t>as long as they comply</w:t>
      </w:r>
      <w:r w:rsidRPr="00CC2919" w:rsidR="002B318E">
        <w:rPr>
          <w:rFonts w:ascii="Times New Roman" w:hAnsi="Times New Roman"/>
          <w:sz w:val="24"/>
        </w:rPr>
        <w:t xml:space="preserve"> w</w:t>
      </w:r>
      <w:r w:rsidRPr="00CC2919" w:rsidR="00493439">
        <w:rPr>
          <w:rFonts w:ascii="Times New Roman" w:hAnsi="Times New Roman"/>
          <w:sz w:val="24"/>
        </w:rPr>
        <w:t>i</w:t>
      </w:r>
      <w:r w:rsidRPr="00CC2919" w:rsidR="002B318E">
        <w:rPr>
          <w:rFonts w:ascii="Times New Roman" w:hAnsi="Times New Roman"/>
          <w:sz w:val="24"/>
        </w:rPr>
        <w:t>th state contracting procedures</w:t>
      </w:r>
      <w:r w:rsidRPr="00CC2919" w:rsidR="00D130DC">
        <w:rPr>
          <w:rFonts w:ascii="Times New Roman" w:hAnsi="Times New Roman"/>
          <w:sz w:val="24"/>
        </w:rPr>
        <w:t xml:space="preserve">.  </w:t>
      </w:r>
      <w:r w:rsidRPr="00CC2919" w:rsidR="00426B9B">
        <w:rPr>
          <w:rFonts w:ascii="Times New Roman" w:hAnsi="Times New Roman"/>
          <w:sz w:val="24"/>
        </w:rPr>
        <w:t>State bonding coordinators may certify bonds or delegate the authority to certify bonds</w:t>
      </w:r>
      <w:r w:rsidRPr="00CC2919" w:rsidR="00B12B9D">
        <w:rPr>
          <w:rFonts w:ascii="Times New Roman" w:hAnsi="Times New Roman"/>
          <w:sz w:val="24"/>
        </w:rPr>
        <w:t xml:space="preserve"> to other </w:t>
      </w:r>
      <w:r w:rsidRPr="00CC2919" w:rsidR="00426B9B">
        <w:rPr>
          <w:rFonts w:ascii="Times New Roman" w:hAnsi="Times New Roman" w:eastAsia="Calibri"/>
          <w:color w:val="000000"/>
          <w:sz w:val="24"/>
        </w:rPr>
        <w:t xml:space="preserve">staff. </w:t>
      </w:r>
    </w:p>
    <w:p w:rsidRPr="00CC2919" w:rsidR="00645855" w:rsidP="00136806" w:rsidRDefault="00645855" w14:paraId="5B349510" w14:textId="77777777">
      <w:pPr>
        <w:widowControl/>
        <w:tabs>
          <w:tab w:val="left" w:pos="360"/>
        </w:tabs>
        <w:ind w:left="1080"/>
        <w:rPr>
          <w:rFonts w:ascii="Times New Roman" w:hAnsi="Times New Roman" w:eastAsia="Calibri"/>
          <w:color w:val="000000"/>
          <w:sz w:val="24"/>
        </w:rPr>
      </w:pPr>
    </w:p>
    <w:p w:rsidRPr="00A565CE" w:rsidR="008F67AD" w:rsidP="008D57F2" w:rsidRDefault="008D57F2" w14:paraId="0B4777CF" w14:textId="77777777">
      <w:pPr>
        <w:widowControl/>
        <w:numPr>
          <w:ilvl w:val="0"/>
          <w:numId w:val="1"/>
        </w:numPr>
        <w:tabs>
          <w:tab w:val="left" w:pos="360"/>
        </w:tabs>
        <w:rPr>
          <w:rStyle w:val="StyleTimesNewRoman12pt"/>
          <w:b/>
        </w:rPr>
      </w:pPr>
      <w:r w:rsidRPr="008D57F2">
        <w:rPr>
          <w:rStyle w:val="StyleTimesNewRoman12pt"/>
          <w:b/>
          <w:u w:val="single"/>
        </w:rPr>
        <w:t xml:space="preserve">Grant Competition </w:t>
      </w:r>
      <w:r w:rsidRPr="00095760" w:rsidR="008F67AD">
        <w:rPr>
          <w:rStyle w:val="StyleTimesNewRoman12pt"/>
          <w:b/>
          <w:u w:val="single"/>
        </w:rPr>
        <w:t>Details</w:t>
      </w:r>
      <w:r w:rsidRPr="00A565CE" w:rsidR="008F67AD">
        <w:rPr>
          <w:rStyle w:val="StyleTimesNewRoman12pt"/>
          <w:b/>
        </w:rPr>
        <w:t>.</w:t>
      </w:r>
    </w:p>
    <w:p w:rsidR="008F67AD" w:rsidP="00FB7597" w:rsidRDefault="008F67AD" w14:paraId="4FCBF061" w14:textId="77777777">
      <w:pPr>
        <w:widowControl/>
        <w:tabs>
          <w:tab w:val="left" w:pos="360"/>
          <w:tab w:val="left" w:pos="900"/>
        </w:tabs>
        <w:ind w:left="360" w:hanging="360"/>
        <w:rPr>
          <w:rStyle w:val="StyleTimesNewRoman12pt"/>
          <w:b/>
        </w:rPr>
      </w:pPr>
    </w:p>
    <w:p w:rsidRPr="00CC2919" w:rsidR="00F23F7F" w:rsidP="009375C0" w:rsidRDefault="008D57F2" w14:paraId="5DD18B35" w14:textId="77777777">
      <w:pPr>
        <w:widowControl/>
        <w:tabs>
          <w:tab w:val="left" w:pos="360"/>
          <w:tab w:val="left" w:pos="900"/>
        </w:tabs>
        <w:ind w:left="720" w:hanging="360"/>
        <w:rPr>
          <w:rFonts w:ascii="Times New Roman" w:hAnsi="Times New Roman"/>
          <w:b/>
          <w:sz w:val="24"/>
        </w:rPr>
      </w:pPr>
      <w:r>
        <w:rPr>
          <w:rStyle w:val="StyleTimesNewRoman12pt"/>
          <w:b/>
          <w:u w:val="single"/>
        </w:rPr>
        <w:t xml:space="preserve">a.  </w:t>
      </w:r>
      <w:r w:rsidRPr="00CC2919" w:rsidR="00DD0A7B">
        <w:rPr>
          <w:rStyle w:val="StyleTimesNewRoman12pt"/>
          <w:b/>
          <w:u w:val="single"/>
        </w:rPr>
        <w:t xml:space="preserve">Demonstration </w:t>
      </w:r>
      <w:r w:rsidRPr="00CC2919" w:rsidR="00C13F04">
        <w:rPr>
          <w:rStyle w:val="StyleTimesNewRoman12pt"/>
          <w:b/>
          <w:u w:val="single"/>
        </w:rPr>
        <w:t>Goals</w:t>
      </w:r>
      <w:r w:rsidRPr="00CC2919" w:rsidR="00C13F04">
        <w:rPr>
          <w:rStyle w:val="StyleTimesNewRoman12pt"/>
          <w:b/>
        </w:rPr>
        <w:t>.</w:t>
      </w:r>
      <w:r w:rsidRPr="00CC2919" w:rsidR="00B5211E">
        <w:rPr>
          <w:rStyle w:val="StyleTimesNewRoman12pt"/>
          <w:b/>
        </w:rPr>
        <w:t xml:space="preserve"> </w:t>
      </w:r>
      <w:r w:rsidRPr="00CC2919" w:rsidR="00E6556B">
        <w:rPr>
          <w:rStyle w:val="StyleTimesNewRoman12pt"/>
          <w:b/>
        </w:rPr>
        <w:t xml:space="preserve"> </w:t>
      </w:r>
      <w:r w:rsidRPr="00CC2919" w:rsidR="00F514FB">
        <w:rPr>
          <w:rFonts w:ascii="Times New Roman" w:hAnsi="Times New Roman"/>
          <w:sz w:val="24"/>
        </w:rPr>
        <w:t>The goal</w:t>
      </w:r>
      <w:r w:rsidRPr="00CC2919" w:rsidR="00992403">
        <w:rPr>
          <w:rFonts w:ascii="Times New Roman" w:hAnsi="Times New Roman"/>
          <w:sz w:val="24"/>
        </w:rPr>
        <w:t>s</w:t>
      </w:r>
      <w:r w:rsidRPr="00CC2919" w:rsidR="00F514FB">
        <w:rPr>
          <w:rFonts w:ascii="Times New Roman" w:hAnsi="Times New Roman"/>
          <w:sz w:val="24"/>
        </w:rPr>
        <w:t xml:space="preserve"> of this </w:t>
      </w:r>
      <w:r w:rsidRPr="00CC2919" w:rsidR="00DD0A7B">
        <w:rPr>
          <w:rFonts w:ascii="Times New Roman" w:hAnsi="Times New Roman"/>
          <w:sz w:val="24"/>
        </w:rPr>
        <w:t xml:space="preserve">demonstration </w:t>
      </w:r>
      <w:r w:rsidRPr="00CC2919" w:rsidR="00992403">
        <w:rPr>
          <w:rFonts w:ascii="Times New Roman" w:hAnsi="Times New Roman"/>
          <w:sz w:val="24"/>
        </w:rPr>
        <w:t>include</w:t>
      </w:r>
      <w:r w:rsidR="00BB25F2">
        <w:rPr>
          <w:rFonts w:ascii="Times New Roman" w:hAnsi="Times New Roman"/>
          <w:sz w:val="24"/>
        </w:rPr>
        <w:t xml:space="preserve"> the following</w:t>
      </w:r>
      <w:r w:rsidRPr="00CC2919" w:rsidR="00F23F7F">
        <w:rPr>
          <w:rFonts w:ascii="Times New Roman" w:hAnsi="Times New Roman"/>
          <w:sz w:val="24"/>
        </w:rPr>
        <w:t>:</w:t>
      </w:r>
      <w:r w:rsidRPr="00CC2919" w:rsidR="00992403">
        <w:rPr>
          <w:rFonts w:ascii="Times New Roman" w:hAnsi="Times New Roman"/>
          <w:sz w:val="24"/>
        </w:rPr>
        <w:t xml:space="preserve"> </w:t>
      </w:r>
    </w:p>
    <w:p w:rsidRPr="00CC2919" w:rsidR="00F23F7F" w:rsidP="001441E8" w:rsidRDefault="002330A8" w14:paraId="4AD66584" w14:textId="77777777">
      <w:pPr>
        <w:pStyle w:val="Default"/>
        <w:numPr>
          <w:ilvl w:val="0"/>
          <w:numId w:val="20"/>
        </w:numPr>
        <w:ind w:left="720" w:hanging="270"/>
      </w:pPr>
      <w:r w:rsidRPr="00CC2919">
        <w:t xml:space="preserve">Improving </w:t>
      </w:r>
      <w:r w:rsidRPr="00CC2919" w:rsidR="00F514FB">
        <w:t>employment outcomes</w:t>
      </w:r>
      <w:r w:rsidRPr="00CC2919" w:rsidR="006A7397">
        <w:t>, which</w:t>
      </w:r>
      <w:r w:rsidRPr="00CC2919">
        <w:t xml:space="preserve"> </w:t>
      </w:r>
      <w:r w:rsidRPr="00CC2919" w:rsidR="006A7397">
        <w:t xml:space="preserve">in turn </w:t>
      </w:r>
      <w:r w:rsidRPr="00CC2919">
        <w:t>decreas</w:t>
      </w:r>
      <w:r w:rsidRPr="00CC2919" w:rsidR="006A7397">
        <w:t>es</w:t>
      </w:r>
      <w:r w:rsidRPr="00CC2919">
        <w:t xml:space="preserve"> recidivism</w:t>
      </w:r>
      <w:r w:rsidRPr="00CC2919" w:rsidR="006A7397">
        <w:t>,</w:t>
      </w:r>
      <w:r w:rsidRPr="00CC2919" w:rsidR="00F514FB">
        <w:t xml:space="preserve"> for persons with criminal records by encouraging states and workforce development partners to provide fidelity bonds to employers as a hiring tool for persons with criminal records; </w:t>
      </w:r>
    </w:p>
    <w:p w:rsidRPr="00CC2919" w:rsidR="00F23F7F" w:rsidP="001441E8" w:rsidRDefault="00150659" w14:paraId="1E015D0F" w14:textId="77777777">
      <w:pPr>
        <w:pStyle w:val="Default"/>
        <w:numPr>
          <w:ilvl w:val="0"/>
          <w:numId w:val="20"/>
        </w:numPr>
        <w:tabs>
          <w:tab w:val="left" w:pos="720"/>
        </w:tabs>
        <w:ind w:left="720" w:hanging="270"/>
      </w:pPr>
      <w:r w:rsidRPr="00CC2919">
        <w:t>E</w:t>
      </w:r>
      <w:r w:rsidRPr="00CC2919" w:rsidR="00F514FB">
        <w:t xml:space="preserve">ducating employers and the public on the availability and benefits of fidelity bonds for persons with criminal records; </w:t>
      </w:r>
      <w:r w:rsidRPr="00CC2919" w:rsidR="00DB5579">
        <w:t>and</w:t>
      </w:r>
    </w:p>
    <w:p w:rsidRPr="00CC2919" w:rsidR="00F514FB" w:rsidP="00287940" w:rsidRDefault="00150659" w14:paraId="355BD5B4" w14:textId="77777777">
      <w:pPr>
        <w:pStyle w:val="Default"/>
        <w:numPr>
          <w:ilvl w:val="0"/>
          <w:numId w:val="20"/>
        </w:numPr>
        <w:tabs>
          <w:tab w:val="left" w:pos="720"/>
        </w:tabs>
        <w:ind w:left="810"/>
      </w:pPr>
      <w:r w:rsidRPr="00CC2919">
        <w:t>P</w:t>
      </w:r>
      <w:r w:rsidRPr="00CC2919" w:rsidR="00F514FB">
        <w:t xml:space="preserve">roviding outreach to employers to encourage them to hire persons with criminal records. </w:t>
      </w:r>
    </w:p>
    <w:p w:rsidRPr="008D57F2" w:rsidR="00F23F7F" w:rsidP="00B5211E" w:rsidRDefault="00F23F7F" w14:paraId="1F221849" w14:textId="77777777">
      <w:pPr>
        <w:pStyle w:val="Default"/>
        <w:ind w:left="360"/>
        <w:rPr>
          <w:b/>
          <w:bCs/>
          <w:u w:val="single"/>
        </w:rPr>
      </w:pPr>
    </w:p>
    <w:p w:rsidRPr="008D57F2" w:rsidR="00F514FB" w:rsidP="008D57F2" w:rsidRDefault="008D57F2" w14:paraId="7A0A5D57" w14:textId="77777777">
      <w:pPr>
        <w:widowControl/>
        <w:tabs>
          <w:tab w:val="left" w:pos="360"/>
          <w:tab w:val="left" w:pos="900"/>
        </w:tabs>
        <w:ind w:left="720" w:hanging="360"/>
        <w:rPr>
          <w:rFonts w:ascii="Times New Roman" w:hAnsi="Times New Roman"/>
          <w:b/>
          <w:bCs/>
          <w:sz w:val="24"/>
          <w:u w:val="single"/>
        </w:rPr>
      </w:pPr>
      <w:r w:rsidRPr="008D57F2">
        <w:rPr>
          <w:rFonts w:ascii="Times New Roman" w:hAnsi="Times New Roman"/>
          <w:b/>
          <w:bCs/>
          <w:sz w:val="24"/>
          <w:u w:val="single"/>
        </w:rPr>
        <w:t xml:space="preserve">b. </w:t>
      </w:r>
      <w:r>
        <w:rPr>
          <w:rFonts w:ascii="Times New Roman" w:hAnsi="Times New Roman"/>
          <w:b/>
          <w:bCs/>
          <w:sz w:val="24"/>
          <w:u w:val="single"/>
        </w:rPr>
        <w:t xml:space="preserve"> </w:t>
      </w:r>
      <w:r w:rsidRPr="008D57F2" w:rsidR="00F514FB">
        <w:rPr>
          <w:rFonts w:ascii="Times New Roman" w:hAnsi="Times New Roman"/>
          <w:b/>
          <w:bCs/>
          <w:sz w:val="24"/>
          <w:u w:val="single"/>
        </w:rPr>
        <w:t>Funds Availability</w:t>
      </w:r>
      <w:r w:rsidRPr="008D57F2" w:rsidR="00F514FB">
        <w:rPr>
          <w:rFonts w:ascii="Times New Roman" w:hAnsi="Times New Roman"/>
          <w:b/>
          <w:sz w:val="24"/>
        </w:rPr>
        <w:t xml:space="preserve">. </w:t>
      </w:r>
      <w:r w:rsidRPr="008D57F2" w:rsidR="00B5211E">
        <w:rPr>
          <w:rFonts w:ascii="Times New Roman" w:hAnsi="Times New Roman"/>
          <w:b/>
          <w:sz w:val="24"/>
        </w:rPr>
        <w:t xml:space="preserve"> </w:t>
      </w:r>
      <w:r w:rsidRPr="008D57F2" w:rsidR="00F514FB">
        <w:rPr>
          <w:rFonts w:ascii="Times New Roman" w:hAnsi="Times New Roman"/>
          <w:sz w:val="24"/>
        </w:rPr>
        <w:t>ETA is making up to $</w:t>
      </w:r>
      <w:r w:rsidRPr="008D57F2" w:rsidR="00136806">
        <w:rPr>
          <w:rFonts w:ascii="Times New Roman" w:hAnsi="Times New Roman"/>
          <w:sz w:val="24"/>
        </w:rPr>
        <w:t>3.3</w:t>
      </w:r>
      <w:r w:rsidRPr="008D57F2" w:rsidR="00F514FB">
        <w:rPr>
          <w:rFonts w:ascii="Times New Roman" w:hAnsi="Times New Roman"/>
          <w:sz w:val="24"/>
        </w:rPr>
        <w:t xml:space="preserve"> million in </w:t>
      </w:r>
      <w:r w:rsidRPr="008D57F2" w:rsidR="00870CB0">
        <w:rPr>
          <w:rFonts w:ascii="Times New Roman" w:hAnsi="Times New Roman"/>
          <w:sz w:val="24"/>
        </w:rPr>
        <w:t>funding</w:t>
      </w:r>
      <w:r w:rsidRPr="008D57F2" w:rsidR="00F514FB">
        <w:rPr>
          <w:rFonts w:ascii="Times New Roman" w:hAnsi="Times New Roman"/>
          <w:sz w:val="24"/>
        </w:rPr>
        <w:t xml:space="preserve"> available under this TEGL for demonstration grants </w:t>
      </w:r>
      <w:r w:rsidRPr="008D57F2" w:rsidR="00F514FB">
        <w:rPr>
          <w:rFonts w:ascii="Times New Roman" w:hAnsi="Times New Roman"/>
          <w:sz w:val="24"/>
        </w:rPr>
        <w:lastRenderedPageBreak/>
        <w:t xml:space="preserve">as authorized by Section 169(b) of WIOA.  ETA anticipates awarding up to </w:t>
      </w:r>
      <w:r w:rsidRPr="008D57F2" w:rsidR="00136806">
        <w:rPr>
          <w:rFonts w:ascii="Times New Roman" w:hAnsi="Times New Roman"/>
          <w:sz w:val="24"/>
        </w:rPr>
        <w:t>33</w:t>
      </w:r>
      <w:r w:rsidRPr="008D57F2" w:rsidR="00D854A3">
        <w:rPr>
          <w:rFonts w:ascii="Times New Roman" w:hAnsi="Times New Roman"/>
          <w:sz w:val="24"/>
        </w:rPr>
        <w:t xml:space="preserve"> </w:t>
      </w:r>
      <w:r w:rsidRPr="008D57F2" w:rsidR="00F514FB">
        <w:rPr>
          <w:rFonts w:ascii="Times New Roman" w:hAnsi="Times New Roman"/>
          <w:sz w:val="24"/>
        </w:rPr>
        <w:t xml:space="preserve">grants, with an anticipated funding amount of up to $100,000 per grant.  The maximum amount of funding each state can receive under this demonstration is $100,000.  </w:t>
      </w:r>
    </w:p>
    <w:p w:rsidRPr="008D57F2" w:rsidR="00F514FB" w:rsidP="00B5211E" w:rsidRDefault="00F514FB" w14:paraId="7AABD4FA" w14:textId="77777777">
      <w:pPr>
        <w:pStyle w:val="Default"/>
        <w:ind w:left="360"/>
      </w:pPr>
    </w:p>
    <w:p w:rsidRPr="00CC2919" w:rsidR="004209EC" w:rsidP="009375C0" w:rsidRDefault="008D57F2" w14:paraId="2D167D1F" w14:textId="77777777">
      <w:pPr>
        <w:pStyle w:val="Default"/>
        <w:ind w:left="720" w:hanging="360"/>
      </w:pPr>
      <w:r>
        <w:rPr>
          <w:b/>
          <w:u w:val="single"/>
        </w:rPr>
        <w:t xml:space="preserve">c.  </w:t>
      </w:r>
      <w:r w:rsidRPr="00CC2919" w:rsidR="00F514FB">
        <w:rPr>
          <w:b/>
          <w:u w:val="single"/>
        </w:rPr>
        <w:t>Eligible Applicants</w:t>
      </w:r>
      <w:r w:rsidRPr="00CC2919" w:rsidR="00F514FB">
        <w:rPr>
          <w:b/>
        </w:rPr>
        <w:t xml:space="preserve">.  </w:t>
      </w:r>
      <w:r w:rsidRPr="00CC2919" w:rsidR="00F514FB">
        <w:t>Eligible applicants for funding under this opportunity are the State Workforce Agencies</w:t>
      </w:r>
      <w:r w:rsidRPr="00CC2919" w:rsidR="006757E9">
        <w:t xml:space="preserve"> for the </w:t>
      </w:r>
      <w:r w:rsidRPr="00CC2919" w:rsidR="00976C06">
        <w:t>states</w:t>
      </w:r>
      <w:r w:rsidRPr="00CC2919" w:rsidR="006757E9">
        <w:t xml:space="preserve"> </w:t>
      </w:r>
      <w:r w:rsidRPr="00CC2919" w:rsidR="000739A8">
        <w:t xml:space="preserve">and </w:t>
      </w:r>
      <w:r w:rsidRPr="00CC2919" w:rsidR="00412B08">
        <w:t xml:space="preserve">outlying areas </w:t>
      </w:r>
      <w:r w:rsidRPr="00CC2919" w:rsidR="000739A8">
        <w:t>that did not receive grants last year</w:t>
      </w:r>
      <w:r w:rsidRPr="00CC2919" w:rsidR="006757E9">
        <w:t xml:space="preserve">.  </w:t>
      </w:r>
      <w:r w:rsidRPr="00CC2919" w:rsidR="000739A8">
        <w:t xml:space="preserve">These </w:t>
      </w:r>
      <w:r w:rsidRPr="00CC2919" w:rsidR="00A1489C">
        <w:t xml:space="preserve">include the </w:t>
      </w:r>
      <w:r w:rsidRPr="00CC2919" w:rsidR="006757E9">
        <w:t xml:space="preserve">State Workforce Agencies for </w:t>
      </w:r>
      <w:r w:rsidRPr="00CC2919" w:rsidR="000739A8">
        <w:t xml:space="preserve">Arkansas, Georgia, Hawaii, </w:t>
      </w:r>
      <w:r w:rsidRPr="00CC2919" w:rsidR="001B2589">
        <w:t>Idaho, Indiana, Kansas</w:t>
      </w:r>
      <w:r w:rsidRPr="00CC2919" w:rsidR="00397F7F">
        <w:t xml:space="preserve">, Louisiana, Maryland, Minnesota, Montana, </w:t>
      </w:r>
      <w:r w:rsidRPr="00CC2919" w:rsidR="008B3DE6">
        <w:t xml:space="preserve">Nevada, New Jersey, New Mexico, North Carolina, North Dakota, Ohio, Oklahoma, Oregon, Pennsylvania, Rhode Island, South Dakota, Tennessee, Utah, Vermont, Virginia, West Virginia, Wyoming, </w:t>
      </w:r>
      <w:r w:rsidRPr="00CC2919" w:rsidR="006757E9">
        <w:t xml:space="preserve">Puerto Rico, the District of Columbia, the Virgin Islands, </w:t>
      </w:r>
      <w:r w:rsidRPr="00CC2919" w:rsidR="00594607">
        <w:t xml:space="preserve">American Samoa, </w:t>
      </w:r>
      <w:r w:rsidRPr="00CC2919" w:rsidR="008B3DE6">
        <w:t xml:space="preserve">the Commonwealth of the Northern Mariana Islands, </w:t>
      </w:r>
      <w:r w:rsidRPr="00CC2919" w:rsidR="006757E9">
        <w:t xml:space="preserve">and </w:t>
      </w:r>
      <w:r w:rsidRPr="00CC2919" w:rsidR="0046763F">
        <w:t>Palau</w:t>
      </w:r>
      <w:r w:rsidRPr="00CC2919" w:rsidR="006757E9">
        <w:t>.</w:t>
      </w:r>
    </w:p>
    <w:p w:rsidRPr="00CC2919" w:rsidR="006757E9" w:rsidP="00645855" w:rsidRDefault="006757E9" w14:paraId="52CAE34E" w14:textId="77777777">
      <w:pPr>
        <w:pStyle w:val="Default"/>
        <w:ind w:left="360" w:hanging="360"/>
      </w:pPr>
    </w:p>
    <w:p w:rsidRPr="00CC2919" w:rsidR="004209EC" w:rsidP="009375C0" w:rsidRDefault="008D57F2" w14:paraId="4C7F0765" w14:textId="77777777">
      <w:pPr>
        <w:pStyle w:val="Default"/>
        <w:tabs>
          <w:tab w:val="left" w:pos="1350"/>
        </w:tabs>
        <w:spacing w:after="200"/>
        <w:ind w:left="720" w:hanging="360"/>
      </w:pPr>
      <w:r>
        <w:rPr>
          <w:b/>
          <w:u w:val="single"/>
        </w:rPr>
        <w:t xml:space="preserve">d.  </w:t>
      </w:r>
      <w:r w:rsidRPr="00CC2919" w:rsidR="00F514FB">
        <w:rPr>
          <w:b/>
          <w:u w:val="single"/>
        </w:rPr>
        <w:t>Eligible Participants</w:t>
      </w:r>
      <w:r w:rsidRPr="00CC2919" w:rsidR="00F514FB">
        <w:rPr>
          <w:b/>
        </w:rPr>
        <w:t>.</w:t>
      </w:r>
      <w:r w:rsidRPr="00CC2919" w:rsidR="002C60DB">
        <w:rPr>
          <w:b/>
        </w:rPr>
        <w:t xml:space="preserve"> </w:t>
      </w:r>
      <w:r w:rsidRPr="00CC2919" w:rsidR="00F514FB">
        <w:t xml:space="preserve"> </w:t>
      </w:r>
      <w:r w:rsidRPr="00CC2919" w:rsidR="00C07931">
        <w:t>The funds for this demonstration come from an appropriation designated for serving persons with criminal records.  Therefore, only persons with criminal records, including those involved with the criminal justice system by virtue of their history of opioid or other drug addictions</w:t>
      </w:r>
      <w:r w:rsidRPr="00CC2919" w:rsidR="002E5ED6">
        <w:t>,</w:t>
      </w:r>
      <w:r w:rsidRPr="00CC2919" w:rsidR="00C07931">
        <w:t xml:space="preserve"> are eligible for coverage under the bonds purchased with these funds.</w:t>
      </w:r>
      <w:r w:rsidRPr="00CC2919" w:rsidR="00D25D96">
        <w:t xml:space="preserve"> </w:t>
      </w:r>
      <w:r w:rsidRPr="00CC2919" w:rsidR="00C07931">
        <w:t xml:space="preserve"> States that wish to provide bonds for at-risk individuals who are not ex-offenders must purchase bonds with funds other than those provided in this demonstration</w:t>
      </w:r>
      <w:r w:rsidRPr="00CC2919" w:rsidR="00E02883">
        <w:t xml:space="preserve"> </w:t>
      </w:r>
      <w:r w:rsidRPr="00CC2919" w:rsidR="00C07931">
        <w:t>project.</w:t>
      </w:r>
    </w:p>
    <w:p w:rsidRPr="00CC2919" w:rsidR="00870CB0" w:rsidP="009375C0" w:rsidRDefault="008D57F2" w14:paraId="404B8249" w14:textId="77777777">
      <w:pPr>
        <w:pStyle w:val="Default"/>
        <w:tabs>
          <w:tab w:val="left" w:pos="360"/>
          <w:tab w:val="left" w:pos="450"/>
          <w:tab w:val="left" w:pos="720"/>
          <w:tab w:val="left" w:pos="1440"/>
          <w:tab w:val="left" w:pos="1530"/>
        </w:tabs>
        <w:ind w:left="360"/>
        <w:rPr>
          <w:rFonts w:eastAsia="Times New Roman"/>
        </w:rPr>
      </w:pPr>
      <w:r>
        <w:rPr>
          <w:rFonts w:eastAsia="Times New Roman"/>
          <w:b/>
          <w:u w:val="single"/>
        </w:rPr>
        <w:t xml:space="preserve">e.  </w:t>
      </w:r>
      <w:r w:rsidRPr="00CC2919" w:rsidR="00584F06">
        <w:rPr>
          <w:rFonts w:eastAsia="Times New Roman"/>
          <w:b/>
          <w:u w:val="single"/>
        </w:rPr>
        <w:t>Allowable Activities</w:t>
      </w:r>
      <w:r w:rsidRPr="00051D6E" w:rsidR="00584F06">
        <w:rPr>
          <w:rFonts w:eastAsia="Times New Roman"/>
          <w:b/>
        </w:rPr>
        <w:t xml:space="preserve">. </w:t>
      </w:r>
      <w:r w:rsidRPr="00CC2919" w:rsidR="00584F06">
        <w:rPr>
          <w:rFonts w:eastAsia="Times New Roman"/>
        </w:rPr>
        <w:t xml:space="preserve"> </w:t>
      </w:r>
    </w:p>
    <w:p w:rsidRPr="00CC2919" w:rsidR="00584F06" w:rsidP="008D57F2" w:rsidRDefault="00584F06" w14:paraId="2BD20722" w14:textId="77777777">
      <w:pPr>
        <w:pStyle w:val="Default"/>
        <w:numPr>
          <w:ilvl w:val="0"/>
          <w:numId w:val="20"/>
        </w:numPr>
        <w:tabs>
          <w:tab w:val="left" w:pos="720"/>
        </w:tabs>
        <w:ind w:left="720" w:hanging="270"/>
      </w:pPr>
      <w:r w:rsidRPr="00CC2919">
        <w:rPr>
          <w:rFonts w:eastAsia="Times New Roman"/>
        </w:rPr>
        <w:lastRenderedPageBreak/>
        <w:t xml:space="preserve">The grant’s principal allowable activity is </w:t>
      </w:r>
      <w:r w:rsidRPr="00CC2919" w:rsidR="00923989">
        <w:rPr>
          <w:rFonts w:eastAsia="Times New Roman"/>
        </w:rPr>
        <w:t xml:space="preserve">purchasing </w:t>
      </w:r>
      <w:r w:rsidRPr="00CC2919">
        <w:rPr>
          <w:rFonts w:eastAsia="Times New Roman"/>
        </w:rPr>
        <w:t>fidelity bonds to assist persons with criminal records</w:t>
      </w:r>
      <w:r w:rsidRPr="00CC2919" w:rsidR="00870CB0">
        <w:rPr>
          <w:rFonts w:eastAsia="Times New Roman"/>
        </w:rPr>
        <w:t>,</w:t>
      </w:r>
      <w:r w:rsidRPr="00CC2919" w:rsidR="00C07931">
        <w:t xml:space="preserve"> including individuals recover</w:t>
      </w:r>
      <w:r w:rsidRPr="00CC2919" w:rsidR="00157CC1">
        <w:t>ing</w:t>
      </w:r>
      <w:r w:rsidRPr="00CC2919" w:rsidR="00C07931">
        <w:t xml:space="preserve"> from opioid and other drug addictions</w:t>
      </w:r>
      <w:r w:rsidRPr="00CC2919" w:rsidR="00870CB0">
        <w:t>,</w:t>
      </w:r>
      <w:r w:rsidRPr="00CC2919" w:rsidR="00536801">
        <w:rPr>
          <w:rFonts w:eastAsia="Times New Roman"/>
        </w:rPr>
        <w:t xml:space="preserve"> </w:t>
      </w:r>
      <w:r w:rsidRPr="00CC2919" w:rsidR="00C07931">
        <w:rPr>
          <w:rFonts w:eastAsia="Times New Roman"/>
        </w:rPr>
        <w:t>obtain</w:t>
      </w:r>
      <w:r w:rsidRPr="00CC2919" w:rsidR="008E5D0A">
        <w:rPr>
          <w:rFonts w:eastAsia="Times New Roman"/>
        </w:rPr>
        <w:t xml:space="preserve"> </w:t>
      </w:r>
      <w:r w:rsidRPr="00CC2919">
        <w:rPr>
          <w:rFonts w:eastAsia="Times New Roman"/>
        </w:rPr>
        <w:t xml:space="preserve">employment.  A minimum of </w:t>
      </w:r>
      <w:r w:rsidRPr="00CC2919" w:rsidR="008060A6">
        <w:rPr>
          <w:rFonts w:eastAsia="Times New Roman"/>
        </w:rPr>
        <w:t>85</w:t>
      </w:r>
      <w:r w:rsidRPr="00CC2919">
        <w:rPr>
          <w:rFonts w:eastAsia="Times New Roman"/>
        </w:rPr>
        <w:t xml:space="preserve"> percent of grant funds must be used specifically for the purchase of bonds.</w:t>
      </w:r>
      <w:r w:rsidRPr="00CC2919">
        <w:t xml:space="preserve">  </w:t>
      </w:r>
    </w:p>
    <w:p w:rsidRPr="00CC2919" w:rsidR="00584F06" w:rsidP="00D256A4" w:rsidRDefault="00584F06" w14:paraId="33686A4F" w14:textId="77777777">
      <w:pPr>
        <w:pStyle w:val="Default"/>
        <w:numPr>
          <w:ilvl w:val="0"/>
          <w:numId w:val="13"/>
        </w:numPr>
        <w:spacing w:before="240"/>
        <w:ind w:left="720" w:hanging="270"/>
      </w:pPr>
      <w:r w:rsidRPr="00CC2919">
        <w:t xml:space="preserve">In selecting an insurance provider for the bonds, </w:t>
      </w:r>
      <w:r w:rsidRPr="00CC2919" w:rsidR="004C4649">
        <w:t>states</w:t>
      </w:r>
      <w:r w:rsidRPr="00CC2919">
        <w:t xml:space="preserve"> must follow the Uniform Administrative Requirements, Cost Principles, and Audit Requirements for Federal Awards, including 2 CFR 200.317, which states: “When procuring property and services under a Federal award, a state must follow the same policies and procedures it uses for procurements from non-Federal funds.”</w:t>
      </w:r>
      <w:r w:rsidRPr="00CC2919" w:rsidDel="002D1B64">
        <w:t xml:space="preserve"> </w:t>
      </w:r>
      <w:r w:rsidRPr="00CC2919">
        <w:t xml:space="preserve"> States may choose any insurance company, broker, or agency, including the </w:t>
      </w:r>
      <w:r w:rsidRPr="00CC2919" w:rsidR="002B318E">
        <w:t>FBP</w:t>
      </w:r>
      <w:r w:rsidRPr="00CC2919">
        <w:t xml:space="preserve"> provider contracted by the Department, consistent with the state’s procurement policies and procedures.</w:t>
      </w:r>
    </w:p>
    <w:p w:rsidRPr="00CC2919" w:rsidR="004209EC" w:rsidP="00DC01DE" w:rsidRDefault="004209EC" w14:paraId="47C33310" w14:textId="77777777">
      <w:pPr>
        <w:pStyle w:val="ListParagraph"/>
        <w:widowControl/>
        <w:numPr>
          <w:ilvl w:val="0"/>
          <w:numId w:val="13"/>
        </w:numPr>
        <w:tabs>
          <w:tab w:val="left" w:pos="720"/>
          <w:tab w:val="left" w:pos="810"/>
        </w:tabs>
        <w:autoSpaceDE/>
        <w:autoSpaceDN/>
        <w:adjustRightInd/>
        <w:spacing w:before="240" w:after="200"/>
        <w:ind w:left="720" w:hanging="270"/>
        <w:contextualSpacing/>
        <w:rPr>
          <w:rFonts w:ascii="Times New Roman" w:hAnsi="Times New Roman"/>
          <w:sz w:val="24"/>
        </w:rPr>
      </w:pPr>
      <w:r w:rsidRPr="00CC2919">
        <w:rPr>
          <w:rFonts w:ascii="Times New Roman" w:hAnsi="Times New Roman"/>
          <w:sz w:val="24"/>
        </w:rPr>
        <w:t xml:space="preserve">At a minimum, the specifications of bonds purchased with these grant funds must include the following: </w:t>
      </w:r>
    </w:p>
    <w:p w:rsidRPr="00CC2919" w:rsidR="004209EC" w:rsidP="00540F5F" w:rsidRDefault="00A37B31" w14:paraId="268AC8E7" w14:textId="77777777">
      <w:pPr>
        <w:pStyle w:val="ListParagraph"/>
        <w:widowControl/>
        <w:numPr>
          <w:ilvl w:val="1"/>
          <w:numId w:val="13"/>
        </w:numPr>
        <w:autoSpaceDE/>
        <w:autoSpaceDN/>
        <w:adjustRightInd/>
        <w:spacing w:before="240" w:after="200"/>
        <w:ind w:left="1260" w:hanging="270"/>
        <w:contextualSpacing/>
        <w:rPr>
          <w:rFonts w:ascii="Times New Roman" w:hAnsi="Times New Roman"/>
          <w:sz w:val="24"/>
        </w:rPr>
      </w:pPr>
      <w:r w:rsidRPr="00CC2919">
        <w:rPr>
          <w:rFonts w:ascii="Times New Roman" w:hAnsi="Times New Roman"/>
          <w:sz w:val="24"/>
        </w:rPr>
        <w:t>B</w:t>
      </w:r>
      <w:r w:rsidRPr="00CC2919" w:rsidR="004209EC">
        <w:rPr>
          <w:rFonts w:ascii="Times New Roman" w:hAnsi="Times New Roman"/>
          <w:sz w:val="24"/>
        </w:rPr>
        <w:t xml:space="preserve">onds must reimburse employers for losses due to the illegal acts of their employees, such as theft, forgery, and embezzlement; </w:t>
      </w:r>
    </w:p>
    <w:p w:rsidRPr="00CC2919" w:rsidR="004209EC" w:rsidP="00540F5F" w:rsidRDefault="00A37B31" w14:paraId="354A0276" w14:textId="77777777">
      <w:pPr>
        <w:pStyle w:val="ListParagraph"/>
        <w:widowControl/>
        <w:numPr>
          <w:ilvl w:val="1"/>
          <w:numId w:val="13"/>
        </w:numPr>
        <w:tabs>
          <w:tab w:val="left" w:pos="1260"/>
          <w:tab w:val="left" w:pos="1440"/>
        </w:tabs>
        <w:autoSpaceDE/>
        <w:autoSpaceDN/>
        <w:adjustRightInd/>
        <w:spacing w:before="240" w:after="200"/>
        <w:ind w:hanging="1170"/>
        <w:contextualSpacing/>
        <w:rPr>
          <w:rFonts w:ascii="Times New Roman" w:hAnsi="Times New Roman"/>
          <w:sz w:val="24"/>
        </w:rPr>
      </w:pPr>
      <w:r w:rsidRPr="00CC2919">
        <w:rPr>
          <w:rFonts w:ascii="Times New Roman" w:hAnsi="Times New Roman"/>
          <w:sz w:val="24"/>
        </w:rPr>
        <w:t>B</w:t>
      </w:r>
      <w:r w:rsidRPr="00CC2919" w:rsidR="004209EC">
        <w:rPr>
          <w:rFonts w:ascii="Times New Roman" w:hAnsi="Times New Roman"/>
          <w:sz w:val="24"/>
        </w:rPr>
        <w:t xml:space="preserve">onds must provide at least $5,000 of coverage;  </w:t>
      </w:r>
    </w:p>
    <w:p w:rsidRPr="00CC2919" w:rsidR="004209EC" w:rsidP="00540F5F" w:rsidRDefault="00A37B31" w14:paraId="734D39B6" w14:textId="77777777">
      <w:pPr>
        <w:pStyle w:val="ListParagraph"/>
        <w:widowControl/>
        <w:numPr>
          <w:ilvl w:val="1"/>
          <w:numId w:val="13"/>
        </w:numPr>
        <w:autoSpaceDE/>
        <w:autoSpaceDN/>
        <w:adjustRightInd/>
        <w:spacing w:before="240" w:after="200"/>
        <w:ind w:left="1260" w:hanging="270"/>
        <w:contextualSpacing/>
        <w:rPr>
          <w:rFonts w:ascii="Times New Roman" w:hAnsi="Times New Roman"/>
          <w:sz w:val="24"/>
        </w:rPr>
      </w:pPr>
      <w:r w:rsidRPr="00CC2919">
        <w:rPr>
          <w:rFonts w:ascii="Times New Roman" w:hAnsi="Times New Roman"/>
          <w:sz w:val="24"/>
        </w:rPr>
        <w:t>B</w:t>
      </w:r>
      <w:r w:rsidRPr="00CC2919" w:rsidR="00DD0A7B">
        <w:rPr>
          <w:rFonts w:ascii="Times New Roman" w:hAnsi="Times New Roman"/>
          <w:sz w:val="24"/>
        </w:rPr>
        <w:t xml:space="preserve">onds must be </w:t>
      </w:r>
      <w:r w:rsidRPr="00CC2919" w:rsidR="0090174D">
        <w:rPr>
          <w:rFonts w:ascii="Times New Roman" w:hAnsi="Times New Roman"/>
          <w:sz w:val="24"/>
        </w:rPr>
        <w:t>allow</w:t>
      </w:r>
      <w:r w:rsidRPr="00CC2919" w:rsidR="00DD0A7B">
        <w:rPr>
          <w:rFonts w:ascii="Times New Roman" w:hAnsi="Times New Roman"/>
          <w:sz w:val="24"/>
        </w:rPr>
        <w:t>ed</w:t>
      </w:r>
      <w:r w:rsidRPr="00CC2919" w:rsidR="0090174D">
        <w:rPr>
          <w:rFonts w:ascii="Times New Roman" w:hAnsi="Times New Roman"/>
          <w:sz w:val="24"/>
        </w:rPr>
        <w:t xml:space="preserve"> </w:t>
      </w:r>
      <w:r w:rsidRPr="00CC2919" w:rsidR="00DD0A7B">
        <w:rPr>
          <w:rFonts w:ascii="Times New Roman" w:hAnsi="Times New Roman"/>
          <w:sz w:val="24"/>
        </w:rPr>
        <w:t xml:space="preserve">to be used in </w:t>
      </w:r>
      <w:r w:rsidRPr="00CC2919" w:rsidR="0090174D">
        <w:rPr>
          <w:rFonts w:ascii="Times New Roman" w:hAnsi="Times New Roman"/>
          <w:sz w:val="24"/>
        </w:rPr>
        <w:t>multiple</w:t>
      </w:r>
      <w:r w:rsidRPr="00CC2919" w:rsidR="00DD0A7B">
        <w:rPr>
          <w:rFonts w:ascii="Times New Roman" w:hAnsi="Times New Roman"/>
          <w:sz w:val="24"/>
        </w:rPr>
        <w:t>s</w:t>
      </w:r>
      <w:r w:rsidRPr="00CC2919" w:rsidR="0090174D">
        <w:rPr>
          <w:rFonts w:ascii="Times New Roman" w:hAnsi="Times New Roman"/>
          <w:sz w:val="24"/>
        </w:rPr>
        <w:t xml:space="preserve"> </w:t>
      </w:r>
      <w:r w:rsidRPr="00CC2919" w:rsidR="004209EC">
        <w:rPr>
          <w:rFonts w:ascii="Times New Roman" w:hAnsi="Times New Roman"/>
          <w:sz w:val="24"/>
        </w:rPr>
        <w:t>to cover an individual employee</w:t>
      </w:r>
      <w:r w:rsidRPr="00CC2919" w:rsidR="00923989">
        <w:rPr>
          <w:rFonts w:ascii="Times New Roman" w:hAnsi="Times New Roman"/>
          <w:sz w:val="24"/>
        </w:rPr>
        <w:t>, totaling up to $25,000 of coverage per employee</w:t>
      </w:r>
      <w:r w:rsidRPr="00CC2919" w:rsidR="004209EC">
        <w:rPr>
          <w:rFonts w:ascii="Times New Roman" w:hAnsi="Times New Roman"/>
          <w:sz w:val="24"/>
        </w:rPr>
        <w:t>; and</w:t>
      </w:r>
    </w:p>
    <w:p w:rsidRPr="00CC2919" w:rsidR="004209EC" w:rsidP="00540F5F" w:rsidRDefault="00A37B31" w14:paraId="74ABFAF1" w14:textId="77777777">
      <w:pPr>
        <w:pStyle w:val="ListParagraph"/>
        <w:widowControl/>
        <w:numPr>
          <w:ilvl w:val="1"/>
          <w:numId w:val="13"/>
        </w:numPr>
        <w:tabs>
          <w:tab w:val="left" w:pos="1260"/>
          <w:tab w:val="left" w:pos="1440"/>
        </w:tabs>
        <w:autoSpaceDE/>
        <w:autoSpaceDN/>
        <w:adjustRightInd/>
        <w:spacing w:after="200"/>
        <w:ind w:left="1170" w:hanging="180"/>
        <w:contextualSpacing/>
        <w:rPr>
          <w:rFonts w:ascii="Times New Roman" w:hAnsi="Times New Roman"/>
          <w:sz w:val="24"/>
        </w:rPr>
      </w:pPr>
      <w:r w:rsidRPr="00CC2919">
        <w:rPr>
          <w:rFonts w:ascii="Times New Roman" w:hAnsi="Times New Roman"/>
          <w:sz w:val="24"/>
        </w:rPr>
        <w:t>B</w:t>
      </w:r>
      <w:r w:rsidRPr="00CC2919" w:rsidR="004209EC">
        <w:rPr>
          <w:rFonts w:ascii="Times New Roman" w:hAnsi="Times New Roman"/>
          <w:sz w:val="24"/>
        </w:rPr>
        <w:t xml:space="preserve">onds must provide coverage for at least six months.  </w:t>
      </w:r>
    </w:p>
    <w:p w:rsidRPr="00CC2919" w:rsidR="004209EC" w:rsidP="00DC01DE" w:rsidRDefault="004209EC" w14:paraId="04C6EB43" w14:textId="77777777">
      <w:pPr>
        <w:tabs>
          <w:tab w:val="left" w:pos="720"/>
        </w:tabs>
        <w:ind w:left="720"/>
        <w:rPr>
          <w:rFonts w:ascii="Times New Roman" w:hAnsi="Times New Roman"/>
          <w:sz w:val="24"/>
        </w:rPr>
      </w:pPr>
      <w:r w:rsidRPr="00CC2919">
        <w:rPr>
          <w:rFonts w:ascii="Times New Roman" w:hAnsi="Times New Roman"/>
          <w:sz w:val="24"/>
        </w:rPr>
        <w:t xml:space="preserve">States may require additional specifications, such as increasing the dollar amount of coverage or lengthening the </w:t>
      </w:r>
      <w:r w:rsidRPr="00CC2919">
        <w:rPr>
          <w:rFonts w:ascii="Times New Roman" w:hAnsi="Times New Roman"/>
          <w:sz w:val="24"/>
        </w:rPr>
        <w:lastRenderedPageBreak/>
        <w:t xml:space="preserve">duration of coverage.  </w:t>
      </w:r>
    </w:p>
    <w:p w:rsidRPr="00CC2919" w:rsidR="004209EC" w:rsidP="00B5211E" w:rsidRDefault="004209EC" w14:paraId="5E3C189E" w14:textId="77777777">
      <w:pPr>
        <w:pStyle w:val="ListParagraph"/>
        <w:rPr>
          <w:rFonts w:ascii="Times New Roman" w:hAnsi="Times New Roman"/>
          <w:sz w:val="24"/>
        </w:rPr>
      </w:pPr>
    </w:p>
    <w:p w:rsidRPr="00CC2919" w:rsidR="004209EC" w:rsidP="00DC01DE" w:rsidRDefault="0089486B" w14:paraId="428956D7" w14:textId="77777777">
      <w:pPr>
        <w:pStyle w:val="ListParagraph"/>
        <w:widowControl/>
        <w:numPr>
          <w:ilvl w:val="0"/>
          <w:numId w:val="13"/>
        </w:numPr>
        <w:autoSpaceDE/>
        <w:autoSpaceDN/>
        <w:adjustRightInd/>
        <w:spacing w:before="240"/>
        <w:ind w:left="720" w:hanging="270"/>
        <w:contextualSpacing/>
        <w:rPr>
          <w:rFonts w:ascii="Times New Roman" w:hAnsi="Times New Roman"/>
          <w:sz w:val="24"/>
        </w:rPr>
      </w:pPr>
      <w:r w:rsidRPr="00CC2919">
        <w:rPr>
          <w:rFonts w:ascii="Times New Roman" w:hAnsi="Times New Roman"/>
          <w:sz w:val="24"/>
        </w:rPr>
        <w:t>S</w:t>
      </w:r>
      <w:r w:rsidRPr="00CC2919" w:rsidR="00976C06">
        <w:rPr>
          <w:rFonts w:ascii="Times New Roman" w:hAnsi="Times New Roman"/>
          <w:sz w:val="24"/>
        </w:rPr>
        <w:t xml:space="preserve">tates that do not currently operate </w:t>
      </w:r>
      <w:r w:rsidRPr="00CC2919">
        <w:rPr>
          <w:rFonts w:ascii="Times New Roman" w:hAnsi="Times New Roman"/>
          <w:sz w:val="24"/>
        </w:rPr>
        <w:t xml:space="preserve">a </w:t>
      </w:r>
      <w:r w:rsidRPr="00CC2919" w:rsidR="00BD549B">
        <w:rPr>
          <w:rFonts w:ascii="Times New Roman" w:hAnsi="Times New Roman"/>
          <w:sz w:val="24"/>
        </w:rPr>
        <w:t>FBP</w:t>
      </w:r>
      <w:r w:rsidRPr="00CC2919">
        <w:rPr>
          <w:rFonts w:ascii="Times New Roman" w:hAnsi="Times New Roman"/>
          <w:sz w:val="24"/>
        </w:rPr>
        <w:t xml:space="preserve"> </w:t>
      </w:r>
      <w:r w:rsidRPr="00CC2919" w:rsidR="00976C06">
        <w:rPr>
          <w:rFonts w:ascii="Times New Roman" w:hAnsi="Times New Roman"/>
          <w:sz w:val="24"/>
        </w:rPr>
        <w:t>must designate a staff person to serve as the state bonding coordinator for this grant.</w:t>
      </w:r>
      <w:r w:rsidRPr="00CC2919" w:rsidR="004209EC">
        <w:rPr>
          <w:rFonts w:ascii="Times New Roman" w:hAnsi="Times New Roman"/>
          <w:sz w:val="24"/>
        </w:rPr>
        <w:t xml:space="preserve">  </w:t>
      </w:r>
      <w:r w:rsidRPr="00CC2919" w:rsidR="00BD549B">
        <w:rPr>
          <w:rFonts w:ascii="Times New Roman" w:hAnsi="Times New Roman"/>
          <w:sz w:val="24"/>
        </w:rPr>
        <w:t xml:space="preserve">The </w:t>
      </w:r>
      <w:r w:rsidRPr="00CC2919" w:rsidR="00C439BE">
        <w:rPr>
          <w:rFonts w:ascii="Times New Roman" w:hAnsi="Times New Roman"/>
          <w:sz w:val="24"/>
        </w:rPr>
        <w:t>state bonding coordinator</w:t>
      </w:r>
      <w:r w:rsidRPr="00CC2919" w:rsidR="00BD549B">
        <w:rPr>
          <w:rFonts w:ascii="Times New Roman" w:hAnsi="Times New Roman"/>
          <w:sz w:val="24"/>
        </w:rPr>
        <w:t xml:space="preserve"> </w:t>
      </w:r>
      <w:r w:rsidRPr="00CC2919" w:rsidR="00DD0A7B">
        <w:rPr>
          <w:rFonts w:ascii="Times New Roman" w:hAnsi="Times New Roman"/>
          <w:sz w:val="24"/>
        </w:rPr>
        <w:t xml:space="preserve">implementing </w:t>
      </w:r>
      <w:r w:rsidRPr="00CC2919" w:rsidR="00CE5D9C">
        <w:rPr>
          <w:rFonts w:ascii="Times New Roman" w:hAnsi="Times New Roman"/>
          <w:sz w:val="24"/>
        </w:rPr>
        <w:t>this</w:t>
      </w:r>
      <w:r w:rsidRPr="00CC2919" w:rsidR="00BD549B">
        <w:rPr>
          <w:rFonts w:ascii="Times New Roman" w:hAnsi="Times New Roman"/>
          <w:sz w:val="24"/>
        </w:rPr>
        <w:t xml:space="preserve"> demonstration </w:t>
      </w:r>
      <w:r w:rsidRPr="00CC2919" w:rsidR="00DD0A7B">
        <w:rPr>
          <w:rFonts w:ascii="Times New Roman" w:hAnsi="Times New Roman"/>
          <w:sz w:val="24"/>
        </w:rPr>
        <w:t xml:space="preserve">in the state </w:t>
      </w:r>
      <w:r w:rsidRPr="00CC2919" w:rsidR="00BD549B">
        <w:rPr>
          <w:rFonts w:ascii="Times New Roman" w:hAnsi="Times New Roman"/>
          <w:sz w:val="24"/>
        </w:rPr>
        <w:t>may have other responsibilities</w:t>
      </w:r>
      <w:r w:rsidRPr="00CC2919" w:rsidR="00C439BE">
        <w:rPr>
          <w:rFonts w:ascii="Times New Roman" w:hAnsi="Times New Roman"/>
          <w:sz w:val="24"/>
        </w:rPr>
        <w:t xml:space="preserve"> beyond operating this demonstration;</w:t>
      </w:r>
      <w:r w:rsidRPr="00CC2919" w:rsidR="00BD549B">
        <w:rPr>
          <w:rFonts w:ascii="Times New Roman" w:hAnsi="Times New Roman"/>
          <w:sz w:val="24"/>
        </w:rPr>
        <w:t xml:space="preserve"> </w:t>
      </w:r>
      <w:r w:rsidRPr="00CC2919" w:rsidR="00C439BE">
        <w:rPr>
          <w:rFonts w:ascii="Times New Roman" w:hAnsi="Times New Roman"/>
          <w:sz w:val="24"/>
        </w:rPr>
        <w:t>t</w:t>
      </w:r>
      <w:r w:rsidRPr="00CC2919" w:rsidR="00BD549B">
        <w:rPr>
          <w:rFonts w:ascii="Times New Roman" w:hAnsi="Times New Roman"/>
          <w:sz w:val="24"/>
        </w:rPr>
        <w:t xml:space="preserve">his does not need to be a full-time position. </w:t>
      </w:r>
      <w:r w:rsidRPr="00CC2919" w:rsidR="00A531BE">
        <w:rPr>
          <w:rFonts w:ascii="Times New Roman" w:hAnsi="Times New Roman"/>
          <w:sz w:val="24"/>
        </w:rPr>
        <w:t xml:space="preserve"> </w:t>
      </w:r>
      <w:r w:rsidRPr="00CC2919" w:rsidR="00C439BE">
        <w:rPr>
          <w:rFonts w:ascii="Times New Roman" w:hAnsi="Times New Roman"/>
          <w:sz w:val="24"/>
        </w:rPr>
        <w:t xml:space="preserve">A primary function of this position </w:t>
      </w:r>
      <w:r w:rsidRPr="00CC2919" w:rsidR="00A531BE">
        <w:rPr>
          <w:rFonts w:ascii="Times New Roman" w:hAnsi="Times New Roman"/>
          <w:sz w:val="24"/>
        </w:rPr>
        <w:t>will</w:t>
      </w:r>
      <w:r w:rsidRPr="00CC2919" w:rsidR="00C439BE">
        <w:rPr>
          <w:rFonts w:ascii="Times New Roman" w:hAnsi="Times New Roman"/>
          <w:sz w:val="24"/>
        </w:rPr>
        <w:t xml:space="preserve"> be to</w:t>
      </w:r>
      <w:r w:rsidRPr="00CC2919" w:rsidR="004209EC">
        <w:rPr>
          <w:rFonts w:ascii="Times New Roman" w:hAnsi="Times New Roman"/>
          <w:sz w:val="24"/>
        </w:rPr>
        <w:t xml:space="preserve"> certify</w:t>
      </w:r>
      <w:r w:rsidRPr="00CC2919" w:rsidR="00A531BE">
        <w:rPr>
          <w:rFonts w:ascii="Times New Roman" w:hAnsi="Times New Roman"/>
          <w:sz w:val="24"/>
        </w:rPr>
        <w:t xml:space="preserve"> </w:t>
      </w:r>
      <w:r w:rsidRPr="00CC2919" w:rsidR="004209EC">
        <w:rPr>
          <w:rFonts w:ascii="Times New Roman" w:hAnsi="Times New Roman"/>
          <w:sz w:val="24"/>
        </w:rPr>
        <w:t>bond</w:t>
      </w:r>
      <w:r w:rsidRPr="00CC2919" w:rsidR="00DB5579">
        <w:rPr>
          <w:rFonts w:ascii="Times New Roman" w:hAnsi="Times New Roman"/>
          <w:sz w:val="24"/>
        </w:rPr>
        <w:t>s</w:t>
      </w:r>
      <w:r w:rsidRPr="00CC2919" w:rsidR="004209EC">
        <w:rPr>
          <w:rFonts w:ascii="Times New Roman" w:hAnsi="Times New Roman"/>
          <w:sz w:val="24"/>
        </w:rPr>
        <w:t xml:space="preserve"> with the insurance provider</w:t>
      </w:r>
      <w:r w:rsidRPr="00CC2919" w:rsidR="00533AF2">
        <w:rPr>
          <w:rFonts w:ascii="Times New Roman" w:hAnsi="Times New Roman"/>
          <w:sz w:val="24"/>
        </w:rPr>
        <w:t xml:space="preserve">. </w:t>
      </w:r>
      <w:r w:rsidRPr="00CC2919" w:rsidR="00A37B31">
        <w:rPr>
          <w:rFonts w:ascii="Times New Roman" w:hAnsi="Times New Roman"/>
          <w:sz w:val="24"/>
        </w:rPr>
        <w:t xml:space="preserve"> </w:t>
      </w:r>
      <w:r w:rsidRPr="00CC2919" w:rsidR="00533AF2">
        <w:rPr>
          <w:rFonts w:ascii="Times New Roman" w:hAnsi="Times New Roman"/>
          <w:sz w:val="24"/>
        </w:rPr>
        <w:t>State bonding coordinators may also delegate the authority to certify bonds to local staff</w:t>
      </w:r>
      <w:r w:rsidRPr="00CC2919" w:rsidR="00EE4340">
        <w:rPr>
          <w:rFonts w:ascii="Times New Roman" w:hAnsi="Times New Roman"/>
          <w:sz w:val="24"/>
        </w:rPr>
        <w:t>.</w:t>
      </w:r>
      <w:r w:rsidRPr="00CC2919" w:rsidR="004209EC">
        <w:rPr>
          <w:rFonts w:ascii="Times New Roman" w:hAnsi="Times New Roman"/>
          <w:sz w:val="24"/>
        </w:rPr>
        <w:t xml:space="preserve"> </w:t>
      </w:r>
    </w:p>
    <w:p w:rsidRPr="00CC2919" w:rsidR="00A531BE" w:rsidP="00B13014" w:rsidRDefault="00A531BE" w14:paraId="29D55019" w14:textId="77777777">
      <w:pPr>
        <w:pStyle w:val="Default"/>
        <w:numPr>
          <w:ilvl w:val="0"/>
          <w:numId w:val="13"/>
        </w:numPr>
        <w:tabs>
          <w:tab w:val="left" w:pos="720"/>
          <w:tab w:val="left" w:pos="1080"/>
        </w:tabs>
        <w:spacing w:before="240"/>
        <w:ind w:left="720" w:hanging="270"/>
        <w:rPr>
          <w:rFonts w:eastAsia="Times New Roman"/>
        </w:rPr>
      </w:pPr>
      <w:r w:rsidRPr="00CC2919">
        <w:rPr>
          <w:rFonts w:eastAsia="Times New Roman"/>
        </w:rPr>
        <w:t>Grant funds may be spent on educating employers and the public about the benefits of fidelity bonds for persons with criminal records</w:t>
      </w:r>
      <w:r w:rsidRPr="00CC2919" w:rsidR="00407AB7">
        <w:rPr>
          <w:rFonts w:eastAsia="Times New Roman"/>
        </w:rPr>
        <w:t>,</w:t>
      </w:r>
      <w:r w:rsidRPr="00CC2919" w:rsidR="00536801">
        <w:rPr>
          <w:rFonts w:eastAsia="Times New Roman"/>
        </w:rPr>
        <w:t xml:space="preserve"> </w:t>
      </w:r>
      <w:r w:rsidRPr="00CC2919" w:rsidR="00536801">
        <w:t>including individuals recover</w:t>
      </w:r>
      <w:r w:rsidRPr="00CC2919" w:rsidR="00157CC1">
        <w:t>ing</w:t>
      </w:r>
      <w:r w:rsidRPr="00CC2919" w:rsidR="00536801">
        <w:t xml:space="preserve"> from opioid and other drug addictions</w:t>
      </w:r>
      <w:r w:rsidRPr="00CC2919">
        <w:rPr>
          <w:rFonts w:eastAsia="Times New Roman"/>
        </w:rPr>
        <w:t xml:space="preserve">.  Employer and public education may include, but is not limited to, the development and distribution of written materials, virtual and in-person information sharing, and meetings.  </w:t>
      </w:r>
    </w:p>
    <w:p w:rsidR="004209EC" w:rsidP="00B13014" w:rsidRDefault="004209EC" w14:paraId="776E8853" w14:textId="77777777">
      <w:pPr>
        <w:pStyle w:val="ListParagraph"/>
        <w:widowControl/>
        <w:numPr>
          <w:ilvl w:val="0"/>
          <w:numId w:val="13"/>
        </w:numPr>
        <w:autoSpaceDE/>
        <w:autoSpaceDN/>
        <w:adjustRightInd/>
        <w:spacing w:before="240"/>
        <w:ind w:left="720" w:hanging="270"/>
        <w:contextualSpacing/>
        <w:rPr>
          <w:rFonts w:ascii="Times New Roman" w:hAnsi="Times New Roman"/>
          <w:sz w:val="24"/>
        </w:rPr>
      </w:pPr>
      <w:r w:rsidRPr="00CC2919">
        <w:rPr>
          <w:rFonts w:ascii="Times New Roman" w:hAnsi="Times New Roman"/>
          <w:sz w:val="24"/>
        </w:rPr>
        <w:t>Grant funds may be spent on administrative costs associated with operating this demonstration.</w:t>
      </w:r>
      <w:r w:rsidRPr="00CC2919" w:rsidDel="0055465B">
        <w:rPr>
          <w:rFonts w:ascii="Times New Roman" w:hAnsi="Times New Roman"/>
          <w:sz w:val="24"/>
        </w:rPr>
        <w:t xml:space="preserve"> </w:t>
      </w:r>
    </w:p>
    <w:p w:rsidRPr="008D57F2" w:rsidR="004209EC" w:rsidP="008D57F2" w:rsidRDefault="008D57F2" w14:paraId="6670CFA9" w14:textId="77777777">
      <w:pPr>
        <w:pStyle w:val="ListParagraph"/>
        <w:tabs>
          <w:tab w:val="left" w:pos="450"/>
          <w:tab w:val="left" w:pos="1260"/>
          <w:tab w:val="left" w:pos="1440"/>
        </w:tabs>
        <w:spacing w:before="240"/>
        <w:ind w:left="360"/>
        <w:rPr>
          <w:rFonts w:ascii="Times New Roman" w:hAnsi="Times New Roman"/>
          <w:sz w:val="24"/>
        </w:rPr>
      </w:pPr>
      <w:r w:rsidRPr="008D57F2">
        <w:rPr>
          <w:rFonts w:ascii="Times New Roman" w:hAnsi="Times New Roman"/>
          <w:b/>
          <w:sz w:val="24"/>
          <w:u w:val="single"/>
        </w:rPr>
        <w:t xml:space="preserve">f.  </w:t>
      </w:r>
      <w:r w:rsidRPr="008D57F2" w:rsidR="004209EC">
        <w:rPr>
          <w:rFonts w:ascii="Times New Roman" w:hAnsi="Times New Roman"/>
          <w:b/>
          <w:sz w:val="24"/>
          <w:u w:val="single"/>
        </w:rPr>
        <w:t>Use of Funds</w:t>
      </w:r>
      <w:r w:rsidRPr="008D57F2" w:rsidR="0037310E">
        <w:rPr>
          <w:rFonts w:ascii="Times New Roman" w:hAnsi="Times New Roman"/>
          <w:b/>
          <w:sz w:val="24"/>
        </w:rPr>
        <w:t>.</w:t>
      </w:r>
      <w:r w:rsidRPr="008D57F2" w:rsidR="00443BB5">
        <w:rPr>
          <w:rFonts w:ascii="Times New Roman" w:hAnsi="Times New Roman"/>
          <w:b/>
          <w:sz w:val="24"/>
        </w:rPr>
        <w:t xml:space="preserve">                                                                                                                                                                                                         </w:t>
      </w:r>
      <w:r w:rsidRPr="008D57F2" w:rsidR="004209EC">
        <w:rPr>
          <w:rFonts w:ascii="Times New Roman" w:hAnsi="Times New Roman"/>
          <w:sz w:val="24"/>
        </w:rPr>
        <w:t>The following cost limitations apply:</w:t>
      </w:r>
      <w:r w:rsidRPr="008D57F2" w:rsidR="004209EC">
        <w:rPr>
          <w:rFonts w:ascii="Times New Roman" w:hAnsi="Times New Roman"/>
          <w:sz w:val="24"/>
        </w:rPr>
        <w:tab/>
      </w:r>
    </w:p>
    <w:p w:rsidRPr="00CC2919" w:rsidR="00E262CB" w:rsidP="007819B4" w:rsidRDefault="004209EC" w14:paraId="10DB7BCF" w14:textId="77777777">
      <w:pPr>
        <w:pStyle w:val="ListParagraph"/>
        <w:widowControl/>
        <w:numPr>
          <w:ilvl w:val="0"/>
          <w:numId w:val="11"/>
        </w:numPr>
        <w:tabs>
          <w:tab w:val="left" w:pos="720"/>
          <w:tab w:val="left" w:pos="1530"/>
        </w:tabs>
        <w:autoSpaceDE/>
        <w:autoSpaceDN/>
        <w:adjustRightInd/>
        <w:spacing w:before="240" w:after="200"/>
        <w:ind w:left="720" w:hanging="270"/>
        <w:contextualSpacing/>
        <w:rPr>
          <w:rFonts w:ascii="Times New Roman" w:hAnsi="Times New Roman"/>
          <w:sz w:val="24"/>
        </w:rPr>
      </w:pPr>
      <w:r w:rsidRPr="00CC2919">
        <w:rPr>
          <w:rFonts w:ascii="Times New Roman" w:hAnsi="Times New Roman"/>
          <w:sz w:val="24"/>
        </w:rPr>
        <w:t xml:space="preserve">At least </w:t>
      </w:r>
      <w:r w:rsidRPr="00CC2919" w:rsidR="00D944C6">
        <w:rPr>
          <w:rFonts w:ascii="Times New Roman" w:hAnsi="Times New Roman"/>
          <w:sz w:val="24"/>
        </w:rPr>
        <w:t>85</w:t>
      </w:r>
      <w:r w:rsidRPr="00CC2919">
        <w:rPr>
          <w:rFonts w:ascii="Times New Roman" w:hAnsi="Times New Roman"/>
          <w:sz w:val="24"/>
        </w:rPr>
        <w:t xml:space="preserve"> percent of grant funds must be used specifically for the purchase of bonds;</w:t>
      </w:r>
    </w:p>
    <w:p w:rsidRPr="00CC2919" w:rsidR="004209EC" w:rsidP="00540F5F" w:rsidRDefault="00E262CB" w14:paraId="4F297FE0" w14:textId="77777777">
      <w:pPr>
        <w:pStyle w:val="ListParagraph"/>
        <w:widowControl/>
        <w:numPr>
          <w:ilvl w:val="0"/>
          <w:numId w:val="11"/>
        </w:numPr>
        <w:autoSpaceDE/>
        <w:autoSpaceDN/>
        <w:adjustRightInd/>
        <w:spacing w:before="240" w:after="200"/>
        <w:ind w:left="720" w:hanging="270"/>
        <w:contextualSpacing/>
        <w:rPr>
          <w:rFonts w:ascii="Times New Roman" w:hAnsi="Times New Roman"/>
          <w:sz w:val="24"/>
        </w:rPr>
      </w:pPr>
      <w:r w:rsidRPr="00CC2919">
        <w:rPr>
          <w:rFonts w:ascii="Times New Roman" w:hAnsi="Times New Roman"/>
          <w:sz w:val="24"/>
        </w:rPr>
        <w:t xml:space="preserve">The remaining grant funds may be used for </w:t>
      </w:r>
      <w:r w:rsidRPr="00CC2919" w:rsidR="007819B4">
        <w:rPr>
          <w:rFonts w:ascii="Times New Roman" w:hAnsi="Times New Roman"/>
          <w:sz w:val="24"/>
        </w:rPr>
        <w:t>education, outreach</w:t>
      </w:r>
      <w:r w:rsidRPr="00CC2919" w:rsidR="00444C9E">
        <w:rPr>
          <w:rFonts w:ascii="Times New Roman" w:hAnsi="Times New Roman"/>
          <w:sz w:val="24"/>
        </w:rPr>
        <w:t>,</w:t>
      </w:r>
      <w:r w:rsidRPr="00CC2919" w:rsidR="007819B4">
        <w:rPr>
          <w:rFonts w:ascii="Times New Roman" w:hAnsi="Times New Roman"/>
          <w:sz w:val="24"/>
        </w:rPr>
        <w:t xml:space="preserve"> and </w:t>
      </w:r>
      <w:r w:rsidRPr="00CC2919">
        <w:rPr>
          <w:rFonts w:ascii="Times New Roman" w:hAnsi="Times New Roman"/>
          <w:sz w:val="24"/>
        </w:rPr>
        <w:t>administrative</w:t>
      </w:r>
      <w:r w:rsidRPr="00CC2919" w:rsidR="007819B4">
        <w:rPr>
          <w:rFonts w:ascii="Times New Roman" w:hAnsi="Times New Roman"/>
          <w:sz w:val="24"/>
        </w:rPr>
        <w:t xml:space="preserve"> cost</w:t>
      </w:r>
      <w:r w:rsidRPr="00CC2919" w:rsidR="00E7578C">
        <w:rPr>
          <w:rFonts w:ascii="Times New Roman" w:hAnsi="Times New Roman"/>
          <w:sz w:val="24"/>
        </w:rPr>
        <w:t>s</w:t>
      </w:r>
      <w:r w:rsidRPr="00CC2919" w:rsidR="00870CB0">
        <w:rPr>
          <w:rFonts w:ascii="Times New Roman" w:hAnsi="Times New Roman"/>
          <w:sz w:val="24"/>
        </w:rPr>
        <w:t>; and</w:t>
      </w:r>
      <w:r w:rsidRPr="00CC2919" w:rsidR="004209EC">
        <w:rPr>
          <w:rFonts w:ascii="Times New Roman" w:hAnsi="Times New Roman"/>
          <w:sz w:val="24"/>
        </w:rPr>
        <w:t xml:space="preserve"> </w:t>
      </w:r>
    </w:p>
    <w:p w:rsidRPr="00CC2919" w:rsidR="004209EC" w:rsidP="00540F5F" w:rsidRDefault="004209EC" w14:paraId="061B9FC0" w14:textId="77777777">
      <w:pPr>
        <w:pStyle w:val="ListParagraph"/>
        <w:widowControl/>
        <w:numPr>
          <w:ilvl w:val="0"/>
          <w:numId w:val="11"/>
        </w:numPr>
        <w:tabs>
          <w:tab w:val="left" w:pos="720"/>
        </w:tabs>
        <w:autoSpaceDE/>
        <w:autoSpaceDN/>
        <w:adjustRightInd/>
        <w:spacing w:before="240" w:after="200"/>
        <w:ind w:left="720" w:hanging="270"/>
        <w:contextualSpacing/>
        <w:rPr>
          <w:rFonts w:ascii="Times New Roman" w:hAnsi="Times New Roman"/>
          <w:sz w:val="24"/>
        </w:rPr>
      </w:pPr>
      <w:r w:rsidRPr="00CC2919">
        <w:rPr>
          <w:rFonts w:ascii="Times New Roman" w:hAnsi="Times New Roman"/>
          <w:sz w:val="24"/>
        </w:rPr>
        <w:t xml:space="preserve">These demonstration grants are subject to the Uniform Guidance: </w:t>
      </w:r>
      <w:r w:rsidRPr="00CC2919" w:rsidR="00D94599">
        <w:rPr>
          <w:rFonts w:ascii="Times New Roman" w:hAnsi="Times New Roman"/>
          <w:sz w:val="24"/>
        </w:rPr>
        <w:t xml:space="preserve"> </w:t>
      </w:r>
      <w:r w:rsidRPr="00CC2919">
        <w:rPr>
          <w:rFonts w:ascii="Times New Roman" w:hAnsi="Times New Roman"/>
          <w:sz w:val="24"/>
        </w:rPr>
        <w:t xml:space="preserve">Uniform Administrative Requirements, Cost </w:t>
      </w:r>
      <w:r w:rsidRPr="00CC2919">
        <w:rPr>
          <w:rFonts w:ascii="Times New Roman" w:hAnsi="Times New Roman"/>
          <w:sz w:val="24"/>
        </w:rPr>
        <w:lastRenderedPageBreak/>
        <w:t>Principles, and Audit Requirements for Federal Awards at 2 CFR Part 200 and OMB’s approved exceptions for the Department at 2 CFR Part 2900.</w:t>
      </w:r>
    </w:p>
    <w:p w:rsidRPr="00CC2919" w:rsidR="004209EC" w:rsidP="006C7D8C" w:rsidRDefault="004209EC" w14:paraId="6CCC4763" w14:textId="77777777">
      <w:pPr>
        <w:pStyle w:val="ListParagraph"/>
        <w:tabs>
          <w:tab w:val="left" w:pos="450"/>
          <w:tab w:val="left" w:pos="1260"/>
          <w:tab w:val="left" w:pos="1440"/>
        </w:tabs>
        <w:spacing w:before="240"/>
        <w:ind w:left="360"/>
        <w:rPr>
          <w:rFonts w:ascii="Times New Roman" w:hAnsi="Times New Roman"/>
          <w:sz w:val="24"/>
        </w:rPr>
      </w:pPr>
      <w:r w:rsidRPr="00CC2919">
        <w:rPr>
          <w:rFonts w:ascii="Times New Roman" w:hAnsi="Times New Roman"/>
          <w:sz w:val="24"/>
        </w:rPr>
        <w:t>ETA</w:t>
      </w:r>
      <w:r w:rsidRPr="00CC2919" w:rsidR="00E7578C">
        <w:rPr>
          <w:rFonts w:ascii="Times New Roman" w:hAnsi="Times New Roman"/>
          <w:sz w:val="24"/>
        </w:rPr>
        <w:t xml:space="preserve"> expects to</w:t>
      </w:r>
      <w:r w:rsidRPr="00CC2919">
        <w:rPr>
          <w:rFonts w:ascii="Times New Roman" w:hAnsi="Times New Roman"/>
          <w:sz w:val="24"/>
        </w:rPr>
        <w:t xml:space="preserve"> execute grant awards on or before </w:t>
      </w:r>
      <w:r w:rsidR="007E19A9">
        <w:rPr>
          <w:rFonts w:ascii="Times New Roman" w:hAnsi="Times New Roman"/>
          <w:sz w:val="24"/>
        </w:rPr>
        <w:t>April 1,</w:t>
      </w:r>
      <w:r w:rsidRPr="00CC2919">
        <w:rPr>
          <w:rFonts w:ascii="Times New Roman" w:hAnsi="Times New Roman"/>
          <w:sz w:val="24"/>
        </w:rPr>
        <w:t xml:space="preserve"> 20</w:t>
      </w:r>
      <w:r w:rsidRPr="00CC2919" w:rsidR="00136806">
        <w:rPr>
          <w:rFonts w:ascii="Times New Roman" w:hAnsi="Times New Roman"/>
          <w:sz w:val="24"/>
        </w:rPr>
        <w:t>20</w:t>
      </w:r>
      <w:r w:rsidRPr="00CC2919">
        <w:rPr>
          <w:rFonts w:ascii="Times New Roman" w:hAnsi="Times New Roman"/>
          <w:sz w:val="24"/>
        </w:rPr>
        <w:t>, and g</w:t>
      </w:r>
      <w:r w:rsidRPr="00CC2919" w:rsidR="001008BD">
        <w:rPr>
          <w:rFonts w:ascii="Times New Roman" w:hAnsi="Times New Roman"/>
          <w:sz w:val="24"/>
        </w:rPr>
        <w:t xml:space="preserve">rant funds will be </w:t>
      </w:r>
      <w:r w:rsidRPr="00CC2919">
        <w:rPr>
          <w:rFonts w:ascii="Times New Roman" w:hAnsi="Times New Roman"/>
          <w:sz w:val="24"/>
        </w:rPr>
        <w:t xml:space="preserve">available for expenditure during a four-year period of performance. </w:t>
      </w:r>
    </w:p>
    <w:p w:rsidRPr="00CC2919" w:rsidR="00C13F04" w:rsidP="00B85AF1" w:rsidRDefault="00C13F04" w14:paraId="73DB9B78" w14:textId="77777777">
      <w:pPr>
        <w:widowControl/>
        <w:tabs>
          <w:tab w:val="left" w:pos="-720"/>
          <w:tab w:val="left" w:pos="360"/>
        </w:tabs>
        <w:ind w:left="720"/>
        <w:rPr>
          <w:rFonts w:ascii="Times New Roman" w:hAnsi="Times New Roman"/>
          <w:sz w:val="24"/>
        </w:rPr>
      </w:pPr>
    </w:p>
    <w:p w:rsidRPr="00CC2919" w:rsidR="00C13F04" w:rsidP="008D57F2" w:rsidRDefault="008D57F2" w14:paraId="4AE84A32" w14:textId="77777777">
      <w:pPr>
        <w:pStyle w:val="Default"/>
        <w:tabs>
          <w:tab w:val="left" w:pos="360"/>
          <w:tab w:val="left" w:pos="450"/>
          <w:tab w:val="left" w:pos="720"/>
          <w:tab w:val="left" w:pos="1440"/>
          <w:tab w:val="left" w:pos="1530"/>
        </w:tabs>
        <w:ind w:left="360"/>
        <w:rPr>
          <w:rStyle w:val="StyleTimesNewRoman12pt"/>
        </w:rPr>
      </w:pPr>
      <w:r>
        <w:rPr>
          <w:rFonts w:eastAsia="Times New Roman"/>
          <w:b/>
          <w:u w:val="single"/>
        </w:rPr>
        <w:t xml:space="preserve">g.  </w:t>
      </w:r>
      <w:r w:rsidRPr="008D57F2" w:rsidR="00C13F04">
        <w:rPr>
          <w:rFonts w:eastAsia="Times New Roman"/>
          <w:b/>
          <w:u w:val="single"/>
        </w:rPr>
        <w:t>Instructions</w:t>
      </w:r>
      <w:r w:rsidRPr="00CC2919" w:rsidR="00C13F04">
        <w:rPr>
          <w:b/>
          <w:u w:val="single"/>
        </w:rPr>
        <w:t xml:space="preserve"> for Submitting Applications</w:t>
      </w:r>
      <w:r w:rsidRPr="00CC2919" w:rsidR="00C13F04">
        <w:rPr>
          <w:b/>
        </w:rPr>
        <w:t>.</w:t>
      </w:r>
      <w:r w:rsidRPr="00CC2919" w:rsidR="00C13F04">
        <w:rPr>
          <w:rStyle w:val="StyleTimesNewRoman12pt"/>
        </w:rPr>
        <w:t xml:space="preserve"> </w:t>
      </w:r>
    </w:p>
    <w:p w:rsidRPr="00CC2919" w:rsidR="00C13F04" w:rsidP="00B85AF1" w:rsidRDefault="00C13F04" w14:paraId="4C7346E4" w14:textId="77777777">
      <w:pPr>
        <w:widowControl/>
        <w:tabs>
          <w:tab w:val="left" w:pos="360"/>
        </w:tabs>
        <w:rPr>
          <w:rFonts w:ascii="Times New Roman" w:hAnsi="Times New Roman"/>
          <w:sz w:val="24"/>
        </w:rPr>
      </w:pPr>
      <w:r w:rsidRPr="00CC2919">
        <w:rPr>
          <w:rStyle w:val="StyleTimesNewRoman12pt"/>
        </w:rPr>
        <w:tab/>
      </w:r>
    </w:p>
    <w:p w:rsidRPr="00CC2919" w:rsidR="00725717" w:rsidP="006C7D8C" w:rsidRDefault="00725717" w14:paraId="7D7373CA" w14:textId="77777777">
      <w:pPr>
        <w:pStyle w:val="Default"/>
        <w:tabs>
          <w:tab w:val="left" w:pos="450"/>
          <w:tab w:val="left" w:pos="810"/>
        </w:tabs>
        <w:ind w:left="450"/>
      </w:pPr>
      <w:r w:rsidRPr="00CC2919">
        <w:rPr>
          <w:b/>
          <w:i/>
        </w:rPr>
        <w:t>Application Narrative.</w:t>
      </w:r>
      <w:r w:rsidRPr="00CC2919">
        <w:rPr>
          <w:b/>
        </w:rPr>
        <w:t xml:space="preserve">  </w:t>
      </w:r>
      <w:r w:rsidRPr="00CC2919" w:rsidR="00384F74">
        <w:t>Applicants</w:t>
      </w:r>
      <w:r w:rsidRPr="00CC2919">
        <w:t xml:space="preserve"> must submit an </w:t>
      </w:r>
      <w:r w:rsidRPr="00CC2919">
        <w:rPr>
          <w:sz w:val="23"/>
          <w:szCs w:val="23"/>
        </w:rPr>
        <w:t xml:space="preserve">Application Narrative not longer than four double-spaced pages.  The Narrative must be divided into three components, and the requirements for each are outlined below under the following headings: </w:t>
      </w:r>
      <w:r w:rsidR="00BB25F2">
        <w:rPr>
          <w:sz w:val="23"/>
          <w:szCs w:val="23"/>
        </w:rPr>
        <w:t>(</w:t>
      </w:r>
      <w:r w:rsidRPr="00CC2919">
        <w:rPr>
          <w:sz w:val="23"/>
          <w:szCs w:val="23"/>
        </w:rPr>
        <w:t xml:space="preserve">1) Impact/Need Statement; </w:t>
      </w:r>
      <w:r w:rsidR="00BB25F2">
        <w:rPr>
          <w:sz w:val="23"/>
          <w:szCs w:val="23"/>
        </w:rPr>
        <w:t>(</w:t>
      </w:r>
      <w:r w:rsidRPr="00CC2919">
        <w:rPr>
          <w:sz w:val="23"/>
          <w:szCs w:val="23"/>
        </w:rPr>
        <w:t xml:space="preserve">2) Project Implementation; </w:t>
      </w:r>
      <w:r w:rsidRPr="00CC2919" w:rsidR="00A531BE">
        <w:rPr>
          <w:sz w:val="23"/>
          <w:szCs w:val="23"/>
        </w:rPr>
        <w:t xml:space="preserve">and </w:t>
      </w:r>
      <w:r w:rsidR="00BB25F2">
        <w:rPr>
          <w:sz w:val="23"/>
          <w:szCs w:val="23"/>
        </w:rPr>
        <w:t>(</w:t>
      </w:r>
      <w:r w:rsidRPr="00CC2919">
        <w:rPr>
          <w:sz w:val="23"/>
          <w:szCs w:val="23"/>
        </w:rPr>
        <w:t>3) Fiscal Integrity</w:t>
      </w:r>
      <w:r w:rsidRPr="00CC2919" w:rsidR="00E928A0">
        <w:t>.</w:t>
      </w:r>
      <w:r w:rsidRPr="00CC2919">
        <w:t xml:space="preserve"> </w:t>
      </w:r>
    </w:p>
    <w:p w:rsidRPr="00CC2919" w:rsidR="00725717" w:rsidP="00DF7EB6" w:rsidRDefault="00725717" w14:paraId="512DF9DA" w14:textId="77777777">
      <w:pPr>
        <w:pStyle w:val="ListParagraph"/>
        <w:widowControl/>
        <w:numPr>
          <w:ilvl w:val="0"/>
          <w:numId w:val="14"/>
        </w:numPr>
        <w:tabs>
          <w:tab w:val="left" w:pos="360"/>
          <w:tab w:val="left" w:pos="810"/>
          <w:tab w:val="left" w:pos="990"/>
        </w:tabs>
        <w:autoSpaceDE/>
        <w:autoSpaceDN/>
        <w:adjustRightInd/>
        <w:spacing w:before="240" w:after="200"/>
        <w:ind w:left="810"/>
        <w:contextualSpacing/>
        <w:rPr>
          <w:rFonts w:ascii="Times New Roman" w:hAnsi="Times New Roman"/>
          <w:sz w:val="24"/>
        </w:rPr>
      </w:pPr>
      <w:r w:rsidRPr="00CC2919">
        <w:rPr>
          <w:rFonts w:ascii="Times New Roman" w:hAnsi="Times New Roman"/>
          <w:sz w:val="24"/>
          <w:u w:val="single"/>
        </w:rPr>
        <w:t>Impact/Need Statement</w:t>
      </w:r>
      <w:r w:rsidRPr="00CC2919">
        <w:rPr>
          <w:rFonts w:ascii="Times New Roman" w:hAnsi="Times New Roman"/>
          <w:sz w:val="24"/>
        </w:rPr>
        <w:t xml:space="preserve">: Describe the need in your state for the grant.  Identify the number of ex-offenders </w:t>
      </w:r>
      <w:r w:rsidRPr="00CC2919" w:rsidR="00DD0614">
        <w:rPr>
          <w:rFonts w:ascii="Times New Roman" w:hAnsi="Times New Roman"/>
          <w:sz w:val="24"/>
        </w:rPr>
        <w:t xml:space="preserve">your </w:t>
      </w:r>
      <w:r w:rsidRPr="00CC2919">
        <w:rPr>
          <w:rFonts w:ascii="Times New Roman" w:hAnsi="Times New Roman"/>
          <w:sz w:val="24"/>
        </w:rPr>
        <w:t xml:space="preserve">state expects to serve in its </w:t>
      </w:r>
      <w:r w:rsidRPr="00CC2919" w:rsidR="00396219">
        <w:rPr>
          <w:rFonts w:ascii="Times New Roman" w:hAnsi="Times New Roman"/>
          <w:sz w:val="24"/>
        </w:rPr>
        <w:t>Employment Services (</w:t>
      </w:r>
      <w:r w:rsidRPr="00CC2919">
        <w:rPr>
          <w:rFonts w:ascii="Times New Roman" w:hAnsi="Times New Roman"/>
          <w:sz w:val="24"/>
        </w:rPr>
        <w:t>E</w:t>
      </w:r>
      <w:r w:rsidRPr="00CC2919" w:rsidR="009F0ACE">
        <w:rPr>
          <w:rFonts w:ascii="Times New Roman" w:hAnsi="Times New Roman"/>
          <w:sz w:val="24"/>
        </w:rPr>
        <w:t>S</w:t>
      </w:r>
      <w:r w:rsidRPr="00CC2919" w:rsidR="00396219">
        <w:rPr>
          <w:rFonts w:ascii="Times New Roman" w:hAnsi="Times New Roman"/>
          <w:sz w:val="24"/>
        </w:rPr>
        <w:t>)</w:t>
      </w:r>
      <w:r w:rsidRPr="00CC2919">
        <w:rPr>
          <w:rFonts w:ascii="Times New Roman" w:hAnsi="Times New Roman"/>
          <w:sz w:val="24"/>
        </w:rPr>
        <w:t xml:space="preserve"> and WIOA </w:t>
      </w:r>
      <w:r w:rsidRPr="00CC2919" w:rsidR="00DD0614">
        <w:rPr>
          <w:rFonts w:ascii="Times New Roman" w:hAnsi="Times New Roman"/>
          <w:sz w:val="24"/>
        </w:rPr>
        <w:t>adult</w:t>
      </w:r>
      <w:r w:rsidRPr="00CC2919" w:rsidR="004C3BBA">
        <w:rPr>
          <w:rFonts w:ascii="Times New Roman" w:hAnsi="Times New Roman"/>
          <w:sz w:val="24"/>
        </w:rPr>
        <w:t xml:space="preserve"> </w:t>
      </w:r>
      <w:r w:rsidRPr="00CC2919">
        <w:rPr>
          <w:rFonts w:ascii="Times New Roman" w:hAnsi="Times New Roman"/>
          <w:sz w:val="24"/>
        </w:rPr>
        <w:t>formula program over the next four years</w:t>
      </w:r>
      <w:r w:rsidRPr="00CC2919" w:rsidR="00DD0614">
        <w:rPr>
          <w:rFonts w:ascii="Times New Roman" w:hAnsi="Times New Roman"/>
          <w:sz w:val="24"/>
        </w:rPr>
        <w:t>.  That number</w:t>
      </w:r>
      <w:r w:rsidRPr="00CC2919">
        <w:rPr>
          <w:rFonts w:ascii="Times New Roman" w:hAnsi="Times New Roman"/>
          <w:sz w:val="24"/>
        </w:rPr>
        <w:t xml:space="preserve"> may be higher or lower than </w:t>
      </w:r>
      <w:r w:rsidRPr="00CC2919" w:rsidR="00DD0614">
        <w:rPr>
          <w:rFonts w:ascii="Times New Roman" w:hAnsi="Times New Roman"/>
          <w:sz w:val="24"/>
        </w:rPr>
        <w:t xml:space="preserve">the number </w:t>
      </w:r>
      <w:r w:rsidRPr="00CC2919">
        <w:rPr>
          <w:rFonts w:ascii="Times New Roman" w:hAnsi="Times New Roman"/>
          <w:sz w:val="24"/>
        </w:rPr>
        <w:t>shown for your state in the table in Attachment 1</w:t>
      </w:r>
      <w:r w:rsidRPr="00CC2919" w:rsidR="00DD0614">
        <w:rPr>
          <w:rFonts w:ascii="Times New Roman" w:hAnsi="Times New Roman"/>
          <w:sz w:val="24"/>
        </w:rPr>
        <w:t xml:space="preserve">, which provides the estimated number of </w:t>
      </w:r>
      <w:r w:rsidRPr="00CC2919" w:rsidR="00536801">
        <w:rPr>
          <w:rFonts w:ascii="Times New Roman" w:hAnsi="Times New Roman"/>
          <w:sz w:val="24"/>
        </w:rPr>
        <w:t>ex-</w:t>
      </w:r>
      <w:r w:rsidRPr="00CC2919" w:rsidR="00DD0614">
        <w:rPr>
          <w:rFonts w:ascii="Times New Roman" w:hAnsi="Times New Roman"/>
          <w:sz w:val="24"/>
        </w:rPr>
        <w:t>offenders served by each state’s ES and WIOA adult</w:t>
      </w:r>
      <w:r w:rsidRPr="00CC2919" w:rsidR="001F05DF">
        <w:rPr>
          <w:rFonts w:ascii="Times New Roman" w:hAnsi="Times New Roman"/>
          <w:sz w:val="24"/>
        </w:rPr>
        <w:t xml:space="preserve"> </w:t>
      </w:r>
      <w:r w:rsidRPr="00CC2919" w:rsidR="00DD0614">
        <w:rPr>
          <w:rFonts w:ascii="Times New Roman" w:hAnsi="Times New Roman"/>
          <w:sz w:val="24"/>
        </w:rPr>
        <w:t xml:space="preserve"> formula program</w:t>
      </w:r>
      <w:r w:rsidRPr="00CC2919" w:rsidR="00BB6076">
        <w:rPr>
          <w:rFonts w:ascii="Times New Roman" w:hAnsi="Times New Roman"/>
          <w:sz w:val="24"/>
        </w:rPr>
        <w:t>s</w:t>
      </w:r>
      <w:r w:rsidRPr="00CC2919" w:rsidR="00DD0614">
        <w:rPr>
          <w:rFonts w:ascii="Times New Roman" w:hAnsi="Times New Roman"/>
          <w:sz w:val="24"/>
        </w:rPr>
        <w:t xml:space="preserve"> over four years based on Program Year 201</w:t>
      </w:r>
      <w:r w:rsidRPr="00CC2919" w:rsidR="00335FD9">
        <w:rPr>
          <w:rFonts w:ascii="Times New Roman" w:hAnsi="Times New Roman"/>
          <w:sz w:val="24"/>
        </w:rPr>
        <w:t>8</w:t>
      </w:r>
      <w:r w:rsidRPr="00CC2919" w:rsidR="00DD0614">
        <w:rPr>
          <w:rFonts w:ascii="Times New Roman" w:hAnsi="Times New Roman"/>
          <w:sz w:val="24"/>
        </w:rPr>
        <w:t xml:space="preserve"> data.</w:t>
      </w:r>
      <w:r w:rsidRPr="00CC2919" w:rsidR="00714120">
        <w:rPr>
          <w:rFonts w:ascii="Times New Roman" w:hAnsi="Times New Roman"/>
          <w:sz w:val="24"/>
        </w:rPr>
        <w:t xml:space="preserve"> </w:t>
      </w:r>
      <w:r w:rsidRPr="00CC2919" w:rsidR="00DD0614">
        <w:rPr>
          <w:rFonts w:ascii="Times New Roman" w:hAnsi="Times New Roman"/>
          <w:sz w:val="24"/>
        </w:rPr>
        <w:t xml:space="preserve"> </w:t>
      </w:r>
      <w:r w:rsidRPr="00CC2919" w:rsidR="00396219">
        <w:rPr>
          <w:rFonts w:ascii="Times New Roman" w:hAnsi="Times New Roman"/>
          <w:sz w:val="24"/>
        </w:rPr>
        <w:t>This information will be used to verify t</w:t>
      </w:r>
      <w:r w:rsidRPr="00CC2919" w:rsidR="00536801">
        <w:rPr>
          <w:rFonts w:ascii="Times New Roman" w:hAnsi="Times New Roman"/>
          <w:sz w:val="24"/>
        </w:rPr>
        <w:t>hat there are enough individual</w:t>
      </w:r>
      <w:r w:rsidRPr="00CC2919" w:rsidR="00396219">
        <w:rPr>
          <w:rFonts w:ascii="Times New Roman" w:hAnsi="Times New Roman"/>
          <w:sz w:val="24"/>
        </w:rPr>
        <w:t>s in your service area to meet the participation level you are requesting in your application.</w:t>
      </w:r>
      <w:r w:rsidRPr="00CC2919" w:rsidR="00A914FC">
        <w:rPr>
          <w:rFonts w:ascii="Times New Roman" w:hAnsi="Times New Roman"/>
          <w:sz w:val="24"/>
        </w:rPr>
        <w:t xml:space="preserve"> </w:t>
      </w:r>
      <w:r w:rsidRPr="00CC2919" w:rsidR="00396219">
        <w:rPr>
          <w:rFonts w:ascii="Times New Roman" w:hAnsi="Times New Roman"/>
          <w:sz w:val="24"/>
        </w:rPr>
        <w:t xml:space="preserve"> </w:t>
      </w:r>
      <w:r w:rsidRPr="00CC2919" w:rsidR="00AC11F5">
        <w:rPr>
          <w:rFonts w:ascii="Times New Roman" w:hAnsi="Times New Roman"/>
          <w:sz w:val="24"/>
        </w:rPr>
        <w:t xml:space="preserve">The use of this data </w:t>
      </w:r>
      <w:r w:rsidRPr="00CC2919" w:rsidR="00AC11F5">
        <w:rPr>
          <w:rFonts w:ascii="Times New Roman" w:hAnsi="Times New Roman"/>
          <w:sz w:val="24"/>
        </w:rPr>
        <w:lastRenderedPageBreak/>
        <w:t xml:space="preserve">does </w:t>
      </w:r>
      <w:r w:rsidRPr="00CC2919" w:rsidR="00396219">
        <w:rPr>
          <w:rFonts w:ascii="Times New Roman" w:hAnsi="Times New Roman"/>
          <w:sz w:val="24"/>
        </w:rPr>
        <w:t xml:space="preserve">not </w:t>
      </w:r>
      <w:r w:rsidRPr="00CC2919" w:rsidR="00AC11F5">
        <w:rPr>
          <w:rFonts w:ascii="Times New Roman" w:hAnsi="Times New Roman"/>
          <w:sz w:val="24"/>
        </w:rPr>
        <w:t xml:space="preserve">mean </w:t>
      </w:r>
      <w:r w:rsidRPr="00CC2919" w:rsidR="00396219">
        <w:rPr>
          <w:rFonts w:ascii="Times New Roman" w:hAnsi="Times New Roman"/>
          <w:sz w:val="24"/>
        </w:rPr>
        <w:t xml:space="preserve">that all workers bonded under this demonstration project must be enrolled in WIOA or ES services. </w:t>
      </w:r>
      <w:r w:rsidRPr="00CC2919" w:rsidR="00A914FC">
        <w:rPr>
          <w:rFonts w:ascii="Times New Roman" w:hAnsi="Times New Roman"/>
          <w:sz w:val="24"/>
        </w:rPr>
        <w:t xml:space="preserve"> </w:t>
      </w:r>
      <w:r w:rsidRPr="00CC2919" w:rsidR="00AC11F5">
        <w:rPr>
          <w:rFonts w:ascii="Times New Roman" w:hAnsi="Times New Roman"/>
          <w:sz w:val="24"/>
        </w:rPr>
        <w:t>Identify the total amount of the request</w:t>
      </w:r>
      <w:r w:rsidRPr="00CC2919" w:rsidR="00A41F6F">
        <w:rPr>
          <w:rFonts w:ascii="Times New Roman" w:hAnsi="Times New Roman"/>
          <w:sz w:val="24"/>
        </w:rPr>
        <w:t>.</w:t>
      </w:r>
    </w:p>
    <w:p w:rsidRPr="00CC2919" w:rsidR="00725717" w:rsidP="00CC6438" w:rsidRDefault="00D75757" w14:paraId="6BD70891" w14:textId="77777777">
      <w:pPr>
        <w:pStyle w:val="ListParagraph"/>
        <w:widowControl/>
        <w:numPr>
          <w:ilvl w:val="0"/>
          <w:numId w:val="14"/>
        </w:numPr>
        <w:tabs>
          <w:tab w:val="left" w:pos="360"/>
          <w:tab w:val="left" w:pos="720"/>
        </w:tabs>
        <w:autoSpaceDE/>
        <w:autoSpaceDN/>
        <w:adjustRightInd/>
        <w:spacing w:before="240" w:after="200"/>
        <w:ind w:left="810"/>
        <w:contextualSpacing/>
        <w:rPr>
          <w:rFonts w:ascii="Times New Roman" w:hAnsi="Times New Roman"/>
          <w:sz w:val="24"/>
        </w:rPr>
      </w:pPr>
      <w:r w:rsidRPr="00CC2919">
        <w:rPr>
          <w:rFonts w:ascii="Times New Roman" w:hAnsi="Times New Roman"/>
          <w:sz w:val="24"/>
        </w:rPr>
        <w:t xml:space="preserve"> </w:t>
      </w:r>
      <w:r w:rsidRPr="00CC2919" w:rsidR="00725717">
        <w:rPr>
          <w:rFonts w:ascii="Times New Roman" w:hAnsi="Times New Roman"/>
          <w:sz w:val="24"/>
          <w:u w:val="single"/>
        </w:rPr>
        <w:t>Project Implementation</w:t>
      </w:r>
      <w:r w:rsidRPr="00CC2919" w:rsidR="00725717">
        <w:rPr>
          <w:rFonts w:ascii="Times New Roman" w:hAnsi="Times New Roman"/>
          <w:sz w:val="24"/>
        </w:rPr>
        <w:t xml:space="preserve">: Describe how your </w:t>
      </w:r>
      <w:r w:rsidRPr="00CC2919" w:rsidR="009B01D0">
        <w:rPr>
          <w:rFonts w:ascii="Times New Roman" w:hAnsi="Times New Roman"/>
          <w:sz w:val="24"/>
        </w:rPr>
        <w:t>s</w:t>
      </w:r>
      <w:r w:rsidRPr="00CC2919" w:rsidR="00C33378">
        <w:rPr>
          <w:rFonts w:ascii="Times New Roman" w:hAnsi="Times New Roman"/>
          <w:sz w:val="24"/>
        </w:rPr>
        <w:t>tate currently administers</w:t>
      </w:r>
      <w:r w:rsidRPr="00CC2919" w:rsidR="00725717">
        <w:rPr>
          <w:rFonts w:ascii="Times New Roman" w:hAnsi="Times New Roman"/>
          <w:sz w:val="24"/>
        </w:rPr>
        <w:t xml:space="preserve"> F</w:t>
      </w:r>
      <w:r w:rsidRPr="00CC2919" w:rsidR="0090174D">
        <w:rPr>
          <w:rFonts w:ascii="Times New Roman" w:hAnsi="Times New Roman"/>
          <w:sz w:val="24"/>
        </w:rPr>
        <w:t>BP</w:t>
      </w:r>
      <w:r w:rsidRPr="00CC2919" w:rsidR="00725717">
        <w:rPr>
          <w:rFonts w:ascii="Times New Roman" w:hAnsi="Times New Roman"/>
          <w:sz w:val="24"/>
        </w:rPr>
        <w:t xml:space="preserve"> and what adjustments</w:t>
      </w:r>
      <w:r w:rsidRPr="00CC2919" w:rsidR="00307023">
        <w:rPr>
          <w:rFonts w:ascii="Times New Roman" w:hAnsi="Times New Roman"/>
          <w:sz w:val="24"/>
        </w:rPr>
        <w:t>,</w:t>
      </w:r>
      <w:r w:rsidRPr="00CC2919" w:rsidR="00C439BE">
        <w:rPr>
          <w:rFonts w:ascii="Times New Roman" w:hAnsi="Times New Roman"/>
          <w:sz w:val="24"/>
        </w:rPr>
        <w:t xml:space="preserve"> if any,</w:t>
      </w:r>
      <w:r w:rsidRPr="00CC2919" w:rsidR="00307023">
        <w:rPr>
          <w:rFonts w:ascii="Times New Roman" w:hAnsi="Times New Roman"/>
          <w:sz w:val="24"/>
        </w:rPr>
        <w:t xml:space="preserve"> will be made to</w:t>
      </w:r>
      <w:r w:rsidRPr="00CC2919" w:rsidR="00C439BE">
        <w:rPr>
          <w:rFonts w:ascii="Times New Roman" w:hAnsi="Times New Roman"/>
          <w:sz w:val="24"/>
        </w:rPr>
        <w:t xml:space="preserve"> your state’s current FBP to</w:t>
      </w:r>
      <w:r w:rsidRPr="00CC2919" w:rsidR="00307023">
        <w:rPr>
          <w:rFonts w:ascii="Times New Roman" w:hAnsi="Times New Roman"/>
          <w:sz w:val="24"/>
        </w:rPr>
        <w:t xml:space="preserve"> operate this grant.</w:t>
      </w:r>
      <w:r w:rsidRPr="00CC2919" w:rsidR="00725717">
        <w:rPr>
          <w:rFonts w:ascii="Times New Roman" w:hAnsi="Times New Roman"/>
          <w:sz w:val="24"/>
        </w:rPr>
        <w:t xml:space="preserve">  If your state do</w:t>
      </w:r>
      <w:r w:rsidRPr="00CC2919" w:rsidR="00C33378">
        <w:rPr>
          <w:rFonts w:ascii="Times New Roman" w:hAnsi="Times New Roman"/>
          <w:sz w:val="24"/>
        </w:rPr>
        <w:t>es not currently participate in</w:t>
      </w:r>
      <w:r w:rsidRPr="00CC2919" w:rsidR="00725717">
        <w:rPr>
          <w:rFonts w:ascii="Times New Roman" w:hAnsi="Times New Roman"/>
          <w:sz w:val="24"/>
        </w:rPr>
        <w:t xml:space="preserve"> </w:t>
      </w:r>
      <w:r w:rsidRPr="00CC2919" w:rsidR="009F0ACE">
        <w:rPr>
          <w:rFonts w:ascii="Times New Roman" w:hAnsi="Times New Roman"/>
          <w:sz w:val="24"/>
        </w:rPr>
        <w:t>FBP</w:t>
      </w:r>
      <w:r w:rsidRPr="00CC2919" w:rsidR="00725717">
        <w:rPr>
          <w:rFonts w:ascii="Times New Roman" w:hAnsi="Times New Roman"/>
          <w:sz w:val="24"/>
        </w:rPr>
        <w:t xml:space="preserve">, describe how your </w:t>
      </w:r>
      <w:r w:rsidRPr="00CC2919" w:rsidR="009B01D0">
        <w:rPr>
          <w:rFonts w:ascii="Times New Roman" w:hAnsi="Times New Roman"/>
          <w:sz w:val="24"/>
        </w:rPr>
        <w:t>state</w:t>
      </w:r>
      <w:r w:rsidRPr="00CC2919" w:rsidR="00725717">
        <w:rPr>
          <w:rFonts w:ascii="Times New Roman" w:hAnsi="Times New Roman"/>
          <w:sz w:val="24"/>
        </w:rPr>
        <w:t xml:space="preserve"> will administer the fidelity b</w:t>
      </w:r>
      <w:r w:rsidRPr="00CC2919" w:rsidR="00C439BE">
        <w:rPr>
          <w:rFonts w:ascii="Times New Roman" w:hAnsi="Times New Roman"/>
          <w:sz w:val="24"/>
        </w:rPr>
        <w:t>o</w:t>
      </w:r>
      <w:r w:rsidRPr="00CC2919" w:rsidR="00725717">
        <w:rPr>
          <w:rFonts w:ascii="Times New Roman" w:hAnsi="Times New Roman"/>
          <w:sz w:val="24"/>
        </w:rPr>
        <w:t xml:space="preserve">nding demonstration.  Identify the costs to educate employers and the public about fidelity bonding for </w:t>
      </w:r>
      <w:r w:rsidRPr="00CC2919" w:rsidR="00536801">
        <w:rPr>
          <w:rFonts w:ascii="Times New Roman" w:hAnsi="Times New Roman"/>
          <w:sz w:val="24"/>
        </w:rPr>
        <w:t>ex-</w:t>
      </w:r>
      <w:r w:rsidRPr="00CC2919" w:rsidR="00725717">
        <w:rPr>
          <w:rFonts w:ascii="Times New Roman" w:hAnsi="Times New Roman"/>
          <w:sz w:val="24"/>
        </w:rPr>
        <w:t>offenders</w:t>
      </w:r>
      <w:r w:rsidRPr="00CC2919" w:rsidR="00870CB0">
        <w:rPr>
          <w:rFonts w:ascii="Times New Roman" w:hAnsi="Times New Roman"/>
          <w:sz w:val="24"/>
        </w:rPr>
        <w:t>,</w:t>
      </w:r>
      <w:r w:rsidRPr="00CC2919" w:rsidR="00536801">
        <w:rPr>
          <w:rFonts w:ascii="Times New Roman" w:hAnsi="Times New Roman"/>
          <w:sz w:val="24"/>
        </w:rPr>
        <w:t xml:space="preserve"> including individuals recover</w:t>
      </w:r>
      <w:r w:rsidRPr="00CC2919" w:rsidR="00157CC1">
        <w:rPr>
          <w:rFonts w:ascii="Times New Roman" w:hAnsi="Times New Roman"/>
          <w:sz w:val="24"/>
        </w:rPr>
        <w:t>ing</w:t>
      </w:r>
      <w:r w:rsidRPr="00CC2919" w:rsidR="00536801">
        <w:rPr>
          <w:rFonts w:ascii="Times New Roman" w:hAnsi="Times New Roman"/>
          <w:sz w:val="24"/>
        </w:rPr>
        <w:t xml:space="preserve"> from opioid and other drug addictions</w:t>
      </w:r>
      <w:r w:rsidRPr="00CC2919" w:rsidR="00725717">
        <w:rPr>
          <w:rFonts w:ascii="Times New Roman" w:hAnsi="Times New Roman"/>
          <w:sz w:val="24"/>
        </w:rPr>
        <w:t xml:space="preserve">, and administrative costs that will be charged to the grant. </w:t>
      </w:r>
      <w:r w:rsidRPr="00CC2919" w:rsidR="00A914FC">
        <w:rPr>
          <w:rFonts w:ascii="Times New Roman" w:hAnsi="Times New Roman"/>
          <w:sz w:val="24"/>
        </w:rPr>
        <w:t xml:space="preserve"> </w:t>
      </w:r>
      <w:r w:rsidRPr="00CC2919" w:rsidR="00725717">
        <w:rPr>
          <w:rFonts w:ascii="Times New Roman" w:hAnsi="Times New Roman"/>
          <w:sz w:val="24"/>
        </w:rPr>
        <w:t xml:space="preserve">Describe your plan to expend the funds requested within four years.   </w:t>
      </w:r>
    </w:p>
    <w:p w:rsidRPr="00CC2919" w:rsidR="00725717" w:rsidP="00D75757" w:rsidRDefault="00725717" w14:paraId="3370A3DA" w14:textId="77777777">
      <w:pPr>
        <w:pStyle w:val="ListParagraph"/>
        <w:widowControl/>
        <w:numPr>
          <w:ilvl w:val="0"/>
          <w:numId w:val="14"/>
        </w:numPr>
        <w:tabs>
          <w:tab w:val="left" w:pos="810"/>
        </w:tabs>
        <w:autoSpaceDE/>
        <w:autoSpaceDN/>
        <w:adjustRightInd/>
        <w:spacing w:after="200"/>
        <w:ind w:left="810"/>
        <w:contextualSpacing/>
        <w:rPr>
          <w:rFonts w:ascii="Times New Roman" w:hAnsi="Times New Roman"/>
          <w:sz w:val="24"/>
        </w:rPr>
      </w:pPr>
      <w:r w:rsidRPr="00CC2919">
        <w:rPr>
          <w:rFonts w:ascii="Times New Roman" w:hAnsi="Times New Roman"/>
          <w:sz w:val="24"/>
          <w:u w:val="single"/>
        </w:rPr>
        <w:t>Fiscal Integrity</w:t>
      </w:r>
      <w:r w:rsidRPr="00CC2919">
        <w:rPr>
          <w:rFonts w:ascii="Times New Roman" w:hAnsi="Times New Roman"/>
          <w:sz w:val="24"/>
        </w:rPr>
        <w:t xml:space="preserve">: Describe the procedures </w:t>
      </w:r>
      <w:r w:rsidRPr="00CC2919" w:rsidR="00B95D3F">
        <w:rPr>
          <w:rFonts w:ascii="Times New Roman" w:hAnsi="Times New Roman"/>
          <w:sz w:val="24"/>
        </w:rPr>
        <w:t>you</w:t>
      </w:r>
      <w:r w:rsidRPr="00CC2919">
        <w:rPr>
          <w:rFonts w:ascii="Times New Roman" w:hAnsi="Times New Roman"/>
          <w:sz w:val="24"/>
        </w:rPr>
        <w:t xml:space="preserve"> will implement to ensure the fiscal integrity of the project, track funding, and ensure a clear and concise audit trail.</w:t>
      </w:r>
    </w:p>
    <w:p w:rsidRPr="00CC2919" w:rsidR="00725717" w:rsidP="00CC6438" w:rsidRDefault="00B95D3F" w14:paraId="034AC1BC" w14:textId="77777777">
      <w:pPr>
        <w:ind w:left="810"/>
        <w:rPr>
          <w:rFonts w:ascii="Times New Roman" w:hAnsi="Times New Roman"/>
          <w:sz w:val="24"/>
        </w:rPr>
      </w:pPr>
      <w:r w:rsidRPr="00CC2919">
        <w:rPr>
          <w:rFonts w:ascii="Times New Roman" w:hAnsi="Times New Roman"/>
          <w:sz w:val="24"/>
        </w:rPr>
        <w:t xml:space="preserve">Applicants </w:t>
      </w:r>
      <w:r w:rsidRPr="00CC2919" w:rsidR="00725717">
        <w:rPr>
          <w:rFonts w:ascii="Times New Roman" w:hAnsi="Times New Roman"/>
          <w:sz w:val="24"/>
        </w:rPr>
        <w:t xml:space="preserve">are not expected to identify an insurance provider in their application. </w:t>
      </w:r>
    </w:p>
    <w:p w:rsidRPr="00CC2919" w:rsidR="00A375FD" w:rsidP="00A375FD" w:rsidRDefault="00A375FD" w14:paraId="65F6ED1C" w14:textId="77777777">
      <w:pPr>
        <w:ind w:left="630"/>
        <w:rPr>
          <w:rFonts w:ascii="Times New Roman" w:hAnsi="Times New Roman"/>
          <w:sz w:val="24"/>
        </w:rPr>
      </w:pPr>
    </w:p>
    <w:p w:rsidRPr="00CC2919" w:rsidR="00725717" w:rsidP="00CC6438" w:rsidRDefault="004B5911" w14:paraId="4CF344A2" w14:textId="77777777">
      <w:pPr>
        <w:tabs>
          <w:tab w:val="left" w:pos="810"/>
          <w:tab w:val="left" w:pos="990"/>
          <w:tab w:val="left" w:pos="1080"/>
          <w:tab w:val="left" w:pos="1170"/>
          <w:tab w:val="left" w:pos="1440"/>
        </w:tabs>
        <w:ind w:left="810"/>
        <w:rPr>
          <w:rFonts w:ascii="Times New Roman" w:hAnsi="Times New Roman"/>
          <w:color w:val="000000"/>
          <w:sz w:val="24"/>
        </w:rPr>
      </w:pPr>
      <w:r w:rsidRPr="00CC2919">
        <w:rPr>
          <w:rFonts w:ascii="Times New Roman" w:hAnsi="Times New Roman"/>
          <w:b/>
          <w:bCs/>
          <w:i/>
          <w:color w:val="000000"/>
          <w:sz w:val="24"/>
        </w:rPr>
        <w:t>A</w:t>
      </w:r>
      <w:r w:rsidRPr="00CC2919" w:rsidR="00725717">
        <w:rPr>
          <w:rFonts w:ascii="Times New Roman" w:hAnsi="Times New Roman"/>
          <w:b/>
          <w:bCs/>
          <w:i/>
          <w:color w:val="000000"/>
          <w:sz w:val="24"/>
        </w:rPr>
        <w:t>pplication Procedures, Requirements, and Timeline</w:t>
      </w:r>
      <w:r w:rsidRPr="00CC2919" w:rsidR="00725717">
        <w:rPr>
          <w:rFonts w:ascii="Times New Roman" w:hAnsi="Times New Roman"/>
          <w:b/>
          <w:i/>
          <w:color w:val="000000"/>
          <w:sz w:val="24"/>
        </w:rPr>
        <w:t>.</w:t>
      </w:r>
      <w:r w:rsidRPr="00CC2919" w:rsidR="00725717">
        <w:rPr>
          <w:rFonts w:ascii="Times New Roman" w:hAnsi="Times New Roman"/>
          <w:color w:val="000000"/>
          <w:sz w:val="24"/>
        </w:rPr>
        <w:t xml:space="preserve"> </w:t>
      </w:r>
      <w:r w:rsidRPr="00CC2919" w:rsidR="00A375FD">
        <w:rPr>
          <w:rFonts w:ascii="Times New Roman" w:hAnsi="Times New Roman"/>
          <w:color w:val="000000"/>
          <w:sz w:val="24"/>
        </w:rPr>
        <w:t xml:space="preserve"> </w:t>
      </w:r>
      <w:r w:rsidRPr="00CC2919" w:rsidR="00725717">
        <w:rPr>
          <w:rFonts w:ascii="Times New Roman" w:hAnsi="Times New Roman"/>
          <w:color w:val="000000"/>
          <w:sz w:val="24"/>
        </w:rPr>
        <w:t xml:space="preserve">In an effort to achieve greater </w:t>
      </w:r>
      <w:r w:rsidRPr="00CC2919" w:rsidR="00A375FD">
        <w:rPr>
          <w:rFonts w:ascii="Times New Roman" w:hAnsi="Times New Roman"/>
          <w:color w:val="000000"/>
          <w:sz w:val="24"/>
        </w:rPr>
        <w:t xml:space="preserve">    </w:t>
      </w:r>
      <w:r w:rsidRPr="00CC2919" w:rsidR="00725717">
        <w:rPr>
          <w:rFonts w:ascii="Times New Roman" w:hAnsi="Times New Roman"/>
          <w:color w:val="000000"/>
          <w:sz w:val="24"/>
        </w:rPr>
        <w:t xml:space="preserve">efficiency and as part of ETA’s on-going effort to streamline the grant award process, grantees are required to submit the following items through </w:t>
      </w:r>
      <w:r w:rsidRPr="00CC2919" w:rsidR="00725717">
        <w:rPr>
          <w:rFonts w:ascii="Times New Roman" w:hAnsi="Times New Roman"/>
          <w:sz w:val="24"/>
        </w:rPr>
        <w:t>Grants.gov</w:t>
      </w:r>
      <w:r w:rsidRPr="00CC2919" w:rsidR="00725717">
        <w:rPr>
          <w:rFonts w:ascii="Times New Roman" w:hAnsi="Times New Roman"/>
          <w:color w:val="000000"/>
          <w:sz w:val="24"/>
        </w:rPr>
        <w:t xml:space="preserve"> at </w:t>
      </w:r>
      <w:r w:rsidRPr="00095760" w:rsidR="00725717">
        <w:rPr>
          <w:rFonts w:ascii="Times New Roman" w:hAnsi="Times New Roman"/>
          <w:sz w:val="24"/>
          <w:u w:val="single"/>
        </w:rPr>
        <w:t>https://www.grants.gov</w:t>
      </w:r>
      <w:r w:rsidRPr="00095760" w:rsidR="00725717">
        <w:rPr>
          <w:rFonts w:ascii="Times New Roman" w:hAnsi="Times New Roman"/>
          <w:sz w:val="24"/>
        </w:rPr>
        <w:t>/</w:t>
      </w:r>
      <w:r w:rsidRPr="00095760" w:rsidR="00A375FD">
        <w:rPr>
          <w:rFonts w:ascii="Times New Roman" w:hAnsi="Times New Roman"/>
          <w:sz w:val="24"/>
        </w:rPr>
        <w:t>.</w:t>
      </w:r>
      <w:r w:rsidRPr="00CC2919" w:rsidR="00725717">
        <w:rPr>
          <w:rFonts w:ascii="Times New Roman" w:hAnsi="Times New Roman"/>
          <w:color w:val="000000"/>
          <w:sz w:val="24"/>
        </w:rPr>
        <w:t xml:space="preserve"> </w:t>
      </w:r>
    </w:p>
    <w:p w:rsidRPr="00CC2919" w:rsidR="00725717" w:rsidP="000612EB" w:rsidRDefault="00725717" w14:paraId="2B9CD631" w14:textId="77777777">
      <w:pPr>
        <w:pStyle w:val="ListParagraph"/>
        <w:widowControl/>
        <w:numPr>
          <w:ilvl w:val="1"/>
          <w:numId w:val="15"/>
        </w:numPr>
        <w:spacing w:after="44"/>
        <w:ind w:left="1260" w:hanging="270"/>
        <w:contextualSpacing/>
        <w:rPr>
          <w:rFonts w:ascii="Times New Roman" w:hAnsi="Times New Roman"/>
          <w:color w:val="000000"/>
          <w:sz w:val="24"/>
        </w:rPr>
      </w:pPr>
      <w:r w:rsidRPr="00CC2919">
        <w:rPr>
          <w:rFonts w:ascii="Times New Roman" w:hAnsi="Times New Roman"/>
          <w:color w:val="000000"/>
          <w:sz w:val="24"/>
        </w:rPr>
        <w:t xml:space="preserve">An electronically signed copy of an SF-424 - Application for Federal Assistance (OMB Control No. 4040-0004); </w:t>
      </w:r>
    </w:p>
    <w:p w:rsidRPr="00CC2919" w:rsidR="00725717" w:rsidP="000612EB" w:rsidRDefault="00725717" w14:paraId="3AD1D963" w14:textId="77777777">
      <w:pPr>
        <w:pStyle w:val="ListParagraph"/>
        <w:widowControl/>
        <w:numPr>
          <w:ilvl w:val="1"/>
          <w:numId w:val="15"/>
        </w:numPr>
        <w:spacing w:after="44"/>
        <w:ind w:left="1260" w:hanging="270"/>
        <w:contextualSpacing/>
        <w:rPr>
          <w:rFonts w:ascii="Times New Roman" w:hAnsi="Times New Roman"/>
          <w:color w:val="000000"/>
          <w:sz w:val="24"/>
        </w:rPr>
      </w:pPr>
      <w:r w:rsidRPr="00CC2919">
        <w:rPr>
          <w:rFonts w:ascii="Times New Roman" w:hAnsi="Times New Roman"/>
          <w:color w:val="000000"/>
          <w:sz w:val="24"/>
        </w:rPr>
        <w:t xml:space="preserve">An SF-424A - Budget Information </w:t>
      </w:r>
      <w:r w:rsidRPr="00CC2919" w:rsidR="006C5962">
        <w:rPr>
          <w:rFonts w:ascii="Times New Roman" w:hAnsi="Times New Roman"/>
          <w:color w:val="000000"/>
          <w:sz w:val="24"/>
        </w:rPr>
        <w:t>-</w:t>
      </w:r>
      <w:r w:rsidRPr="00CC2919">
        <w:rPr>
          <w:rFonts w:ascii="Times New Roman" w:hAnsi="Times New Roman"/>
          <w:color w:val="000000"/>
          <w:sz w:val="24"/>
        </w:rPr>
        <w:t xml:space="preserve"> Non-Construction Programs (OMB Control No. 4040-0006); </w:t>
      </w:r>
    </w:p>
    <w:p w:rsidRPr="00CC2919" w:rsidR="00725717" w:rsidP="000612EB" w:rsidRDefault="00725717" w14:paraId="1F8D7EA9" w14:textId="77777777">
      <w:pPr>
        <w:pStyle w:val="ListParagraph"/>
        <w:widowControl/>
        <w:numPr>
          <w:ilvl w:val="1"/>
          <w:numId w:val="15"/>
        </w:numPr>
        <w:spacing w:after="44"/>
        <w:ind w:left="1260" w:hanging="270"/>
        <w:contextualSpacing/>
        <w:rPr>
          <w:rFonts w:ascii="Times New Roman" w:hAnsi="Times New Roman"/>
          <w:color w:val="000000"/>
          <w:sz w:val="24"/>
        </w:rPr>
      </w:pPr>
      <w:r w:rsidRPr="00CC2919">
        <w:rPr>
          <w:rFonts w:ascii="Times New Roman" w:hAnsi="Times New Roman"/>
          <w:color w:val="000000"/>
          <w:sz w:val="24"/>
        </w:rPr>
        <w:lastRenderedPageBreak/>
        <w:t xml:space="preserve">A </w:t>
      </w:r>
      <w:r w:rsidRPr="00CC2919" w:rsidR="00CE5D9C">
        <w:rPr>
          <w:rFonts w:ascii="Times New Roman" w:hAnsi="Times New Roman"/>
          <w:color w:val="000000"/>
          <w:sz w:val="24"/>
        </w:rPr>
        <w:t>B</w:t>
      </w:r>
      <w:r w:rsidRPr="00CC2919">
        <w:rPr>
          <w:rFonts w:ascii="Times New Roman" w:hAnsi="Times New Roman"/>
          <w:color w:val="000000"/>
          <w:sz w:val="24"/>
        </w:rPr>
        <w:t xml:space="preserve">udget </w:t>
      </w:r>
      <w:r w:rsidRPr="00CC2919" w:rsidR="00CE5D9C">
        <w:rPr>
          <w:rFonts w:ascii="Times New Roman" w:hAnsi="Times New Roman"/>
          <w:color w:val="000000"/>
          <w:sz w:val="24"/>
        </w:rPr>
        <w:t>N</w:t>
      </w:r>
      <w:r w:rsidRPr="00CC2919">
        <w:rPr>
          <w:rFonts w:ascii="Times New Roman" w:hAnsi="Times New Roman"/>
          <w:color w:val="000000"/>
          <w:sz w:val="24"/>
        </w:rPr>
        <w:t xml:space="preserve">arrative to explain the projected costs reflected in each line item of the SF-424A, demonstrating how grant funds will be used. </w:t>
      </w:r>
      <w:r w:rsidRPr="00CC2919" w:rsidR="006C5962">
        <w:rPr>
          <w:rFonts w:ascii="Times New Roman" w:hAnsi="Times New Roman"/>
          <w:color w:val="000000"/>
          <w:sz w:val="24"/>
        </w:rPr>
        <w:t xml:space="preserve"> </w:t>
      </w:r>
      <w:r w:rsidRPr="00CC2919">
        <w:rPr>
          <w:rFonts w:ascii="Times New Roman" w:hAnsi="Times New Roman"/>
          <w:color w:val="000000"/>
          <w:sz w:val="24"/>
        </w:rPr>
        <w:t xml:space="preserve">See Attachment </w:t>
      </w:r>
      <w:r w:rsidRPr="00CC2919" w:rsidR="001E7A35">
        <w:rPr>
          <w:rFonts w:ascii="Times New Roman" w:hAnsi="Times New Roman"/>
          <w:color w:val="000000"/>
          <w:sz w:val="24"/>
        </w:rPr>
        <w:t>2</w:t>
      </w:r>
      <w:r w:rsidRPr="00CC2919">
        <w:rPr>
          <w:rFonts w:ascii="Times New Roman" w:hAnsi="Times New Roman"/>
          <w:color w:val="000000"/>
          <w:sz w:val="24"/>
        </w:rPr>
        <w:t xml:space="preserve"> for </w:t>
      </w:r>
      <w:r w:rsidRPr="00CC2919" w:rsidR="00CE5D9C">
        <w:rPr>
          <w:rFonts w:ascii="Times New Roman" w:hAnsi="Times New Roman"/>
          <w:color w:val="000000"/>
          <w:sz w:val="24"/>
        </w:rPr>
        <w:t>instructions on completing the Budget N</w:t>
      </w:r>
      <w:r w:rsidRPr="00CC2919">
        <w:rPr>
          <w:rFonts w:ascii="Times New Roman" w:hAnsi="Times New Roman"/>
          <w:color w:val="000000"/>
          <w:sz w:val="24"/>
        </w:rPr>
        <w:t xml:space="preserve">arrative; </w:t>
      </w:r>
    </w:p>
    <w:p w:rsidRPr="00CC2919" w:rsidR="00725717" w:rsidP="00CA7230" w:rsidRDefault="00725717" w14:paraId="1240EF1E" w14:textId="77777777">
      <w:pPr>
        <w:pStyle w:val="ListParagraph"/>
        <w:widowControl/>
        <w:numPr>
          <w:ilvl w:val="1"/>
          <w:numId w:val="15"/>
        </w:numPr>
        <w:tabs>
          <w:tab w:val="left" w:pos="1260"/>
        </w:tabs>
        <w:spacing w:after="44"/>
        <w:ind w:left="1260" w:hanging="270"/>
        <w:contextualSpacing/>
        <w:rPr>
          <w:rFonts w:ascii="Times New Roman" w:hAnsi="Times New Roman"/>
          <w:color w:val="000000"/>
          <w:sz w:val="24"/>
        </w:rPr>
      </w:pPr>
      <w:r w:rsidRPr="00CC2919">
        <w:rPr>
          <w:rFonts w:ascii="Times New Roman" w:hAnsi="Times New Roman"/>
          <w:color w:val="000000"/>
          <w:sz w:val="24"/>
        </w:rPr>
        <w:t xml:space="preserve">An </w:t>
      </w:r>
      <w:r w:rsidRPr="00CC2919" w:rsidR="001E68A6">
        <w:rPr>
          <w:rFonts w:ascii="Times New Roman" w:hAnsi="Times New Roman"/>
          <w:color w:val="000000"/>
          <w:sz w:val="24"/>
        </w:rPr>
        <w:t>A</w:t>
      </w:r>
      <w:r w:rsidRPr="00CC2919">
        <w:rPr>
          <w:rFonts w:ascii="Times New Roman" w:hAnsi="Times New Roman"/>
          <w:color w:val="000000"/>
          <w:sz w:val="24"/>
        </w:rPr>
        <w:t xml:space="preserve">pplication </w:t>
      </w:r>
      <w:r w:rsidRPr="00CC2919" w:rsidR="001E68A6">
        <w:rPr>
          <w:rFonts w:ascii="Times New Roman" w:hAnsi="Times New Roman"/>
          <w:color w:val="000000"/>
          <w:sz w:val="24"/>
        </w:rPr>
        <w:t>N</w:t>
      </w:r>
      <w:r w:rsidRPr="00CC2919">
        <w:rPr>
          <w:rFonts w:ascii="Times New Roman" w:hAnsi="Times New Roman"/>
          <w:color w:val="000000"/>
          <w:sz w:val="24"/>
        </w:rPr>
        <w:t xml:space="preserve">arrative comprised of three sections: </w:t>
      </w:r>
      <w:r w:rsidR="00BB25F2">
        <w:rPr>
          <w:rFonts w:ascii="Times New Roman" w:hAnsi="Times New Roman"/>
          <w:color w:val="000000"/>
          <w:sz w:val="24"/>
        </w:rPr>
        <w:t>(</w:t>
      </w:r>
      <w:r w:rsidRPr="00CC2919">
        <w:rPr>
          <w:rFonts w:ascii="Times New Roman" w:hAnsi="Times New Roman"/>
          <w:sz w:val="24"/>
        </w:rPr>
        <w:t xml:space="preserve">1) Impact/Need Statement; </w:t>
      </w:r>
      <w:r w:rsidR="00BB25F2">
        <w:rPr>
          <w:rFonts w:ascii="Times New Roman" w:hAnsi="Times New Roman"/>
          <w:sz w:val="24"/>
        </w:rPr>
        <w:t>(</w:t>
      </w:r>
      <w:r w:rsidRPr="00CC2919">
        <w:rPr>
          <w:rFonts w:ascii="Times New Roman" w:hAnsi="Times New Roman"/>
          <w:sz w:val="24"/>
        </w:rPr>
        <w:t>2) Project Implementation</w:t>
      </w:r>
      <w:r w:rsidRPr="00CC2919" w:rsidR="00407AB7">
        <w:rPr>
          <w:rFonts w:ascii="Times New Roman" w:hAnsi="Times New Roman"/>
          <w:sz w:val="24"/>
        </w:rPr>
        <w:t>;</w:t>
      </w:r>
      <w:r w:rsidRPr="00CC2919">
        <w:rPr>
          <w:rFonts w:ascii="Times New Roman" w:hAnsi="Times New Roman"/>
          <w:sz w:val="24"/>
        </w:rPr>
        <w:t xml:space="preserve"> </w:t>
      </w:r>
      <w:r w:rsidRPr="00CC2919" w:rsidR="006C5962">
        <w:rPr>
          <w:rFonts w:ascii="Times New Roman" w:hAnsi="Times New Roman"/>
          <w:sz w:val="24"/>
        </w:rPr>
        <w:t xml:space="preserve">and </w:t>
      </w:r>
      <w:r w:rsidR="00BB25F2">
        <w:rPr>
          <w:rFonts w:ascii="Times New Roman" w:hAnsi="Times New Roman"/>
          <w:sz w:val="24"/>
        </w:rPr>
        <w:t>(</w:t>
      </w:r>
      <w:r w:rsidRPr="00CC2919">
        <w:rPr>
          <w:rFonts w:ascii="Times New Roman" w:hAnsi="Times New Roman"/>
          <w:sz w:val="24"/>
        </w:rPr>
        <w:t>3) Fiscal Integrity</w:t>
      </w:r>
      <w:r w:rsidRPr="00CC2919">
        <w:rPr>
          <w:rFonts w:ascii="Times New Roman" w:hAnsi="Times New Roman"/>
          <w:color w:val="000000"/>
          <w:sz w:val="24"/>
        </w:rPr>
        <w:t xml:space="preserve">.  Each section must address the questions and requirements laid out in Section </w:t>
      </w:r>
      <w:r w:rsidRPr="00CC2919" w:rsidR="00EE4340">
        <w:rPr>
          <w:rFonts w:ascii="Times New Roman" w:hAnsi="Times New Roman"/>
          <w:color w:val="000000"/>
          <w:sz w:val="24"/>
        </w:rPr>
        <w:t>10</w:t>
      </w:r>
      <w:r w:rsidRPr="00CC2919">
        <w:rPr>
          <w:rFonts w:ascii="Times New Roman" w:hAnsi="Times New Roman"/>
          <w:color w:val="000000"/>
          <w:sz w:val="24"/>
        </w:rPr>
        <w:t xml:space="preserve"> above.  The </w:t>
      </w:r>
      <w:r w:rsidRPr="00CC2919" w:rsidR="001E68A6">
        <w:rPr>
          <w:rFonts w:ascii="Times New Roman" w:hAnsi="Times New Roman"/>
          <w:color w:val="000000"/>
          <w:sz w:val="24"/>
        </w:rPr>
        <w:t>A</w:t>
      </w:r>
      <w:r w:rsidRPr="00CC2919">
        <w:rPr>
          <w:rFonts w:ascii="Times New Roman" w:hAnsi="Times New Roman"/>
          <w:color w:val="000000"/>
          <w:sz w:val="24"/>
        </w:rPr>
        <w:t xml:space="preserve">pplication </w:t>
      </w:r>
      <w:r w:rsidRPr="00CC2919" w:rsidR="001E68A6">
        <w:rPr>
          <w:rFonts w:ascii="Times New Roman" w:hAnsi="Times New Roman"/>
          <w:color w:val="000000"/>
          <w:sz w:val="24"/>
        </w:rPr>
        <w:t>N</w:t>
      </w:r>
      <w:r w:rsidRPr="00CC2919">
        <w:rPr>
          <w:rFonts w:ascii="Times New Roman" w:hAnsi="Times New Roman"/>
          <w:color w:val="000000"/>
          <w:sz w:val="24"/>
        </w:rPr>
        <w:t>arrative statement must not exceed four double-spaced pages, not including attachments; and</w:t>
      </w:r>
    </w:p>
    <w:p w:rsidRPr="00CC2919" w:rsidR="00725717" w:rsidP="00913472" w:rsidRDefault="00725717" w14:paraId="6021FD94" w14:textId="77777777">
      <w:pPr>
        <w:pStyle w:val="ListParagraph"/>
        <w:widowControl/>
        <w:numPr>
          <w:ilvl w:val="1"/>
          <w:numId w:val="15"/>
        </w:numPr>
        <w:spacing w:after="44"/>
        <w:ind w:left="1260" w:hanging="270"/>
        <w:contextualSpacing/>
        <w:rPr>
          <w:rFonts w:ascii="Times New Roman" w:hAnsi="Times New Roman"/>
          <w:color w:val="000000"/>
          <w:sz w:val="24"/>
        </w:rPr>
      </w:pPr>
      <w:r w:rsidRPr="00CC2919">
        <w:rPr>
          <w:rFonts w:ascii="Times New Roman" w:hAnsi="Times New Roman"/>
          <w:color w:val="000000"/>
          <w:sz w:val="24"/>
        </w:rPr>
        <w:t>A proposed project timeline, which includes a brief summary of planned activities and project milestones.</w:t>
      </w:r>
    </w:p>
    <w:p w:rsidRPr="00CC2919" w:rsidR="005A4EA8" w:rsidP="005A4EA8" w:rsidRDefault="005A4EA8" w14:paraId="130A1300" w14:textId="77777777">
      <w:pPr>
        <w:pStyle w:val="ListParagraph"/>
        <w:widowControl/>
        <w:spacing w:after="44"/>
        <w:contextualSpacing/>
        <w:rPr>
          <w:rFonts w:ascii="Times New Roman" w:hAnsi="Times New Roman"/>
          <w:color w:val="000000"/>
          <w:sz w:val="24"/>
        </w:rPr>
      </w:pPr>
    </w:p>
    <w:p w:rsidRPr="00CC2919" w:rsidR="00A375FD" w:rsidP="005902C5" w:rsidRDefault="00725717" w14:paraId="0487A0A0" w14:textId="77777777">
      <w:pPr>
        <w:tabs>
          <w:tab w:val="left" w:pos="450"/>
        </w:tabs>
        <w:ind w:left="450"/>
        <w:rPr>
          <w:rFonts w:ascii="Times New Roman" w:hAnsi="Times New Roman"/>
          <w:color w:val="000000"/>
          <w:sz w:val="24"/>
        </w:rPr>
      </w:pPr>
      <w:r w:rsidRPr="00CC2919">
        <w:rPr>
          <w:rFonts w:ascii="Times New Roman" w:hAnsi="Times New Roman"/>
          <w:color w:val="000000"/>
          <w:sz w:val="24"/>
        </w:rPr>
        <w:t>An SF-424 electronically submitted through Grants.gov constitutes the official signed document and must reflect the total amount requested of no more than $100,0</w:t>
      </w:r>
      <w:r w:rsidRPr="00CC2919" w:rsidR="00E2144A">
        <w:rPr>
          <w:rFonts w:ascii="Times New Roman" w:hAnsi="Times New Roman"/>
          <w:color w:val="000000"/>
          <w:sz w:val="24"/>
        </w:rPr>
        <w:t xml:space="preserve">00 in item </w:t>
      </w:r>
      <w:r w:rsidRPr="00CC2919">
        <w:rPr>
          <w:rFonts w:ascii="Times New Roman" w:hAnsi="Times New Roman"/>
          <w:color w:val="000000"/>
          <w:sz w:val="24"/>
        </w:rPr>
        <w:t xml:space="preserve">18, Estimated Funding. </w:t>
      </w:r>
    </w:p>
    <w:p w:rsidRPr="00CC2919" w:rsidR="00A375FD" w:rsidP="005902C5" w:rsidRDefault="00A375FD" w14:paraId="6229C163" w14:textId="77777777">
      <w:pPr>
        <w:tabs>
          <w:tab w:val="left" w:pos="450"/>
        </w:tabs>
        <w:ind w:left="450"/>
        <w:rPr>
          <w:rFonts w:ascii="Times New Roman" w:hAnsi="Times New Roman"/>
          <w:color w:val="000000"/>
          <w:sz w:val="24"/>
        </w:rPr>
      </w:pPr>
    </w:p>
    <w:p w:rsidRPr="00CC2919" w:rsidR="00725717" w:rsidP="00CA7230" w:rsidRDefault="00870CB0" w14:paraId="76ECD3B2" w14:textId="77777777">
      <w:pPr>
        <w:tabs>
          <w:tab w:val="left" w:pos="450"/>
        </w:tabs>
        <w:ind w:left="450"/>
        <w:rPr>
          <w:rFonts w:ascii="Times New Roman" w:hAnsi="Times New Roman"/>
          <w:color w:val="000000"/>
          <w:sz w:val="24"/>
        </w:rPr>
      </w:pPr>
      <w:r w:rsidRPr="00CC2919">
        <w:rPr>
          <w:rFonts w:ascii="Times New Roman" w:hAnsi="Times New Roman"/>
          <w:color w:val="000000"/>
          <w:sz w:val="24"/>
        </w:rPr>
        <w:t>T</w:t>
      </w:r>
      <w:r w:rsidRPr="00CC2919" w:rsidR="00725717">
        <w:rPr>
          <w:rFonts w:ascii="Times New Roman" w:hAnsi="Times New Roman"/>
          <w:color w:val="000000"/>
          <w:sz w:val="24"/>
        </w:rPr>
        <w:t>o</w:t>
      </w:r>
      <w:r w:rsidRPr="00CC2919">
        <w:rPr>
          <w:rFonts w:ascii="Times New Roman" w:hAnsi="Times New Roman"/>
          <w:color w:val="000000"/>
          <w:sz w:val="24"/>
        </w:rPr>
        <w:t xml:space="preserve"> find this TEGL on</w:t>
      </w:r>
      <w:r w:rsidRPr="00CC2919" w:rsidR="00725717">
        <w:rPr>
          <w:rFonts w:ascii="Times New Roman" w:hAnsi="Times New Roman"/>
          <w:color w:val="000000"/>
          <w:sz w:val="24"/>
        </w:rPr>
        <w:t xml:space="preserve"> Grants.gov </w:t>
      </w:r>
      <w:r w:rsidRPr="00CC2919">
        <w:rPr>
          <w:rFonts w:ascii="Times New Roman" w:hAnsi="Times New Roman"/>
          <w:color w:val="000000"/>
          <w:sz w:val="24"/>
        </w:rPr>
        <w:t>and submit the required documents,</w:t>
      </w:r>
      <w:r w:rsidRPr="00CC2919" w:rsidR="00725717">
        <w:rPr>
          <w:rFonts w:ascii="Times New Roman" w:hAnsi="Times New Roman"/>
          <w:color w:val="000000"/>
          <w:sz w:val="24"/>
        </w:rPr>
        <w:t xml:space="preserve"> select “Search Grants.”  On the left side of the page</w:t>
      </w:r>
      <w:r w:rsidRPr="00CC2919">
        <w:rPr>
          <w:rFonts w:ascii="Times New Roman" w:hAnsi="Times New Roman"/>
          <w:color w:val="000000"/>
          <w:sz w:val="24"/>
        </w:rPr>
        <w:t>,</w:t>
      </w:r>
      <w:r w:rsidRPr="00CC2919" w:rsidR="00725717">
        <w:rPr>
          <w:rFonts w:ascii="Times New Roman" w:hAnsi="Times New Roman"/>
          <w:color w:val="000000"/>
          <w:sz w:val="24"/>
        </w:rPr>
        <w:t xml:space="preserve"> scroll down to Agency, expand the selection “All Department of Labor,” and select “Employment and Training Administration.” </w:t>
      </w:r>
    </w:p>
    <w:p w:rsidRPr="00CC2919" w:rsidR="00725717" w:rsidP="00D82877" w:rsidRDefault="00725717" w14:paraId="7682409B" w14:textId="77777777">
      <w:pPr>
        <w:ind w:left="720"/>
        <w:rPr>
          <w:rFonts w:ascii="Times New Roman" w:hAnsi="Times New Roman"/>
          <w:color w:val="000000"/>
          <w:sz w:val="24"/>
        </w:rPr>
      </w:pPr>
    </w:p>
    <w:p w:rsidRPr="00095760" w:rsidR="00725717" w:rsidP="00CA7230" w:rsidRDefault="00725717" w14:paraId="7DF57EB4" w14:textId="77777777">
      <w:pPr>
        <w:ind w:left="450"/>
        <w:rPr>
          <w:rFonts w:ascii="Times New Roman" w:hAnsi="Times New Roman"/>
          <w:sz w:val="24"/>
        </w:rPr>
      </w:pPr>
      <w:r w:rsidRPr="00CC2919">
        <w:rPr>
          <w:rFonts w:ascii="Times New Roman" w:hAnsi="Times New Roman"/>
          <w:color w:val="000000"/>
          <w:sz w:val="24"/>
        </w:rPr>
        <w:t xml:space="preserve">If applicants encounter a problem with </w:t>
      </w:r>
      <w:r w:rsidRPr="00CC2919">
        <w:rPr>
          <w:rFonts w:ascii="Times New Roman" w:hAnsi="Times New Roman"/>
          <w:sz w:val="24"/>
        </w:rPr>
        <w:t>Grants.gov</w:t>
      </w:r>
      <w:r w:rsidRPr="00CC2919">
        <w:rPr>
          <w:rFonts w:ascii="Times New Roman" w:hAnsi="Times New Roman"/>
          <w:color w:val="0000FF"/>
          <w:sz w:val="24"/>
        </w:rPr>
        <w:t xml:space="preserve"> </w:t>
      </w:r>
      <w:r w:rsidRPr="00CC2919">
        <w:rPr>
          <w:rFonts w:ascii="Times New Roman" w:hAnsi="Times New Roman"/>
          <w:color w:val="000000"/>
          <w:sz w:val="24"/>
        </w:rPr>
        <w:t xml:space="preserve">and do not find an answer in any of the other resources call 1-800-518-4726 or 606-545-5035 to speak to a Customer Support Representative or email </w:t>
      </w:r>
      <w:hyperlink w:history="1" r:id="rId11">
        <w:r w:rsidRPr="00095760">
          <w:rPr>
            <w:rStyle w:val="Hyperlink"/>
            <w:rFonts w:ascii="Times New Roman" w:hAnsi="Times New Roman"/>
            <w:color w:val="auto"/>
            <w:sz w:val="24"/>
          </w:rPr>
          <w:t>support@grants.gov</w:t>
        </w:r>
      </w:hyperlink>
      <w:r w:rsidRPr="00095760">
        <w:rPr>
          <w:rFonts w:ascii="Times New Roman" w:hAnsi="Times New Roman"/>
          <w:sz w:val="24"/>
        </w:rPr>
        <w:t>.</w:t>
      </w:r>
    </w:p>
    <w:p w:rsidRPr="00CC2919" w:rsidR="00725717" w:rsidP="00CA268C" w:rsidRDefault="00725717" w14:paraId="4E0ABE18" w14:textId="77777777">
      <w:pPr>
        <w:tabs>
          <w:tab w:val="left" w:pos="720"/>
        </w:tabs>
        <w:ind w:left="720"/>
        <w:rPr>
          <w:rFonts w:ascii="Times New Roman" w:hAnsi="Times New Roman"/>
          <w:color w:val="000000"/>
          <w:sz w:val="24"/>
        </w:rPr>
      </w:pPr>
      <w:r w:rsidRPr="00CC2919">
        <w:rPr>
          <w:rFonts w:ascii="Times New Roman" w:hAnsi="Times New Roman"/>
          <w:color w:val="000000"/>
          <w:sz w:val="24"/>
        </w:rPr>
        <w:t xml:space="preserve"> </w:t>
      </w:r>
    </w:p>
    <w:p w:rsidRPr="00CC2919" w:rsidR="00725717" w:rsidP="00CA7230" w:rsidRDefault="00725717" w14:paraId="0D2B7E8E" w14:textId="77777777">
      <w:pPr>
        <w:pStyle w:val="Default"/>
        <w:tabs>
          <w:tab w:val="left" w:pos="450"/>
        </w:tabs>
        <w:ind w:left="450"/>
      </w:pPr>
      <w:r w:rsidRPr="00CC2919">
        <w:lastRenderedPageBreak/>
        <w:t xml:space="preserve">The final date for accepting applications is </w:t>
      </w:r>
      <w:r w:rsidRPr="00CC2919">
        <w:rPr>
          <w:b/>
          <w:bCs/>
        </w:rPr>
        <w:t xml:space="preserve">11:59PM ET on </w:t>
      </w:r>
      <w:r w:rsidRPr="0011339A">
        <w:rPr>
          <w:b/>
          <w:bCs/>
          <w:highlight w:val="lightGray"/>
        </w:rPr>
        <w:t>XXXXXX</w:t>
      </w:r>
      <w:r w:rsidRPr="00CC2919">
        <w:rPr>
          <w:b/>
          <w:bCs/>
        </w:rPr>
        <w:t>, 2</w:t>
      </w:r>
      <w:r w:rsidRPr="00CC2919" w:rsidR="004C3BBA">
        <w:rPr>
          <w:b/>
          <w:bCs/>
        </w:rPr>
        <w:t>020</w:t>
      </w:r>
      <w:r w:rsidRPr="00CC2919">
        <w:t>.</w:t>
      </w:r>
      <w:r w:rsidRPr="00CC2919" w:rsidR="00DC088A">
        <w:t xml:space="preserve"> </w:t>
      </w:r>
      <w:r w:rsidRPr="00CC2919">
        <w:t xml:space="preserve"> </w:t>
      </w:r>
    </w:p>
    <w:p w:rsidRPr="00CC2919" w:rsidR="0087751B" w:rsidP="00D82877" w:rsidRDefault="0087751B" w14:paraId="58A2CD46" w14:textId="77777777">
      <w:pPr>
        <w:pStyle w:val="Default"/>
        <w:ind w:left="720"/>
      </w:pPr>
    </w:p>
    <w:p w:rsidRPr="00CC2919" w:rsidR="00DC088A" w:rsidP="00E2144A" w:rsidRDefault="008D57F2" w14:paraId="78A9DF67" w14:textId="77777777">
      <w:pPr>
        <w:tabs>
          <w:tab w:val="left" w:pos="450"/>
        </w:tabs>
        <w:spacing w:before="91"/>
        <w:ind w:left="450" w:right="318" w:hanging="450"/>
        <w:rPr>
          <w:rFonts w:ascii="Times New Roman" w:hAnsi="Times New Roman"/>
          <w:color w:val="1F1F1F"/>
          <w:sz w:val="24"/>
        </w:rPr>
      </w:pPr>
      <w:r>
        <w:rPr>
          <w:rFonts w:ascii="Times New Roman" w:hAnsi="Times New Roman"/>
          <w:b/>
          <w:sz w:val="24"/>
          <w:u w:val="single"/>
        </w:rPr>
        <w:t xml:space="preserve">h.  </w:t>
      </w:r>
      <w:r w:rsidRPr="00CC2919" w:rsidR="0087751B">
        <w:rPr>
          <w:rFonts w:ascii="Times New Roman" w:hAnsi="Times New Roman"/>
          <w:b/>
          <w:sz w:val="24"/>
          <w:u w:val="single"/>
        </w:rPr>
        <w:t>Award Procedures</w:t>
      </w:r>
      <w:r w:rsidRPr="00CC2919" w:rsidR="0087751B">
        <w:rPr>
          <w:rFonts w:ascii="Times New Roman" w:hAnsi="Times New Roman"/>
          <w:b/>
          <w:sz w:val="24"/>
        </w:rPr>
        <w:t>.</w:t>
      </w:r>
      <w:r w:rsidRPr="00CC2919" w:rsidR="00A375FD">
        <w:rPr>
          <w:rFonts w:ascii="Times New Roman" w:hAnsi="Times New Roman"/>
          <w:b/>
          <w:sz w:val="24"/>
        </w:rPr>
        <w:t xml:space="preserve"> </w:t>
      </w:r>
      <w:r w:rsidRPr="00CC2919" w:rsidR="0087751B">
        <w:rPr>
          <w:rFonts w:ascii="Times New Roman" w:hAnsi="Times New Roman"/>
          <w:color w:val="343434"/>
          <w:sz w:val="24"/>
        </w:rPr>
        <w:t xml:space="preserve"> </w:t>
      </w:r>
      <w:r w:rsidRPr="00CC2919" w:rsidR="0087751B">
        <w:rPr>
          <w:rFonts w:ascii="Times New Roman" w:hAnsi="Times New Roman"/>
          <w:color w:val="1F1F1F"/>
          <w:sz w:val="24"/>
        </w:rPr>
        <w:t>Awards will be made</w:t>
      </w:r>
      <w:r w:rsidRPr="00CC2919" w:rsidR="0087751B">
        <w:rPr>
          <w:rFonts w:ascii="Times New Roman" w:hAnsi="Times New Roman"/>
          <w:color w:val="343434"/>
          <w:sz w:val="24"/>
        </w:rPr>
        <w:t xml:space="preserve"> </w:t>
      </w:r>
      <w:r w:rsidRPr="00CC2919" w:rsidR="0087751B">
        <w:rPr>
          <w:rFonts w:ascii="Times New Roman" w:hAnsi="Times New Roman"/>
          <w:color w:val="1F1F1F"/>
          <w:sz w:val="24"/>
        </w:rPr>
        <w:t xml:space="preserve">to </w:t>
      </w:r>
      <w:r w:rsidRPr="00CC2919" w:rsidR="0087751B">
        <w:rPr>
          <w:rFonts w:ascii="Times New Roman" w:hAnsi="Times New Roman"/>
          <w:color w:val="343434"/>
          <w:sz w:val="24"/>
        </w:rPr>
        <w:t xml:space="preserve">eligible applicants </w:t>
      </w:r>
      <w:r w:rsidRPr="00CC2919" w:rsidR="0087751B">
        <w:rPr>
          <w:rFonts w:ascii="Times New Roman" w:hAnsi="Times New Roman"/>
          <w:color w:val="1F1F1F"/>
          <w:sz w:val="24"/>
        </w:rPr>
        <w:t xml:space="preserve">meeting the </w:t>
      </w:r>
      <w:r w:rsidRPr="00CC2919" w:rsidR="0087751B">
        <w:rPr>
          <w:rFonts w:ascii="Times New Roman" w:hAnsi="Times New Roman"/>
          <w:color w:val="343434"/>
          <w:sz w:val="24"/>
        </w:rPr>
        <w:t>grant</w:t>
      </w:r>
      <w:r w:rsidRPr="00CC2919" w:rsidR="0087751B">
        <w:rPr>
          <w:rFonts w:ascii="Times New Roman" w:hAnsi="Times New Roman"/>
          <w:color w:val="1F1F1F"/>
          <w:sz w:val="24"/>
        </w:rPr>
        <w:t xml:space="preserve"> requirements as </w:t>
      </w:r>
      <w:r w:rsidRPr="00CC2919" w:rsidR="0087751B">
        <w:rPr>
          <w:rFonts w:ascii="Times New Roman" w:hAnsi="Times New Roman"/>
          <w:color w:val="343434"/>
          <w:sz w:val="24"/>
        </w:rPr>
        <w:t xml:space="preserve">outlined </w:t>
      </w:r>
      <w:r w:rsidRPr="00CC2919" w:rsidR="0087751B">
        <w:rPr>
          <w:rFonts w:ascii="Times New Roman" w:hAnsi="Times New Roman"/>
          <w:color w:val="1F1F1F"/>
          <w:sz w:val="24"/>
        </w:rPr>
        <w:t xml:space="preserve">in this </w:t>
      </w:r>
      <w:r w:rsidRPr="00CC2919" w:rsidR="0087751B">
        <w:rPr>
          <w:rFonts w:ascii="Times New Roman" w:hAnsi="Times New Roman"/>
          <w:color w:val="343434"/>
          <w:sz w:val="24"/>
        </w:rPr>
        <w:t>TEGL</w:t>
      </w:r>
      <w:r w:rsidRPr="00CC2919" w:rsidR="00913472">
        <w:rPr>
          <w:rFonts w:ascii="Times New Roman" w:hAnsi="Times New Roman"/>
          <w:color w:val="343434"/>
          <w:sz w:val="24"/>
        </w:rPr>
        <w:t xml:space="preserve">.  </w:t>
      </w:r>
      <w:r w:rsidRPr="00CC2919" w:rsidR="0087751B">
        <w:rPr>
          <w:rFonts w:ascii="Times New Roman" w:hAnsi="Times New Roman"/>
          <w:color w:val="343434"/>
          <w:sz w:val="24"/>
        </w:rPr>
        <w:t xml:space="preserve">ETA may choose to </w:t>
      </w:r>
      <w:r w:rsidRPr="00CC2919" w:rsidR="0087751B">
        <w:rPr>
          <w:rFonts w:ascii="Times New Roman" w:hAnsi="Times New Roman"/>
          <w:color w:val="1F1F1F"/>
          <w:sz w:val="24"/>
        </w:rPr>
        <w:t xml:space="preserve">provide technical </w:t>
      </w:r>
      <w:r w:rsidRPr="00CC2919" w:rsidR="0087751B">
        <w:rPr>
          <w:rFonts w:ascii="Times New Roman" w:hAnsi="Times New Roman"/>
          <w:color w:val="343434"/>
          <w:sz w:val="24"/>
        </w:rPr>
        <w:t>assistance</w:t>
      </w:r>
      <w:r w:rsidRPr="00CC2919" w:rsidR="0087751B">
        <w:rPr>
          <w:rFonts w:ascii="Times New Roman" w:hAnsi="Times New Roman"/>
          <w:color w:val="4D4F52"/>
          <w:sz w:val="24"/>
        </w:rPr>
        <w:t xml:space="preserve">, </w:t>
      </w:r>
      <w:r w:rsidRPr="00CC2919" w:rsidR="0087751B">
        <w:rPr>
          <w:rFonts w:ascii="Times New Roman" w:hAnsi="Times New Roman"/>
          <w:color w:val="343434"/>
          <w:sz w:val="24"/>
        </w:rPr>
        <w:t xml:space="preserve">as </w:t>
      </w:r>
      <w:r w:rsidRPr="00CC2919" w:rsidR="0087751B">
        <w:rPr>
          <w:rFonts w:ascii="Times New Roman" w:hAnsi="Times New Roman"/>
          <w:color w:val="1F1F1F"/>
          <w:sz w:val="24"/>
        </w:rPr>
        <w:t>needed</w:t>
      </w:r>
      <w:r w:rsidRPr="00CC2919" w:rsidR="0087751B">
        <w:rPr>
          <w:rFonts w:ascii="Times New Roman" w:hAnsi="Times New Roman"/>
          <w:color w:val="4D4F52"/>
          <w:sz w:val="24"/>
        </w:rPr>
        <w:t xml:space="preserve">, </w:t>
      </w:r>
      <w:r w:rsidRPr="00CC2919" w:rsidR="0087751B">
        <w:rPr>
          <w:rFonts w:ascii="Times New Roman" w:hAnsi="Times New Roman"/>
          <w:color w:val="1F1F1F"/>
          <w:sz w:val="24"/>
        </w:rPr>
        <w:t>to</w:t>
      </w:r>
      <w:r w:rsidRPr="00CC2919" w:rsidR="0087751B">
        <w:rPr>
          <w:rFonts w:ascii="Times New Roman" w:hAnsi="Times New Roman"/>
          <w:color w:val="343434"/>
          <w:sz w:val="24"/>
        </w:rPr>
        <w:t xml:space="preserve"> assist applicants </w:t>
      </w:r>
      <w:r w:rsidRPr="00CC2919" w:rsidR="0087751B">
        <w:rPr>
          <w:rFonts w:ascii="Times New Roman" w:hAnsi="Times New Roman"/>
          <w:color w:val="1F1F1F"/>
          <w:sz w:val="24"/>
        </w:rPr>
        <w:t xml:space="preserve">that fail to meet </w:t>
      </w:r>
      <w:r w:rsidRPr="00CC2919" w:rsidR="0087751B">
        <w:rPr>
          <w:rFonts w:ascii="Times New Roman" w:hAnsi="Times New Roman"/>
          <w:color w:val="343434"/>
          <w:sz w:val="24"/>
        </w:rPr>
        <w:t xml:space="preserve">all </w:t>
      </w:r>
      <w:r w:rsidRPr="00CC2919" w:rsidR="0087751B">
        <w:rPr>
          <w:rFonts w:ascii="Times New Roman" w:hAnsi="Times New Roman"/>
          <w:color w:val="1F1F1F"/>
          <w:sz w:val="24"/>
        </w:rPr>
        <w:t xml:space="preserve">the requirements necessary </w:t>
      </w:r>
      <w:r w:rsidRPr="00CC2919" w:rsidR="0087751B">
        <w:rPr>
          <w:rFonts w:ascii="Times New Roman" w:hAnsi="Times New Roman"/>
          <w:color w:val="343434"/>
          <w:sz w:val="24"/>
        </w:rPr>
        <w:t xml:space="preserve">for ETA </w:t>
      </w:r>
      <w:r w:rsidRPr="00CC2919" w:rsidR="0087751B">
        <w:rPr>
          <w:rFonts w:ascii="Times New Roman" w:hAnsi="Times New Roman"/>
          <w:color w:val="1F1F1F"/>
          <w:sz w:val="24"/>
        </w:rPr>
        <w:t>to provide funding; however</w:t>
      </w:r>
      <w:r w:rsidRPr="00CC2919" w:rsidR="0087751B">
        <w:rPr>
          <w:rFonts w:ascii="Times New Roman" w:hAnsi="Times New Roman"/>
          <w:color w:val="4D4F52"/>
          <w:sz w:val="24"/>
        </w:rPr>
        <w:t xml:space="preserve">, </w:t>
      </w:r>
      <w:r w:rsidRPr="00CC2919" w:rsidR="0087751B">
        <w:rPr>
          <w:rFonts w:ascii="Times New Roman" w:hAnsi="Times New Roman"/>
          <w:color w:val="343434"/>
          <w:sz w:val="24"/>
        </w:rPr>
        <w:t xml:space="preserve">this </w:t>
      </w:r>
      <w:r w:rsidRPr="00CC2919" w:rsidR="0087751B">
        <w:rPr>
          <w:rFonts w:ascii="Times New Roman" w:hAnsi="Times New Roman"/>
          <w:color w:val="1F1F1F"/>
          <w:sz w:val="24"/>
        </w:rPr>
        <w:t xml:space="preserve">technical </w:t>
      </w:r>
      <w:r w:rsidRPr="00CC2919" w:rsidR="0087751B">
        <w:rPr>
          <w:rFonts w:ascii="Times New Roman" w:hAnsi="Times New Roman"/>
          <w:color w:val="343434"/>
          <w:sz w:val="24"/>
        </w:rPr>
        <w:t xml:space="preserve">assistance </w:t>
      </w:r>
      <w:r w:rsidRPr="00CC2919" w:rsidR="0087751B">
        <w:rPr>
          <w:rFonts w:ascii="Times New Roman" w:hAnsi="Times New Roman"/>
          <w:color w:val="1F1F1F"/>
          <w:sz w:val="24"/>
        </w:rPr>
        <w:t xml:space="preserve">is not an indication </w:t>
      </w:r>
      <w:r w:rsidRPr="00CC2919" w:rsidR="0087751B">
        <w:rPr>
          <w:rFonts w:ascii="Times New Roman" w:hAnsi="Times New Roman"/>
          <w:color w:val="343434"/>
          <w:sz w:val="24"/>
        </w:rPr>
        <w:t xml:space="preserve">or guarantee </w:t>
      </w:r>
      <w:r w:rsidRPr="00CC2919" w:rsidR="0087751B">
        <w:rPr>
          <w:rFonts w:ascii="Times New Roman" w:hAnsi="Times New Roman"/>
          <w:color w:val="1F1F1F"/>
          <w:sz w:val="24"/>
        </w:rPr>
        <w:t xml:space="preserve">that </w:t>
      </w:r>
      <w:r w:rsidRPr="00CC2919" w:rsidR="0087751B">
        <w:rPr>
          <w:rFonts w:ascii="Times New Roman" w:hAnsi="Times New Roman"/>
          <w:color w:val="343434"/>
          <w:sz w:val="24"/>
        </w:rPr>
        <w:t xml:space="preserve">ETA </w:t>
      </w:r>
      <w:r w:rsidRPr="00CC2919" w:rsidR="0087751B">
        <w:rPr>
          <w:rFonts w:ascii="Times New Roman" w:hAnsi="Times New Roman"/>
          <w:color w:val="1F1F1F"/>
          <w:sz w:val="24"/>
        </w:rPr>
        <w:t>will award the applica</w:t>
      </w:r>
      <w:r w:rsidR="00051D6E">
        <w:rPr>
          <w:rFonts w:ascii="Times New Roman" w:hAnsi="Times New Roman"/>
          <w:color w:val="1F1F1F"/>
          <w:sz w:val="24"/>
        </w:rPr>
        <w:t>nt</w:t>
      </w:r>
      <w:r w:rsidRPr="00CC2919" w:rsidR="0087751B">
        <w:rPr>
          <w:rFonts w:ascii="Times New Roman" w:hAnsi="Times New Roman"/>
          <w:color w:val="1F1F1F"/>
          <w:sz w:val="24"/>
        </w:rPr>
        <w:t xml:space="preserve"> a grant.  An applicant will not receive a grant if it fails to demonstrate all required components prior to ETA exhausting all of the grant funds.  </w:t>
      </w:r>
      <w:r w:rsidRPr="00CC2919" w:rsidR="001B2589">
        <w:rPr>
          <w:rFonts w:ascii="Times New Roman" w:hAnsi="Times New Roman"/>
          <w:sz w:val="24"/>
        </w:rPr>
        <w:t xml:space="preserve">  </w:t>
      </w:r>
    </w:p>
    <w:p w:rsidRPr="00CC2919" w:rsidR="0087751B" w:rsidP="00DC088A" w:rsidRDefault="0087751B" w14:paraId="27EC5E9E" w14:textId="77777777">
      <w:pPr>
        <w:pStyle w:val="BodyText"/>
        <w:spacing w:before="1"/>
        <w:ind w:left="0"/>
      </w:pPr>
    </w:p>
    <w:p w:rsidRPr="00CC2919" w:rsidR="0087751B" w:rsidP="00CA268C" w:rsidRDefault="0087751B" w14:paraId="31F691F7" w14:textId="77777777">
      <w:pPr>
        <w:pStyle w:val="BodyText"/>
        <w:spacing w:before="1"/>
        <w:ind w:left="450" w:right="217"/>
      </w:pPr>
      <w:r w:rsidRPr="00CC2919">
        <w:t xml:space="preserve">ETA may elect to award a grant with or without discussions with the applicant. </w:t>
      </w:r>
      <w:r w:rsidR="00244383">
        <w:t xml:space="preserve"> </w:t>
      </w:r>
      <w:r w:rsidRPr="00CC2919">
        <w:t>Should a grant be awarded without discussions, the award will be based on the applicant</w:t>
      </w:r>
      <w:r w:rsidR="00051D6E">
        <w:t>’</w:t>
      </w:r>
      <w:r w:rsidRPr="00CC2919">
        <w:t>s signature on the SF-424, including electronic signature, w</w:t>
      </w:r>
      <w:r w:rsidRPr="00CC2919" w:rsidR="00C33378">
        <w:t>hich constitutes a binding agreement</w:t>
      </w:r>
      <w:r w:rsidRPr="00CC2919">
        <w:t xml:space="preserve"> by the applicant.</w:t>
      </w:r>
    </w:p>
    <w:p w:rsidRPr="00CC2919" w:rsidR="0087751B" w:rsidP="00D82877" w:rsidRDefault="0087751B" w14:paraId="5B4A7DE8" w14:textId="77777777">
      <w:pPr>
        <w:pStyle w:val="BodyText"/>
        <w:spacing w:before="9"/>
      </w:pPr>
    </w:p>
    <w:p w:rsidRPr="00CC2919" w:rsidR="0087751B" w:rsidP="00CA268C" w:rsidRDefault="0087751B" w14:paraId="53CD0A91" w14:textId="77777777">
      <w:pPr>
        <w:spacing w:before="1"/>
        <w:ind w:left="450" w:right="244"/>
        <w:rPr>
          <w:rFonts w:ascii="Times New Roman" w:hAnsi="Times New Roman"/>
          <w:i/>
          <w:sz w:val="24"/>
        </w:rPr>
      </w:pPr>
      <w:r w:rsidRPr="00CC2919">
        <w:rPr>
          <w:rFonts w:ascii="Times New Roman" w:hAnsi="Times New Roman"/>
          <w:b/>
          <w:i/>
          <w:sz w:val="24"/>
        </w:rPr>
        <w:t>NOTE: The Department will determine if the applicant had any restriction on spending for any ETA grant due to adverse monitoring findings within the past three years. Depending on the severity of the findings, the Grant Officer may elect to not provide the applicant a grant award or to impose conditions on the award</w:t>
      </w:r>
      <w:r w:rsidRPr="00CC2919">
        <w:rPr>
          <w:rFonts w:ascii="Times New Roman" w:hAnsi="Times New Roman"/>
          <w:i/>
          <w:sz w:val="24"/>
        </w:rPr>
        <w:t>.</w:t>
      </w:r>
    </w:p>
    <w:p w:rsidRPr="00CC2919" w:rsidR="0087751B" w:rsidP="00D82877" w:rsidRDefault="0087751B" w14:paraId="7C1B3BFB" w14:textId="77777777">
      <w:pPr>
        <w:pStyle w:val="BodyText"/>
        <w:spacing w:before="8"/>
        <w:rPr>
          <w:i/>
        </w:rPr>
      </w:pPr>
    </w:p>
    <w:p w:rsidRPr="00CC2919" w:rsidR="00C33378" w:rsidP="00B90C23" w:rsidRDefault="0087751B" w14:paraId="3BD90E2F" w14:textId="77777777">
      <w:pPr>
        <w:pStyle w:val="BodyText"/>
        <w:ind w:left="450" w:right="254"/>
      </w:pPr>
      <w:r w:rsidRPr="00CC2919">
        <w:t xml:space="preserve">All applications chosen for funding by the Grant Officer will go through a risk-review process before making an </w:t>
      </w:r>
      <w:r w:rsidRPr="00CC2919" w:rsidR="00DB5579">
        <w:t>award;</w:t>
      </w:r>
      <w:r w:rsidRPr="00CC2919">
        <w:t xml:space="preserve"> ETA will review information available through any </w:t>
      </w:r>
      <w:r w:rsidRPr="00CC2919">
        <w:lastRenderedPageBreak/>
        <w:t xml:space="preserve">OMB-designated repository of government-wide eligibility qualification or </w:t>
      </w:r>
      <w:r w:rsidR="00B16B2D">
        <w:t>F</w:t>
      </w:r>
      <w:r w:rsidRPr="00CC2919">
        <w:t xml:space="preserve">ederal integrity information, such as the Federal Awardee Performance and Integrity Information System (FAPIIS), Dun and Bradstreet, and </w:t>
      </w:r>
      <w:r w:rsidRPr="00CC2919" w:rsidR="005F3632">
        <w:t>“</w:t>
      </w:r>
      <w:r w:rsidRPr="00CC2919">
        <w:t>Do Not Pay.</w:t>
      </w:r>
      <w:r w:rsidRPr="00CC2919" w:rsidR="005F3632">
        <w:t>”</w:t>
      </w:r>
      <w:r w:rsidRPr="00CC2919">
        <w:t xml:space="preserve">  Additionally, ETA will comply with the requirements of 2 CFR Part 180 (Government-wide Debarment and Suspension </w:t>
      </w:r>
      <w:r w:rsidRPr="00CC2919" w:rsidR="005F3632">
        <w:t>[</w:t>
      </w:r>
      <w:r w:rsidRPr="00CC2919">
        <w:t>Non-Procurement</w:t>
      </w:r>
      <w:r w:rsidRPr="00CC2919" w:rsidR="005F3632">
        <w:t>]</w:t>
      </w:r>
      <w:r w:rsidRPr="00CC2919">
        <w:t xml:space="preserve">).  If ETA determines that an entity is responsible and an award will be made, special conditions that correspond to the degree of risk assessed may be applied to the award.  </w:t>
      </w:r>
      <w:r w:rsidRPr="00CC2919" w:rsidR="005F3632">
        <w:t xml:space="preserve">         </w:t>
      </w:r>
    </w:p>
    <w:p w:rsidRPr="00CC2919" w:rsidR="00E7578C" w:rsidP="00B90C23" w:rsidRDefault="00E7578C" w14:paraId="1102009C" w14:textId="77777777">
      <w:pPr>
        <w:pStyle w:val="BodyText"/>
        <w:ind w:left="450" w:right="254"/>
      </w:pPr>
    </w:p>
    <w:p w:rsidRPr="00CC2919" w:rsidR="0087751B" w:rsidP="00CC2919" w:rsidRDefault="0087751B" w14:paraId="14DE2ADB" w14:textId="77777777">
      <w:pPr>
        <w:pStyle w:val="BodyText"/>
        <w:keepNext/>
        <w:ind w:left="450" w:right="254"/>
      </w:pPr>
      <w:r w:rsidRPr="00CC2919">
        <w:t>Risk-related criteria that will be evaluated include</w:t>
      </w:r>
      <w:r w:rsidR="00244383">
        <w:t xml:space="preserve"> the following</w:t>
      </w:r>
      <w:r w:rsidRPr="00CC2919">
        <w:t>:</w:t>
      </w:r>
    </w:p>
    <w:p w:rsidRPr="00CC2919" w:rsidR="00A375FD" w:rsidP="00CC2919" w:rsidRDefault="00A375FD" w14:paraId="2A1EC04B" w14:textId="77777777">
      <w:pPr>
        <w:pStyle w:val="BodyText"/>
        <w:keepNext/>
        <w:spacing w:before="1"/>
        <w:ind w:left="0"/>
      </w:pPr>
    </w:p>
    <w:p w:rsidRPr="00CC2919" w:rsidR="0087751B" w:rsidP="00774490" w:rsidRDefault="00101298" w14:paraId="78C3C194" w14:textId="77777777">
      <w:pPr>
        <w:pStyle w:val="BodyText"/>
        <w:tabs>
          <w:tab w:val="left" w:pos="900"/>
          <w:tab w:val="left" w:pos="990"/>
          <w:tab w:val="left" w:pos="1260"/>
          <w:tab w:val="left" w:pos="1350"/>
          <w:tab w:val="left" w:pos="1710"/>
        </w:tabs>
        <w:spacing w:before="1"/>
        <w:ind w:left="900" w:hanging="90"/>
      </w:pPr>
      <w:r w:rsidRPr="00CC2919">
        <w:t xml:space="preserve"> i.</w:t>
      </w:r>
      <w:r w:rsidRPr="00CC2919" w:rsidR="00CB0860">
        <w:t xml:space="preserve"> </w:t>
      </w:r>
      <w:r w:rsidRPr="00CC2919" w:rsidR="00CB0860">
        <w:tab/>
      </w:r>
      <w:r w:rsidRPr="00CC2919" w:rsidR="0087751B">
        <w:t>Financial stability;</w:t>
      </w:r>
    </w:p>
    <w:p w:rsidRPr="00CC2919" w:rsidR="0087751B" w:rsidP="00E23995" w:rsidRDefault="00101298" w14:paraId="08E63DC9" w14:textId="77777777">
      <w:pPr>
        <w:pStyle w:val="BodyText"/>
        <w:tabs>
          <w:tab w:val="left" w:pos="900"/>
          <w:tab w:val="left" w:pos="1170"/>
          <w:tab w:val="left" w:pos="1350"/>
        </w:tabs>
        <w:spacing w:before="11"/>
        <w:ind w:left="1260" w:right="739" w:hanging="450"/>
      </w:pPr>
      <w:r w:rsidRPr="00CC2919">
        <w:t>ii.</w:t>
      </w:r>
      <w:r w:rsidRPr="00CC2919" w:rsidR="0087751B">
        <w:tab/>
      </w:r>
      <w:r w:rsidRPr="00CC2919" w:rsidR="0087751B">
        <w:tab/>
        <w:t>Quality of management systems and ability to meet the management standards prescribed in the Uniform Grant Guidance;</w:t>
      </w:r>
    </w:p>
    <w:p w:rsidRPr="00CC2919" w:rsidR="0087751B" w:rsidP="00101298" w:rsidRDefault="00101298" w14:paraId="03DCF49B" w14:textId="77777777">
      <w:pPr>
        <w:pStyle w:val="BodyText"/>
        <w:tabs>
          <w:tab w:val="left" w:pos="1260"/>
        </w:tabs>
        <w:ind w:left="1260" w:right="260" w:hanging="450"/>
      </w:pPr>
      <w:r w:rsidRPr="00CC2919">
        <w:t>iii</w:t>
      </w:r>
      <w:r w:rsidRPr="00CC2919" w:rsidR="0087751B">
        <w:t>.</w:t>
      </w:r>
      <w:r w:rsidRPr="00CC2919" w:rsidR="0087751B">
        <w:tab/>
        <w:t>History of performance</w:t>
      </w:r>
      <w:r w:rsidRPr="00CC2919" w:rsidR="005F3632">
        <w:t>:</w:t>
      </w:r>
      <w:r w:rsidRPr="00CC2919" w:rsidR="0087751B">
        <w:t xml:space="preserve"> The Applicant</w:t>
      </w:r>
      <w:r w:rsidRPr="00CC2919" w:rsidR="005F3632">
        <w:t>’</w:t>
      </w:r>
      <w:r w:rsidRPr="00CC2919" w:rsidR="0087751B">
        <w:t>s record in managing awards, cooperative agreements, or procurement awards, if it is a prior recipient of such Federal awards, including timeliness of compliance with applicable reporting requirements, and if available, the extent to which any previously awarded amounts will be expended prior to future awards;</w:t>
      </w:r>
    </w:p>
    <w:p w:rsidRPr="00CC2919" w:rsidR="0087751B" w:rsidP="00B14836" w:rsidRDefault="0087751B" w14:paraId="4EA094B5" w14:textId="77777777">
      <w:pPr>
        <w:pStyle w:val="ListParagraph"/>
        <w:numPr>
          <w:ilvl w:val="0"/>
          <w:numId w:val="16"/>
        </w:numPr>
        <w:tabs>
          <w:tab w:val="left" w:pos="1260"/>
        </w:tabs>
        <w:adjustRightInd/>
        <w:ind w:left="1260" w:right="289" w:hanging="427"/>
        <w:jc w:val="left"/>
        <w:rPr>
          <w:rFonts w:ascii="Times New Roman" w:hAnsi="Times New Roman"/>
          <w:sz w:val="24"/>
        </w:rPr>
      </w:pPr>
      <w:r w:rsidRPr="00CC2919">
        <w:rPr>
          <w:rFonts w:ascii="Times New Roman" w:hAnsi="Times New Roman"/>
          <w:sz w:val="24"/>
        </w:rPr>
        <w:t>Reports and findings from a</w:t>
      </w:r>
      <w:r w:rsidRPr="00CC2919" w:rsidR="00101298">
        <w:rPr>
          <w:rFonts w:ascii="Times New Roman" w:hAnsi="Times New Roman"/>
          <w:sz w:val="24"/>
        </w:rPr>
        <w:t>udits performed under Subpart F</w:t>
      </w:r>
      <w:r w:rsidRPr="00CC2919">
        <w:rPr>
          <w:rFonts w:ascii="Times New Roman" w:hAnsi="Times New Roman"/>
          <w:sz w:val="24"/>
        </w:rPr>
        <w:t xml:space="preserve">-Audit Requirements of the Uniform Grant Guidance (2 CFR Sections 200.500 - 200.520) or the reports and findings of any other </w:t>
      </w:r>
      <w:r w:rsidRPr="00CC2919">
        <w:rPr>
          <w:rFonts w:ascii="Times New Roman" w:hAnsi="Times New Roman"/>
          <w:sz w:val="24"/>
        </w:rPr>
        <w:lastRenderedPageBreak/>
        <w:t>available audits and monitoring reports containing find</w:t>
      </w:r>
      <w:r w:rsidRPr="00CC2919" w:rsidR="00870CB0">
        <w:rPr>
          <w:rFonts w:ascii="Times New Roman" w:hAnsi="Times New Roman"/>
          <w:sz w:val="24"/>
        </w:rPr>
        <w:t>ing</w:t>
      </w:r>
      <w:r w:rsidRPr="00CC2919">
        <w:rPr>
          <w:rFonts w:ascii="Times New Roman" w:hAnsi="Times New Roman"/>
          <w:sz w:val="24"/>
        </w:rPr>
        <w:t>s, issues of non-compliance, or questioned costs; and</w:t>
      </w:r>
    </w:p>
    <w:p w:rsidRPr="00CC2919" w:rsidR="0087751B" w:rsidP="002A211E" w:rsidRDefault="0087751B" w14:paraId="0175B8A7" w14:textId="77777777">
      <w:pPr>
        <w:pStyle w:val="ListParagraph"/>
        <w:numPr>
          <w:ilvl w:val="0"/>
          <w:numId w:val="16"/>
        </w:numPr>
        <w:tabs>
          <w:tab w:val="left" w:pos="1260"/>
        </w:tabs>
        <w:adjustRightInd/>
        <w:ind w:left="1260" w:right="807" w:hanging="364"/>
        <w:jc w:val="left"/>
        <w:rPr>
          <w:rFonts w:ascii="Times New Roman" w:hAnsi="Times New Roman"/>
          <w:sz w:val="24"/>
        </w:rPr>
      </w:pPr>
      <w:r w:rsidRPr="00CC2919">
        <w:rPr>
          <w:rFonts w:ascii="Times New Roman" w:hAnsi="Times New Roman"/>
          <w:sz w:val="24"/>
        </w:rPr>
        <w:t>The applicant</w:t>
      </w:r>
      <w:r w:rsidRPr="00CC2919" w:rsidR="005F3632">
        <w:rPr>
          <w:rFonts w:ascii="Times New Roman" w:hAnsi="Times New Roman"/>
          <w:sz w:val="24"/>
        </w:rPr>
        <w:t>’</w:t>
      </w:r>
      <w:r w:rsidRPr="00CC2919">
        <w:rPr>
          <w:rFonts w:ascii="Times New Roman" w:hAnsi="Times New Roman"/>
          <w:sz w:val="24"/>
        </w:rPr>
        <w:t>s ability to effectively implement statutory, regulatory, or other requirements imposed on recipients.</w:t>
      </w:r>
    </w:p>
    <w:p w:rsidRPr="00CC2919" w:rsidR="0087751B" w:rsidP="00BF777E" w:rsidRDefault="0087751B" w14:paraId="1C398A6E" w14:textId="77777777">
      <w:pPr>
        <w:pStyle w:val="BodyText"/>
        <w:spacing w:before="8"/>
        <w:jc w:val="center"/>
      </w:pPr>
    </w:p>
    <w:p w:rsidRPr="00CC2919" w:rsidR="00725717" w:rsidP="00774490" w:rsidRDefault="0087751B" w14:paraId="6680546F" w14:textId="77777777">
      <w:pPr>
        <w:pStyle w:val="Default"/>
        <w:tabs>
          <w:tab w:val="left" w:pos="900"/>
        </w:tabs>
        <w:ind w:left="450"/>
      </w:pPr>
      <w:r w:rsidRPr="00CC2919">
        <w:t xml:space="preserve">Selection of a recipient does not constitute approval of the grant application as submitted. </w:t>
      </w:r>
      <w:r w:rsidRPr="00CC2919" w:rsidR="00870CB0">
        <w:t xml:space="preserve"> </w:t>
      </w:r>
      <w:r w:rsidRPr="00CC2919">
        <w:t>Before grant award, the Department may enter into negotiations about items such as program components, staffing and funding levels, and administrative systems in place to support grant implementation.  If the negotiations do not result in a mutually acceptable submission, the Grant Officer may terminate the negotiations and decline to fund the application.</w:t>
      </w:r>
    </w:p>
    <w:p w:rsidRPr="00CC2919" w:rsidR="000437CE" w:rsidP="00B43969" w:rsidRDefault="008D57F2" w14:paraId="64340DB0" w14:textId="77777777">
      <w:pPr>
        <w:tabs>
          <w:tab w:val="left" w:pos="450"/>
          <w:tab w:val="left" w:pos="540"/>
          <w:tab w:val="left" w:pos="630"/>
        </w:tabs>
        <w:spacing w:before="240"/>
        <w:ind w:left="1440" w:hanging="1440"/>
        <w:rPr>
          <w:rFonts w:ascii="Times New Roman" w:hAnsi="Times New Roman"/>
          <w:b/>
          <w:sz w:val="24"/>
        </w:rPr>
      </w:pPr>
      <w:r>
        <w:rPr>
          <w:rFonts w:ascii="Times New Roman" w:hAnsi="Times New Roman"/>
          <w:b/>
          <w:sz w:val="24"/>
          <w:u w:val="single"/>
        </w:rPr>
        <w:t xml:space="preserve">i.  </w:t>
      </w:r>
      <w:r w:rsidRPr="00CC2919" w:rsidR="0087751B">
        <w:rPr>
          <w:rFonts w:ascii="Times New Roman" w:hAnsi="Times New Roman"/>
          <w:b/>
          <w:sz w:val="24"/>
          <w:u w:val="single"/>
        </w:rPr>
        <w:t>Required Reporting</w:t>
      </w:r>
      <w:r w:rsidRPr="00CC2919" w:rsidR="0087751B">
        <w:rPr>
          <w:rFonts w:ascii="Times New Roman" w:hAnsi="Times New Roman"/>
          <w:b/>
          <w:sz w:val="24"/>
        </w:rPr>
        <w:t xml:space="preserve">. </w:t>
      </w:r>
    </w:p>
    <w:p w:rsidRPr="00CC2919" w:rsidR="00D327BF" w:rsidP="00B43969" w:rsidRDefault="0087751B" w14:paraId="3BFDF58D" w14:textId="77777777">
      <w:pPr>
        <w:pStyle w:val="ListParagraph"/>
        <w:widowControl/>
        <w:numPr>
          <w:ilvl w:val="0"/>
          <w:numId w:val="17"/>
        </w:numPr>
        <w:ind w:left="720" w:hanging="270"/>
        <w:contextualSpacing/>
        <w:rPr>
          <w:rFonts w:ascii="Times New Roman" w:hAnsi="Times New Roman"/>
          <w:color w:val="000000"/>
          <w:sz w:val="24"/>
        </w:rPr>
      </w:pPr>
      <w:r w:rsidRPr="00CC2919">
        <w:rPr>
          <w:rFonts w:ascii="Times New Roman" w:hAnsi="Times New Roman"/>
          <w:color w:val="000000"/>
          <w:sz w:val="24"/>
        </w:rPr>
        <w:t>Quarterly Fiscal Reports – Grantees must submit the quarterly Basic ETA-9130 financial report until funds are expended or the grant period has expired.  Quarterly financial reports are due 45 days after the end of each calendar year quarter.  Grant recipients must submit the ETA</w:t>
      </w:r>
      <w:r w:rsidRPr="00CC2919" w:rsidR="00870CB0">
        <w:rPr>
          <w:rFonts w:ascii="Times New Roman" w:hAnsi="Times New Roman"/>
          <w:color w:val="000000"/>
          <w:sz w:val="24"/>
        </w:rPr>
        <w:t>-</w:t>
      </w:r>
      <w:r w:rsidRPr="00CC2919">
        <w:rPr>
          <w:rFonts w:ascii="Times New Roman" w:hAnsi="Times New Roman"/>
          <w:color w:val="000000"/>
          <w:sz w:val="24"/>
        </w:rPr>
        <w:t xml:space="preserve">9130 using the Department’s Online Electronic Reporting System. </w:t>
      </w:r>
    </w:p>
    <w:p w:rsidRPr="00CC2919" w:rsidR="00D327BF" w:rsidP="00B43969" w:rsidRDefault="0087751B" w14:paraId="18C1E92F" w14:textId="77777777">
      <w:pPr>
        <w:pStyle w:val="ListParagraph"/>
        <w:widowControl/>
        <w:numPr>
          <w:ilvl w:val="0"/>
          <w:numId w:val="17"/>
        </w:numPr>
        <w:ind w:left="720" w:hanging="270"/>
        <w:contextualSpacing/>
        <w:rPr>
          <w:rFonts w:ascii="Times New Roman" w:hAnsi="Times New Roman"/>
          <w:color w:val="000000"/>
          <w:sz w:val="24"/>
        </w:rPr>
      </w:pPr>
      <w:r w:rsidRPr="00CC2919">
        <w:rPr>
          <w:rFonts w:ascii="Times New Roman" w:hAnsi="Times New Roman"/>
          <w:sz w:val="24"/>
        </w:rPr>
        <w:t xml:space="preserve">Quarterly Progress Report – Grantees must submit a one-page narrative report summarizing the progress of their grant within 45 days of the end of </w:t>
      </w:r>
      <w:r w:rsidRPr="00CC2919" w:rsidR="00870CB0">
        <w:rPr>
          <w:rFonts w:ascii="Times New Roman" w:hAnsi="Times New Roman"/>
          <w:sz w:val="24"/>
        </w:rPr>
        <w:t>each</w:t>
      </w:r>
      <w:r w:rsidRPr="00CC2919">
        <w:rPr>
          <w:rFonts w:ascii="Times New Roman" w:hAnsi="Times New Roman"/>
          <w:sz w:val="24"/>
        </w:rPr>
        <w:t xml:space="preserve"> quarter to their assigned Federal Project Officer.  </w:t>
      </w:r>
    </w:p>
    <w:p w:rsidRPr="00CC2919" w:rsidR="005A17FA" w:rsidP="00B43969" w:rsidRDefault="00044A6A" w14:paraId="621B6413" w14:textId="77777777">
      <w:pPr>
        <w:pStyle w:val="ListParagraph"/>
        <w:widowControl/>
        <w:numPr>
          <w:ilvl w:val="0"/>
          <w:numId w:val="17"/>
        </w:numPr>
        <w:ind w:left="720" w:hanging="270"/>
        <w:contextualSpacing/>
        <w:rPr>
          <w:rFonts w:ascii="Times New Roman" w:hAnsi="Times New Roman"/>
          <w:sz w:val="24"/>
        </w:rPr>
      </w:pPr>
      <w:r w:rsidRPr="00CC2919">
        <w:rPr>
          <w:rFonts w:ascii="Times New Roman" w:hAnsi="Times New Roman"/>
          <w:sz w:val="24"/>
        </w:rPr>
        <w:t xml:space="preserve">Fidelity Bonding Issuance Form </w:t>
      </w:r>
      <w:r w:rsidRPr="00CC2919" w:rsidR="0046238C">
        <w:rPr>
          <w:rFonts w:ascii="Times New Roman" w:hAnsi="Times New Roman"/>
          <w:sz w:val="24"/>
        </w:rPr>
        <w:t>OMB</w:t>
      </w:r>
      <w:r w:rsidRPr="00CC2919" w:rsidR="0022195E">
        <w:rPr>
          <w:rFonts w:ascii="Times New Roman" w:hAnsi="Times New Roman"/>
          <w:sz w:val="24"/>
        </w:rPr>
        <w:t xml:space="preserve"> Control No</w:t>
      </w:r>
      <w:r w:rsidRPr="00CC2919" w:rsidR="0046238C">
        <w:rPr>
          <w:rFonts w:ascii="Times New Roman" w:hAnsi="Times New Roman"/>
          <w:sz w:val="24"/>
        </w:rPr>
        <w:t xml:space="preserve"> 1205-0541</w:t>
      </w:r>
      <w:r w:rsidRPr="00CC2919">
        <w:rPr>
          <w:rFonts w:ascii="Times New Roman" w:hAnsi="Times New Roman"/>
          <w:sz w:val="24"/>
        </w:rPr>
        <w:t xml:space="preserve">– </w:t>
      </w:r>
      <w:r w:rsidRPr="00CC2919" w:rsidR="00D327BF">
        <w:rPr>
          <w:rFonts w:ascii="Times New Roman" w:hAnsi="Times New Roman"/>
          <w:sz w:val="24"/>
        </w:rPr>
        <w:t xml:space="preserve">State bonding coordinators or designated staff </w:t>
      </w:r>
      <w:r w:rsidRPr="00CC2919">
        <w:rPr>
          <w:rFonts w:ascii="Times New Roman" w:hAnsi="Times New Roman"/>
          <w:sz w:val="24"/>
        </w:rPr>
        <w:t xml:space="preserve">will report on the fidelity bonding issuance form the occupational title, </w:t>
      </w:r>
      <w:r w:rsidRPr="00CC2919" w:rsidR="00D327BF">
        <w:rPr>
          <w:rFonts w:ascii="Times New Roman" w:hAnsi="Times New Roman"/>
          <w:sz w:val="24"/>
        </w:rPr>
        <w:t xml:space="preserve">industry, hourly wage, and hours of work per </w:t>
      </w:r>
      <w:r w:rsidRPr="00CC2919" w:rsidR="00D327BF">
        <w:rPr>
          <w:rFonts w:ascii="Times New Roman" w:hAnsi="Times New Roman"/>
          <w:sz w:val="24"/>
        </w:rPr>
        <w:lastRenderedPageBreak/>
        <w:t>week of the position; gender, race, and ethnicity of the ex-offender who is being insured; number of employees of the employer; and whether the employer is for-profit, not-for-profit, or a government agency. </w:t>
      </w:r>
      <w:r w:rsidR="00244383">
        <w:rPr>
          <w:rFonts w:ascii="Times New Roman" w:hAnsi="Times New Roman"/>
          <w:sz w:val="24"/>
        </w:rPr>
        <w:t xml:space="preserve"> </w:t>
      </w:r>
      <w:r w:rsidRPr="00CC2919" w:rsidR="00C419BC">
        <w:rPr>
          <w:rFonts w:ascii="Times New Roman" w:hAnsi="Times New Roman"/>
          <w:sz w:val="24"/>
        </w:rPr>
        <w:t xml:space="preserve">To comply with state policies regarding reporting gender and other </w:t>
      </w:r>
      <w:r w:rsidRPr="00CC2919">
        <w:rPr>
          <w:rFonts w:ascii="Times New Roman" w:hAnsi="Times New Roman"/>
          <w:sz w:val="24"/>
        </w:rPr>
        <w:t>concerns raised by states</w:t>
      </w:r>
      <w:r w:rsidRPr="00CC2919" w:rsidR="00C419BC">
        <w:rPr>
          <w:rFonts w:ascii="Times New Roman" w:hAnsi="Times New Roman"/>
          <w:sz w:val="24"/>
        </w:rPr>
        <w:t xml:space="preserve">, </w:t>
      </w:r>
      <w:r w:rsidRPr="00CC2919">
        <w:rPr>
          <w:rFonts w:ascii="Times New Roman" w:hAnsi="Times New Roman"/>
          <w:sz w:val="24"/>
        </w:rPr>
        <w:t>the gender, race, and ethnicity items will be optional and not required to issue a bond.</w:t>
      </w:r>
    </w:p>
    <w:p w:rsidRPr="00CC2919" w:rsidR="005A17FA" w:rsidP="00B43969" w:rsidRDefault="005A17FA" w14:paraId="4FDB08FD" w14:textId="77777777">
      <w:pPr>
        <w:pStyle w:val="ListParagraph"/>
        <w:widowControl/>
        <w:numPr>
          <w:ilvl w:val="0"/>
          <w:numId w:val="17"/>
        </w:numPr>
        <w:ind w:left="720" w:hanging="270"/>
        <w:contextualSpacing/>
        <w:rPr>
          <w:rFonts w:ascii="Times New Roman" w:hAnsi="Times New Roman"/>
          <w:sz w:val="24"/>
        </w:rPr>
      </w:pPr>
      <w:r w:rsidRPr="00CC2919">
        <w:rPr>
          <w:rFonts w:ascii="Times New Roman" w:hAnsi="Times New Roman"/>
          <w:sz w:val="24"/>
        </w:rPr>
        <w:t xml:space="preserve">Recidivism </w:t>
      </w:r>
      <w:r w:rsidRPr="00CC2919">
        <w:rPr>
          <w:rFonts w:ascii="Times New Roman" w:hAnsi="Times New Roman"/>
          <w:color w:val="000000"/>
          <w:sz w:val="24"/>
        </w:rPr>
        <w:t xml:space="preserve">– Persons enrolled in the Wagner-Peyser Employment Service who are covered by Fidelity Bonds will have their recidivism tracked through ETA’s </w:t>
      </w:r>
      <w:r w:rsidR="00A70866">
        <w:rPr>
          <w:rFonts w:ascii="Times New Roman" w:hAnsi="Times New Roman"/>
          <w:color w:val="000000"/>
          <w:sz w:val="24"/>
        </w:rPr>
        <w:t xml:space="preserve">performance reporting requirements.  </w:t>
      </w:r>
      <w:r w:rsidRPr="00CC2919">
        <w:rPr>
          <w:rFonts w:ascii="Times New Roman" w:hAnsi="Times New Roman"/>
          <w:color w:val="000000"/>
          <w:sz w:val="24"/>
        </w:rPr>
        <w:t xml:space="preserve">ETA will provide states with a Special Project ID code </w:t>
      </w:r>
      <w:r w:rsidR="00B5098F">
        <w:rPr>
          <w:rFonts w:ascii="Times New Roman" w:hAnsi="Times New Roman"/>
          <w:color w:val="000000"/>
          <w:sz w:val="24"/>
        </w:rPr>
        <w:t xml:space="preserve">to use for Wagner-Peyser Employment Service performance reporting on these individuals on the ETA-9172, the DOL-only </w:t>
      </w:r>
      <w:r w:rsidRPr="00CC2919">
        <w:rPr>
          <w:rFonts w:ascii="Times New Roman" w:hAnsi="Times New Roman"/>
          <w:color w:val="000000"/>
          <w:sz w:val="24"/>
        </w:rPr>
        <w:t>Participant Individual Record Layout (PIRL)</w:t>
      </w:r>
      <w:r w:rsidR="00B5098F">
        <w:rPr>
          <w:rFonts w:ascii="Times New Roman" w:hAnsi="Times New Roman"/>
          <w:color w:val="000000"/>
          <w:sz w:val="24"/>
        </w:rPr>
        <w:t xml:space="preserve">.  The code will </w:t>
      </w:r>
      <w:r w:rsidRPr="00CC2919">
        <w:rPr>
          <w:rFonts w:ascii="Times New Roman" w:hAnsi="Times New Roman"/>
          <w:color w:val="000000"/>
          <w:sz w:val="24"/>
        </w:rPr>
        <w:t>identify persons enrolled in the Employment Service who are covered by Fidelity Bonds.</w:t>
      </w:r>
    </w:p>
    <w:p w:rsidRPr="00CC2919" w:rsidR="00F91852" w:rsidP="00E0770A" w:rsidRDefault="00F91852" w14:paraId="20F4B4D1" w14:textId="77777777">
      <w:pPr>
        <w:pStyle w:val="ListParagraph"/>
        <w:widowControl/>
        <w:ind w:left="0"/>
        <w:contextualSpacing/>
        <w:rPr>
          <w:rFonts w:ascii="Calibri" w:hAnsi="Calibri"/>
          <w:color w:val="1F497D"/>
          <w:szCs w:val="22"/>
        </w:rPr>
      </w:pPr>
    </w:p>
    <w:p w:rsidRPr="00CC2919" w:rsidR="00F91852" w:rsidP="001B26C7" w:rsidRDefault="00F91852" w14:paraId="66C986C5" w14:textId="77777777">
      <w:pPr>
        <w:widowControl/>
        <w:contextualSpacing/>
        <w:rPr>
          <w:rFonts w:ascii="Times New Roman" w:hAnsi="Times New Roman"/>
          <w:b/>
          <w:sz w:val="24"/>
        </w:rPr>
      </w:pPr>
    </w:p>
    <w:p w:rsidRPr="00CC2919" w:rsidR="00587A12" w:rsidP="00B43969" w:rsidRDefault="008D57F2" w14:paraId="5C443365" w14:textId="77777777">
      <w:pPr>
        <w:widowControl/>
        <w:tabs>
          <w:tab w:val="left" w:pos="360"/>
          <w:tab w:val="left" w:pos="450"/>
          <w:tab w:val="left" w:pos="540"/>
        </w:tabs>
        <w:ind w:left="810" w:hanging="810"/>
        <w:contextualSpacing/>
        <w:rPr>
          <w:rFonts w:ascii="Times New Roman" w:hAnsi="Times New Roman"/>
          <w:sz w:val="24"/>
        </w:rPr>
      </w:pPr>
      <w:r>
        <w:rPr>
          <w:rFonts w:ascii="Times New Roman" w:hAnsi="Times New Roman"/>
          <w:b/>
          <w:sz w:val="24"/>
          <w:u w:val="single"/>
        </w:rPr>
        <w:t xml:space="preserve">j.  </w:t>
      </w:r>
      <w:r w:rsidRPr="00CC2919" w:rsidR="0087751B">
        <w:rPr>
          <w:rFonts w:ascii="Times New Roman" w:hAnsi="Times New Roman"/>
          <w:b/>
          <w:sz w:val="24"/>
          <w:u w:val="single"/>
        </w:rPr>
        <w:t>OMB Information Collection</w:t>
      </w:r>
      <w:r w:rsidRPr="00CC2919" w:rsidR="0087751B">
        <w:rPr>
          <w:rFonts w:ascii="Times New Roman" w:hAnsi="Times New Roman"/>
          <w:b/>
          <w:sz w:val="24"/>
        </w:rPr>
        <w:t>.</w:t>
      </w:r>
      <w:r w:rsidRPr="00CC2919" w:rsidR="0087751B">
        <w:rPr>
          <w:rFonts w:ascii="Times New Roman" w:hAnsi="Times New Roman"/>
          <w:sz w:val="24"/>
        </w:rPr>
        <w:t xml:space="preserve"> </w:t>
      </w:r>
      <w:r w:rsidRPr="00CC2919" w:rsidR="00587A12">
        <w:rPr>
          <w:rFonts w:ascii="Times New Roman" w:hAnsi="Times New Roman"/>
          <w:sz w:val="24"/>
        </w:rPr>
        <w:t xml:space="preserve"> </w:t>
      </w:r>
      <w:r w:rsidRPr="00CC2919" w:rsidR="0087751B">
        <w:rPr>
          <w:rFonts w:ascii="Times New Roman" w:hAnsi="Times New Roman"/>
          <w:sz w:val="24"/>
        </w:rPr>
        <w:t xml:space="preserve">OMB Information Collection No 1225-0086, Expires </w:t>
      </w:r>
    </w:p>
    <w:p w:rsidRPr="00CC2919" w:rsidR="00105F79" w:rsidP="00440BF6" w:rsidRDefault="00E30F41" w14:paraId="3F747EE3" w14:textId="77777777">
      <w:pPr>
        <w:widowControl/>
        <w:tabs>
          <w:tab w:val="left" w:pos="1260"/>
          <w:tab w:val="left" w:pos="1440"/>
        </w:tabs>
        <w:ind w:left="270" w:firstLine="180"/>
        <w:contextualSpacing/>
      </w:pPr>
      <w:r w:rsidRPr="00CC2919">
        <w:rPr>
          <w:rFonts w:ascii="Times New Roman" w:hAnsi="Times New Roman"/>
          <w:sz w:val="24"/>
        </w:rPr>
        <w:t>July</w:t>
      </w:r>
      <w:r w:rsidRPr="00CC2919" w:rsidR="0087751B">
        <w:rPr>
          <w:rFonts w:ascii="Times New Roman" w:hAnsi="Times New Roman"/>
          <w:sz w:val="24"/>
        </w:rPr>
        <w:t xml:space="preserve"> 31, 20</w:t>
      </w:r>
      <w:r w:rsidRPr="00CC2919">
        <w:rPr>
          <w:rFonts w:ascii="Times New Roman" w:hAnsi="Times New Roman"/>
          <w:sz w:val="24"/>
        </w:rPr>
        <w:t>22</w:t>
      </w:r>
      <w:r w:rsidR="00162151">
        <w:rPr>
          <w:rFonts w:ascii="Times New Roman" w:hAnsi="Times New Roman"/>
          <w:sz w:val="24"/>
        </w:rPr>
        <w:t>.</w:t>
      </w:r>
      <w:r w:rsidRPr="00CC2919" w:rsidR="0087751B">
        <w:rPr>
          <w:rFonts w:ascii="Times New Roman" w:hAnsi="Times New Roman"/>
          <w:sz w:val="24"/>
        </w:rPr>
        <w:t xml:space="preserve"> </w:t>
      </w:r>
    </w:p>
    <w:p w:rsidRPr="00CC2919" w:rsidR="00440BF6" w:rsidP="00440BF6" w:rsidRDefault="00440BF6" w14:paraId="73349218" w14:textId="77777777">
      <w:pPr>
        <w:widowControl/>
        <w:tabs>
          <w:tab w:val="left" w:pos="1260"/>
          <w:tab w:val="left" w:pos="1440"/>
        </w:tabs>
        <w:ind w:left="270" w:firstLine="180"/>
        <w:contextualSpacing/>
      </w:pPr>
    </w:p>
    <w:p w:rsidRPr="00CC2919" w:rsidR="0087751B" w:rsidP="004829FF" w:rsidRDefault="0087751B" w14:paraId="42D5956F" w14:textId="77777777">
      <w:pPr>
        <w:tabs>
          <w:tab w:val="left" w:pos="450"/>
          <w:tab w:val="left" w:pos="540"/>
        </w:tabs>
        <w:ind w:left="450"/>
        <w:rPr>
          <w:rFonts w:ascii="Times New Roman" w:hAnsi="Times New Roman"/>
          <w:color w:val="000000"/>
          <w:sz w:val="24"/>
        </w:rPr>
      </w:pPr>
      <w:r w:rsidRPr="00CC2919">
        <w:rPr>
          <w:rFonts w:ascii="Times New Roman" w:hAnsi="Times New Roman"/>
          <w:color w:val="000000"/>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CC2919" w:rsidR="00252961" w:rsidP="00237994" w:rsidRDefault="00252961" w14:paraId="16D2A0C3" w14:textId="77777777">
      <w:pPr>
        <w:ind w:left="450"/>
        <w:rPr>
          <w:rFonts w:ascii="Times New Roman" w:hAnsi="Times New Roman"/>
          <w:color w:val="000000"/>
          <w:sz w:val="24"/>
        </w:rPr>
      </w:pPr>
    </w:p>
    <w:p w:rsidRPr="00095760" w:rsidR="0087751B" w:rsidP="004829FF" w:rsidRDefault="0087751B" w14:paraId="296E1FB9" w14:textId="77777777">
      <w:pPr>
        <w:tabs>
          <w:tab w:val="left" w:pos="450"/>
          <w:tab w:val="left" w:pos="540"/>
        </w:tabs>
        <w:ind w:left="450"/>
        <w:rPr>
          <w:rFonts w:ascii="Times New Roman" w:hAnsi="Times New Roman"/>
          <w:sz w:val="24"/>
        </w:rPr>
      </w:pPr>
      <w:r w:rsidRPr="00CC2919">
        <w:rPr>
          <w:rFonts w:ascii="Times New Roman" w:hAnsi="Times New Roman"/>
          <w:color w:val="000000"/>
          <w:sz w:val="24"/>
        </w:rPr>
        <w:t>Send comments about the burden estimated or any other aspect of this collection of information, including suggestions for reducing this burden, to the U.S. Department of Labor, to the attention of the Departmental Clearance Officer, 200 Cons</w:t>
      </w:r>
      <w:r w:rsidRPr="00CC2919" w:rsidR="003230E9">
        <w:rPr>
          <w:rFonts w:ascii="Times New Roman" w:hAnsi="Times New Roman"/>
          <w:color w:val="000000"/>
          <w:sz w:val="24"/>
        </w:rPr>
        <w:t xml:space="preserve">titution Avenue NW, Room N1301, Washington, </w:t>
      </w:r>
      <w:r w:rsidRPr="00CC2919">
        <w:rPr>
          <w:rFonts w:ascii="Times New Roman" w:hAnsi="Times New Roman"/>
          <w:color w:val="000000"/>
          <w:sz w:val="24"/>
        </w:rPr>
        <w:t xml:space="preserve">DC 20210. </w:t>
      </w:r>
      <w:r w:rsidRPr="00CC2919" w:rsidR="00F91852">
        <w:rPr>
          <w:rFonts w:ascii="Times New Roman" w:hAnsi="Times New Roman"/>
          <w:color w:val="000000"/>
          <w:sz w:val="24"/>
        </w:rPr>
        <w:t xml:space="preserve"> </w:t>
      </w:r>
      <w:r w:rsidRPr="00CC2919">
        <w:rPr>
          <w:rFonts w:ascii="Times New Roman" w:hAnsi="Times New Roman"/>
          <w:color w:val="000000"/>
          <w:sz w:val="24"/>
        </w:rPr>
        <w:t xml:space="preserve">Comments may also be emailed to </w:t>
      </w:r>
      <w:hyperlink w:history="1" r:id="rId12">
        <w:r w:rsidRPr="00095760">
          <w:rPr>
            <w:rStyle w:val="Hyperlink"/>
            <w:rFonts w:ascii="Times New Roman" w:hAnsi="Times New Roman"/>
            <w:color w:val="auto"/>
            <w:sz w:val="24"/>
          </w:rPr>
          <w:t>DOL_PRA_PUBLIC@dol.gov</w:t>
        </w:r>
      </w:hyperlink>
      <w:r w:rsidRPr="00095760">
        <w:rPr>
          <w:rFonts w:ascii="Times New Roman" w:hAnsi="Times New Roman"/>
          <w:sz w:val="24"/>
        </w:rPr>
        <w:t>.</w:t>
      </w:r>
    </w:p>
    <w:p w:rsidRPr="00CC2919" w:rsidR="0087751B" w:rsidP="00D82877" w:rsidRDefault="0087751B" w14:paraId="00C3CF9B" w14:textId="77777777">
      <w:pPr>
        <w:pStyle w:val="Default"/>
      </w:pPr>
    </w:p>
    <w:p w:rsidRPr="00CC2919" w:rsidR="007B7039" w:rsidP="001A44FC" w:rsidRDefault="007B7039" w14:paraId="73002727" w14:textId="77777777">
      <w:pPr>
        <w:ind w:left="360"/>
        <w:rPr>
          <w:rFonts w:ascii="Times New Roman" w:hAnsi="Times New Roman"/>
          <w:b/>
          <w:color w:val="000000"/>
          <w:sz w:val="24"/>
        </w:rPr>
      </w:pPr>
      <w:r w:rsidRPr="00CC2919">
        <w:rPr>
          <w:rFonts w:ascii="Times New Roman" w:hAnsi="Times New Roman"/>
          <w:b/>
          <w:bCs/>
          <w:color w:val="000000"/>
          <w:sz w:val="24"/>
        </w:rPr>
        <w:t xml:space="preserve">PLEASE DO NOT RETURN YOUR GRANT APPLICATION TO THIS ADDRESS. </w:t>
      </w:r>
      <w:r w:rsidRPr="00CC2919">
        <w:rPr>
          <w:rFonts w:ascii="Times New Roman" w:hAnsi="Times New Roman"/>
          <w:b/>
          <w:color w:val="000000"/>
          <w:sz w:val="24"/>
        </w:rPr>
        <w:t xml:space="preserve">SEND </w:t>
      </w:r>
      <w:r w:rsidR="00823EEA">
        <w:rPr>
          <w:rFonts w:ascii="Times New Roman" w:hAnsi="Times New Roman"/>
          <w:b/>
          <w:color w:val="000000"/>
          <w:sz w:val="24"/>
        </w:rPr>
        <w:t xml:space="preserve">ONLY </w:t>
      </w:r>
      <w:r w:rsidRPr="00CC2919">
        <w:rPr>
          <w:rFonts w:ascii="Times New Roman" w:hAnsi="Times New Roman"/>
          <w:b/>
          <w:color w:val="000000"/>
          <w:sz w:val="24"/>
        </w:rPr>
        <w:t xml:space="preserve">COMMENTS ABOUT THE BURDEN CAUSED BY THE COLLECTION OF INFORMATION TO THIS ADDRESS. </w:t>
      </w:r>
      <w:r w:rsidRPr="00CC2919" w:rsidR="00870CB0">
        <w:rPr>
          <w:rFonts w:ascii="Times New Roman" w:hAnsi="Times New Roman"/>
          <w:b/>
          <w:color w:val="000000"/>
          <w:sz w:val="24"/>
        </w:rPr>
        <w:t xml:space="preserve"> </w:t>
      </w:r>
      <w:r w:rsidRPr="00CC2919">
        <w:rPr>
          <w:rFonts w:ascii="Times New Roman" w:hAnsi="Times New Roman"/>
          <w:b/>
          <w:color w:val="000000"/>
          <w:sz w:val="24"/>
        </w:rPr>
        <w:t xml:space="preserve">SEND YOUR GRANT APPLICATION TO THE SPONSORING AGENCY AS SPECIFIED IN THIS ANNOUNCEMENT. </w:t>
      </w:r>
    </w:p>
    <w:p w:rsidRPr="00CC2919" w:rsidR="007B7039" w:rsidP="00F91852" w:rsidRDefault="007B7039" w14:paraId="67EAE5B3" w14:textId="77777777">
      <w:pPr>
        <w:tabs>
          <w:tab w:val="left" w:pos="720"/>
        </w:tabs>
        <w:rPr>
          <w:rFonts w:ascii="Times New Roman" w:hAnsi="Times New Roman"/>
          <w:color w:val="000000"/>
          <w:sz w:val="24"/>
        </w:rPr>
      </w:pPr>
    </w:p>
    <w:p w:rsidRPr="00CC2919" w:rsidR="00F514FB" w:rsidP="0074475E" w:rsidRDefault="007B7039" w14:paraId="397AE403" w14:textId="77777777">
      <w:pPr>
        <w:pStyle w:val="Default"/>
        <w:tabs>
          <w:tab w:val="left" w:pos="540"/>
          <w:tab w:val="left" w:pos="630"/>
        </w:tabs>
        <w:ind w:left="450" w:hanging="90"/>
        <w:rPr>
          <w:rStyle w:val="StyleTimesNewRoman12pt"/>
        </w:rPr>
      </w:pPr>
      <w:r w:rsidRPr="00CC2919">
        <w:t xml:space="preserve">This information is being collected for the purpose of awarding a </w:t>
      </w:r>
      <w:r w:rsidRPr="00CC2919" w:rsidR="00A028CA">
        <w:t xml:space="preserve">demonstration </w:t>
      </w:r>
      <w:r w:rsidRPr="00CC2919">
        <w:t xml:space="preserve">grant.   </w:t>
      </w:r>
    </w:p>
    <w:p w:rsidRPr="00CC2919" w:rsidR="00855E0B" w:rsidP="00237994" w:rsidRDefault="00855E0B" w14:paraId="3A8A14B7" w14:textId="77777777">
      <w:pPr>
        <w:widowControl/>
        <w:tabs>
          <w:tab w:val="left" w:pos="360"/>
        </w:tabs>
        <w:rPr>
          <w:rStyle w:val="StyleTimesNewRoman12pt"/>
        </w:rPr>
      </w:pPr>
    </w:p>
    <w:p w:rsidRPr="00CC2919" w:rsidR="00897AD0" w:rsidP="001B04D4" w:rsidRDefault="008F67AD" w14:paraId="5E499136" w14:textId="77777777">
      <w:pPr>
        <w:widowControl/>
        <w:tabs>
          <w:tab w:val="left" w:pos="0"/>
          <w:tab w:val="left" w:pos="360"/>
        </w:tabs>
        <w:ind w:left="450" w:hanging="450"/>
        <w:rPr>
          <w:rFonts w:ascii="Times New Roman" w:hAnsi="Times New Roman"/>
          <w:sz w:val="24"/>
        </w:rPr>
      </w:pPr>
      <w:r>
        <w:rPr>
          <w:rFonts w:ascii="Times New Roman" w:hAnsi="Times New Roman"/>
          <w:b/>
          <w:sz w:val="24"/>
        </w:rPr>
        <w:t>5.</w:t>
      </w:r>
      <w:r w:rsidRPr="00CC2919" w:rsidR="00443BB5">
        <w:rPr>
          <w:rFonts w:ascii="Times New Roman" w:hAnsi="Times New Roman"/>
          <w:b/>
          <w:sz w:val="24"/>
        </w:rPr>
        <w:tab/>
      </w:r>
      <w:r w:rsidRPr="00CC2919" w:rsidR="00090307">
        <w:rPr>
          <w:rFonts w:ascii="Times New Roman" w:hAnsi="Times New Roman"/>
          <w:b/>
          <w:sz w:val="24"/>
        </w:rPr>
        <w:t xml:space="preserve"> </w:t>
      </w:r>
      <w:r w:rsidRPr="00CC2919" w:rsidR="0004745F">
        <w:rPr>
          <w:rFonts w:ascii="Times New Roman" w:hAnsi="Times New Roman"/>
          <w:b/>
          <w:sz w:val="24"/>
          <w:u w:val="single"/>
        </w:rPr>
        <w:t>Inquir</w:t>
      </w:r>
      <w:r w:rsidRPr="00CC2919" w:rsidR="007164C1">
        <w:rPr>
          <w:rFonts w:ascii="Times New Roman" w:hAnsi="Times New Roman"/>
          <w:b/>
          <w:sz w:val="24"/>
          <w:u w:val="single"/>
        </w:rPr>
        <w:t>i</w:t>
      </w:r>
      <w:r w:rsidRPr="00CC2919" w:rsidR="0004745F">
        <w:rPr>
          <w:rFonts w:ascii="Times New Roman" w:hAnsi="Times New Roman"/>
          <w:b/>
          <w:sz w:val="24"/>
          <w:u w:val="single"/>
        </w:rPr>
        <w:t>es</w:t>
      </w:r>
      <w:r w:rsidRPr="00CC2919" w:rsidR="0004745F">
        <w:rPr>
          <w:rFonts w:ascii="Times New Roman" w:hAnsi="Times New Roman"/>
          <w:b/>
          <w:sz w:val="24"/>
        </w:rPr>
        <w:t>.</w:t>
      </w:r>
      <w:r w:rsidRPr="00CC2919" w:rsidR="0004745F">
        <w:rPr>
          <w:rStyle w:val="StyleTimesNewRoman12pt"/>
        </w:rPr>
        <w:t xml:space="preserve">  </w:t>
      </w:r>
      <w:r w:rsidRPr="00CC2919" w:rsidR="00897AD0">
        <w:rPr>
          <w:rStyle w:val="StyleTimesNewRoman12pt"/>
        </w:rPr>
        <w:t>Q</w:t>
      </w:r>
      <w:r w:rsidRPr="00CC2919" w:rsidR="00897AD0">
        <w:rPr>
          <w:rFonts w:ascii="Times New Roman" w:hAnsi="Times New Roman"/>
          <w:sz w:val="24"/>
        </w:rPr>
        <w:t xml:space="preserve">uestions regarding this guidance should be directed to </w:t>
      </w:r>
      <w:r w:rsidRPr="00CC2919" w:rsidR="00155495">
        <w:rPr>
          <w:rFonts w:ascii="Times New Roman" w:hAnsi="Times New Roman"/>
          <w:sz w:val="24"/>
        </w:rPr>
        <w:t>Melissa Abdullah</w:t>
      </w:r>
      <w:r w:rsidRPr="00CC2919" w:rsidR="00897AD0">
        <w:rPr>
          <w:rFonts w:ascii="Times New Roman" w:hAnsi="Times New Roman"/>
          <w:sz w:val="24"/>
        </w:rPr>
        <w:t xml:space="preserve"> at </w:t>
      </w:r>
      <w:r w:rsidRPr="00CC2919" w:rsidR="00090307">
        <w:rPr>
          <w:rFonts w:ascii="Times New Roman" w:hAnsi="Times New Roman"/>
          <w:sz w:val="24"/>
        </w:rPr>
        <w:t xml:space="preserve">           </w:t>
      </w:r>
      <w:r w:rsidRPr="00CC2919" w:rsidR="001B04D4">
        <w:rPr>
          <w:rFonts w:ascii="Times New Roman" w:hAnsi="Times New Roman"/>
          <w:sz w:val="24"/>
        </w:rPr>
        <w:t xml:space="preserve">      </w:t>
      </w:r>
      <w:hyperlink w:history="1" r:id="rId13">
        <w:r w:rsidRPr="00333239" w:rsidR="00333239">
          <w:rPr>
            <w:rStyle w:val="Hyperlink"/>
            <w:rFonts w:ascii="Times New Roman" w:hAnsi="Times New Roman"/>
            <w:color w:val="auto"/>
            <w:sz w:val="24"/>
          </w:rPr>
          <w:t>Abdullah.Melissa@dol.gov</w:t>
        </w:r>
      </w:hyperlink>
      <w:r w:rsidRPr="00B16B2D" w:rsidR="00897AD0">
        <w:rPr>
          <w:rFonts w:ascii="Times New Roman" w:hAnsi="Times New Roman"/>
          <w:sz w:val="24"/>
        </w:rPr>
        <w:t xml:space="preserve"> </w:t>
      </w:r>
      <w:r w:rsidRPr="00333239" w:rsidR="00897AD0">
        <w:rPr>
          <w:rFonts w:ascii="Times New Roman" w:hAnsi="Times New Roman"/>
          <w:sz w:val="24"/>
        </w:rPr>
        <w:t>in</w:t>
      </w:r>
      <w:r w:rsidRPr="00CC2919" w:rsidR="00897AD0">
        <w:rPr>
          <w:rFonts w:ascii="Times New Roman" w:hAnsi="Times New Roman"/>
          <w:sz w:val="24"/>
        </w:rPr>
        <w:t xml:space="preserve"> the ETA Office of Grants Management.</w:t>
      </w:r>
    </w:p>
    <w:p w:rsidRPr="00CC2919" w:rsidR="00897AD0" w:rsidP="00D82877" w:rsidRDefault="00897AD0" w14:paraId="4754B190" w14:textId="77777777">
      <w:pPr>
        <w:widowControl/>
        <w:tabs>
          <w:tab w:val="left" w:pos="360"/>
        </w:tabs>
        <w:rPr>
          <w:rStyle w:val="StyleTimesNewRoman12pt"/>
        </w:rPr>
      </w:pPr>
    </w:p>
    <w:p w:rsidRPr="00CC2919" w:rsidR="00897AD0" w:rsidP="001B04D4" w:rsidRDefault="008F67AD" w14:paraId="172CBF33" w14:textId="77777777">
      <w:pPr>
        <w:widowControl/>
        <w:tabs>
          <w:tab w:val="left" w:pos="540"/>
        </w:tabs>
        <w:ind w:left="360" w:hanging="360"/>
        <w:rPr>
          <w:rFonts w:ascii="Times New Roman" w:hAnsi="Times New Roman"/>
          <w:sz w:val="24"/>
        </w:rPr>
      </w:pPr>
      <w:r>
        <w:rPr>
          <w:rFonts w:ascii="Times New Roman" w:hAnsi="Times New Roman"/>
          <w:b/>
          <w:sz w:val="24"/>
        </w:rPr>
        <w:t>6</w:t>
      </w:r>
      <w:r w:rsidRPr="00CC2919" w:rsidR="00443BB5">
        <w:rPr>
          <w:rFonts w:ascii="Times New Roman" w:hAnsi="Times New Roman"/>
          <w:b/>
          <w:sz w:val="24"/>
        </w:rPr>
        <w:t>.</w:t>
      </w:r>
      <w:r w:rsidRPr="00CC2919" w:rsidR="00443BB5">
        <w:rPr>
          <w:rFonts w:ascii="Times New Roman" w:hAnsi="Times New Roman"/>
          <w:b/>
          <w:sz w:val="24"/>
        </w:rPr>
        <w:tab/>
      </w:r>
      <w:r w:rsidRPr="00CC2919" w:rsidR="001B04D4">
        <w:rPr>
          <w:rFonts w:ascii="Times New Roman" w:hAnsi="Times New Roman"/>
          <w:b/>
          <w:sz w:val="24"/>
        </w:rPr>
        <w:t xml:space="preserve"> </w:t>
      </w:r>
      <w:r w:rsidRPr="00CC2919" w:rsidR="00145B23">
        <w:rPr>
          <w:rFonts w:ascii="Times New Roman" w:hAnsi="Times New Roman"/>
          <w:b/>
          <w:sz w:val="24"/>
          <w:u w:val="single"/>
        </w:rPr>
        <w:t>References</w:t>
      </w:r>
      <w:r w:rsidRPr="00CC2919" w:rsidR="00145B23">
        <w:rPr>
          <w:rFonts w:ascii="Times New Roman" w:hAnsi="Times New Roman"/>
          <w:b/>
          <w:sz w:val="24"/>
        </w:rPr>
        <w:t xml:space="preserve">. </w:t>
      </w:r>
    </w:p>
    <w:p w:rsidRPr="00CC2919" w:rsidR="00897AD0" w:rsidP="00440BF6" w:rsidRDefault="00897AD0" w14:paraId="2AAFD1DC" w14:textId="77777777">
      <w:pPr>
        <w:pStyle w:val="BodyText"/>
        <w:numPr>
          <w:ilvl w:val="0"/>
          <w:numId w:val="18"/>
        </w:numPr>
        <w:tabs>
          <w:tab w:val="left" w:pos="540"/>
        </w:tabs>
        <w:kinsoku w:val="0"/>
        <w:overflowPunct w:val="0"/>
        <w:ind w:left="720" w:hanging="270"/>
      </w:pPr>
      <w:r w:rsidRPr="00CC2919">
        <w:t xml:space="preserve">Section 169(b) of the Workforce Innovation and Opportunity Act (WIOA), Pub. L. 113-128; </w:t>
      </w:r>
    </w:p>
    <w:p w:rsidRPr="00CC2919" w:rsidR="00897AD0" w:rsidP="001B04D4" w:rsidRDefault="000B1F01" w14:paraId="36129F97" w14:textId="77777777">
      <w:pPr>
        <w:pStyle w:val="BodyText"/>
        <w:numPr>
          <w:ilvl w:val="0"/>
          <w:numId w:val="18"/>
        </w:numPr>
        <w:kinsoku w:val="0"/>
        <w:overflowPunct w:val="0"/>
        <w:ind w:left="720" w:hanging="270"/>
      </w:pPr>
      <w:r w:rsidRPr="00CC2919">
        <w:t>Department of Labor Appropriations Act, 2020 (Public Law 116-94)</w:t>
      </w:r>
      <w:r w:rsidRPr="00CC2919" w:rsidR="00897AD0">
        <w:t>;</w:t>
      </w:r>
    </w:p>
    <w:p w:rsidRPr="00CC2919" w:rsidR="00897AD0" w:rsidP="001B04D4" w:rsidRDefault="00897AD0" w14:paraId="03814651" w14:textId="77777777">
      <w:pPr>
        <w:pStyle w:val="BodyText"/>
        <w:numPr>
          <w:ilvl w:val="0"/>
          <w:numId w:val="18"/>
        </w:numPr>
        <w:tabs>
          <w:tab w:val="left" w:pos="450"/>
          <w:tab w:val="left" w:pos="720"/>
        </w:tabs>
        <w:kinsoku w:val="0"/>
        <w:overflowPunct w:val="0"/>
        <w:ind w:left="720" w:hanging="270"/>
      </w:pPr>
      <w:r w:rsidRPr="00CC2919">
        <w:lastRenderedPageBreak/>
        <w:t>ETA Form 9130 (Office of Management and Budget (OMB) Control No. 1205-0461); and</w:t>
      </w:r>
    </w:p>
    <w:p w:rsidRPr="00D72B41" w:rsidR="00897AD0" w:rsidP="001B04D4" w:rsidRDefault="00897AD0" w14:paraId="11733877" w14:textId="77777777">
      <w:pPr>
        <w:pStyle w:val="BodyText"/>
        <w:numPr>
          <w:ilvl w:val="0"/>
          <w:numId w:val="18"/>
        </w:numPr>
        <w:tabs>
          <w:tab w:val="left" w:pos="720"/>
        </w:tabs>
        <w:kinsoku w:val="0"/>
        <w:overflowPunct w:val="0"/>
        <w:ind w:left="630" w:hanging="180"/>
      </w:pPr>
      <w:r w:rsidRPr="00CC2919">
        <w:t>Federal Bonding Program website</w:t>
      </w:r>
      <w:r w:rsidRPr="00D72B41" w:rsidR="00BE6317">
        <w:t xml:space="preserve">, </w:t>
      </w:r>
      <w:hyperlink w:history="1" r:id="rId14">
        <w:r w:rsidRPr="00095760">
          <w:rPr>
            <w:rStyle w:val="Hyperlink"/>
            <w:color w:val="auto"/>
          </w:rPr>
          <w:t>www.bonds4jobs.com</w:t>
        </w:r>
      </w:hyperlink>
      <w:r w:rsidRPr="00D72B41">
        <w:t>.</w:t>
      </w:r>
    </w:p>
    <w:p w:rsidRPr="00CC2919" w:rsidR="00E74BFC" w:rsidP="00D82877" w:rsidRDefault="00E74BFC" w14:paraId="0C49F910" w14:textId="77777777">
      <w:pPr>
        <w:pStyle w:val="BodyText"/>
        <w:tabs>
          <w:tab w:val="left" w:pos="1260"/>
        </w:tabs>
        <w:kinsoku w:val="0"/>
        <w:overflowPunct w:val="0"/>
        <w:ind w:left="1260"/>
      </w:pPr>
    </w:p>
    <w:p w:rsidRPr="00CC2919" w:rsidR="00897AD0" w:rsidP="002D6B35" w:rsidRDefault="008F67AD" w14:paraId="0CE48766" w14:textId="77777777">
      <w:pPr>
        <w:widowControl/>
        <w:tabs>
          <w:tab w:val="left" w:pos="360"/>
          <w:tab w:val="left" w:pos="450"/>
        </w:tabs>
        <w:rPr>
          <w:rStyle w:val="StyleTimesNewRoman12pt"/>
        </w:rPr>
      </w:pPr>
      <w:r>
        <w:rPr>
          <w:rFonts w:ascii="Times New Roman" w:hAnsi="Times New Roman"/>
          <w:b/>
          <w:sz w:val="24"/>
        </w:rPr>
        <w:t>7</w:t>
      </w:r>
      <w:r w:rsidRPr="00CC2919" w:rsidR="00443BB5">
        <w:rPr>
          <w:rFonts w:ascii="Times New Roman" w:hAnsi="Times New Roman"/>
          <w:b/>
          <w:sz w:val="24"/>
        </w:rPr>
        <w:t>.</w:t>
      </w:r>
      <w:r w:rsidRPr="00CC2919" w:rsidR="00443BB5">
        <w:rPr>
          <w:rFonts w:ascii="Times New Roman" w:hAnsi="Times New Roman"/>
          <w:b/>
          <w:sz w:val="24"/>
        </w:rPr>
        <w:tab/>
      </w:r>
      <w:r w:rsidRPr="00CC2919" w:rsidR="0061740E">
        <w:rPr>
          <w:rFonts w:ascii="Times New Roman" w:hAnsi="Times New Roman"/>
          <w:b/>
          <w:sz w:val="24"/>
        </w:rPr>
        <w:t xml:space="preserve"> </w:t>
      </w:r>
      <w:r w:rsidRPr="00CC2919" w:rsidR="0004745F">
        <w:rPr>
          <w:rFonts w:ascii="Times New Roman" w:hAnsi="Times New Roman"/>
          <w:b/>
          <w:sz w:val="24"/>
          <w:u w:val="single"/>
        </w:rPr>
        <w:t>Attachments</w:t>
      </w:r>
      <w:r w:rsidRPr="00CC2919" w:rsidR="0004745F">
        <w:rPr>
          <w:rFonts w:ascii="Times New Roman" w:hAnsi="Times New Roman"/>
          <w:b/>
          <w:sz w:val="24"/>
        </w:rPr>
        <w:t>.</w:t>
      </w:r>
      <w:r w:rsidRPr="00CC2919" w:rsidR="0004745F">
        <w:rPr>
          <w:rStyle w:val="StyleTimesNewRoman12pt"/>
        </w:rPr>
        <w:t xml:space="preserve">  </w:t>
      </w:r>
    </w:p>
    <w:p w:rsidRPr="00CC2919" w:rsidR="00897AD0" w:rsidP="008271FD" w:rsidRDefault="00897AD0" w14:paraId="362B0A74" w14:textId="77777777">
      <w:pPr>
        <w:pStyle w:val="Default"/>
        <w:numPr>
          <w:ilvl w:val="0"/>
          <w:numId w:val="19"/>
        </w:numPr>
        <w:tabs>
          <w:tab w:val="left" w:pos="720"/>
          <w:tab w:val="left" w:pos="810"/>
        </w:tabs>
        <w:ind w:hanging="270"/>
      </w:pPr>
      <w:r w:rsidRPr="00CC2919">
        <w:t>Attachment 1:</w:t>
      </w:r>
      <w:r w:rsidRPr="00CC2919" w:rsidR="009A0C15">
        <w:t xml:space="preserve"> </w:t>
      </w:r>
      <w:r w:rsidRPr="00CC2919">
        <w:t>Estimated Number of Offenders Served by Each State’s Employment Service and WIOA Adult Formula Program Over Four Years Based on Program Year 201</w:t>
      </w:r>
      <w:r w:rsidRPr="00CC2919" w:rsidR="00335FD9">
        <w:t>8</w:t>
      </w:r>
      <w:r w:rsidRPr="00CC2919">
        <w:t xml:space="preserve"> Data</w:t>
      </w:r>
    </w:p>
    <w:p w:rsidR="002E0284" w:rsidP="008271FD" w:rsidRDefault="00897AD0" w14:paraId="2C3CD909" w14:textId="77777777">
      <w:pPr>
        <w:pStyle w:val="Default"/>
        <w:numPr>
          <w:ilvl w:val="0"/>
          <w:numId w:val="19"/>
        </w:numPr>
        <w:tabs>
          <w:tab w:val="left" w:pos="360"/>
          <w:tab w:val="left" w:pos="720"/>
        </w:tabs>
        <w:ind w:hanging="270"/>
      </w:pPr>
      <w:r w:rsidRPr="00CC2919">
        <w:t xml:space="preserve">Attachment </w:t>
      </w:r>
      <w:r w:rsidR="00BC44D2">
        <w:t>II</w:t>
      </w:r>
      <w:r w:rsidRPr="00CC2919">
        <w:t>: Instructions for Completing Budget Narrative</w:t>
      </w:r>
    </w:p>
    <w:p w:rsidR="00CC2919" w:rsidP="00CC2919" w:rsidRDefault="00CC2919" w14:paraId="355F0064" w14:textId="77777777">
      <w:pPr>
        <w:pStyle w:val="Default"/>
        <w:tabs>
          <w:tab w:val="left" w:pos="360"/>
          <w:tab w:val="left" w:pos="720"/>
        </w:tabs>
      </w:pPr>
    </w:p>
    <w:p w:rsidR="00CC2919" w:rsidP="00CC2919" w:rsidRDefault="00CC2919" w14:paraId="189ED92B" w14:textId="77777777">
      <w:pPr>
        <w:pStyle w:val="Default"/>
        <w:tabs>
          <w:tab w:val="left" w:pos="360"/>
          <w:tab w:val="left" w:pos="720"/>
        </w:tabs>
        <w:sectPr w:rsidR="00CC2919" w:rsidSect="004E4C27">
          <w:footerReference w:type="even" r:id="rId15"/>
          <w:footerReference w:type="default" r:id="rId16"/>
          <w:footerReference w:type="first" r:id="rId17"/>
          <w:endnotePr>
            <w:numFmt w:val="decimal"/>
          </w:endnotePr>
          <w:pgSz w:w="12240" w:h="15840"/>
          <w:pgMar w:top="1440" w:right="1440" w:bottom="1440" w:left="1440" w:header="1008" w:footer="720" w:gutter="0"/>
          <w:cols w:space="720"/>
          <w:noEndnote/>
          <w:titlePg/>
          <w:docGrid w:linePitch="272"/>
        </w:sectPr>
      </w:pPr>
    </w:p>
    <w:p w:rsidR="00CC2919" w:rsidP="00333239" w:rsidRDefault="00BC44D2" w14:paraId="20FDFC1F" w14:textId="77777777">
      <w:pPr>
        <w:pStyle w:val="Default"/>
        <w:jc w:val="right"/>
      </w:pPr>
      <w:r>
        <w:lastRenderedPageBreak/>
        <w:t>Attachment I</w:t>
      </w:r>
    </w:p>
    <w:p w:rsidRPr="000F08EE" w:rsidR="00CC2919" w:rsidP="00CC2919" w:rsidRDefault="00CC2919" w14:paraId="4ABDFF43" w14:textId="77777777">
      <w:pPr>
        <w:rPr>
          <w:rFonts w:ascii="Times New Roman" w:hAnsi="Times New Roman"/>
          <w:b/>
          <w:sz w:val="24"/>
        </w:rPr>
      </w:pPr>
    </w:p>
    <w:p w:rsidRPr="00051D6E" w:rsidR="00CC2919" w:rsidP="00CC2919" w:rsidRDefault="00CC2919" w14:paraId="75F68A8C" w14:textId="77777777">
      <w:pPr>
        <w:rPr>
          <w:rFonts w:ascii="Times New Roman" w:hAnsi="Times New Roman"/>
          <w:b/>
          <w:szCs w:val="20"/>
        </w:rPr>
      </w:pPr>
      <w:r w:rsidRPr="00051D6E">
        <w:rPr>
          <w:rFonts w:ascii="Times New Roman" w:hAnsi="Times New Roman"/>
          <w:b/>
          <w:szCs w:val="20"/>
        </w:rPr>
        <w:t>ESTIMATED NUMBER OF OFFENDERS TO BE SERVED BY STATES OVER 4 YEARS BASED ON PY 2018 DATA</w:t>
      </w:r>
    </w:p>
    <w:p w:rsidRPr="00051D6E" w:rsidR="0019101F" w:rsidP="00CC2919" w:rsidRDefault="0019101F" w14:paraId="0E2E1B91" w14:textId="77777777">
      <w:pPr>
        <w:rPr>
          <w:rFonts w:ascii="Times New Roman" w:hAnsi="Times New Roman"/>
          <w:b/>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24"/>
        <w:gridCol w:w="1296"/>
        <w:gridCol w:w="1152"/>
      </w:tblGrid>
      <w:tr w:rsidRPr="00051D6E" w:rsidR="00CC2919" w:rsidTr="002E2431" w14:paraId="0AE83A10" w14:textId="77777777">
        <w:tc>
          <w:tcPr>
            <w:tcW w:w="3024" w:type="dxa"/>
            <w:shd w:val="clear" w:color="auto" w:fill="auto"/>
          </w:tcPr>
          <w:p w:rsidRPr="00051D6E" w:rsidR="00CC2919" w:rsidP="002E2431" w:rsidRDefault="00CC2919" w14:paraId="19E44326" w14:textId="77777777">
            <w:pPr>
              <w:rPr>
                <w:rFonts w:ascii="Times New Roman" w:hAnsi="Times New Roman" w:eastAsia="Calibri"/>
                <w:b/>
                <w:szCs w:val="20"/>
              </w:rPr>
            </w:pPr>
            <w:r w:rsidRPr="00051D6E">
              <w:rPr>
                <w:rFonts w:ascii="Times New Roman" w:hAnsi="Times New Roman" w:eastAsia="Calibri"/>
                <w:b/>
                <w:szCs w:val="20"/>
              </w:rPr>
              <w:t xml:space="preserve">State </w:t>
            </w:r>
          </w:p>
        </w:tc>
        <w:tc>
          <w:tcPr>
            <w:tcW w:w="1296" w:type="dxa"/>
            <w:shd w:val="clear" w:color="auto" w:fill="auto"/>
          </w:tcPr>
          <w:p w:rsidRPr="00051D6E" w:rsidR="00CC2919" w:rsidP="002E2431" w:rsidRDefault="00CC2919" w14:paraId="64F0C87E" w14:textId="77777777">
            <w:pPr>
              <w:rPr>
                <w:rFonts w:ascii="Times New Roman" w:hAnsi="Times New Roman" w:eastAsia="Calibri"/>
                <w:b/>
                <w:szCs w:val="20"/>
              </w:rPr>
            </w:pPr>
            <w:r w:rsidRPr="00051D6E">
              <w:rPr>
                <w:rFonts w:ascii="Times New Roman" w:hAnsi="Times New Roman" w:eastAsia="Calibri"/>
                <w:b/>
                <w:szCs w:val="20"/>
              </w:rPr>
              <w:t xml:space="preserve">PY 2018 </w:t>
            </w:r>
          </w:p>
          <w:p w:rsidRPr="00051D6E" w:rsidR="00CC2919" w:rsidP="002E2431" w:rsidRDefault="00CC2919" w14:paraId="044872C0" w14:textId="77777777">
            <w:pPr>
              <w:rPr>
                <w:rFonts w:ascii="Times New Roman" w:hAnsi="Times New Roman" w:eastAsia="Calibri"/>
                <w:b/>
                <w:szCs w:val="20"/>
              </w:rPr>
            </w:pPr>
            <w:r w:rsidRPr="00051D6E">
              <w:rPr>
                <w:rFonts w:ascii="Times New Roman" w:hAnsi="Times New Roman" w:eastAsia="Calibri"/>
                <w:b/>
                <w:szCs w:val="20"/>
              </w:rPr>
              <w:t>1-Year Total</w:t>
            </w:r>
          </w:p>
        </w:tc>
        <w:tc>
          <w:tcPr>
            <w:tcW w:w="1152" w:type="dxa"/>
            <w:shd w:val="clear" w:color="auto" w:fill="auto"/>
          </w:tcPr>
          <w:p w:rsidRPr="00051D6E" w:rsidR="00CC2919" w:rsidP="002E2431" w:rsidRDefault="00CC2919" w14:paraId="6A66F595" w14:textId="77777777">
            <w:pPr>
              <w:rPr>
                <w:rFonts w:ascii="Times New Roman" w:hAnsi="Times New Roman" w:eastAsia="Calibri"/>
                <w:b/>
                <w:szCs w:val="20"/>
              </w:rPr>
            </w:pPr>
            <w:r w:rsidRPr="00051D6E">
              <w:rPr>
                <w:rFonts w:ascii="Times New Roman" w:hAnsi="Times New Roman" w:eastAsia="Calibri"/>
                <w:b/>
                <w:szCs w:val="20"/>
              </w:rPr>
              <w:t>4-Year Estimate</w:t>
            </w:r>
          </w:p>
        </w:tc>
      </w:tr>
      <w:tr w:rsidRPr="00051D6E" w:rsidR="00CC2919" w:rsidTr="002E2431" w14:paraId="62C4F1C7" w14:textId="77777777">
        <w:tc>
          <w:tcPr>
            <w:tcW w:w="3024" w:type="dxa"/>
            <w:shd w:val="clear" w:color="auto" w:fill="auto"/>
          </w:tcPr>
          <w:p w:rsidRPr="00051D6E" w:rsidR="00CC2919" w:rsidP="002E2431" w:rsidRDefault="00CC2919" w14:paraId="0A081EA1" w14:textId="77777777">
            <w:pPr>
              <w:rPr>
                <w:rFonts w:ascii="Times New Roman" w:hAnsi="Times New Roman" w:eastAsia="Calibri"/>
                <w:szCs w:val="20"/>
              </w:rPr>
            </w:pPr>
            <w:r w:rsidRPr="00051D6E">
              <w:rPr>
                <w:rFonts w:ascii="Times New Roman" w:hAnsi="Times New Roman" w:eastAsia="Calibri"/>
                <w:szCs w:val="20"/>
              </w:rPr>
              <w:t>Arkansas</w:t>
            </w:r>
          </w:p>
        </w:tc>
        <w:tc>
          <w:tcPr>
            <w:tcW w:w="1296" w:type="dxa"/>
            <w:shd w:val="clear" w:color="auto" w:fill="auto"/>
          </w:tcPr>
          <w:p w:rsidRPr="00051D6E" w:rsidR="00CC2919" w:rsidP="002E2431" w:rsidRDefault="00CC2919" w14:paraId="748BBD68" w14:textId="77777777">
            <w:pPr>
              <w:jc w:val="right"/>
              <w:rPr>
                <w:rFonts w:ascii="Times New Roman" w:hAnsi="Times New Roman" w:eastAsia="Calibri"/>
                <w:szCs w:val="20"/>
              </w:rPr>
            </w:pPr>
            <w:r w:rsidRPr="00051D6E">
              <w:rPr>
                <w:rFonts w:ascii="Times New Roman" w:hAnsi="Times New Roman" w:eastAsia="Calibri"/>
                <w:szCs w:val="20"/>
              </w:rPr>
              <w:t>1,181</w:t>
            </w:r>
          </w:p>
        </w:tc>
        <w:tc>
          <w:tcPr>
            <w:tcW w:w="1152" w:type="dxa"/>
            <w:shd w:val="clear" w:color="auto" w:fill="auto"/>
          </w:tcPr>
          <w:p w:rsidRPr="00051D6E" w:rsidR="00CC2919" w:rsidP="002E2431" w:rsidRDefault="00CC2919" w14:paraId="2FEE4474" w14:textId="77777777">
            <w:pPr>
              <w:jc w:val="right"/>
              <w:rPr>
                <w:rFonts w:ascii="Times New Roman" w:hAnsi="Times New Roman" w:eastAsia="Calibri"/>
                <w:szCs w:val="20"/>
              </w:rPr>
            </w:pPr>
            <w:r w:rsidRPr="00051D6E">
              <w:rPr>
                <w:rFonts w:ascii="Times New Roman" w:hAnsi="Times New Roman" w:eastAsia="Calibri"/>
                <w:szCs w:val="20"/>
              </w:rPr>
              <w:t xml:space="preserve">  4,724</w:t>
            </w:r>
          </w:p>
        </w:tc>
      </w:tr>
      <w:tr w:rsidRPr="00051D6E" w:rsidR="00CC2919" w:rsidTr="002E2431" w14:paraId="239E6879" w14:textId="77777777">
        <w:tc>
          <w:tcPr>
            <w:tcW w:w="3024" w:type="dxa"/>
            <w:shd w:val="clear" w:color="auto" w:fill="auto"/>
          </w:tcPr>
          <w:p w:rsidRPr="00051D6E" w:rsidR="00CC2919" w:rsidP="002E2431" w:rsidRDefault="00CC2919" w14:paraId="387C3EC1" w14:textId="77777777">
            <w:pPr>
              <w:rPr>
                <w:rFonts w:ascii="Times New Roman" w:hAnsi="Times New Roman" w:eastAsia="Calibri"/>
                <w:szCs w:val="20"/>
              </w:rPr>
            </w:pPr>
            <w:r w:rsidRPr="00051D6E">
              <w:rPr>
                <w:rFonts w:ascii="Times New Roman" w:hAnsi="Times New Roman" w:eastAsia="Calibri"/>
                <w:szCs w:val="20"/>
              </w:rPr>
              <w:t>Georgia</w:t>
            </w:r>
          </w:p>
        </w:tc>
        <w:tc>
          <w:tcPr>
            <w:tcW w:w="1296" w:type="dxa"/>
            <w:shd w:val="clear" w:color="auto" w:fill="auto"/>
          </w:tcPr>
          <w:p w:rsidRPr="00051D6E" w:rsidR="00CC2919" w:rsidP="002E2431" w:rsidRDefault="00CC2919" w14:paraId="11803554" w14:textId="77777777">
            <w:pPr>
              <w:jc w:val="right"/>
              <w:rPr>
                <w:rFonts w:ascii="Times New Roman" w:hAnsi="Times New Roman" w:eastAsia="Calibri"/>
                <w:szCs w:val="20"/>
              </w:rPr>
            </w:pPr>
            <w:r w:rsidRPr="00051D6E">
              <w:rPr>
                <w:rFonts w:ascii="Times New Roman" w:hAnsi="Times New Roman" w:eastAsia="Calibri"/>
                <w:szCs w:val="20"/>
              </w:rPr>
              <w:t>3,071</w:t>
            </w:r>
          </w:p>
        </w:tc>
        <w:tc>
          <w:tcPr>
            <w:tcW w:w="1152" w:type="dxa"/>
            <w:shd w:val="clear" w:color="auto" w:fill="auto"/>
          </w:tcPr>
          <w:p w:rsidRPr="00051D6E" w:rsidR="00CC2919" w:rsidP="002E2431" w:rsidRDefault="00CC2919" w14:paraId="7E8A885E" w14:textId="77777777">
            <w:pPr>
              <w:jc w:val="right"/>
              <w:rPr>
                <w:rFonts w:ascii="Times New Roman" w:hAnsi="Times New Roman" w:eastAsia="Calibri"/>
                <w:szCs w:val="20"/>
              </w:rPr>
            </w:pPr>
            <w:r w:rsidRPr="00051D6E">
              <w:rPr>
                <w:rFonts w:ascii="Times New Roman" w:hAnsi="Times New Roman" w:eastAsia="Calibri"/>
                <w:szCs w:val="20"/>
              </w:rPr>
              <w:t>12,284</w:t>
            </w:r>
          </w:p>
        </w:tc>
      </w:tr>
      <w:tr w:rsidRPr="00051D6E" w:rsidR="00CC2919" w:rsidTr="002E2431" w14:paraId="55A654A1" w14:textId="77777777">
        <w:tc>
          <w:tcPr>
            <w:tcW w:w="3024" w:type="dxa"/>
            <w:shd w:val="clear" w:color="auto" w:fill="auto"/>
          </w:tcPr>
          <w:p w:rsidRPr="00051D6E" w:rsidR="00CC2919" w:rsidP="002E2431" w:rsidRDefault="00CC2919" w14:paraId="0F1ABA35" w14:textId="77777777">
            <w:pPr>
              <w:rPr>
                <w:rFonts w:ascii="Times New Roman" w:hAnsi="Times New Roman" w:eastAsia="Calibri"/>
                <w:szCs w:val="20"/>
              </w:rPr>
            </w:pPr>
            <w:r w:rsidRPr="00051D6E">
              <w:rPr>
                <w:rFonts w:ascii="Times New Roman" w:hAnsi="Times New Roman" w:eastAsia="Calibri"/>
                <w:szCs w:val="20"/>
              </w:rPr>
              <w:t>Hawaii</w:t>
            </w:r>
          </w:p>
        </w:tc>
        <w:tc>
          <w:tcPr>
            <w:tcW w:w="1296" w:type="dxa"/>
            <w:shd w:val="clear" w:color="auto" w:fill="auto"/>
          </w:tcPr>
          <w:p w:rsidRPr="00051D6E" w:rsidR="00CC2919" w:rsidP="002E2431" w:rsidRDefault="00CC2919" w14:paraId="0F664B57" w14:textId="77777777">
            <w:pPr>
              <w:jc w:val="right"/>
              <w:rPr>
                <w:rFonts w:ascii="Times New Roman" w:hAnsi="Times New Roman" w:eastAsia="Calibri"/>
                <w:szCs w:val="20"/>
              </w:rPr>
            </w:pPr>
            <w:r w:rsidRPr="00051D6E">
              <w:rPr>
                <w:rFonts w:ascii="Times New Roman" w:hAnsi="Times New Roman" w:eastAsia="Calibri"/>
                <w:szCs w:val="20"/>
              </w:rPr>
              <w:t xml:space="preserve">     32</w:t>
            </w:r>
          </w:p>
        </w:tc>
        <w:tc>
          <w:tcPr>
            <w:tcW w:w="1152" w:type="dxa"/>
            <w:shd w:val="clear" w:color="auto" w:fill="auto"/>
          </w:tcPr>
          <w:p w:rsidRPr="00051D6E" w:rsidR="00CC2919" w:rsidP="002E2431" w:rsidRDefault="00CC2919" w14:paraId="6264F20A" w14:textId="77777777">
            <w:pPr>
              <w:jc w:val="right"/>
              <w:rPr>
                <w:rFonts w:ascii="Times New Roman" w:hAnsi="Times New Roman" w:eastAsia="Calibri"/>
                <w:szCs w:val="20"/>
              </w:rPr>
            </w:pPr>
            <w:r w:rsidRPr="00051D6E">
              <w:rPr>
                <w:rFonts w:ascii="Times New Roman" w:hAnsi="Times New Roman" w:eastAsia="Calibri"/>
                <w:szCs w:val="20"/>
              </w:rPr>
              <w:t xml:space="preserve">     128</w:t>
            </w:r>
          </w:p>
        </w:tc>
      </w:tr>
      <w:tr w:rsidRPr="00051D6E" w:rsidR="00CC2919" w:rsidTr="002E2431" w14:paraId="63B7BAFB" w14:textId="77777777">
        <w:tc>
          <w:tcPr>
            <w:tcW w:w="3024" w:type="dxa"/>
            <w:shd w:val="clear" w:color="auto" w:fill="auto"/>
          </w:tcPr>
          <w:p w:rsidRPr="00051D6E" w:rsidR="00CC2919" w:rsidP="002E2431" w:rsidRDefault="00CC2919" w14:paraId="69098D03" w14:textId="77777777">
            <w:pPr>
              <w:rPr>
                <w:rFonts w:ascii="Times New Roman" w:hAnsi="Times New Roman" w:eastAsia="Calibri"/>
                <w:szCs w:val="20"/>
              </w:rPr>
            </w:pPr>
            <w:r w:rsidRPr="00051D6E">
              <w:rPr>
                <w:rFonts w:ascii="Times New Roman" w:hAnsi="Times New Roman" w:eastAsia="Calibri"/>
                <w:szCs w:val="20"/>
              </w:rPr>
              <w:t>Idaho</w:t>
            </w:r>
          </w:p>
        </w:tc>
        <w:tc>
          <w:tcPr>
            <w:tcW w:w="1296" w:type="dxa"/>
            <w:shd w:val="clear" w:color="auto" w:fill="auto"/>
          </w:tcPr>
          <w:p w:rsidRPr="00051D6E" w:rsidR="00CC2919" w:rsidP="002E2431" w:rsidRDefault="00CC2919" w14:paraId="2E7394D7" w14:textId="77777777">
            <w:pPr>
              <w:jc w:val="right"/>
              <w:rPr>
                <w:rFonts w:ascii="Times New Roman" w:hAnsi="Times New Roman" w:eastAsia="Calibri"/>
                <w:szCs w:val="20"/>
              </w:rPr>
            </w:pPr>
            <w:r w:rsidRPr="00051D6E">
              <w:rPr>
                <w:rFonts w:ascii="Times New Roman" w:hAnsi="Times New Roman" w:eastAsia="Calibri"/>
                <w:szCs w:val="20"/>
              </w:rPr>
              <w:t xml:space="preserve">   169</w:t>
            </w:r>
          </w:p>
        </w:tc>
        <w:tc>
          <w:tcPr>
            <w:tcW w:w="1152" w:type="dxa"/>
            <w:shd w:val="clear" w:color="auto" w:fill="auto"/>
          </w:tcPr>
          <w:p w:rsidRPr="00051D6E" w:rsidR="00CC2919" w:rsidP="002E2431" w:rsidRDefault="00CC2919" w14:paraId="2321D366" w14:textId="77777777">
            <w:pPr>
              <w:jc w:val="right"/>
              <w:rPr>
                <w:rFonts w:ascii="Times New Roman" w:hAnsi="Times New Roman" w:eastAsia="Calibri"/>
                <w:szCs w:val="20"/>
              </w:rPr>
            </w:pPr>
            <w:r w:rsidRPr="00051D6E">
              <w:rPr>
                <w:rFonts w:ascii="Times New Roman" w:hAnsi="Times New Roman" w:eastAsia="Calibri"/>
                <w:szCs w:val="20"/>
              </w:rPr>
              <w:t xml:space="preserve">     676</w:t>
            </w:r>
          </w:p>
        </w:tc>
      </w:tr>
      <w:tr w:rsidRPr="00051D6E" w:rsidR="00CC2919" w:rsidTr="002E2431" w14:paraId="7BB3DB39" w14:textId="77777777">
        <w:tc>
          <w:tcPr>
            <w:tcW w:w="3024" w:type="dxa"/>
            <w:shd w:val="clear" w:color="auto" w:fill="auto"/>
          </w:tcPr>
          <w:p w:rsidRPr="00051D6E" w:rsidR="00CC2919" w:rsidP="002E2431" w:rsidRDefault="00CC2919" w14:paraId="1A8D219A" w14:textId="77777777">
            <w:pPr>
              <w:rPr>
                <w:rFonts w:ascii="Times New Roman" w:hAnsi="Times New Roman" w:eastAsia="Calibri"/>
                <w:szCs w:val="20"/>
              </w:rPr>
            </w:pPr>
            <w:r w:rsidRPr="00051D6E">
              <w:rPr>
                <w:rFonts w:ascii="Times New Roman" w:hAnsi="Times New Roman" w:eastAsia="Calibri"/>
                <w:szCs w:val="20"/>
              </w:rPr>
              <w:t>Indiana</w:t>
            </w:r>
          </w:p>
        </w:tc>
        <w:tc>
          <w:tcPr>
            <w:tcW w:w="1296" w:type="dxa"/>
            <w:shd w:val="clear" w:color="auto" w:fill="auto"/>
          </w:tcPr>
          <w:p w:rsidRPr="00051D6E" w:rsidR="00CC2919" w:rsidP="002E2431" w:rsidRDefault="00CC2919" w14:paraId="334ED26F" w14:textId="77777777">
            <w:pPr>
              <w:jc w:val="right"/>
              <w:rPr>
                <w:rFonts w:ascii="Times New Roman" w:hAnsi="Times New Roman" w:eastAsia="Calibri"/>
                <w:szCs w:val="20"/>
              </w:rPr>
            </w:pPr>
            <w:r w:rsidRPr="00051D6E">
              <w:rPr>
                <w:rFonts w:ascii="Times New Roman" w:hAnsi="Times New Roman" w:eastAsia="Calibri"/>
                <w:szCs w:val="20"/>
              </w:rPr>
              <w:t>1,682</w:t>
            </w:r>
          </w:p>
        </w:tc>
        <w:tc>
          <w:tcPr>
            <w:tcW w:w="1152" w:type="dxa"/>
            <w:shd w:val="clear" w:color="auto" w:fill="auto"/>
          </w:tcPr>
          <w:p w:rsidRPr="00051D6E" w:rsidR="00CC2919" w:rsidP="002E2431" w:rsidRDefault="00CC2919" w14:paraId="71EBBCB8" w14:textId="77777777">
            <w:pPr>
              <w:jc w:val="right"/>
              <w:rPr>
                <w:rFonts w:ascii="Times New Roman" w:hAnsi="Times New Roman" w:eastAsia="Calibri"/>
                <w:szCs w:val="20"/>
              </w:rPr>
            </w:pPr>
            <w:r w:rsidRPr="00051D6E">
              <w:rPr>
                <w:rFonts w:ascii="Times New Roman" w:hAnsi="Times New Roman" w:eastAsia="Calibri"/>
                <w:szCs w:val="20"/>
              </w:rPr>
              <w:t xml:space="preserve"> 6,728</w:t>
            </w:r>
          </w:p>
        </w:tc>
      </w:tr>
      <w:tr w:rsidRPr="00051D6E" w:rsidR="00CC2919" w:rsidTr="002E2431" w14:paraId="20A6BDB8" w14:textId="77777777">
        <w:tc>
          <w:tcPr>
            <w:tcW w:w="3024" w:type="dxa"/>
            <w:shd w:val="clear" w:color="auto" w:fill="auto"/>
          </w:tcPr>
          <w:p w:rsidRPr="00051D6E" w:rsidR="00CC2919" w:rsidP="002E2431" w:rsidRDefault="00CC2919" w14:paraId="3DEE07A1" w14:textId="77777777">
            <w:pPr>
              <w:rPr>
                <w:rFonts w:ascii="Times New Roman" w:hAnsi="Times New Roman" w:eastAsia="Calibri"/>
                <w:szCs w:val="20"/>
              </w:rPr>
            </w:pPr>
            <w:r w:rsidRPr="00051D6E">
              <w:rPr>
                <w:rFonts w:ascii="Times New Roman" w:hAnsi="Times New Roman" w:eastAsia="Calibri"/>
                <w:szCs w:val="20"/>
              </w:rPr>
              <w:t>Kansas</w:t>
            </w:r>
          </w:p>
        </w:tc>
        <w:tc>
          <w:tcPr>
            <w:tcW w:w="1296" w:type="dxa"/>
            <w:shd w:val="clear" w:color="auto" w:fill="auto"/>
          </w:tcPr>
          <w:p w:rsidRPr="00051D6E" w:rsidR="00CC2919" w:rsidP="002E2431" w:rsidRDefault="00CC2919" w14:paraId="6FA770F2" w14:textId="77777777">
            <w:pPr>
              <w:jc w:val="right"/>
              <w:rPr>
                <w:rFonts w:ascii="Times New Roman" w:hAnsi="Times New Roman" w:eastAsia="Calibri"/>
                <w:szCs w:val="20"/>
              </w:rPr>
            </w:pPr>
            <w:r w:rsidRPr="00051D6E">
              <w:rPr>
                <w:rFonts w:ascii="Times New Roman" w:hAnsi="Times New Roman" w:eastAsia="Calibri"/>
                <w:szCs w:val="20"/>
              </w:rPr>
              <w:t>2,241</w:t>
            </w:r>
          </w:p>
        </w:tc>
        <w:tc>
          <w:tcPr>
            <w:tcW w:w="1152" w:type="dxa"/>
            <w:shd w:val="clear" w:color="auto" w:fill="auto"/>
          </w:tcPr>
          <w:p w:rsidRPr="00051D6E" w:rsidR="00CC2919" w:rsidP="002E2431" w:rsidRDefault="00CC2919" w14:paraId="05A4DC5E" w14:textId="77777777">
            <w:pPr>
              <w:jc w:val="right"/>
              <w:rPr>
                <w:rFonts w:ascii="Times New Roman" w:hAnsi="Times New Roman" w:eastAsia="Calibri"/>
                <w:szCs w:val="20"/>
              </w:rPr>
            </w:pPr>
            <w:r w:rsidRPr="00051D6E">
              <w:rPr>
                <w:rFonts w:ascii="Times New Roman" w:hAnsi="Times New Roman" w:eastAsia="Calibri"/>
                <w:szCs w:val="20"/>
              </w:rPr>
              <w:t xml:space="preserve"> 8,964</w:t>
            </w:r>
          </w:p>
        </w:tc>
      </w:tr>
      <w:tr w:rsidRPr="00051D6E" w:rsidR="00CC2919" w:rsidTr="002E2431" w14:paraId="2B5CD22D" w14:textId="77777777">
        <w:tc>
          <w:tcPr>
            <w:tcW w:w="3024" w:type="dxa"/>
            <w:shd w:val="clear" w:color="auto" w:fill="auto"/>
          </w:tcPr>
          <w:p w:rsidRPr="00051D6E" w:rsidR="00CC2919" w:rsidP="002E2431" w:rsidRDefault="00CC2919" w14:paraId="37C8FED5" w14:textId="77777777">
            <w:pPr>
              <w:rPr>
                <w:rFonts w:ascii="Times New Roman" w:hAnsi="Times New Roman" w:eastAsia="Calibri"/>
                <w:szCs w:val="20"/>
              </w:rPr>
            </w:pPr>
            <w:r w:rsidRPr="00051D6E">
              <w:rPr>
                <w:rFonts w:ascii="Times New Roman" w:hAnsi="Times New Roman" w:eastAsia="Calibri"/>
                <w:szCs w:val="20"/>
              </w:rPr>
              <w:t>Louisiana</w:t>
            </w:r>
          </w:p>
        </w:tc>
        <w:tc>
          <w:tcPr>
            <w:tcW w:w="1296" w:type="dxa"/>
            <w:shd w:val="clear" w:color="auto" w:fill="auto"/>
          </w:tcPr>
          <w:p w:rsidRPr="00051D6E" w:rsidR="00CC2919" w:rsidP="002E2431" w:rsidRDefault="00CC2919" w14:paraId="34E4F3B1" w14:textId="77777777">
            <w:pPr>
              <w:jc w:val="right"/>
              <w:rPr>
                <w:rFonts w:ascii="Times New Roman" w:hAnsi="Times New Roman" w:eastAsia="Calibri"/>
                <w:szCs w:val="20"/>
              </w:rPr>
            </w:pPr>
            <w:r w:rsidRPr="00051D6E">
              <w:rPr>
                <w:rFonts w:ascii="Times New Roman" w:hAnsi="Times New Roman" w:eastAsia="Calibri"/>
                <w:szCs w:val="20"/>
              </w:rPr>
              <w:t>1,594</w:t>
            </w:r>
          </w:p>
        </w:tc>
        <w:tc>
          <w:tcPr>
            <w:tcW w:w="1152" w:type="dxa"/>
            <w:shd w:val="clear" w:color="auto" w:fill="auto"/>
          </w:tcPr>
          <w:p w:rsidRPr="00051D6E" w:rsidR="00CC2919" w:rsidP="002E2431" w:rsidRDefault="00CC2919" w14:paraId="4E659DA0" w14:textId="77777777">
            <w:pPr>
              <w:jc w:val="right"/>
              <w:rPr>
                <w:rFonts w:ascii="Times New Roman" w:hAnsi="Times New Roman" w:eastAsia="Calibri"/>
                <w:szCs w:val="20"/>
              </w:rPr>
            </w:pPr>
            <w:r w:rsidRPr="00051D6E">
              <w:rPr>
                <w:rFonts w:ascii="Times New Roman" w:hAnsi="Times New Roman" w:eastAsia="Calibri"/>
                <w:szCs w:val="20"/>
              </w:rPr>
              <w:t xml:space="preserve"> 6,476</w:t>
            </w:r>
          </w:p>
        </w:tc>
      </w:tr>
      <w:tr w:rsidRPr="00051D6E" w:rsidR="00CC2919" w:rsidTr="002E2431" w14:paraId="6BF2F036" w14:textId="77777777">
        <w:tc>
          <w:tcPr>
            <w:tcW w:w="3024" w:type="dxa"/>
            <w:shd w:val="clear" w:color="auto" w:fill="auto"/>
          </w:tcPr>
          <w:p w:rsidRPr="00051D6E" w:rsidR="00CC2919" w:rsidP="002E2431" w:rsidRDefault="00CC2919" w14:paraId="22F7D407" w14:textId="77777777">
            <w:pPr>
              <w:rPr>
                <w:rFonts w:ascii="Times New Roman" w:hAnsi="Times New Roman" w:eastAsia="Calibri"/>
                <w:szCs w:val="20"/>
              </w:rPr>
            </w:pPr>
            <w:r w:rsidRPr="00051D6E">
              <w:rPr>
                <w:rFonts w:ascii="Times New Roman" w:hAnsi="Times New Roman" w:eastAsia="Calibri"/>
                <w:szCs w:val="20"/>
              </w:rPr>
              <w:t>Maryland</w:t>
            </w:r>
          </w:p>
        </w:tc>
        <w:tc>
          <w:tcPr>
            <w:tcW w:w="1296" w:type="dxa"/>
            <w:shd w:val="clear" w:color="auto" w:fill="auto"/>
          </w:tcPr>
          <w:p w:rsidRPr="00051D6E" w:rsidR="00CC2919" w:rsidP="002E2431" w:rsidRDefault="00CC2919" w14:paraId="188DD58E" w14:textId="77777777">
            <w:pPr>
              <w:jc w:val="right"/>
              <w:rPr>
                <w:rFonts w:ascii="Times New Roman" w:hAnsi="Times New Roman" w:eastAsia="Calibri"/>
                <w:szCs w:val="20"/>
              </w:rPr>
            </w:pPr>
            <w:r w:rsidRPr="00051D6E">
              <w:rPr>
                <w:rFonts w:ascii="Times New Roman" w:hAnsi="Times New Roman" w:eastAsia="Calibri"/>
                <w:szCs w:val="20"/>
              </w:rPr>
              <w:t xml:space="preserve">   718</w:t>
            </w:r>
          </w:p>
        </w:tc>
        <w:tc>
          <w:tcPr>
            <w:tcW w:w="1152" w:type="dxa"/>
            <w:shd w:val="clear" w:color="auto" w:fill="auto"/>
          </w:tcPr>
          <w:p w:rsidRPr="00051D6E" w:rsidR="00CC2919" w:rsidP="002E2431" w:rsidRDefault="00CC2919" w14:paraId="1446673B" w14:textId="77777777">
            <w:pPr>
              <w:jc w:val="right"/>
              <w:rPr>
                <w:rFonts w:ascii="Times New Roman" w:hAnsi="Times New Roman" w:eastAsia="Calibri"/>
                <w:szCs w:val="20"/>
              </w:rPr>
            </w:pPr>
            <w:r w:rsidRPr="00051D6E">
              <w:rPr>
                <w:rFonts w:ascii="Times New Roman" w:hAnsi="Times New Roman" w:eastAsia="Calibri"/>
                <w:szCs w:val="20"/>
              </w:rPr>
              <w:t xml:space="preserve"> 2,872</w:t>
            </w:r>
          </w:p>
        </w:tc>
      </w:tr>
      <w:tr w:rsidRPr="00051D6E" w:rsidR="00CC2919" w:rsidTr="002E2431" w14:paraId="710CB4A8" w14:textId="77777777">
        <w:tc>
          <w:tcPr>
            <w:tcW w:w="3024" w:type="dxa"/>
            <w:shd w:val="clear" w:color="auto" w:fill="auto"/>
          </w:tcPr>
          <w:p w:rsidRPr="00051D6E" w:rsidR="00CC2919" w:rsidP="002E2431" w:rsidRDefault="00CC2919" w14:paraId="61F64725" w14:textId="77777777">
            <w:pPr>
              <w:rPr>
                <w:rFonts w:ascii="Times New Roman" w:hAnsi="Times New Roman" w:eastAsia="Calibri"/>
                <w:szCs w:val="20"/>
              </w:rPr>
            </w:pPr>
            <w:r w:rsidRPr="00051D6E">
              <w:rPr>
                <w:rFonts w:ascii="Times New Roman" w:hAnsi="Times New Roman" w:eastAsia="Calibri"/>
                <w:szCs w:val="20"/>
              </w:rPr>
              <w:t>Minnesota</w:t>
            </w:r>
          </w:p>
        </w:tc>
        <w:tc>
          <w:tcPr>
            <w:tcW w:w="1296" w:type="dxa"/>
            <w:shd w:val="clear" w:color="auto" w:fill="auto"/>
          </w:tcPr>
          <w:p w:rsidRPr="00051D6E" w:rsidR="00CC2919" w:rsidP="002E2431" w:rsidRDefault="00CC2919" w14:paraId="40143646" w14:textId="77777777">
            <w:pPr>
              <w:jc w:val="right"/>
              <w:rPr>
                <w:rFonts w:ascii="Times New Roman" w:hAnsi="Times New Roman" w:eastAsia="Calibri"/>
                <w:szCs w:val="20"/>
              </w:rPr>
            </w:pPr>
            <w:r w:rsidRPr="00051D6E">
              <w:rPr>
                <w:rFonts w:ascii="Times New Roman" w:hAnsi="Times New Roman" w:eastAsia="Calibri"/>
                <w:szCs w:val="20"/>
              </w:rPr>
              <w:t xml:space="preserve">     77</w:t>
            </w:r>
          </w:p>
        </w:tc>
        <w:tc>
          <w:tcPr>
            <w:tcW w:w="1152" w:type="dxa"/>
            <w:shd w:val="clear" w:color="auto" w:fill="auto"/>
          </w:tcPr>
          <w:p w:rsidRPr="00051D6E" w:rsidR="00CC2919" w:rsidP="002E2431" w:rsidRDefault="00CC2919" w14:paraId="6273017B" w14:textId="77777777">
            <w:pPr>
              <w:jc w:val="right"/>
              <w:rPr>
                <w:rFonts w:ascii="Times New Roman" w:hAnsi="Times New Roman" w:eastAsia="Calibri"/>
                <w:szCs w:val="20"/>
              </w:rPr>
            </w:pPr>
            <w:r w:rsidRPr="00051D6E">
              <w:rPr>
                <w:rFonts w:ascii="Times New Roman" w:hAnsi="Times New Roman" w:eastAsia="Calibri"/>
                <w:szCs w:val="20"/>
              </w:rPr>
              <w:t xml:space="preserve">    308</w:t>
            </w:r>
          </w:p>
        </w:tc>
      </w:tr>
      <w:tr w:rsidRPr="00051D6E" w:rsidR="00CC2919" w:rsidTr="002E2431" w14:paraId="40EA4BA2" w14:textId="77777777">
        <w:tc>
          <w:tcPr>
            <w:tcW w:w="3024" w:type="dxa"/>
            <w:shd w:val="clear" w:color="auto" w:fill="auto"/>
          </w:tcPr>
          <w:p w:rsidRPr="00051D6E" w:rsidR="00CC2919" w:rsidP="002E2431" w:rsidRDefault="00CC2919" w14:paraId="0F7B7D3B" w14:textId="77777777">
            <w:pPr>
              <w:rPr>
                <w:rFonts w:ascii="Times New Roman" w:hAnsi="Times New Roman" w:eastAsia="Calibri"/>
                <w:szCs w:val="20"/>
              </w:rPr>
            </w:pPr>
            <w:r w:rsidRPr="00051D6E">
              <w:rPr>
                <w:rFonts w:ascii="Times New Roman" w:hAnsi="Times New Roman" w:eastAsia="Calibri"/>
                <w:szCs w:val="20"/>
              </w:rPr>
              <w:t>Montana</w:t>
            </w:r>
          </w:p>
        </w:tc>
        <w:tc>
          <w:tcPr>
            <w:tcW w:w="1296" w:type="dxa"/>
            <w:shd w:val="clear" w:color="auto" w:fill="auto"/>
          </w:tcPr>
          <w:p w:rsidRPr="00051D6E" w:rsidR="00CC2919" w:rsidP="002E2431" w:rsidRDefault="00CC2919" w14:paraId="0F7FFF01" w14:textId="77777777">
            <w:pPr>
              <w:jc w:val="right"/>
              <w:rPr>
                <w:rFonts w:ascii="Times New Roman" w:hAnsi="Times New Roman" w:eastAsia="Calibri"/>
                <w:szCs w:val="20"/>
              </w:rPr>
            </w:pPr>
            <w:r w:rsidRPr="00051D6E">
              <w:rPr>
                <w:rFonts w:ascii="Times New Roman" w:hAnsi="Times New Roman" w:eastAsia="Calibri"/>
                <w:szCs w:val="20"/>
              </w:rPr>
              <w:t xml:space="preserve">     11</w:t>
            </w:r>
          </w:p>
        </w:tc>
        <w:tc>
          <w:tcPr>
            <w:tcW w:w="1152" w:type="dxa"/>
            <w:shd w:val="clear" w:color="auto" w:fill="auto"/>
          </w:tcPr>
          <w:p w:rsidRPr="00051D6E" w:rsidR="00CC2919" w:rsidP="002E2431" w:rsidRDefault="00CC2919" w14:paraId="3C66702D" w14:textId="77777777">
            <w:pPr>
              <w:jc w:val="right"/>
              <w:rPr>
                <w:rFonts w:ascii="Times New Roman" w:hAnsi="Times New Roman" w:eastAsia="Calibri"/>
                <w:szCs w:val="20"/>
              </w:rPr>
            </w:pPr>
            <w:r w:rsidRPr="00051D6E">
              <w:rPr>
                <w:rFonts w:ascii="Times New Roman" w:hAnsi="Times New Roman" w:eastAsia="Calibri"/>
                <w:szCs w:val="20"/>
              </w:rPr>
              <w:t xml:space="preserve">      44</w:t>
            </w:r>
          </w:p>
        </w:tc>
      </w:tr>
      <w:tr w:rsidRPr="00051D6E" w:rsidR="00CC2919" w:rsidTr="002E2431" w14:paraId="318E20BB" w14:textId="77777777">
        <w:tc>
          <w:tcPr>
            <w:tcW w:w="3024" w:type="dxa"/>
            <w:shd w:val="clear" w:color="auto" w:fill="auto"/>
          </w:tcPr>
          <w:p w:rsidRPr="00051D6E" w:rsidR="00CC2919" w:rsidP="002E2431" w:rsidRDefault="00CC2919" w14:paraId="77646528" w14:textId="77777777">
            <w:pPr>
              <w:rPr>
                <w:rFonts w:ascii="Times New Roman" w:hAnsi="Times New Roman" w:eastAsia="Calibri"/>
                <w:szCs w:val="20"/>
              </w:rPr>
            </w:pPr>
            <w:r w:rsidRPr="00051D6E">
              <w:rPr>
                <w:rFonts w:ascii="Times New Roman" w:hAnsi="Times New Roman" w:eastAsia="Calibri"/>
                <w:szCs w:val="20"/>
              </w:rPr>
              <w:t>Nevada</w:t>
            </w:r>
          </w:p>
        </w:tc>
        <w:tc>
          <w:tcPr>
            <w:tcW w:w="1296" w:type="dxa"/>
            <w:shd w:val="clear" w:color="auto" w:fill="auto"/>
          </w:tcPr>
          <w:p w:rsidRPr="00051D6E" w:rsidR="00CC2919" w:rsidP="002E2431" w:rsidRDefault="00CC2919" w14:paraId="6189B188" w14:textId="77777777">
            <w:pPr>
              <w:jc w:val="right"/>
              <w:rPr>
                <w:rFonts w:ascii="Times New Roman" w:hAnsi="Times New Roman" w:eastAsia="Calibri"/>
                <w:szCs w:val="20"/>
              </w:rPr>
            </w:pPr>
            <w:r w:rsidRPr="00051D6E">
              <w:rPr>
                <w:rFonts w:ascii="Times New Roman" w:hAnsi="Times New Roman" w:eastAsia="Calibri"/>
                <w:szCs w:val="20"/>
              </w:rPr>
              <w:t>1,204</w:t>
            </w:r>
          </w:p>
        </w:tc>
        <w:tc>
          <w:tcPr>
            <w:tcW w:w="1152" w:type="dxa"/>
            <w:shd w:val="clear" w:color="auto" w:fill="auto"/>
          </w:tcPr>
          <w:p w:rsidRPr="00051D6E" w:rsidR="00CC2919" w:rsidP="002E2431" w:rsidRDefault="00CC2919" w14:paraId="7A6C8DF0" w14:textId="77777777">
            <w:pPr>
              <w:jc w:val="right"/>
              <w:rPr>
                <w:rFonts w:ascii="Times New Roman" w:hAnsi="Times New Roman" w:eastAsia="Calibri"/>
                <w:szCs w:val="20"/>
              </w:rPr>
            </w:pPr>
            <w:r w:rsidRPr="00051D6E">
              <w:rPr>
                <w:rFonts w:ascii="Times New Roman" w:hAnsi="Times New Roman" w:eastAsia="Calibri"/>
                <w:szCs w:val="20"/>
              </w:rPr>
              <w:t xml:space="preserve"> 4,816</w:t>
            </w:r>
          </w:p>
        </w:tc>
      </w:tr>
      <w:tr w:rsidRPr="00051D6E" w:rsidR="00CC2919" w:rsidTr="002E2431" w14:paraId="06AAD8A1" w14:textId="77777777">
        <w:tc>
          <w:tcPr>
            <w:tcW w:w="3024" w:type="dxa"/>
            <w:shd w:val="clear" w:color="auto" w:fill="auto"/>
          </w:tcPr>
          <w:p w:rsidRPr="00051D6E" w:rsidR="00CC2919" w:rsidP="002E2431" w:rsidRDefault="00CC2919" w14:paraId="348A792E" w14:textId="77777777">
            <w:pPr>
              <w:rPr>
                <w:rFonts w:ascii="Times New Roman" w:hAnsi="Times New Roman" w:eastAsia="Calibri"/>
                <w:szCs w:val="20"/>
              </w:rPr>
            </w:pPr>
            <w:r w:rsidRPr="00051D6E">
              <w:rPr>
                <w:rFonts w:ascii="Times New Roman" w:hAnsi="Times New Roman" w:eastAsia="Calibri"/>
                <w:szCs w:val="20"/>
              </w:rPr>
              <w:t>New Jersey</w:t>
            </w:r>
          </w:p>
        </w:tc>
        <w:tc>
          <w:tcPr>
            <w:tcW w:w="1296" w:type="dxa"/>
            <w:shd w:val="clear" w:color="auto" w:fill="auto"/>
          </w:tcPr>
          <w:p w:rsidRPr="00051D6E" w:rsidR="00CC2919" w:rsidP="002E2431" w:rsidRDefault="00CC2919" w14:paraId="3F57ABFC" w14:textId="77777777">
            <w:pPr>
              <w:jc w:val="right"/>
              <w:rPr>
                <w:rFonts w:ascii="Times New Roman" w:hAnsi="Times New Roman" w:eastAsia="Calibri"/>
                <w:szCs w:val="20"/>
              </w:rPr>
            </w:pPr>
            <w:r w:rsidRPr="00051D6E">
              <w:rPr>
                <w:rFonts w:ascii="Times New Roman" w:hAnsi="Times New Roman" w:eastAsia="Calibri"/>
                <w:szCs w:val="20"/>
              </w:rPr>
              <w:t>2,242</w:t>
            </w:r>
          </w:p>
        </w:tc>
        <w:tc>
          <w:tcPr>
            <w:tcW w:w="1152" w:type="dxa"/>
            <w:shd w:val="clear" w:color="auto" w:fill="auto"/>
          </w:tcPr>
          <w:p w:rsidRPr="00051D6E" w:rsidR="00CC2919" w:rsidP="002E2431" w:rsidRDefault="00CC2919" w14:paraId="216DA6F5" w14:textId="77777777">
            <w:pPr>
              <w:jc w:val="right"/>
              <w:rPr>
                <w:rFonts w:ascii="Times New Roman" w:hAnsi="Times New Roman" w:eastAsia="Calibri"/>
                <w:szCs w:val="20"/>
              </w:rPr>
            </w:pPr>
            <w:r w:rsidRPr="00051D6E">
              <w:rPr>
                <w:rFonts w:ascii="Times New Roman" w:hAnsi="Times New Roman" w:eastAsia="Calibri"/>
                <w:szCs w:val="20"/>
              </w:rPr>
              <w:t xml:space="preserve"> 8,968</w:t>
            </w:r>
          </w:p>
        </w:tc>
      </w:tr>
      <w:tr w:rsidRPr="00051D6E" w:rsidR="00CC2919" w:rsidTr="002E2431" w14:paraId="3257517E" w14:textId="77777777">
        <w:tc>
          <w:tcPr>
            <w:tcW w:w="3024" w:type="dxa"/>
            <w:shd w:val="clear" w:color="auto" w:fill="auto"/>
          </w:tcPr>
          <w:p w:rsidRPr="00051D6E" w:rsidR="00CC2919" w:rsidP="002E2431" w:rsidRDefault="00CC2919" w14:paraId="634540DF" w14:textId="77777777">
            <w:pPr>
              <w:rPr>
                <w:rFonts w:ascii="Times New Roman" w:hAnsi="Times New Roman" w:eastAsia="Calibri"/>
                <w:szCs w:val="20"/>
              </w:rPr>
            </w:pPr>
            <w:r w:rsidRPr="00051D6E">
              <w:rPr>
                <w:rFonts w:ascii="Times New Roman" w:hAnsi="Times New Roman" w:eastAsia="Calibri"/>
                <w:szCs w:val="20"/>
              </w:rPr>
              <w:t>New Mexico</w:t>
            </w:r>
          </w:p>
        </w:tc>
        <w:tc>
          <w:tcPr>
            <w:tcW w:w="1296" w:type="dxa"/>
            <w:shd w:val="clear" w:color="auto" w:fill="auto"/>
          </w:tcPr>
          <w:p w:rsidRPr="00051D6E" w:rsidR="00CC2919" w:rsidP="002E2431" w:rsidRDefault="00CC2919" w14:paraId="72D6A78A" w14:textId="77777777">
            <w:pPr>
              <w:jc w:val="right"/>
              <w:rPr>
                <w:rFonts w:ascii="Times New Roman" w:hAnsi="Times New Roman" w:eastAsia="Calibri"/>
                <w:szCs w:val="20"/>
              </w:rPr>
            </w:pPr>
            <w:r w:rsidRPr="00051D6E">
              <w:rPr>
                <w:rFonts w:ascii="Times New Roman" w:hAnsi="Times New Roman" w:eastAsia="Calibri"/>
                <w:szCs w:val="20"/>
              </w:rPr>
              <w:t xml:space="preserve">   144</w:t>
            </w:r>
          </w:p>
        </w:tc>
        <w:tc>
          <w:tcPr>
            <w:tcW w:w="1152" w:type="dxa"/>
            <w:shd w:val="clear" w:color="auto" w:fill="auto"/>
          </w:tcPr>
          <w:p w:rsidRPr="00051D6E" w:rsidR="00CC2919" w:rsidP="002E2431" w:rsidRDefault="00CC2919" w14:paraId="2FE654FE" w14:textId="77777777">
            <w:pPr>
              <w:jc w:val="right"/>
              <w:rPr>
                <w:rFonts w:ascii="Times New Roman" w:hAnsi="Times New Roman" w:eastAsia="Calibri"/>
                <w:szCs w:val="20"/>
              </w:rPr>
            </w:pPr>
            <w:r w:rsidRPr="00051D6E">
              <w:rPr>
                <w:rFonts w:ascii="Times New Roman" w:hAnsi="Times New Roman" w:eastAsia="Calibri"/>
                <w:szCs w:val="20"/>
              </w:rPr>
              <w:t xml:space="preserve">    576</w:t>
            </w:r>
          </w:p>
        </w:tc>
      </w:tr>
      <w:tr w:rsidRPr="00051D6E" w:rsidR="00CC2919" w:rsidTr="002E2431" w14:paraId="0D21806C" w14:textId="77777777">
        <w:tc>
          <w:tcPr>
            <w:tcW w:w="3024" w:type="dxa"/>
            <w:shd w:val="clear" w:color="auto" w:fill="auto"/>
          </w:tcPr>
          <w:p w:rsidRPr="00051D6E" w:rsidR="00CC2919" w:rsidP="002E2431" w:rsidRDefault="00CC2919" w14:paraId="5ADE119C" w14:textId="77777777">
            <w:pPr>
              <w:rPr>
                <w:rFonts w:ascii="Times New Roman" w:hAnsi="Times New Roman" w:eastAsia="Calibri"/>
                <w:szCs w:val="20"/>
              </w:rPr>
            </w:pPr>
            <w:r w:rsidRPr="00051D6E">
              <w:rPr>
                <w:rFonts w:ascii="Times New Roman" w:hAnsi="Times New Roman" w:eastAsia="Calibri"/>
                <w:szCs w:val="20"/>
              </w:rPr>
              <w:t>North Carolina</w:t>
            </w:r>
          </w:p>
        </w:tc>
        <w:tc>
          <w:tcPr>
            <w:tcW w:w="1296" w:type="dxa"/>
            <w:shd w:val="clear" w:color="auto" w:fill="auto"/>
          </w:tcPr>
          <w:p w:rsidRPr="00051D6E" w:rsidR="00CC2919" w:rsidP="002E2431" w:rsidRDefault="00CC2919" w14:paraId="1456686A" w14:textId="77777777">
            <w:pPr>
              <w:jc w:val="right"/>
              <w:rPr>
                <w:rFonts w:ascii="Times New Roman" w:hAnsi="Times New Roman" w:eastAsia="Calibri"/>
                <w:szCs w:val="20"/>
              </w:rPr>
            </w:pPr>
            <w:r w:rsidRPr="00051D6E">
              <w:rPr>
                <w:rFonts w:ascii="Times New Roman" w:hAnsi="Times New Roman" w:eastAsia="Calibri"/>
                <w:szCs w:val="20"/>
              </w:rPr>
              <w:t>7,754</w:t>
            </w:r>
          </w:p>
        </w:tc>
        <w:tc>
          <w:tcPr>
            <w:tcW w:w="1152" w:type="dxa"/>
            <w:shd w:val="clear" w:color="auto" w:fill="auto"/>
          </w:tcPr>
          <w:p w:rsidRPr="00051D6E" w:rsidR="00CC2919" w:rsidP="002E2431" w:rsidRDefault="00CC2919" w14:paraId="51F05CB6" w14:textId="77777777">
            <w:pPr>
              <w:jc w:val="right"/>
              <w:rPr>
                <w:rFonts w:ascii="Times New Roman" w:hAnsi="Times New Roman" w:eastAsia="Calibri"/>
                <w:szCs w:val="20"/>
              </w:rPr>
            </w:pPr>
            <w:r w:rsidRPr="00051D6E">
              <w:rPr>
                <w:rFonts w:ascii="Times New Roman" w:hAnsi="Times New Roman" w:eastAsia="Calibri"/>
                <w:szCs w:val="20"/>
              </w:rPr>
              <w:t>31,016</w:t>
            </w:r>
          </w:p>
        </w:tc>
      </w:tr>
      <w:tr w:rsidRPr="00051D6E" w:rsidR="00CC2919" w:rsidTr="002E2431" w14:paraId="4C6595E4" w14:textId="77777777">
        <w:tc>
          <w:tcPr>
            <w:tcW w:w="3024" w:type="dxa"/>
            <w:shd w:val="clear" w:color="auto" w:fill="auto"/>
          </w:tcPr>
          <w:p w:rsidRPr="00051D6E" w:rsidR="00CC2919" w:rsidP="002E2431" w:rsidRDefault="00CC2919" w14:paraId="59485B97" w14:textId="77777777">
            <w:pPr>
              <w:rPr>
                <w:rFonts w:ascii="Times New Roman" w:hAnsi="Times New Roman" w:eastAsia="Calibri"/>
                <w:szCs w:val="20"/>
              </w:rPr>
            </w:pPr>
            <w:r w:rsidRPr="00051D6E">
              <w:rPr>
                <w:rFonts w:ascii="Times New Roman" w:hAnsi="Times New Roman" w:eastAsia="Calibri"/>
                <w:szCs w:val="20"/>
              </w:rPr>
              <w:t>North Dakota</w:t>
            </w:r>
          </w:p>
        </w:tc>
        <w:tc>
          <w:tcPr>
            <w:tcW w:w="1296" w:type="dxa"/>
            <w:shd w:val="clear" w:color="auto" w:fill="auto"/>
          </w:tcPr>
          <w:p w:rsidRPr="00051D6E" w:rsidR="00CC2919" w:rsidP="002E2431" w:rsidRDefault="00CC2919" w14:paraId="47EE9E13" w14:textId="77777777">
            <w:pPr>
              <w:jc w:val="right"/>
              <w:rPr>
                <w:rFonts w:ascii="Times New Roman" w:hAnsi="Times New Roman" w:eastAsia="Calibri"/>
                <w:szCs w:val="20"/>
              </w:rPr>
            </w:pPr>
            <w:r w:rsidRPr="00051D6E">
              <w:rPr>
                <w:rFonts w:ascii="Times New Roman" w:hAnsi="Times New Roman" w:eastAsia="Calibri"/>
                <w:szCs w:val="20"/>
              </w:rPr>
              <w:t xml:space="preserve">   299</w:t>
            </w:r>
          </w:p>
        </w:tc>
        <w:tc>
          <w:tcPr>
            <w:tcW w:w="1152" w:type="dxa"/>
            <w:shd w:val="clear" w:color="auto" w:fill="auto"/>
          </w:tcPr>
          <w:p w:rsidRPr="00051D6E" w:rsidR="00CC2919" w:rsidP="002E2431" w:rsidRDefault="00CC2919" w14:paraId="28332029" w14:textId="77777777">
            <w:pPr>
              <w:jc w:val="right"/>
              <w:rPr>
                <w:rFonts w:ascii="Times New Roman" w:hAnsi="Times New Roman" w:eastAsia="Calibri"/>
                <w:szCs w:val="20"/>
              </w:rPr>
            </w:pPr>
            <w:r w:rsidRPr="00051D6E">
              <w:rPr>
                <w:rFonts w:ascii="Times New Roman" w:hAnsi="Times New Roman" w:eastAsia="Calibri"/>
                <w:szCs w:val="20"/>
              </w:rPr>
              <w:t xml:space="preserve">  1,196</w:t>
            </w:r>
          </w:p>
        </w:tc>
      </w:tr>
      <w:tr w:rsidRPr="00051D6E" w:rsidR="00CC2919" w:rsidTr="002E2431" w14:paraId="29882483" w14:textId="77777777">
        <w:tc>
          <w:tcPr>
            <w:tcW w:w="3024" w:type="dxa"/>
            <w:shd w:val="clear" w:color="auto" w:fill="auto"/>
          </w:tcPr>
          <w:p w:rsidRPr="00051D6E" w:rsidR="00CC2919" w:rsidP="002E2431" w:rsidRDefault="00CC2919" w14:paraId="7034333A" w14:textId="77777777">
            <w:pPr>
              <w:rPr>
                <w:rFonts w:ascii="Times New Roman" w:hAnsi="Times New Roman" w:eastAsia="Calibri"/>
                <w:szCs w:val="20"/>
              </w:rPr>
            </w:pPr>
            <w:r w:rsidRPr="00051D6E">
              <w:rPr>
                <w:rFonts w:ascii="Times New Roman" w:hAnsi="Times New Roman" w:eastAsia="Calibri"/>
                <w:szCs w:val="20"/>
              </w:rPr>
              <w:t>Ohio</w:t>
            </w:r>
          </w:p>
        </w:tc>
        <w:tc>
          <w:tcPr>
            <w:tcW w:w="1296" w:type="dxa"/>
            <w:shd w:val="clear" w:color="auto" w:fill="auto"/>
          </w:tcPr>
          <w:p w:rsidRPr="00051D6E" w:rsidR="00CC2919" w:rsidP="002E2431" w:rsidRDefault="00CC2919" w14:paraId="1D9E2B63" w14:textId="77777777">
            <w:pPr>
              <w:jc w:val="right"/>
              <w:rPr>
                <w:rFonts w:ascii="Times New Roman" w:hAnsi="Times New Roman" w:eastAsia="Calibri"/>
                <w:szCs w:val="20"/>
              </w:rPr>
            </w:pPr>
            <w:r w:rsidRPr="00051D6E">
              <w:rPr>
                <w:rFonts w:ascii="Times New Roman" w:hAnsi="Times New Roman" w:eastAsia="Calibri"/>
                <w:szCs w:val="20"/>
              </w:rPr>
              <w:t>1,052</w:t>
            </w:r>
          </w:p>
        </w:tc>
        <w:tc>
          <w:tcPr>
            <w:tcW w:w="1152" w:type="dxa"/>
            <w:shd w:val="clear" w:color="auto" w:fill="auto"/>
          </w:tcPr>
          <w:p w:rsidRPr="00051D6E" w:rsidR="00CC2919" w:rsidP="002E2431" w:rsidRDefault="00CC2919" w14:paraId="57F33D6B" w14:textId="77777777">
            <w:pPr>
              <w:jc w:val="right"/>
              <w:rPr>
                <w:rFonts w:ascii="Times New Roman" w:hAnsi="Times New Roman" w:eastAsia="Calibri"/>
                <w:szCs w:val="20"/>
              </w:rPr>
            </w:pPr>
            <w:r w:rsidRPr="00051D6E">
              <w:rPr>
                <w:rFonts w:ascii="Times New Roman" w:hAnsi="Times New Roman" w:eastAsia="Calibri"/>
                <w:szCs w:val="20"/>
              </w:rPr>
              <w:t xml:space="preserve">  4,204</w:t>
            </w:r>
          </w:p>
        </w:tc>
      </w:tr>
      <w:tr w:rsidRPr="00051D6E" w:rsidR="00CC2919" w:rsidTr="002E2431" w14:paraId="38D28F6C" w14:textId="77777777">
        <w:tc>
          <w:tcPr>
            <w:tcW w:w="3024" w:type="dxa"/>
            <w:shd w:val="clear" w:color="auto" w:fill="auto"/>
          </w:tcPr>
          <w:p w:rsidRPr="00051D6E" w:rsidR="00CC2919" w:rsidP="002E2431" w:rsidRDefault="00CC2919" w14:paraId="66ED8BFB" w14:textId="77777777">
            <w:pPr>
              <w:rPr>
                <w:rFonts w:ascii="Times New Roman" w:hAnsi="Times New Roman" w:eastAsia="Calibri"/>
                <w:szCs w:val="20"/>
              </w:rPr>
            </w:pPr>
            <w:r w:rsidRPr="00051D6E">
              <w:rPr>
                <w:rFonts w:ascii="Times New Roman" w:hAnsi="Times New Roman" w:eastAsia="Calibri"/>
                <w:szCs w:val="20"/>
              </w:rPr>
              <w:t>Oklahoma</w:t>
            </w:r>
          </w:p>
        </w:tc>
        <w:tc>
          <w:tcPr>
            <w:tcW w:w="1296" w:type="dxa"/>
            <w:shd w:val="clear" w:color="auto" w:fill="auto"/>
          </w:tcPr>
          <w:p w:rsidRPr="00051D6E" w:rsidR="00CC2919" w:rsidP="002E2431" w:rsidRDefault="00CC2919" w14:paraId="42200695" w14:textId="77777777">
            <w:pPr>
              <w:jc w:val="right"/>
              <w:rPr>
                <w:rFonts w:ascii="Times New Roman" w:hAnsi="Times New Roman" w:eastAsia="Calibri"/>
                <w:szCs w:val="20"/>
              </w:rPr>
            </w:pPr>
            <w:r w:rsidRPr="00051D6E">
              <w:rPr>
                <w:rFonts w:ascii="Times New Roman" w:hAnsi="Times New Roman" w:eastAsia="Calibri"/>
                <w:szCs w:val="20"/>
              </w:rPr>
              <w:t xml:space="preserve">   910</w:t>
            </w:r>
          </w:p>
        </w:tc>
        <w:tc>
          <w:tcPr>
            <w:tcW w:w="1152" w:type="dxa"/>
            <w:shd w:val="clear" w:color="auto" w:fill="auto"/>
          </w:tcPr>
          <w:p w:rsidRPr="00051D6E" w:rsidR="00CC2919" w:rsidP="002E2431" w:rsidRDefault="00CC2919" w14:paraId="61A95945" w14:textId="77777777">
            <w:pPr>
              <w:jc w:val="right"/>
              <w:rPr>
                <w:rFonts w:ascii="Times New Roman" w:hAnsi="Times New Roman" w:eastAsia="Calibri"/>
                <w:szCs w:val="20"/>
              </w:rPr>
            </w:pPr>
            <w:r w:rsidRPr="00051D6E">
              <w:rPr>
                <w:rFonts w:ascii="Times New Roman" w:hAnsi="Times New Roman" w:eastAsia="Calibri"/>
                <w:szCs w:val="20"/>
              </w:rPr>
              <w:t xml:space="preserve">  3,640</w:t>
            </w:r>
          </w:p>
        </w:tc>
      </w:tr>
      <w:tr w:rsidRPr="00051D6E" w:rsidR="00CC2919" w:rsidTr="002E2431" w14:paraId="72DEDC76" w14:textId="77777777">
        <w:tc>
          <w:tcPr>
            <w:tcW w:w="3024" w:type="dxa"/>
            <w:shd w:val="clear" w:color="auto" w:fill="auto"/>
          </w:tcPr>
          <w:p w:rsidRPr="00051D6E" w:rsidR="00CC2919" w:rsidP="002E2431" w:rsidRDefault="00CC2919" w14:paraId="00D4F688" w14:textId="77777777">
            <w:pPr>
              <w:rPr>
                <w:rFonts w:ascii="Times New Roman" w:hAnsi="Times New Roman" w:eastAsia="Calibri"/>
                <w:szCs w:val="20"/>
              </w:rPr>
            </w:pPr>
            <w:r w:rsidRPr="00051D6E">
              <w:rPr>
                <w:rFonts w:ascii="Times New Roman" w:hAnsi="Times New Roman" w:eastAsia="Calibri"/>
                <w:szCs w:val="20"/>
              </w:rPr>
              <w:t>Oregon</w:t>
            </w:r>
          </w:p>
        </w:tc>
        <w:tc>
          <w:tcPr>
            <w:tcW w:w="1296" w:type="dxa"/>
            <w:shd w:val="clear" w:color="auto" w:fill="auto"/>
          </w:tcPr>
          <w:p w:rsidRPr="00051D6E" w:rsidR="00CC2919" w:rsidP="002E2431" w:rsidRDefault="00CC2919" w14:paraId="05028026" w14:textId="77777777">
            <w:pPr>
              <w:jc w:val="right"/>
              <w:rPr>
                <w:rFonts w:ascii="Times New Roman" w:hAnsi="Times New Roman" w:eastAsia="Calibri"/>
                <w:szCs w:val="20"/>
              </w:rPr>
            </w:pPr>
            <w:r w:rsidRPr="00051D6E">
              <w:rPr>
                <w:rFonts w:ascii="Times New Roman" w:hAnsi="Times New Roman" w:eastAsia="Calibri"/>
                <w:szCs w:val="20"/>
              </w:rPr>
              <w:t>9,016</w:t>
            </w:r>
          </w:p>
        </w:tc>
        <w:tc>
          <w:tcPr>
            <w:tcW w:w="1152" w:type="dxa"/>
            <w:shd w:val="clear" w:color="auto" w:fill="auto"/>
          </w:tcPr>
          <w:p w:rsidRPr="00051D6E" w:rsidR="00CC2919" w:rsidP="002E2431" w:rsidRDefault="00CC2919" w14:paraId="4BFAE2E2" w14:textId="77777777">
            <w:pPr>
              <w:jc w:val="right"/>
              <w:rPr>
                <w:rFonts w:ascii="Times New Roman" w:hAnsi="Times New Roman" w:eastAsia="Calibri"/>
                <w:szCs w:val="20"/>
              </w:rPr>
            </w:pPr>
            <w:r w:rsidRPr="00051D6E">
              <w:rPr>
                <w:rFonts w:ascii="Times New Roman" w:hAnsi="Times New Roman" w:eastAsia="Calibri"/>
                <w:szCs w:val="20"/>
              </w:rPr>
              <w:t>36,064</w:t>
            </w:r>
          </w:p>
        </w:tc>
      </w:tr>
      <w:tr w:rsidRPr="00051D6E" w:rsidR="00CC2919" w:rsidTr="002E2431" w14:paraId="4780144A" w14:textId="77777777">
        <w:tc>
          <w:tcPr>
            <w:tcW w:w="3024" w:type="dxa"/>
            <w:shd w:val="clear" w:color="auto" w:fill="auto"/>
          </w:tcPr>
          <w:p w:rsidRPr="00051D6E" w:rsidR="00CC2919" w:rsidP="002E2431" w:rsidRDefault="00CC2919" w14:paraId="6ABC8C15" w14:textId="77777777">
            <w:pPr>
              <w:rPr>
                <w:rFonts w:ascii="Times New Roman" w:hAnsi="Times New Roman" w:eastAsia="Calibri"/>
                <w:szCs w:val="20"/>
              </w:rPr>
            </w:pPr>
            <w:r w:rsidRPr="00051D6E">
              <w:rPr>
                <w:rFonts w:ascii="Times New Roman" w:hAnsi="Times New Roman" w:eastAsia="Calibri"/>
                <w:szCs w:val="20"/>
              </w:rPr>
              <w:t>Pennsylvania</w:t>
            </w:r>
          </w:p>
        </w:tc>
        <w:tc>
          <w:tcPr>
            <w:tcW w:w="1296" w:type="dxa"/>
            <w:shd w:val="clear" w:color="auto" w:fill="auto"/>
          </w:tcPr>
          <w:p w:rsidRPr="00051D6E" w:rsidR="00CC2919" w:rsidP="002E2431" w:rsidRDefault="00CC2919" w14:paraId="5E56ED26" w14:textId="77777777">
            <w:pPr>
              <w:jc w:val="right"/>
              <w:rPr>
                <w:rFonts w:ascii="Times New Roman" w:hAnsi="Times New Roman" w:eastAsia="Calibri"/>
                <w:szCs w:val="20"/>
              </w:rPr>
            </w:pPr>
            <w:r w:rsidRPr="00051D6E">
              <w:rPr>
                <w:rFonts w:ascii="Times New Roman" w:hAnsi="Times New Roman" w:eastAsia="Calibri"/>
                <w:szCs w:val="20"/>
              </w:rPr>
              <w:t>7,642</w:t>
            </w:r>
          </w:p>
        </w:tc>
        <w:tc>
          <w:tcPr>
            <w:tcW w:w="1152" w:type="dxa"/>
            <w:shd w:val="clear" w:color="auto" w:fill="auto"/>
          </w:tcPr>
          <w:p w:rsidRPr="00051D6E" w:rsidR="00CC2919" w:rsidP="002E2431" w:rsidRDefault="00CC2919" w14:paraId="47D4BDBF" w14:textId="77777777">
            <w:pPr>
              <w:jc w:val="right"/>
              <w:rPr>
                <w:rFonts w:ascii="Times New Roman" w:hAnsi="Times New Roman" w:eastAsia="Calibri"/>
                <w:szCs w:val="20"/>
              </w:rPr>
            </w:pPr>
            <w:r w:rsidRPr="00051D6E">
              <w:rPr>
                <w:rFonts w:ascii="Times New Roman" w:hAnsi="Times New Roman" w:eastAsia="Calibri"/>
                <w:szCs w:val="20"/>
              </w:rPr>
              <w:t>30,568</w:t>
            </w:r>
          </w:p>
        </w:tc>
      </w:tr>
      <w:tr w:rsidRPr="00051D6E" w:rsidR="00CC2919" w:rsidTr="002E2431" w14:paraId="11191B6B" w14:textId="77777777">
        <w:tc>
          <w:tcPr>
            <w:tcW w:w="3024" w:type="dxa"/>
            <w:shd w:val="clear" w:color="auto" w:fill="auto"/>
          </w:tcPr>
          <w:p w:rsidRPr="00051D6E" w:rsidR="00CC2919" w:rsidP="002E2431" w:rsidRDefault="00CC2919" w14:paraId="179734CD" w14:textId="77777777">
            <w:pPr>
              <w:rPr>
                <w:rFonts w:ascii="Times New Roman" w:hAnsi="Times New Roman" w:eastAsia="Calibri"/>
                <w:szCs w:val="20"/>
              </w:rPr>
            </w:pPr>
            <w:r w:rsidRPr="00051D6E">
              <w:rPr>
                <w:rFonts w:ascii="Times New Roman" w:hAnsi="Times New Roman" w:eastAsia="Calibri"/>
                <w:szCs w:val="20"/>
              </w:rPr>
              <w:t>Rhode Island</w:t>
            </w:r>
          </w:p>
        </w:tc>
        <w:tc>
          <w:tcPr>
            <w:tcW w:w="1296" w:type="dxa"/>
            <w:shd w:val="clear" w:color="auto" w:fill="auto"/>
          </w:tcPr>
          <w:p w:rsidRPr="00051D6E" w:rsidR="00CC2919" w:rsidP="002E2431" w:rsidRDefault="00CC2919" w14:paraId="1ED14EC0" w14:textId="77777777">
            <w:pPr>
              <w:jc w:val="right"/>
              <w:rPr>
                <w:rFonts w:ascii="Times New Roman" w:hAnsi="Times New Roman" w:eastAsia="Calibri"/>
                <w:szCs w:val="20"/>
              </w:rPr>
            </w:pPr>
            <w:r w:rsidRPr="00051D6E">
              <w:rPr>
                <w:rFonts w:ascii="Times New Roman" w:hAnsi="Times New Roman" w:eastAsia="Calibri"/>
                <w:szCs w:val="20"/>
              </w:rPr>
              <w:t xml:space="preserve">     91</w:t>
            </w:r>
          </w:p>
        </w:tc>
        <w:tc>
          <w:tcPr>
            <w:tcW w:w="1152" w:type="dxa"/>
            <w:shd w:val="clear" w:color="auto" w:fill="auto"/>
          </w:tcPr>
          <w:p w:rsidRPr="00051D6E" w:rsidR="00CC2919" w:rsidP="002E2431" w:rsidRDefault="00CC2919" w14:paraId="5EC6F104" w14:textId="77777777">
            <w:pPr>
              <w:jc w:val="right"/>
              <w:rPr>
                <w:rFonts w:ascii="Times New Roman" w:hAnsi="Times New Roman" w:eastAsia="Calibri"/>
                <w:szCs w:val="20"/>
              </w:rPr>
            </w:pPr>
            <w:r w:rsidRPr="00051D6E">
              <w:rPr>
                <w:rFonts w:ascii="Times New Roman" w:hAnsi="Times New Roman" w:eastAsia="Calibri"/>
                <w:szCs w:val="20"/>
              </w:rPr>
              <w:t xml:space="preserve">     364</w:t>
            </w:r>
          </w:p>
        </w:tc>
      </w:tr>
      <w:tr w:rsidRPr="00051D6E" w:rsidR="00CC2919" w:rsidTr="002E2431" w14:paraId="3B2C4481" w14:textId="77777777">
        <w:tc>
          <w:tcPr>
            <w:tcW w:w="3024" w:type="dxa"/>
            <w:shd w:val="clear" w:color="auto" w:fill="auto"/>
          </w:tcPr>
          <w:p w:rsidRPr="00051D6E" w:rsidR="00CC2919" w:rsidP="002E2431" w:rsidRDefault="00CC2919" w14:paraId="0B3DA01B" w14:textId="77777777">
            <w:pPr>
              <w:rPr>
                <w:rFonts w:ascii="Times New Roman" w:hAnsi="Times New Roman" w:eastAsia="Calibri"/>
                <w:szCs w:val="20"/>
              </w:rPr>
            </w:pPr>
            <w:r w:rsidRPr="00051D6E">
              <w:rPr>
                <w:rFonts w:ascii="Times New Roman" w:hAnsi="Times New Roman" w:eastAsia="Calibri"/>
                <w:szCs w:val="20"/>
              </w:rPr>
              <w:t>South Dakota</w:t>
            </w:r>
          </w:p>
        </w:tc>
        <w:tc>
          <w:tcPr>
            <w:tcW w:w="1296" w:type="dxa"/>
            <w:shd w:val="clear" w:color="auto" w:fill="auto"/>
          </w:tcPr>
          <w:p w:rsidRPr="00051D6E" w:rsidR="00CC2919" w:rsidP="002E2431" w:rsidRDefault="00CC2919" w14:paraId="5633E32E" w14:textId="77777777">
            <w:pPr>
              <w:jc w:val="right"/>
              <w:rPr>
                <w:rFonts w:ascii="Times New Roman" w:hAnsi="Times New Roman" w:eastAsia="Calibri"/>
                <w:szCs w:val="20"/>
              </w:rPr>
            </w:pPr>
            <w:r w:rsidRPr="00051D6E">
              <w:rPr>
                <w:rFonts w:ascii="Times New Roman" w:hAnsi="Times New Roman" w:eastAsia="Calibri"/>
                <w:szCs w:val="20"/>
              </w:rPr>
              <w:t>1,505</w:t>
            </w:r>
          </w:p>
        </w:tc>
        <w:tc>
          <w:tcPr>
            <w:tcW w:w="1152" w:type="dxa"/>
            <w:shd w:val="clear" w:color="auto" w:fill="auto"/>
          </w:tcPr>
          <w:p w:rsidRPr="00051D6E" w:rsidR="00CC2919" w:rsidP="002E2431" w:rsidRDefault="00CC2919" w14:paraId="1F9F3E78" w14:textId="77777777">
            <w:pPr>
              <w:jc w:val="right"/>
              <w:rPr>
                <w:rFonts w:ascii="Times New Roman" w:hAnsi="Times New Roman" w:eastAsia="Calibri"/>
                <w:szCs w:val="20"/>
              </w:rPr>
            </w:pPr>
            <w:r w:rsidRPr="00051D6E">
              <w:rPr>
                <w:rFonts w:ascii="Times New Roman" w:hAnsi="Times New Roman" w:eastAsia="Calibri"/>
                <w:szCs w:val="20"/>
              </w:rPr>
              <w:t xml:space="preserve">  6,020</w:t>
            </w:r>
          </w:p>
        </w:tc>
      </w:tr>
      <w:tr w:rsidRPr="00051D6E" w:rsidR="00CC2919" w:rsidTr="002E2431" w14:paraId="69732E67" w14:textId="77777777">
        <w:tc>
          <w:tcPr>
            <w:tcW w:w="3024" w:type="dxa"/>
            <w:shd w:val="clear" w:color="auto" w:fill="auto"/>
          </w:tcPr>
          <w:p w:rsidRPr="00051D6E" w:rsidR="00CC2919" w:rsidP="002E2431" w:rsidRDefault="00CC2919" w14:paraId="2C4CEA92" w14:textId="77777777">
            <w:pPr>
              <w:rPr>
                <w:rFonts w:ascii="Times New Roman" w:hAnsi="Times New Roman" w:eastAsia="Calibri"/>
                <w:szCs w:val="20"/>
              </w:rPr>
            </w:pPr>
            <w:r w:rsidRPr="00051D6E">
              <w:rPr>
                <w:rFonts w:ascii="Times New Roman" w:hAnsi="Times New Roman" w:eastAsia="Calibri"/>
                <w:szCs w:val="20"/>
              </w:rPr>
              <w:t>Tennessee</w:t>
            </w:r>
          </w:p>
        </w:tc>
        <w:tc>
          <w:tcPr>
            <w:tcW w:w="1296" w:type="dxa"/>
            <w:shd w:val="clear" w:color="auto" w:fill="auto"/>
          </w:tcPr>
          <w:p w:rsidRPr="00051D6E" w:rsidR="00CC2919" w:rsidP="002E2431" w:rsidRDefault="00CC2919" w14:paraId="1DCFB77C" w14:textId="77777777">
            <w:pPr>
              <w:jc w:val="right"/>
              <w:rPr>
                <w:rFonts w:ascii="Times New Roman" w:hAnsi="Times New Roman" w:eastAsia="Calibri"/>
                <w:szCs w:val="20"/>
              </w:rPr>
            </w:pPr>
            <w:r w:rsidRPr="00051D6E">
              <w:rPr>
                <w:rFonts w:ascii="Times New Roman" w:hAnsi="Times New Roman" w:eastAsia="Calibri"/>
                <w:szCs w:val="20"/>
              </w:rPr>
              <w:t xml:space="preserve">   595</w:t>
            </w:r>
          </w:p>
        </w:tc>
        <w:tc>
          <w:tcPr>
            <w:tcW w:w="1152" w:type="dxa"/>
            <w:shd w:val="clear" w:color="auto" w:fill="auto"/>
          </w:tcPr>
          <w:p w:rsidRPr="00051D6E" w:rsidR="00CC2919" w:rsidP="002E2431" w:rsidRDefault="00CC2919" w14:paraId="44BEDEB9" w14:textId="77777777">
            <w:pPr>
              <w:jc w:val="right"/>
              <w:rPr>
                <w:rFonts w:ascii="Times New Roman" w:hAnsi="Times New Roman" w:eastAsia="Calibri"/>
                <w:szCs w:val="20"/>
              </w:rPr>
            </w:pPr>
            <w:r w:rsidRPr="00051D6E">
              <w:rPr>
                <w:rFonts w:ascii="Times New Roman" w:hAnsi="Times New Roman" w:eastAsia="Calibri"/>
                <w:szCs w:val="20"/>
              </w:rPr>
              <w:t xml:space="preserve">  2,380</w:t>
            </w:r>
          </w:p>
        </w:tc>
      </w:tr>
      <w:tr w:rsidRPr="00051D6E" w:rsidR="00CC2919" w:rsidTr="002E2431" w14:paraId="2DA2561A" w14:textId="77777777">
        <w:tc>
          <w:tcPr>
            <w:tcW w:w="3024" w:type="dxa"/>
            <w:shd w:val="clear" w:color="auto" w:fill="auto"/>
          </w:tcPr>
          <w:p w:rsidRPr="00051D6E" w:rsidR="00CC2919" w:rsidP="002E2431" w:rsidRDefault="00CC2919" w14:paraId="02C82566" w14:textId="77777777">
            <w:pPr>
              <w:rPr>
                <w:rFonts w:ascii="Times New Roman" w:hAnsi="Times New Roman" w:eastAsia="Calibri"/>
                <w:szCs w:val="20"/>
              </w:rPr>
            </w:pPr>
            <w:r w:rsidRPr="00051D6E">
              <w:rPr>
                <w:rFonts w:ascii="Times New Roman" w:hAnsi="Times New Roman" w:eastAsia="Calibri"/>
                <w:szCs w:val="20"/>
              </w:rPr>
              <w:t>Utah</w:t>
            </w:r>
          </w:p>
        </w:tc>
        <w:tc>
          <w:tcPr>
            <w:tcW w:w="1296" w:type="dxa"/>
            <w:shd w:val="clear" w:color="auto" w:fill="auto"/>
          </w:tcPr>
          <w:p w:rsidRPr="00051D6E" w:rsidR="00CC2919" w:rsidP="002E2431" w:rsidRDefault="00CC2919" w14:paraId="534F76D2" w14:textId="77777777">
            <w:pPr>
              <w:jc w:val="right"/>
              <w:rPr>
                <w:rFonts w:ascii="Times New Roman" w:hAnsi="Times New Roman" w:eastAsia="Calibri"/>
                <w:szCs w:val="20"/>
              </w:rPr>
            </w:pPr>
            <w:r w:rsidRPr="00051D6E">
              <w:rPr>
                <w:rFonts w:ascii="Times New Roman" w:hAnsi="Times New Roman" w:eastAsia="Calibri"/>
                <w:szCs w:val="20"/>
              </w:rPr>
              <w:t xml:space="preserve">   328</w:t>
            </w:r>
          </w:p>
        </w:tc>
        <w:tc>
          <w:tcPr>
            <w:tcW w:w="1152" w:type="dxa"/>
            <w:shd w:val="clear" w:color="auto" w:fill="auto"/>
          </w:tcPr>
          <w:p w:rsidRPr="00051D6E" w:rsidR="00CC2919" w:rsidP="002E2431" w:rsidRDefault="00CC2919" w14:paraId="2A8E3C0C" w14:textId="77777777">
            <w:pPr>
              <w:jc w:val="right"/>
              <w:rPr>
                <w:rFonts w:ascii="Times New Roman" w:hAnsi="Times New Roman" w:eastAsia="Calibri"/>
                <w:szCs w:val="20"/>
              </w:rPr>
            </w:pPr>
            <w:r w:rsidRPr="00051D6E">
              <w:rPr>
                <w:rFonts w:ascii="Times New Roman" w:hAnsi="Times New Roman" w:eastAsia="Calibri"/>
                <w:szCs w:val="20"/>
              </w:rPr>
              <w:t xml:space="preserve">  1,312</w:t>
            </w:r>
          </w:p>
        </w:tc>
      </w:tr>
      <w:tr w:rsidRPr="00051D6E" w:rsidR="00CC2919" w:rsidTr="002E2431" w14:paraId="302A93F6" w14:textId="77777777">
        <w:tc>
          <w:tcPr>
            <w:tcW w:w="3024" w:type="dxa"/>
            <w:shd w:val="clear" w:color="auto" w:fill="auto"/>
          </w:tcPr>
          <w:p w:rsidRPr="00051D6E" w:rsidR="00CC2919" w:rsidP="002E2431" w:rsidRDefault="00CC2919" w14:paraId="47CDF0B2" w14:textId="77777777">
            <w:pPr>
              <w:rPr>
                <w:rFonts w:ascii="Times New Roman" w:hAnsi="Times New Roman" w:eastAsia="Calibri"/>
                <w:szCs w:val="20"/>
              </w:rPr>
            </w:pPr>
            <w:r w:rsidRPr="00051D6E">
              <w:rPr>
                <w:rFonts w:ascii="Times New Roman" w:hAnsi="Times New Roman" w:eastAsia="Calibri"/>
                <w:szCs w:val="20"/>
              </w:rPr>
              <w:t>Vermont</w:t>
            </w:r>
          </w:p>
        </w:tc>
        <w:tc>
          <w:tcPr>
            <w:tcW w:w="1296" w:type="dxa"/>
            <w:shd w:val="clear" w:color="auto" w:fill="auto"/>
          </w:tcPr>
          <w:p w:rsidRPr="00051D6E" w:rsidR="00CC2919" w:rsidP="002E2431" w:rsidRDefault="00CC2919" w14:paraId="4297C0EB" w14:textId="77777777">
            <w:pPr>
              <w:jc w:val="right"/>
              <w:rPr>
                <w:rFonts w:ascii="Times New Roman" w:hAnsi="Times New Roman" w:eastAsia="Calibri"/>
                <w:szCs w:val="20"/>
              </w:rPr>
            </w:pPr>
            <w:r w:rsidRPr="00051D6E">
              <w:rPr>
                <w:rFonts w:ascii="Times New Roman" w:hAnsi="Times New Roman" w:eastAsia="Calibri"/>
                <w:szCs w:val="20"/>
              </w:rPr>
              <w:t xml:space="preserve">   614</w:t>
            </w:r>
          </w:p>
        </w:tc>
        <w:tc>
          <w:tcPr>
            <w:tcW w:w="1152" w:type="dxa"/>
            <w:shd w:val="clear" w:color="auto" w:fill="auto"/>
          </w:tcPr>
          <w:p w:rsidRPr="00051D6E" w:rsidR="00CC2919" w:rsidP="002E2431" w:rsidRDefault="00CC2919" w14:paraId="52D0D28F" w14:textId="77777777">
            <w:pPr>
              <w:jc w:val="right"/>
              <w:rPr>
                <w:rFonts w:ascii="Times New Roman" w:hAnsi="Times New Roman" w:eastAsia="Calibri"/>
                <w:szCs w:val="20"/>
              </w:rPr>
            </w:pPr>
            <w:r w:rsidRPr="00051D6E">
              <w:rPr>
                <w:rFonts w:ascii="Times New Roman" w:hAnsi="Times New Roman" w:eastAsia="Calibri"/>
                <w:szCs w:val="20"/>
              </w:rPr>
              <w:t xml:space="preserve">  2,456</w:t>
            </w:r>
          </w:p>
        </w:tc>
      </w:tr>
      <w:tr w:rsidRPr="00051D6E" w:rsidR="00CC2919" w:rsidTr="002E2431" w14:paraId="623BC00D" w14:textId="77777777">
        <w:tc>
          <w:tcPr>
            <w:tcW w:w="3024" w:type="dxa"/>
            <w:shd w:val="clear" w:color="auto" w:fill="auto"/>
          </w:tcPr>
          <w:p w:rsidRPr="00051D6E" w:rsidR="00CC2919" w:rsidP="002E2431" w:rsidRDefault="00CC2919" w14:paraId="6C7B204D" w14:textId="77777777">
            <w:pPr>
              <w:rPr>
                <w:rFonts w:ascii="Times New Roman" w:hAnsi="Times New Roman" w:eastAsia="Calibri"/>
                <w:szCs w:val="20"/>
              </w:rPr>
            </w:pPr>
            <w:r w:rsidRPr="00051D6E">
              <w:rPr>
                <w:rFonts w:ascii="Times New Roman" w:hAnsi="Times New Roman" w:eastAsia="Calibri"/>
                <w:szCs w:val="20"/>
              </w:rPr>
              <w:t>Virginia</w:t>
            </w:r>
          </w:p>
        </w:tc>
        <w:tc>
          <w:tcPr>
            <w:tcW w:w="1296" w:type="dxa"/>
            <w:shd w:val="clear" w:color="auto" w:fill="auto"/>
          </w:tcPr>
          <w:p w:rsidRPr="00051D6E" w:rsidR="00CC2919" w:rsidP="002E2431" w:rsidRDefault="00CC2919" w14:paraId="4A93254E" w14:textId="77777777">
            <w:pPr>
              <w:jc w:val="right"/>
              <w:rPr>
                <w:rFonts w:ascii="Times New Roman" w:hAnsi="Times New Roman" w:eastAsia="Calibri"/>
                <w:szCs w:val="20"/>
              </w:rPr>
            </w:pPr>
            <w:r w:rsidRPr="00051D6E">
              <w:rPr>
                <w:rFonts w:ascii="Times New Roman" w:hAnsi="Times New Roman" w:eastAsia="Calibri"/>
                <w:szCs w:val="20"/>
              </w:rPr>
              <w:t xml:space="preserve">   433</w:t>
            </w:r>
          </w:p>
        </w:tc>
        <w:tc>
          <w:tcPr>
            <w:tcW w:w="1152" w:type="dxa"/>
            <w:shd w:val="clear" w:color="auto" w:fill="auto"/>
          </w:tcPr>
          <w:p w:rsidRPr="00051D6E" w:rsidR="00CC2919" w:rsidP="002E2431" w:rsidRDefault="00CC2919" w14:paraId="0A0AFA94" w14:textId="77777777">
            <w:pPr>
              <w:jc w:val="right"/>
              <w:rPr>
                <w:rFonts w:ascii="Times New Roman" w:hAnsi="Times New Roman" w:eastAsia="Calibri"/>
                <w:szCs w:val="20"/>
              </w:rPr>
            </w:pPr>
            <w:r w:rsidRPr="00051D6E">
              <w:rPr>
                <w:rFonts w:ascii="Times New Roman" w:hAnsi="Times New Roman" w:eastAsia="Calibri"/>
                <w:szCs w:val="20"/>
              </w:rPr>
              <w:t xml:space="preserve">  1,732</w:t>
            </w:r>
          </w:p>
        </w:tc>
      </w:tr>
      <w:tr w:rsidRPr="00051D6E" w:rsidR="00CC2919" w:rsidTr="002E2431" w14:paraId="1C5F726A" w14:textId="77777777">
        <w:tc>
          <w:tcPr>
            <w:tcW w:w="3024" w:type="dxa"/>
            <w:shd w:val="clear" w:color="auto" w:fill="auto"/>
          </w:tcPr>
          <w:p w:rsidRPr="00051D6E" w:rsidR="00CC2919" w:rsidP="002E2431" w:rsidRDefault="00CC2919" w14:paraId="2943AD15" w14:textId="77777777">
            <w:pPr>
              <w:rPr>
                <w:rFonts w:ascii="Times New Roman" w:hAnsi="Times New Roman" w:eastAsia="Calibri"/>
                <w:szCs w:val="20"/>
              </w:rPr>
            </w:pPr>
            <w:r w:rsidRPr="00051D6E">
              <w:rPr>
                <w:rFonts w:ascii="Times New Roman" w:hAnsi="Times New Roman" w:eastAsia="Calibri"/>
                <w:szCs w:val="20"/>
              </w:rPr>
              <w:t xml:space="preserve">West Virginia </w:t>
            </w:r>
          </w:p>
        </w:tc>
        <w:tc>
          <w:tcPr>
            <w:tcW w:w="1296" w:type="dxa"/>
            <w:shd w:val="clear" w:color="auto" w:fill="auto"/>
          </w:tcPr>
          <w:p w:rsidRPr="00051D6E" w:rsidR="00CC2919" w:rsidP="002E2431" w:rsidRDefault="00CC2919" w14:paraId="2453C9DC" w14:textId="77777777">
            <w:pPr>
              <w:jc w:val="right"/>
              <w:rPr>
                <w:rFonts w:ascii="Times New Roman" w:hAnsi="Times New Roman" w:eastAsia="Calibri"/>
                <w:szCs w:val="20"/>
              </w:rPr>
            </w:pPr>
            <w:r w:rsidRPr="00051D6E">
              <w:rPr>
                <w:rFonts w:ascii="Times New Roman" w:hAnsi="Times New Roman" w:eastAsia="Calibri"/>
                <w:szCs w:val="20"/>
              </w:rPr>
              <w:t>1,130</w:t>
            </w:r>
          </w:p>
        </w:tc>
        <w:tc>
          <w:tcPr>
            <w:tcW w:w="1152" w:type="dxa"/>
            <w:shd w:val="clear" w:color="auto" w:fill="auto"/>
          </w:tcPr>
          <w:p w:rsidRPr="00051D6E" w:rsidR="00CC2919" w:rsidP="002E2431" w:rsidRDefault="00CC2919" w14:paraId="3D73BE7C" w14:textId="77777777">
            <w:pPr>
              <w:jc w:val="right"/>
              <w:rPr>
                <w:rFonts w:ascii="Times New Roman" w:hAnsi="Times New Roman" w:eastAsia="Calibri"/>
                <w:szCs w:val="20"/>
              </w:rPr>
            </w:pPr>
            <w:r w:rsidRPr="00051D6E">
              <w:rPr>
                <w:rFonts w:ascii="Times New Roman" w:hAnsi="Times New Roman" w:eastAsia="Calibri"/>
                <w:szCs w:val="20"/>
              </w:rPr>
              <w:t xml:space="preserve">  4,520</w:t>
            </w:r>
          </w:p>
        </w:tc>
      </w:tr>
      <w:tr w:rsidRPr="00051D6E" w:rsidR="00CC2919" w:rsidTr="002E2431" w14:paraId="2D6E4DD9" w14:textId="77777777">
        <w:tc>
          <w:tcPr>
            <w:tcW w:w="3024" w:type="dxa"/>
            <w:shd w:val="clear" w:color="auto" w:fill="auto"/>
          </w:tcPr>
          <w:p w:rsidRPr="00051D6E" w:rsidR="00CC2919" w:rsidP="002E2431" w:rsidRDefault="00CC2919" w14:paraId="14B51E68" w14:textId="77777777">
            <w:pPr>
              <w:rPr>
                <w:rFonts w:ascii="Times New Roman" w:hAnsi="Times New Roman" w:eastAsia="Calibri"/>
                <w:szCs w:val="20"/>
              </w:rPr>
            </w:pPr>
            <w:r w:rsidRPr="00051D6E">
              <w:rPr>
                <w:rFonts w:ascii="Times New Roman" w:hAnsi="Times New Roman" w:eastAsia="Calibri"/>
                <w:szCs w:val="20"/>
              </w:rPr>
              <w:t>Wyoming</w:t>
            </w:r>
          </w:p>
        </w:tc>
        <w:tc>
          <w:tcPr>
            <w:tcW w:w="1296" w:type="dxa"/>
            <w:shd w:val="clear" w:color="auto" w:fill="auto"/>
          </w:tcPr>
          <w:p w:rsidRPr="00051D6E" w:rsidR="00CC2919" w:rsidP="002E2431" w:rsidRDefault="00CC2919" w14:paraId="035C43B7" w14:textId="77777777">
            <w:pPr>
              <w:jc w:val="right"/>
              <w:rPr>
                <w:rFonts w:ascii="Times New Roman" w:hAnsi="Times New Roman" w:eastAsia="Calibri"/>
                <w:szCs w:val="20"/>
              </w:rPr>
            </w:pPr>
            <w:r w:rsidRPr="00051D6E">
              <w:rPr>
                <w:rFonts w:ascii="Times New Roman" w:hAnsi="Times New Roman" w:eastAsia="Calibri"/>
                <w:szCs w:val="20"/>
              </w:rPr>
              <w:t xml:space="preserve">   591</w:t>
            </w:r>
          </w:p>
        </w:tc>
        <w:tc>
          <w:tcPr>
            <w:tcW w:w="1152" w:type="dxa"/>
            <w:shd w:val="clear" w:color="auto" w:fill="auto"/>
          </w:tcPr>
          <w:p w:rsidRPr="00051D6E" w:rsidR="00CC2919" w:rsidP="002E2431" w:rsidRDefault="00CC2919" w14:paraId="059E8559" w14:textId="77777777">
            <w:pPr>
              <w:jc w:val="right"/>
              <w:rPr>
                <w:rFonts w:ascii="Times New Roman" w:hAnsi="Times New Roman" w:eastAsia="Calibri"/>
                <w:szCs w:val="20"/>
              </w:rPr>
            </w:pPr>
            <w:r w:rsidRPr="00051D6E">
              <w:rPr>
                <w:rFonts w:ascii="Times New Roman" w:hAnsi="Times New Roman" w:eastAsia="Calibri"/>
                <w:szCs w:val="20"/>
              </w:rPr>
              <w:t xml:space="preserve">  2,364</w:t>
            </w:r>
          </w:p>
        </w:tc>
      </w:tr>
      <w:tr w:rsidRPr="00051D6E" w:rsidR="00CC2919" w:rsidTr="002E2431" w14:paraId="4CA42FDB" w14:textId="77777777">
        <w:tc>
          <w:tcPr>
            <w:tcW w:w="3024" w:type="dxa"/>
            <w:shd w:val="clear" w:color="auto" w:fill="auto"/>
          </w:tcPr>
          <w:p w:rsidRPr="00051D6E" w:rsidR="00CC2919" w:rsidP="002E2431" w:rsidRDefault="00CC2919" w14:paraId="7BAD3F3E" w14:textId="77777777">
            <w:pPr>
              <w:rPr>
                <w:rFonts w:ascii="Times New Roman" w:hAnsi="Times New Roman" w:eastAsia="Calibri"/>
                <w:szCs w:val="20"/>
              </w:rPr>
            </w:pPr>
            <w:r w:rsidRPr="00051D6E">
              <w:rPr>
                <w:rFonts w:ascii="Times New Roman" w:hAnsi="Times New Roman" w:eastAsia="Calibri"/>
                <w:szCs w:val="20"/>
              </w:rPr>
              <w:t>District of Columbia</w:t>
            </w:r>
          </w:p>
        </w:tc>
        <w:tc>
          <w:tcPr>
            <w:tcW w:w="1296" w:type="dxa"/>
            <w:shd w:val="clear" w:color="auto" w:fill="auto"/>
          </w:tcPr>
          <w:p w:rsidRPr="00051D6E" w:rsidR="00CC2919" w:rsidP="002E2431" w:rsidRDefault="00CC2919" w14:paraId="40601D51" w14:textId="77777777">
            <w:pPr>
              <w:jc w:val="right"/>
              <w:rPr>
                <w:rFonts w:ascii="Times New Roman" w:hAnsi="Times New Roman" w:eastAsia="Calibri"/>
                <w:szCs w:val="20"/>
              </w:rPr>
            </w:pPr>
            <w:r w:rsidRPr="00051D6E">
              <w:rPr>
                <w:rFonts w:ascii="Times New Roman" w:hAnsi="Times New Roman" w:eastAsia="Calibri"/>
                <w:szCs w:val="20"/>
              </w:rPr>
              <w:t xml:space="preserve">   221</w:t>
            </w:r>
          </w:p>
        </w:tc>
        <w:tc>
          <w:tcPr>
            <w:tcW w:w="1152" w:type="dxa"/>
            <w:shd w:val="clear" w:color="auto" w:fill="auto"/>
          </w:tcPr>
          <w:p w:rsidRPr="00051D6E" w:rsidR="00CC2919" w:rsidP="002E2431" w:rsidRDefault="00CC2919" w14:paraId="42518691" w14:textId="77777777">
            <w:pPr>
              <w:jc w:val="right"/>
              <w:rPr>
                <w:rFonts w:ascii="Times New Roman" w:hAnsi="Times New Roman" w:eastAsia="Calibri"/>
                <w:szCs w:val="20"/>
              </w:rPr>
            </w:pPr>
            <w:r w:rsidRPr="00051D6E">
              <w:rPr>
                <w:rFonts w:ascii="Times New Roman" w:hAnsi="Times New Roman" w:eastAsia="Calibri"/>
                <w:szCs w:val="20"/>
              </w:rPr>
              <w:t xml:space="preserve">     884</w:t>
            </w:r>
          </w:p>
        </w:tc>
      </w:tr>
      <w:tr w:rsidRPr="00051D6E" w:rsidR="0019101F" w:rsidTr="002E2431" w14:paraId="49403D95" w14:textId="77777777">
        <w:tc>
          <w:tcPr>
            <w:tcW w:w="3024" w:type="dxa"/>
            <w:shd w:val="clear" w:color="auto" w:fill="auto"/>
          </w:tcPr>
          <w:p w:rsidRPr="00051D6E" w:rsidR="0019101F" w:rsidP="002E2431" w:rsidRDefault="0019101F" w14:paraId="51CCD3D4" w14:textId="77777777">
            <w:pPr>
              <w:rPr>
                <w:rFonts w:ascii="Times New Roman" w:hAnsi="Times New Roman" w:eastAsia="Calibri"/>
                <w:szCs w:val="20"/>
              </w:rPr>
            </w:pPr>
            <w:r w:rsidRPr="00051D6E">
              <w:rPr>
                <w:rFonts w:ascii="Times New Roman" w:hAnsi="Times New Roman" w:eastAsia="Calibri"/>
                <w:szCs w:val="20"/>
              </w:rPr>
              <w:t>Puerto Rico</w:t>
            </w:r>
          </w:p>
        </w:tc>
        <w:tc>
          <w:tcPr>
            <w:tcW w:w="1296" w:type="dxa"/>
            <w:shd w:val="clear" w:color="auto" w:fill="auto"/>
          </w:tcPr>
          <w:p w:rsidRPr="00051D6E" w:rsidR="0019101F" w:rsidP="002E2431" w:rsidRDefault="0019101F" w14:paraId="39E73BBD" w14:textId="77777777">
            <w:pPr>
              <w:jc w:val="right"/>
              <w:rPr>
                <w:rFonts w:ascii="Times New Roman" w:hAnsi="Times New Roman" w:eastAsia="Calibri"/>
                <w:szCs w:val="20"/>
              </w:rPr>
            </w:pPr>
            <w:r w:rsidRPr="00051D6E">
              <w:rPr>
                <w:rFonts w:ascii="Times New Roman" w:hAnsi="Times New Roman" w:eastAsia="Calibri"/>
                <w:szCs w:val="20"/>
              </w:rPr>
              <w:t>9,100</w:t>
            </w:r>
          </w:p>
        </w:tc>
        <w:tc>
          <w:tcPr>
            <w:tcW w:w="1152" w:type="dxa"/>
            <w:shd w:val="clear" w:color="auto" w:fill="auto"/>
          </w:tcPr>
          <w:p w:rsidRPr="00051D6E" w:rsidR="0019101F" w:rsidP="002E2431" w:rsidRDefault="0019101F" w14:paraId="76EBA5B0" w14:textId="77777777">
            <w:pPr>
              <w:jc w:val="right"/>
              <w:rPr>
                <w:rFonts w:ascii="Times New Roman" w:hAnsi="Times New Roman" w:eastAsia="Calibri"/>
                <w:szCs w:val="20"/>
              </w:rPr>
            </w:pPr>
            <w:r w:rsidRPr="00051D6E">
              <w:rPr>
                <w:rFonts w:ascii="Times New Roman" w:hAnsi="Times New Roman" w:eastAsia="Calibri"/>
                <w:szCs w:val="20"/>
              </w:rPr>
              <w:t>36,400</w:t>
            </w:r>
          </w:p>
        </w:tc>
      </w:tr>
      <w:tr w:rsidRPr="00051D6E" w:rsidR="0019101F" w:rsidTr="002E2431" w14:paraId="29991630" w14:textId="77777777">
        <w:tc>
          <w:tcPr>
            <w:tcW w:w="3024" w:type="dxa"/>
            <w:shd w:val="clear" w:color="auto" w:fill="auto"/>
          </w:tcPr>
          <w:p w:rsidRPr="00051D6E" w:rsidR="0019101F" w:rsidP="0019101F" w:rsidRDefault="0019101F" w14:paraId="408765A7" w14:textId="77777777">
            <w:pPr>
              <w:rPr>
                <w:rFonts w:ascii="Times New Roman" w:hAnsi="Times New Roman" w:eastAsia="Calibri"/>
                <w:szCs w:val="20"/>
              </w:rPr>
            </w:pPr>
            <w:r w:rsidRPr="00051D6E">
              <w:rPr>
                <w:rFonts w:ascii="Times New Roman" w:hAnsi="Times New Roman" w:eastAsia="Calibri"/>
                <w:szCs w:val="20"/>
              </w:rPr>
              <w:t>American Samoa</w:t>
            </w:r>
          </w:p>
        </w:tc>
        <w:tc>
          <w:tcPr>
            <w:tcW w:w="1296" w:type="dxa"/>
            <w:shd w:val="clear" w:color="auto" w:fill="auto"/>
          </w:tcPr>
          <w:p w:rsidRPr="00051D6E" w:rsidR="0019101F" w:rsidP="002E2431" w:rsidRDefault="0019101F" w14:paraId="2553A06B" w14:textId="77777777">
            <w:pPr>
              <w:jc w:val="right"/>
              <w:rPr>
                <w:rFonts w:ascii="Times New Roman" w:hAnsi="Times New Roman" w:eastAsia="Calibri"/>
                <w:szCs w:val="20"/>
              </w:rPr>
            </w:pPr>
            <w:r w:rsidRPr="00051D6E">
              <w:rPr>
                <w:rFonts w:ascii="Times New Roman" w:hAnsi="Times New Roman" w:eastAsia="Calibri"/>
                <w:szCs w:val="20"/>
              </w:rPr>
              <w:t>196</w:t>
            </w:r>
          </w:p>
        </w:tc>
        <w:tc>
          <w:tcPr>
            <w:tcW w:w="1152" w:type="dxa"/>
            <w:shd w:val="clear" w:color="auto" w:fill="auto"/>
          </w:tcPr>
          <w:p w:rsidRPr="00051D6E" w:rsidR="0019101F" w:rsidP="002E2431" w:rsidRDefault="0019101F" w14:paraId="143E002A" w14:textId="77777777">
            <w:pPr>
              <w:jc w:val="right"/>
              <w:rPr>
                <w:rFonts w:ascii="Times New Roman" w:hAnsi="Times New Roman" w:eastAsia="Calibri"/>
                <w:szCs w:val="20"/>
              </w:rPr>
            </w:pPr>
            <w:r w:rsidRPr="00051D6E">
              <w:rPr>
                <w:rFonts w:ascii="Times New Roman" w:hAnsi="Times New Roman" w:eastAsia="Calibri"/>
                <w:szCs w:val="20"/>
              </w:rPr>
              <w:t>784</w:t>
            </w:r>
          </w:p>
        </w:tc>
      </w:tr>
      <w:tr w:rsidRPr="00051D6E" w:rsidR="0019101F" w:rsidTr="002E2431" w14:paraId="14E6FC6C" w14:textId="77777777">
        <w:tc>
          <w:tcPr>
            <w:tcW w:w="3024" w:type="dxa"/>
            <w:shd w:val="clear" w:color="auto" w:fill="auto"/>
          </w:tcPr>
          <w:p w:rsidRPr="00051D6E" w:rsidR="0019101F" w:rsidP="002E2431" w:rsidRDefault="0019101F" w14:paraId="70F4FB7D" w14:textId="77777777">
            <w:pPr>
              <w:rPr>
                <w:rFonts w:ascii="Times New Roman" w:hAnsi="Times New Roman" w:eastAsia="Calibri"/>
                <w:szCs w:val="20"/>
              </w:rPr>
            </w:pPr>
            <w:r w:rsidRPr="00051D6E">
              <w:rPr>
                <w:rFonts w:ascii="Times New Roman" w:hAnsi="Times New Roman" w:eastAsia="Calibri"/>
                <w:szCs w:val="20"/>
              </w:rPr>
              <w:t>Northern Marianas</w:t>
            </w:r>
          </w:p>
        </w:tc>
        <w:tc>
          <w:tcPr>
            <w:tcW w:w="1296" w:type="dxa"/>
            <w:shd w:val="clear" w:color="auto" w:fill="auto"/>
          </w:tcPr>
          <w:p w:rsidRPr="00051D6E" w:rsidR="0019101F" w:rsidP="002E2431" w:rsidRDefault="0019101F" w14:paraId="0160D244" w14:textId="77777777">
            <w:pPr>
              <w:jc w:val="right"/>
              <w:rPr>
                <w:rFonts w:ascii="Times New Roman" w:hAnsi="Times New Roman" w:eastAsia="Calibri"/>
                <w:szCs w:val="20"/>
              </w:rPr>
            </w:pPr>
            <w:r w:rsidRPr="00051D6E">
              <w:rPr>
                <w:rFonts w:ascii="Times New Roman" w:hAnsi="Times New Roman" w:eastAsia="Calibri"/>
                <w:szCs w:val="20"/>
              </w:rPr>
              <w:t>178</w:t>
            </w:r>
          </w:p>
        </w:tc>
        <w:tc>
          <w:tcPr>
            <w:tcW w:w="1152" w:type="dxa"/>
            <w:shd w:val="clear" w:color="auto" w:fill="auto"/>
          </w:tcPr>
          <w:p w:rsidRPr="00051D6E" w:rsidR="0019101F" w:rsidP="002E2431" w:rsidRDefault="0019101F" w14:paraId="7A6F24E2" w14:textId="77777777">
            <w:pPr>
              <w:jc w:val="right"/>
              <w:rPr>
                <w:rFonts w:ascii="Times New Roman" w:hAnsi="Times New Roman" w:eastAsia="Calibri"/>
                <w:szCs w:val="20"/>
              </w:rPr>
            </w:pPr>
            <w:r w:rsidRPr="00051D6E">
              <w:rPr>
                <w:rFonts w:ascii="Times New Roman" w:hAnsi="Times New Roman" w:eastAsia="Calibri"/>
                <w:szCs w:val="20"/>
              </w:rPr>
              <w:t>712</w:t>
            </w:r>
          </w:p>
        </w:tc>
      </w:tr>
      <w:tr w:rsidRPr="00051D6E" w:rsidR="0019101F" w:rsidTr="002E2431" w14:paraId="57DD1428" w14:textId="77777777">
        <w:tc>
          <w:tcPr>
            <w:tcW w:w="3024" w:type="dxa"/>
            <w:shd w:val="clear" w:color="auto" w:fill="auto"/>
          </w:tcPr>
          <w:p w:rsidRPr="00051D6E" w:rsidR="0019101F" w:rsidP="002E2431" w:rsidRDefault="0019101F" w14:paraId="7C6E8616" w14:textId="77777777">
            <w:pPr>
              <w:rPr>
                <w:rFonts w:ascii="Times New Roman" w:hAnsi="Times New Roman" w:eastAsia="Calibri"/>
                <w:szCs w:val="20"/>
              </w:rPr>
            </w:pPr>
            <w:r w:rsidRPr="00051D6E">
              <w:rPr>
                <w:rFonts w:ascii="Times New Roman" w:hAnsi="Times New Roman" w:eastAsia="Calibri"/>
                <w:szCs w:val="20"/>
              </w:rPr>
              <w:t>Virgin Islands</w:t>
            </w:r>
          </w:p>
        </w:tc>
        <w:tc>
          <w:tcPr>
            <w:tcW w:w="1296" w:type="dxa"/>
            <w:shd w:val="clear" w:color="auto" w:fill="auto"/>
          </w:tcPr>
          <w:p w:rsidRPr="00051D6E" w:rsidR="0019101F" w:rsidP="002E2431" w:rsidRDefault="0019101F" w14:paraId="371AE571" w14:textId="77777777">
            <w:pPr>
              <w:jc w:val="right"/>
              <w:rPr>
                <w:rFonts w:ascii="Times New Roman" w:hAnsi="Times New Roman" w:eastAsia="Calibri"/>
                <w:szCs w:val="20"/>
              </w:rPr>
            </w:pPr>
            <w:r w:rsidRPr="00051D6E">
              <w:rPr>
                <w:rFonts w:ascii="Times New Roman" w:hAnsi="Times New Roman" w:eastAsia="Calibri"/>
                <w:szCs w:val="20"/>
              </w:rPr>
              <w:t>192</w:t>
            </w:r>
          </w:p>
        </w:tc>
        <w:tc>
          <w:tcPr>
            <w:tcW w:w="1152" w:type="dxa"/>
            <w:shd w:val="clear" w:color="auto" w:fill="auto"/>
          </w:tcPr>
          <w:p w:rsidRPr="00051D6E" w:rsidR="0019101F" w:rsidP="002E2431" w:rsidRDefault="0019101F" w14:paraId="1DE0E5D0" w14:textId="77777777">
            <w:pPr>
              <w:jc w:val="right"/>
              <w:rPr>
                <w:rFonts w:ascii="Times New Roman" w:hAnsi="Times New Roman" w:eastAsia="Calibri"/>
                <w:szCs w:val="20"/>
              </w:rPr>
            </w:pPr>
            <w:r w:rsidRPr="00051D6E">
              <w:rPr>
                <w:rFonts w:ascii="Times New Roman" w:hAnsi="Times New Roman" w:eastAsia="Calibri"/>
                <w:szCs w:val="20"/>
              </w:rPr>
              <w:t>768</w:t>
            </w:r>
          </w:p>
        </w:tc>
      </w:tr>
      <w:tr w:rsidRPr="00051D6E" w:rsidR="0019101F" w:rsidTr="002E2431" w14:paraId="3010B228" w14:textId="77777777">
        <w:tc>
          <w:tcPr>
            <w:tcW w:w="3024" w:type="dxa"/>
            <w:shd w:val="clear" w:color="auto" w:fill="auto"/>
          </w:tcPr>
          <w:p w:rsidRPr="00051D6E" w:rsidR="0019101F" w:rsidP="002E2431" w:rsidRDefault="0019101F" w14:paraId="575B3A31" w14:textId="77777777">
            <w:pPr>
              <w:rPr>
                <w:rFonts w:ascii="Times New Roman" w:hAnsi="Times New Roman" w:eastAsia="Calibri"/>
                <w:szCs w:val="20"/>
              </w:rPr>
            </w:pPr>
            <w:r w:rsidRPr="00051D6E">
              <w:rPr>
                <w:rFonts w:ascii="Times New Roman" w:hAnsi="Times New Roman" w:eastAsia="Calibri"/>
                <w:szCs w:val="20"/>
              </w:rPr>
              <w:t>Palau</w:t>
            </w:r>
          </w:p>
        </w:tc>
        <w:tc>
          <w:tcPr>
            <w:tcW w:w="1296" w:type="dxa"/>
            <w:shd w:val="clear" w:color="auto" w:fill="auto"/>
          </w:tcPr>
          <w:p w:rsidRPr="00051D6E" w:rsidR="0019101F" w:rsidP="002E2431" w:rsidRDefault="0019101F" w14:paraId="61D446B6" w14:textId="77777777">
            <w:pPr>
              <w:jc w:val="right"/>
              <w:rPr>
                <w:rFonts w:ascii="Times New Roman" w:hAnsi="Times New Roman" w:eastAsia="Calibri"/>
                <w:szCs w:val="20"/>
              </w:rPr>
            </w:pPr>
            <w:r w:rsidRPr="00051D6E">
              <w:rPr>
                <w:rFonts w:ascii="Times New Roman" w:hAnsi="Times New Roman" w:eastAsia="Calibri"/>
                <w:szCs w:val="20"/>
              </w:rPr>
              <w:t>227</w:t>
            </w:r>
          </w:p>
        </w:tc>
        <w:tc>
          <w:tcPr>
            <w:tcW w:w="1152" w:type="dxa"/>
            <w:shd w:val="clear" w:color="auto" w:fill="auto"/>
          </w:tcPr>
          <w:p w:rsidRPr="00051D6E" w:rsidR="0019101F" w:rsidP="002E2431" w:rsidRDefault="0019101F" w14:paraId="27A996F3" w14:textId="77777777">
            <w:pPr>
              <w:jc w:val="right"/>
              <w:rPr>
                <w:rFonts w:ascii="Times New Roman" w:hAnsi="Times New Roman" w:eastAsia="Calibri"/>
                <w:szCs w:val="20"/>
              </w:rPr>
            </w:pPr>
            <w:r w:rsidRPr="00051D6E">
              <w:rPr>
                <w:rFonts w:ascii="Times New Roman" w:hAnsi="Times New Roman" w:eastAsia="Calibri"/>
                <w:szCs w:val="20"/>
              </w:rPr>
              <w:t>908</w:t>
            </w:r>
          </w:p>
        </w:tc>
      </w:tr>
    </w:tbl>
    <w:p w:rsidRPr="00051D6E" w:rsidR="00CC2919" w:rsidP="00CC2919" w:rsidRDefault="00CC2919" w14:paraId="0B8F861F" w14:textId="77777777">
      <w:pPr>
        <w:rPr>
          <w:rFonts w:ascii="Times New Roman" w:hAnsi="Times New Roman"/>
          <w:szCs w:val="20"/>
        </w:rPr>
      </w:pPr>
    </w:p>
    <w:p w:rsidRPr="00823EEA" w:rsidR="00CC2919" w:rsidP="00CA3F58" w:rsidRDefault="00CC2919" w14:paraId="1C1901B8" w14:textId="77777777">
      <w:pPr>
        <w:pStyle w:val="Default"/>
        <w:rPr>
          <w:rFonts w:ascii="Calibri" w:hAnsi="Calibri" w:cs="Calibri"/>
          <w:sz w:val="20"/>
          <w:szCs w:val="20"/>
        </w:rPr>
        <w:sectPr w:rsidRPr="00823EEA" w:rsidR="00CC2919">
          <w:footerReference w:type="default" r:id="rId18"/>
          <w:pgSz w:w="12240" w:h="15840"/>
          <w:pgMar w:top="1440" w:right="1440" w:bottom="1440" w:left="1440" w:header="720" w:footer="720" w:gutter="0"/>
          <w:cols w:space="720"/>
          <w:docGrid w:linePitch="360"/>
        </w:sectPr>
      </w:pPr>
      <w:r w:rsidRPr="00051D6E">
        <w:rPr>
          <w:sz w:val="20"/>
          <w:szCs w:val="20"/>
        </w:rPr>
        <w:t xml:space="preserve">The PY 2018 numbers </w:t>
      </w:r>
      <w:r w:rsidRPr="00051D6E" w:rsidR="00A67779">
        <w:rPr>
          <w:sz w:val="20"/>
          <w:szCs w:val="20"/>
        </w:rPr>
        <w:t xml:space="preserve">for states </w:t>
      </w:r>
      <w:r w:rsidRPr="00051D6E">
        <w:rPr>
          <w:sz w:val="20"/>
          <w:szCs w:val="20"/>
        </w:rPr>
        <w:t>are from the WIOA PY 2018 State Annual Reports and include ex-offenders who exited the Employment Service or the WIOA Adult Program over the 12-month period from April 1, 2018</w:t>
      </w:r>
      <w:r w:rsidR="00162151">
        <w:rPr>
          <w:sz w:val="20"/>
          <w:szCs w:val="20"/>
        </w:rPr>
        <w:t>,</w:t>
      </w:r>
      <w:r w:rsidRPr="00051D6E">
        <w:rPr>
          <w:sz w:val="20"/>
          <w:szCs w:val="20"/>
        </w:rPr>
        <w:t xml:space="preserve"> through March 31, 2019.  To avoid double-counting persons served by both the Employment Service and the WIOA Adult Program, the highest number served from either of these programs is used.  The four-year estimate of number served is simply the PY 2018 number multiplied by four.  </w:t>
      </w:r>
      <w:r w:rsidRPr="00051D6E" w:rsidR="0019101F">
        <w:rPr>
          <w:sz w:val="20"/>
          <w:szCs w:val="20"/>
        </w:rPr>
        <w:t xml:space="preserve">The numbers for </w:t>
      </w:r>
      <w:r w:rsidRPr="00051D6E">
        <w:rPr>
          <w:sz w:val="20"/>
          <w:szCs w:val="20"/>
        </w:rPr>
        <w:t xml:space="preserve">Puerto Rico, the Virgin Islands, American Samoa, </w:t>
      </w:r>
      <w:r w:rsidRPr="00051D6E" w:rsidR="0019101F">
        <w:rPr>
          <w:sz w:val="20"/>
          <w:szCs w:val="20"/>
        </w:rPr>
        <w:t xml:space="preserve">and </w:t>
      </w:r>
      <w:r w:rsidRPr="00051D6E">
        <w:rPr>
          <w:sz w:val="20"/>
          <w:szCs w:val="20"/>
        </w:rPr>
        <w:t>the Commonwealth of the Northern Mariana Islands</w:t>
      </w:r>
      <w:r w:rsidRPr="00051D6E" w:rsidR="0019101F">
        <w:rPr>
          <w:sz w:val="20"/>
          <w:szCs w:val="20"/>
        </w:rPr>
        <w:t xml:space="preserve"> are prisoners in custody </w:t>
      </w:r>
      <w:r w:rsidRPr="00051D6E" w:rsidR="007A67DB">
        <w:rPr>
          <w:sz w:val="20"/>
          <w:szCs w:val="20"/>
        </w:rPr>
        <w:t xml:space="preserve">at the end of the year </w:t>
      </w:r>
      <w:r w:rsidRPr="00051D6E" w:rsidR="0019101F">
        <w:rPr>
          <w:sz w:val="20"/>
          <w:szCs w:val="20"/>
        </w:rPr>
        <w:t xml:space="preserve">available from </w:t>
      </w:r>
      <w:r w:rsidRPr="00051D6E" w:rsidR="00A67779">
        <w:rPr>
          <w:sz w:val="20"/>
          <w:szCs w:val="20"/>
        </w:rPr>
        <w:t>Table 21</w:t>
      </w:r>
      <w:r w:rsidRPr="00823EEA" w:rsidR="00823EEA">
        <w:rPr>
          <w:sz w:val="20"/>
          <w:szCs w:val="20"/>
        </w:rPr>
        <w:t>,</w:t>
      </w:r>
      <w:r w:rsidRPr="00051D6E" w:rsidR="00A67779">
        <w:rPr>
          <w:sz w:val="20"/>
          <w:szCs w:val="20"/>
        </w:rPr>
        <w:t xml:space="preserve"> </w:t>
      </w:r>
      <w:r w:rsidRPr="00051D6E" w:rsidR="00A67779">
        <w:rPr>
          <w:sz w:val="20"/>
          <w:szCs w:val="20"/>
        </w:rPr>
        <w:lastRenderedPageBreak/>
        <w:t>Prisoners Under Jurisdiction or in Custody of Correctional Facilities in U.S. Territories and Commonwealths by Prison Facility Capacity, December 31, 2018</w:t>
      </w:r>
      <w:r w:rsidR="00162151">
        <w:rPr>
          <w:sz w:val="20"/>
          <w:szCs w:val="20"/>
        </w:rPr>
        <w:t>,</w:t>
      </w:r>
      <w:r w:rsidRPr="00051D6E" w:rsidR="00A67779">
        <w:rPr>
          <w:sz w:val="20"/>
          <w:szCs w:val="20"/>
        </w:rPr>
        <w:t xml:space="preserve"> in </w:t>
      </w:r>
      <w:r w:rsidRPr="00051D6E" w:rsidR="00A67779">
        <w:rPr>
          <w:i/>
          <w:sz w:val="20"/>
          <w:szCs w:val="20"/>
        </w:rPr>
        <w:t>Prisoners in 2018</w:t>
      </w:r>
      <w:r w:rsidRPr="00051D6E" w:rsidR="00A67779">
        <w:rPr>
          <w:sz w:val="20"/>
          <w:szCs w:val="20"/>
        </w:rPr>
        <w:t xml:space="preserve">, </w:t>
      </w:r>
      <w:r w:rsidRPr="00051D6E" w:rsidR="0019101F">
        <w:rPr>
          <w:sz w:val="20"/>
          <w:szCs w:val="20"/>
        </w:rPr>
        <w:t>Bureau of Justice Statistics</w:t>
      </w:r>
      <w:r w:rsidRPr="00051D6E" w:rsidR="00A67779">
        <w:rPr>
          <w:sz w:val="20"/>
          <w:szCs w:val="20"/>
        </w:rPr>
        <w:t>, U.S. Department of Justice, April 2020.  The number for Palau</w:t>
      </w:r>
      <w:r w:rsidRPr="00051D6E" w:rsidR="00642573">
        <w:rPr>
          <w:sz w:val="20"/>
          <w:szCs w:val="20"/>
        </w:rPr>
        <w:t xml:space="preserve"> is the number of criminal dispositions in 2019 from the Palau </w:t>
      </w:r>
      <w:r w:rsidRPr="00051D6E" w:rsidR="00A67779">
        <w:rPr>
          <w:sz w:val="20"/>
          <w:szCs w:val="20"/>
        </w:rPr>
        <w:t>Government Judicial Branch website a</w:t>
      </w:r>
      <w:r w:rsidRPr="00051D6E" w:rsidR="00A67779">
        <w:rPr>
          <w:color w:val="auto"/>
          <w:sz w:val="20"/>
          <w:szCs w:val="20"/>
        </w:rPr>
        <w:t xml:space="preserve">t </w:t>
      </w:r>
      <w:hyperlink w:history="1" r:id="rId19">
        <w:r w:rsidRPr="00051D6E" w:rsidR="00A67779">
          <w:rPr>
            <w:rStyle w:val="Hyperlink"/>
            <w:color w:val="auto"/>
            <w:sz w:val="20"/>
            <w:szCs w:val="20"/>
          </w:rPr>
          <w:t>http://www.palaus</w:t>
        </w:r>
        <w:r w:rsidRPr="00051D6E" w:rsidR="00A67779">
          <w:rPr>
            <w:rStyle w:val="Hyperlink"/>
            <w:color w:val="auto"/>
            <w:sz w:val="20"/>
            <w:szCs w:val="20"/>
          </w:rPr>
          <w:t>u</w:t>
        </w:r>
        <w:r w:rsidRPr="00051D6E" w:rsidR="00A67779">
          <w:rPr>
            <w:rStyle w:val="Hyperlink"/>
            <w:color w:val="auto"/>
            <w:sz w:val="20"/>
            <w:szCs w:val="20"/>
          </w:rPr>
          <w:t>premecourt.net/</w:t>
        </w:r>
      </w:hyperlink>
      <w:r w:rsidRPr="00051D6E" w:rsidR="00A67779">
        <w:rPr>
          <w:sz w:val="20"/>
          <w:szCs w:val="20"/>
        </w:rPr>
        <w:t>.</w:t>
      </w:r>
    </w:p>
    <w:p w:rsidRPr="00405C65" w:rsidR="00CC2919" w:rsidP="00333239" w:rsidRDefault="00BC44D2" w14:paraId="0663BB00" w14:textId="77777777">
      <w:pPr>
        <w:pStyle w:val="Default"/>
        <w:jc w:val="right"/>
      </w:pPr>
      <w:r>
        <w:lastRenderedPageBreak/>
        <w:t>Attachment II</w:t>
      </w:r>
    </w:p>
    <w:p w:rsidRPr="00405C65" w:rsidR="00CC2919" w:rsidP="00CC2919" w:rsidRDefault="00CC2919" w14:paraId="3B09A998" w14:textId="77777777">
      <w:pPr>
        <w:rPr>
          <w:rFonts w:ascii="Times New Roman" w:hAnsi="Times New Roman"/>
          <w:b/>
          <w:bCs/>
          <w:sz w:val="24"/>
        </w:rPr>
      </w:pPr>
    </w:p>
    <w:p w:rsidRPr="00405C65" w:rsidR="00CC2919" w:rsidP="00CC2919" w:rsidRDefault="00CC2919" w14:paraId="7CBC07B4" w14:textId="77777777">
      <w:pPr>
        <w:rPr>
          <w:rFonts w:ascii="Times New Roman" w:hAnsi="Times New Roman"/>
          <w:b/>
          <w:bCs/>
          <w:sz w:val="24"/>
        </w:rPr>
      </w:pPr>
      <w:r w:rsidRPr="00405C65">
        <w:rPr>
          <w:rFonts w:ascii="Times New Roman" w:hAnsi="Times New Roman"/>
          <w:b/>
          <w:bCs/>
          <w:sz w:val="24"/>
        </w:rPr>
        <w:t xml:space="preserve">General Instructions for the Completion of Budget Information Narrative </w:t>
      </w:r>
    </w:p>
    <w:p w:rsidRPr="00405C65" w:rsidR="00CC2919" w:rsidP="00CC2919" w:rsidRDefault="00CC2919" w14:paraId="54807C46" w14:textId="77777777">
      <w:pPr>
        <w:rPr>
          <w:rFonts w:ascii="Times New Roman" w:hAnsi="Times New Roman"/>
          <w:sz w:val="24"/>
        </w:rPr>
      </w:pPr>
      <w:r w:rsidRPr="00405C65">
        <w:rPr>
          <w:rFonts w:ascii="Times New Roman" w:hAnsi="Times New Roman"/>
          <w:sz w:val="24"/>
        </w:rPr>
        <w:t xml:space="preserve">The Budget Information Narrative provides an explanation of each line item on the SF-424A, including a breakout of the relevant component costs. </w:t>
      </w:r>
      <w:r w:rsidR="00823EEA">
        <w:rPr>
          <w:rFonts w:ascii="Times New Roman" w:hAnsi="Times New Roman"/>
          <w:sz w:val="24"/>
        </w:rPr>
        <w:t xml:space="preserve"> </w:t>
      </w:r>
      <w:r w:rsidRPr="00405C65">
        <w:rPr>
          <w:rFonts w:ascii="Times New Roman" w:hAnsi="Times New Roman"/>
          <w:sz w:val="24"/>
        </w:rPr>
        <w:t xml:space="preserve">The total of the breakout must equal the amount listed on the corresponding line item of the SF-424A. </w:t>
      </w:r>
      <w:r w:rsidR="00823EEA">
        <w:rPr>
          <w:rFonts w:ascii="Times New Roman" w:hAnsi="Times New Roman"/>
          <w:sz w:val="24"/>
        </w:rPr>
        <w:t xml:space="preserve"> </w:t>
      </w:r>
      <w:r w:rsidRPr="00405C65">
        <w:rPr>
          <w:rFonts w:ascii="Times New Roman" w:hAnsi="Times New Roman"/>
          <w:sz w:val="24"/>
        </w:rPr>
        <w:t xml:space="preserve">This narrative reflects projected costs incurred by the recipient, </w:t>
      </w:r>
      <w:r w:rsidRPr="00405C65">
        <w:rPr>
          <w:rFonts w:ascii="Times New Roman" w:hAnsi="Times New Roman"/>
          <w:i/>
          <w:iCs/>
          <w:sz w:val="24"/>
        </w:rPr>
        <w:t xml:space="preserve">with the exception of the Contractual line item. </w:t>
      </w:r>
      <w:r w:rsidR="00823EEA">
        <w:rPr>
          <w:rFonts w:ascii="Times New Roman" w:hAnsi="Times New Roman"/>
          <w:iCs/>
          <w:sz w:val="24"/>
        </w:rPr>
        <w:t xml:space="preserve"> </w:t>
      </w:r>
      <w:r w:rsidRPr="00405C65">
        <w:rPr>
          <w:rFonts w:ascii="Times New Roman" w:hAnsi="Times New Roman"/>
          <w:sz w:val="24"/>
        </w:rPr>
        <w:t xml:space="preserve">Please note that a separate breakout of the recipient’s administrative costs must also be provided. </w:t>
      </w:r>
    </w:p>
    <w:p w:rsidRPr="00405C65" w:rsidR="00CC2919" w:rsidP="00CC2919" w:rsidRDefault="00CC2919" w14:paraId="602C7B3E" w14:textId="77777777">
      <w:pPr>
        <w:rPr>
          <w:rFonts w:ascii="Times New Roman" w:hAnsi="Times New Roman"/>
          <w:sz w:val="24"/>
        </w:rPr>
      </w:pPr>
      <w:r w:rsidRPr="00405C65">
        <w:rPr>
          <w:rFonts w:ascii="Times New Roman" w:hAnsi="Times New Roman"/>
          <w:b/>
          <w:bCs/>
          <w:sz w:val="24"/>
        </w:rPr>
        <w:t>1.</w:t>
      </w:r>
      <w:r>
        <w:rPr>
          <w:rFonts w:ascii="Times New Roman" w:hAnsi="Times New Roman"/>
          <w:b/>
          <w:bCs/>
          <w:sz w:val="24"/>
        </w:rPr>
        <w:t xml:space="preserve"> </w:t>
      </w:r>
      <w:r w:rsidRPr="00405C65">
        <w:rPr>
          <w:rFonts w:ascii="Times New Roman" w:hAnsi="Times New Roman"/>
          <w:b/>
          <w:bCs/>
          <w:sz w:val="24"/>
        </w:rPr>
        <w:t xml:space="preserve">Personnel: </w:t>
      </w:r>
      <w:r w:rsidRPr="00405C65">
        <w:rPr>
          <w:rFonts w:ascii="Times New Roman" w:hAnsi="Times New Roman"/>
          <w:sz w:val="24"/>
        </w:rPr>
        <w:t xml:space="preserve">List all staff positions by title. </w:t>
      </w:r>
      <w:r w:rsidR="00823EEA">
        <w:rPr>
          <w:rFonts w:ascii="Times New Roman" w:hAnsi="Times New Roman"/>
          <w:sz w:val="24"/>
        </w:rPr>
        <w:t xml:space="preserve"> </w:t>
      </w:r>
      <w:r w:rsidRPr="00405C65">
        <w:rPr>
          <w:rFonts w:ascii="Times New Roman" w:hAnsi="Times New Roman"/>
          <w:sz w:val="24"/>
        </w:rPr>
        <w:t>Indicate the annual salary of the position, the percentage of each position’s time devoted to the project, the amount of each person’s salary charged to the grant, and the total personnel cost for the period of performance.</w:t>
      </w:r>
    </w:p>
    <w:p w:rsidRPr="00405C65" w:rsidR="00CC2919" w:rsidP="00CC2919" w:rsidRDefault="00CC2919" w14:paraId="2580F65B" w14:textId="77777777">
      <w:pPr>
        <w:rPr>
          <w:rFonts w:ascii="Times New Roman" w:hAnsi="Times New Roman"/>
          <w:sz w:val="24"/>
        </w:rPr>
      </w:pPr>
      <w:r w:rsidRPr="00405C65">
        <w:rPr>
          <w:rFonts w:ascii="Times New Roman" w:hAnsi="Times New Roman"/>
          <w:b/>
          <w:bCs/>
          <w:sz w:val="24"/>
        </w:rPr>
        <w:t>2.</w:t>
      </w:r>
      <w:r>
        <w:rPr>
          <w:rFonts w:ascii="Times New Roman" w:hAnsi="Times New Roman"/>
          <w:b/>
          <w:bCs/>
          <w:sz w:val="24"/>
        </w:rPr>
        <w:t xml:space="preserve"> </w:t>
      </w:r>
      <w:r w:rsidRPr="00405C65">
        <w:rPr>
          <w:rFonts w:ascii="Times New Roman" w:hAnsi="Times New Roman"/>
          <w:b/>
          <w:bCs/>
          <w:sz w:val="24"/>
        </w:rPr>
        <w:t xml:space="preserve">Fringe Benefits: </w:t>
      </w:r>
      <w:r w:rsidRPr="00405C65">
        <w:rPr>
          <w:rFonts w:ascii="Times New Roman" w:hAnsi="Times New Roman"/>
          <w:sz w:val="24"/>
        </w:rPr>
        <w:t xml:space="preserve">Provide the overall fringe benefit percentage which reflects the recipient’s organizational fringe, and list the components included, such as health insurance, FICA, retirement, etc. </w:t>
      </w:r>
      <w:r w:rsidR="00823EEA">
        <w:rPr>
          <w:rFonts w:ascii="Times New Roman" w:hAnsi="Times New Roman"/>
          <w:sz w:val="24"/>
        </w:rPr>
        <w:t xml:space="preserve"> </w:t>
      </w:r>
      <w:r w:rsidRPr="00405C65">
        <w:rPr>
          <w:rFonts w:ascii="Times New Roman" w:hAnsi="Times New Roman"/>
          <w:sz w:val="24"/>
        </w:rPr>
        <w:t>Provide the fringe benefit calculation for each staff position listed under the Personnel line item, as well as the collective total charged to the grant.</w:t>
      </w:r>
    </w:p>
    <w:p w:rsidRPr="00405C65" w:rsidR="00CC2919" w:rsidP="00CC2919" w:rsidRDefault="00CC2919" w14:paraId="5F77CC0F" w14:textId="77777777">
      <w:pPr>
        <w:rPr>
          <w:rFonts w:ascii="Times New Roman" w:hAnsi="Times New Roman"/>
          <w:sz w:val="24"/>
        </w:rPr>
      </w:pPr>
      <w:r w:rsidRPr="00405C65">
        <w:rPr>
          <w:rFonts w:ascii="Times New Roman" w:hAnsi="Times New Roman"/>
          <w:b/>
          <w:bCs/>
          <w:sz w:val="24"/>
        </w:rPr>
        <w:t>3.</w:t>
      </w:r>
      <w:r>
        <w:rPr>
          <w:rFonts w:ascii="Times New Roman" w:hAnsi="Times New Roman"/>
          <w:b/>
          <w:bCs/>
          <w:sz w:val="24"/>
        </w:rPr>
        <w:t xml:space="preserve"> </w:t>
      </w:r>
      <w:r w:rsidRPr="00405C65">
        <w:rPr>
          <w:rFonts w:ascii="Times New Roman" w:hAnsi="Times New Roman"/>
          <w:b/>
          <w:bCs/>
          <w:sz w:val="24"/>
        </w:rPr>
        <w:t xml:space="preserve">Travel: </w:t>
      </w:r>
      <w:r w:rsidRPr="00405C65">
        <w:rPr>
          <w:rFonts w:ascii="Times New Roman" w:hAnsi="Times New Roman"/>
          <w:sz w:val="24"/>
        </w:rPr>
        <w:t>Specify the type and purpose of the travel, the number of travelers, approximate mileage, per diem rates, estimated number of trips, and other associated travel costs.</w:t>
      </w:r>
    </w:p>
    <w:p w:rsidRPr="00405C65" w:rsidR="00CC2919" w:rsidP="00CC2919" w:rsidRDefault="00CC2919" w14:paraId="11DC54D6" w14:textId="77777777">
      <w:pPr>
        <w:rPr>
          <w:rFonts w:ascii="Times New Roman" w:hAnsi="Times New Roman"/>
          <w:sz w:val="24"/>
        </w:rPr>
      </w:pPr>
      <w:r w:rsidRPr="00405C65">
        <w:rPr>
          <w:rFonts w:ascii="Times New Roman" w:hAnsi="Times New Roman"/>
          <w:b/>
          <w:bCs/>
          <w:sz w:val="24"/>
        </w:rPr>
        <w:t>4.</w:t>
      </w:r>
      <w:r>
        <w:rPr>
          <w:rFonts w:ascii="Times New Roman" w:hAnsi="Times New Roman"/>
          <w:b/>
          <w:bCs/>
          <w:sz w:val="24"/>
        </w:rPr>
        <w:t xml:space="preserve"> </w:t>
      </w:r>
      <w:r w:rsidRPr="00405C65">
        <w:rPr>
          <w:rFonts w:ascii="Times New Roman" w:hAnsi="Times New Roman"/>
          <w:b/>
          <w:bCs/>
          <w:sz w:val="24"/>
        </w:rPr>
        <w:t xml:space="preserve">Equipment: </w:t>
      </w:r>
      <w:r w:rsidRPr="00405C65">
        <w:rPr>
          <w:rFonts w:ascii="Times New Roman" w:hAnsi="Times New Roman"/>
          <w:sz w:val="24"/>
        </w:rPr>
        <w:t xml:space="preserve">Identify each item of equipment to be purchased that has an estimated acquisition cost of $5,000 or more per unit and a useful lifetime of more than one year. </w:t>
      </w:r>
      <w:r w:rsidR="00823EEA">
        <w:rPr>
          <w:rFonts w:ascii="Times New Roman" w:hAnsi="Times New Roman"/>
          <w:sz w:val="24"/>
        </w:rPr>
        <w:t xml:space="preserve"> </w:t>
      </w:r>
      <w:r w:rsidRPr="00405C65">
        <w:rPr>
          <w:rFonts w:ascii="Times New Roman" w:hAnsi="Times New Roman"/>
          <w:sz w:val="24"/>
        </w:rPr>
        <w:t xml:space="preserve">List the quantity and unit cost per item.  Items with a unit cost of less than $5,000 are </w:t>
      </w:r>
      <w:r w:rsidRPr="00405C65">
        <w:rPr>
          <w:rFonts w:ascii="Times New Roman" w:hAnsi="Times New Roman"/>
          <w:sz w:val="24"/>
        </w:rPr>
        <w:lastRenderedPageBreak/>
        <w:t>supplies.</w:t>
      </w:r>
    </w:p>
    <w:p w:rsidRPr="00405C65" w:rsidR="00CC2919" w:rsidP="00CC2919" w:rsidRDefault="00CC2919" w14:paraId="4CAF531C" w14:textId="77777777">
      <w:pPr>
        <w:rPr>
          <w:rFonts w:ascii="Times New Roman" w:hAnsi="Times New Roman"/>
          <w:sz w:val="24"/>
        </w:rPr>
      </w:pPr>
      <w:r w:rsidRPr="00405C65">
        <w:rPr>
          <w:rFonts w:ascii="Times New Roman" w:hAnsi="Times New Roman"/>
          <w:b/>
          <w:bCs/>
          <w:sz w:val="24"/>
        </w:rPr>
        <w:t>5.</w:t>
      </w:r>
      <w:r>
        <w:rPr>
          <w:rFonts w:ascii="Times New Roman" w:hAnsi="Times New Roman"/>
          <w:b/>
          <w:bCs/>
          <w:sz w:val="24"/>
        </w:rPr>
        <w:t xml:space="preserve"> </w:t>
      </w:r>
      <w:r w:rsidRPr="00405C65">
        <w:rPr>
          <w:rFonts w:ascii="Times New Roman" w:hAnsi="Times New Roman"/>
          <w:b/>
          <w:bCs/>
          <w:sz w:val="24"/>
        </w:rPr>
        <w:t xml:space="preserve">Supplies: </w:t>
      </w:r>
      <w:r w:rsidRPr="00405C65">
        <w:rPr>
          <w:rFonts w:ascii="Times New Roman" w:hAnsi="Times New Roman"/>
          <w:sz w:val="24"/>
        </w:rPr>
        <w:t xml:space="preserve">Supplies include all tangible personal property other than “equipment.” </w:t>
      </w:r>
      <w:r w:rsidR="00823EEA">
        <w:rPr>
          <w:rFonts w:ascii="Times New Roman" w:hAnsi="Times New Roman"/>
          <w:sz w:val="24"/>
        </w:rPr>
        <w:t xml:space="preserve"> </w:t>
      </w:r>
      <w:r w:rsidRPr="00405C65">
        <w:rPr>
          <w:rFonts w:ascii="Times New Roman" w:hAnsi="Times New Roman"/>
          <w:sz w:val="24"/>
        </w:rPr>
        <w:t>Identify supply categories (e.g.</w:t>
      </w:r>
      <w:r w:rsidR="00B16B2D">
        <w:rPr>
          <w:rFonts w:ascii="Times New Roman" w:hAnsi="Times New Roman"/>
          <w:sz w:val="24"/>
        </w:rPr>
        <w:t>,</w:t>
      </w:r>
      <w:r w:rsidRPr="00405C65">
        <w:rPr>
          <w:rFonts w:ascii="Times New Roman" w:hAnsi="Times New Roman"/>
          <w:sz w:val="24"/>
        </w:rPr>
        <w:t xml:space="preserve"> office supplies, cell phones, etc.). </w:t>
      </w:r>
      <w:r w:rsidR="00823EEA">
        <w:rPr>
          <w:rFonts w:ascii="Times New Roman" w:hAnsi="Times New Roman"/>
          <w:sz w:val="24"/>
        </w:rPr>
        <w:t xml:space="preserve"> </w:t>
      </w:r>
      <w:r w:rsidRPr="00405C65">
        <w:rPr>
          <w:rFonts w:ascii="Times New Roman" w:hAnsi="Times New Roman"/>
          <w:sz w:val="24"/>
        </w:rPr>
        <w:t>List the cost associated with each category.</w:t>
      </w:r>
    </w:p>
    <w:p w:rsidRPr="00405C65" w:rsidR="00CC2919" w:rsidP="00CC2919" w:rsidRDefault="00CC2919" w14:paraId="7D1429F1" w14:textId="77777777">
      <w:pPr>
        <w:rPr>
          <w:rFonts w:ascii="Times New Roman" w:hAnsi="Times New Roman"/>
          <w:b/>
          <w:bCs/>
          <w:sz w:val="24"/>
        </w:rPr>
      </w:pPr>
      <w:r w:rsidRPr="00405C65">
        <w:rPr>
          <w:rFonts w:ascii="Times New Roman" w:hAnsi="Times New Roman"/>
          <w:b/>
          <w:bCs/>
          <w:sz w:val="24"/>
        </w:rPr>
        <w:t>6.</w:t>
      </w:r>
      <w:r>
        <w:rPr>
          <w:rFonts w:ascii="Times New Roman" w:hAnsi="Times New Roman"/>
          <w:b/>
          <w:bCs/>
          <w:sz w:val="24"/>
        </w:rPr>
        <w:t xml:space="preserve"> </w:t>
      </w:r>
      <w:r w:rsidRPr="00405C65">
        <w:rPr>
          <w:rFonts w:ascii="Times New Roman" w:hAnsi="Times New Roman"/>
          <w:b/>
          <w:bCs/>
          <w:sz w:val="24"/>
        </w:rPr>
        <w:t xml:space="preserve">Contractual: </w:t>
      </w:r>
      <w:r w:rsidRPr="00405C65">
        <w:rPr>
          <w:rFonts w:ascii="Times New Roman" w:hAnsi="Times New Roman"/>
          <w:sz w:val="24"/>
        </w:rPr>
        <w:t>Identify each contracted entity, the funding allocation made to the organization, and the anticipated number of participants served by each.</w:t>
      </w:r>
    </w:p>
    <w:p w:rsidRPr="00405C65" w:rsidR="00CC2919" w:rsidP="00CC2919" w:rsidRDefault="00CC2919" w14:paraId="0999FB6A" w14:textId="77777777">
      <w:pPr>
        <w:rPr>
          <w:rFonts w:ascii="Times New Roman" w:hAnsi="Times New Roman"/>
          <w:sz w:val="24"/>
        </w:rPr>
      </w:pPr>
      <w:r w:rsidRPr="00405C65">
        <w:rPr>
          <w:rFonts w:ascii="Times New Roman" w:hAnsi="Times New Roman"/>
          <w:b/>
          <w:bCs/>
          <w:sz w:val="24"/>
        </w:rPr>
        <w:t>7.</w:t>
      </w:r>
      <w:r>
        <w:rPr>
          <w:rFonts w:ascii="Times New Roman" w:hAnsi="Times New Roman"/>
          <w:b/>
          <w:bCs/>
          <w:sz w:val="24"/>
        </w:rPr>
        <w:t xml:space="preserve"> </w:t>
      </w:r>
      <w:r w:rsidRPr="00405C65">
        <w:rPr>
          <w:rFonts w:ascii="Times New Roman" w:hAnsi="Times New Roman"/>
          <w:b/>
          <w:bCs/>
          <w:sz w:val="24"/>
        </w:rPr>
        <w:t xml:space="preserve">Construction: </w:t>
      </w:r>
      <w:r w:rsidRPr="00405C65">
        <w:rPr>
          <w:rFonts w:ascii="Times New Roman" w:hAnsi="Times New Roman"/>
          <w:sz w:val="24"/>
        </w:rPr>
        <w:t xml:space="preserve">Construction costs are not allowed and this line must be left as zero. </w:t>
      </w:r>
    </w:p>
    <w:p w:rsidRPr="00405C65" w:rsidR="00CC2919" w:rsidP="00CC2919" w:rsidRDefault="00CC2919" w14:paraId="734EC488" w14:textId="77777777">
      <w:pPr>
        <w:rPr>
          <w:rFonts w:ascii="Times New Roman" w:hAnsi="Times New Roman"/>
          <w:sz w:val="24"/>
        </w:rPr>
      </w:pPr>
      <w:r w:rsidRPr="00405C65">
        <w:rPr>
          <w:rFonts w:ascii="Times New Roman" w:hAnsi="Times New Roman"/>
          <w:b/>
          <w:bCs/>
          <w:sz w:val="24"/>
        </w:rPr>
        <w:t>8.</w:t>
      </w:r>
      <w:r>
        <w:rPr>
          <w:rFonts w:ascii="Times New Roman" w:hAnsi="Times New Roman"/>
          <w:b/>
          <w:bCs/>
          <w:sz w:val="24"/>
        </w:rPr>
        <w:t xml:space="preserve"> </w:t>
      </w:r>
      <w:r w:rsidRPr="00405C65">
        <w:rPr>
          <w:rFonts w:ascii="Times New Roman" w:hAnsi="Times New Roman"/>
          <w:b/>
          <w:bCs/>
          <w:sz w:val="24"/>
        </w:rPr>
        <w:t xml:space="preserve">Other: </w:t>
      </w:r>
      <w:r w:rsidRPr="00405C65">
        <w:rPr>
          <w:rFonts w:ascii="Times New Roman" w:hAnsi="Times New Roman"/>
          <w:sz w:val="24"/>
        </w:rPr>
        <w:t xml:space="preserve">List each item in sufficient detail for reviewers to determine whether the costs are reasonable or allowable. </w:t>
      </w:r>
      <w:r w:rsidR="00823EEA">
        <w:rPr>
          <w:rFonts w:ascii="Times New Roman" w:hAnsi="Times New Roman"/>
          <w:sz w:val="24"/>
        </w:rPr>
        <w:t xml:space="preserve"> </w:t>
      </w:r>
      <w:r w:rsidRPr="00405C65">
        <w:rPr>
          <w:rFonts w:ascii="Times New Roman" w:hAnsi="Times New Roman"/>
          <w:sz w:val="24"/>
        </w:rPr>
        <w:t>Costs included under “Other” should not fit into any other line item category.</w:t>
      </w:r>
    </w:p>
    <w:p w:rsidRPr="00405C65" w:rsidR="00CC2919" w:rsidP="00CC2919" w:rsidRDefault="00CC2919" w14:paraId="2FD689FF" w14:textId="77777777">
      <w:pPr>
        <w:rPr>
          <w:rFonts w:ascii="Times New Roman" w:hAnsi="Times New Roman"/>
          <w:sz w:val="24"/>
        </w:rPr>
      </w:pPr>
      <w:r w:rsidRPr="00405C65">
        <w:rPr>
          <w:rFonts w:ascii="Times New Roman" w:hAnsi="Times New Roman"/>
          <w:b/>
          <w:bCs/>
          <w:sz w:val="24"/>
        </w:rPr>
        <w:t>9.</w:t>
      </w:r>
      <w:r>
        <w:rPr>
          <w:rFonts w:ascii="Times New Roman" w:hAnsi="Times New Roman"/>
          <w:b/>
          <w:bCs/>
          <w:sz w:val="24"/>
        </w:rPr>
        <w:t xml:space="preserve"> </w:t>
      </w:r>
      <w:r w:rsidRPr="00405C65">
        <w:rPr>
          <w:rFonts w:ascii="Times New Roman" w:hAnsi="Times New Roman"/>
          <w:b/>
          <w:bCs/>
          <w:sz w:val="24"/>
        </w:rPr>
        <w:t xml:space="preserve">Indirect Charges: </w:t>
      </w:r>
      <w:r w:rsidRPr="00405C65">
        <w:rPr>
          <w:rFonts w:ascii="Times New Roman" w:hAnsi="Times New Roman"/>
          <w:sz w:val="24"/>
        </w:rPr>
        <w:t>If charging indirect costs to the grant, this line item must be populated. Include the current approved Negotiated Indirect Cost Rate Agreement, signed by the Federal cognizant agency, as an attachment to the grant application.</w:t>
      </w:r>
    </w:p>
    <w:p w:rsidRPr="00405C65" w:rsidR="00CC2919" w:rsidP="00CC2919" w:rsidRDefault="00CC2919" w14:paraId="5478C763" w14:textId="77777777">
      <w:pPr>
        <w:rPr>
          <w:rFonts w:ascii="Times New Roman" w:hAnsi="Times New Roman"/>
          <w:sz w:val="24"/>
        </w:rPr>
      </w:pPr>
    </w:p>
    <w:p w:rsidRPr="00CC2919" w:rsidR="00CC2919" w:rsidP="00CC2919" w:rsidRDefault="00CC2919" w14:paraId="3886134E" w14:textId="77777777">
      <w:pPr>
        <w:pStyle w:val="Default"/>
        <w:tabs>
          <w:tab w:val="left" w:pos="360"/>
          <w:tab w:val="left" w:pos="720"/>
        </w:tabs>
      </w:pPr>
    </w:p>
    <w:sectPr w:rsidRPr="00CC2919" w:rsidR="00CC29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758DF" w14:textId="77777777" w:rsidR="007F6060" w:rsidRDefault="007F6060">
      <w:r>
        <w:separator/>
      </w:r>
    </w:p>
  </w:endnote>
  <w:endnote w:type="continuationSeparator" w:id="0">
    <w:p w14:paraId="4832D7DE" w14:textId="77777777" w:rsidR="007F6060" w:rsidRDefault="007F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6455" w14:textId="77777777" w:rsidR="002539AC" w:rsidRDefault="002539AC" w:rsidP="00A77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091BDF" w14:textId="77777777" w:rsidR="002539AC" w:rsidRDefault="00253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E77C" w14:textId="6C341BE2" w:rsidR="002539AC" w:rsidRPr="00FB064F" w:rsidRDefault="002539AC" w:rsidP="00A772DB">
    <w:pPr>
      <w:pStyle w:val="Footer"/>
      <w:framePr w:wrap="around" w:vAnchor="text" w:hAnchor="margin" w:xAlign="center" w:y="1"/>
      <w:rPr>
        <w:rStyle w:val="PageNumber"/>
        <w:rFonts w:ascii="Times New Roman" w:hAnsi="Times New Roman"/>
        <w:sz w:val="24"/>
      </w:rPr>
    </w:pPr>
    <w:r w:rsidRPr="00FB064F">
      <w:rPr>
        <w:rStyle w:val="PageNumber"/>
        <w:rFonts w:ascii="Times New Roman" w:hAnsi="Times New Roman"/>
        <w:sz w:val="24"/>
      </w:rPr>
      <w:fldChar w:fldCharType="begin"/>
    </w:r>
    <w:r w:rsidRPr="00FB064F">
      <w:rPr>
        <w:rStyle w:val="PageNumber"/>
        <w:rFonts w:ascii="Times New Roman" w:hAnsi="Times New Roman"/>
        <w:sz w:val="24"/>
      </w:rPr>
      <w:instrText xml:space="preserve">PAGE  </w:instrText>
    </w:r>
    <w:r w:rsidRPr="00FB064F">
      <w:rPr>
        <w:rStyle w:val="PageNumber"/>
        <w:rFonts w:ascii="Times New Roman" w:hAnsi="Times New Roman"/>
        <w:sz w:val="24"/>
      </w:rPr>
      <w:fldChar w:fldCharType="separate"/>
    </w:r>
    <w:r w:rsidR="00C06DA2">
      <w:rPr>
        <w:rStyle w:val="PageNumber"/>
        <w:rFonts w:ascii="Times New Roman" w:hAnsi="Times New Roman"/>
        <w:noProof/>
        <w:sz w:val="24"/>
      </w:rPr>
      <w:t>2</w:t>
    </w:r>
    <w:r w:rsidRPr="00FB064F">
      <w:rPr>
        <w:rStyle w:val="PageNumber"/>
        <w:rFonts w:ascii="Times New Roman" w:hAnsi="Times New Roman"/>
        <w:sz w:val="24"/>
      </w:rPr>
      <w:fldChar w:fldCharType="end"/>
    </w:r>
  </w:p>
  <w:p w14:paraId="64358019" w14:textId="77777777" w:rsidR="002539AC" w:rsidRDefault="00253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44" w:type="dxa"/>
      <w:tblLayout w:type="fixed"/>
      <w:tblCellMar>
        <w:left w:w="144" w:type="dxa"/>
        <w:right w:w="144" w:type="dxa"/>
      </w:tblCellMar>
      <w:tblLook w:val="0000" w:firstRow="0" w:lastRow="0" w:firstColumn="0" w:lastColumn="0" w:noHBand="0" w:noVBand="0"/>
    </w:tblPr>
    <w:tblGrid>
      <w:gridCol w:w="5428"/>
      <w:gridCol w:w="3932"/>
    </w:tblGrid>
    <w:tr w:rsidR="002539AC" w14:paraId="05D2E3FD" w14:textId="77777777" w:rsidTr="00A772DB">
      <w:tc>
        <w:tcPr>
          <w:tcW w:w="5428" w:type="dxa"/>
          <w:tcBorders>
            <w:top w:val="double" w:sz="7" w:space="0" w:color="000000"/>
            <w:left w:val="single" w:sz="7" w:space="0" w:color="000000"/>
            <w:bottom w:val="single" w:sz="7" w:space="0" w:color="000000"/>
            <w:right w:val="single" w:sz="6" w:space="0" w:color="FFFFFF"/>
          </w:tcBorders>
        </w:tcPr>
        <w:p w14:paraId="16B8AB58" w14:textId="77777777" w:rsidR="002539AC" w:rsidRDefault="002539AC" w:rsidP="00A772DB">
          <w:pPr>
            <w:spacing w:line="116" w:lineRule="exact"/>
            <w:rPr>
              <w:rFonts w:cs="Courier New"/>
              <w:szCs w:val="20"/>
            </w:rPr>
          </w:pPr>
        </w:p>
        <w:p w14:paraId="45921C85" w14:textId="77777777" w:rsidR="002539AC" w:rsidRDefault="002539AC" w:rsidP="00A772DB">
          <w:pPr>
            <w:rPr>
              <w:b/>
              <w:bCs/>
              <w:szCs w:val="20"/>
            </w:rPr>
          </w:pPr>
          <w:r>
            <w:rPr>
              <w:b/>
              <w:bCs/>
              <w:szCs w:val="20"/>
            </w:rPr>
            <w:t>RESCISSIONS</w:t>
          </w:r>
        </w:p>
        <w:p w14:paraId="115CF415" w14:textId="77777777" w:rsidR="002539AC" w:rsidRPr="007A5B56" w:rsidRDefault="009B7840" w:rsidP="00A772DB">
          <w:pPr>
            <w:spacing w:after="38"/>
            <w:rPr>
              <w:rFonts w:ascii="Times New Roman" w:hAnsi="Times New Roman"/>
              <w:bCs/>
              <w:sz w:val="22"/>
              <w:szCs w:val="22"/>
            </w:rPr>
          </w:pPr>
          <w:r>
            <w:rPr>
              <w:rFonts w:ascii="Times New Roman" w:hAnsi="Times New Roman"/>
              <w:bCs/>
              <w:sz w:val="22"/>
              <w:szCs w:val="22"/>
            </w:rPr>
            <w:t>TEGL 15-18</w:t>
          </w:r>
        </w:p>
      </w:tc>
      <w:tc>
        <w:tcPr>
          <w:tcW w:w="3932" w:type="dxa"/>
          <w:tcBorders>
            <w:top w:val="double" w:sz="7" w:space="0" w:color="000000"/>
            <w:left w:val="single" w:sz="7" w:space="0" w:color="000000"/>
            <w:bottom w:val="single" w:sz="7" w:space="0" w:color="000000"/>
            <w:right w:val="single" w:sz="7" w:space="0" w:color="000000"/>
          </w:tcBorders>
        </w:tcPr>
        <w:p w14:paraId="360C9455" w14:textId="77777777" w:rsidR="002539AC" w:rsidRDefault="002539AC" w:rsidP="00A772DB">
          <w:pPr>
            <w:spacing w:line="116" w:lineRule="exact"/>
            <w:rPr>
              <w:b/>
              <w:bCs/>
              <w:szCs w:val="20"/>
            </w:rPr>
          </w:pPr>
        </w:p>
        <w:p w14:paraId="1BA35E64" w14:textId="77777777" w:rsidR="002539AC" w:rsidRDefault="002539AC" w:rsidP="00A772DB">
          <w:pPr>
            <w:rPr>
              <w:b/>
              <w:bCs/>
              <w:szCs w:val="20"/>
            </w:rPr>
          </w:pPr>
          <w:r>
            <w:rPr>
              <w:b/>
              <w:bCs/>
              <w:szCs w:val="20"/>
            </w:rPr>
            <w:t>EXPIRATION DATE</w:t>
          </w:r>
        </w:p>
        <w:p w14:paraId="6568F02D" w14:textId="77777777" w:rsidR="002539AC" w:rsidRPr="007A5B56" w:rsidRDefault="002539AC" w:rsidP="00A772DB">
          <w:pPr>
            <w:spacing w:after="38"/>
            <w:rPr>
              <w:rFonts w:ascii="Times New Roman" w:hAnsi="Times New Roman"/>
              <w:bCs/>
              <w:sz w:val="22"/>
              <w:szCs w:val="22"/>
            </w:rPr>
          </w:pPr>
        </w:p>
      </w:tc>
    </w:tr>
  </w:tbl>
  <w:p w14:paraId="06811B22" w14:textId="77777777" w:rsidR="002539AC" w:rsidRPr="009D6DAF" w:rsidRDefault="002539AC" w:rsidP="009D6D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8DFC4" w14:textId="77777777" w:rsidR="00CC2919" w:rsidRPr="00CC2919" w:rsidRDefault="00CC2919" w:rsidP="00CC2919">
    <w:pPr>
      <w:pStyle w:val="Footer"/>
      <w:jc w:val="center"/>
      <w:rPr>
        <w:rFonts w:ascii="Times New Roman" w:hAnsi="Times New Roman"/>
        <w:sz w:val="24"/>
      </w:rPr>
    </w:pPr>
    <w:r w:rsidRPr="00CC2919">
      <w:rPr>
        <w:rFonts w:ascii="Times New Roman" w:hAnsi="Times New Roman"/>
        <w:sz w:val="24"/>
      </w:rPr>
      <w:t>I-1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7FBB" w14:textId="77777777" w:rsidR="00CC2919" w:rsidRPr="00CC2919" w:rsidRDefault="00CC2919" w:rsidP="00CC2919">
    <w:pPr>
      <w:pStyle w:val="Footer"/>
      <w:jc w:val="center"/>
      <w:rPr>
        <w:rFonts w:ascii="Times New Roman" w:hAnsi="Times New Roman"/>
        <w:sz w:val="24"/>
      </w:rPr>
    </w:pPr>
    <w:r>
      <w:rPr>
        <w:rFonts w:ascii="Times New Roman" w:hAnsi="Times New Roman"/>
        <w:sz w:val="24"/>
      </w:rPr>
      <w:t>I</w:t>
    </w:r>
    <w:r w:rsidRPr="00CC2919">
      <w:rPr>
        <w:rFonts w:ascii="Times New Roman" w:hAnsi="Times New Roman"/>
        <w:sz w:val="24"/>
      </w:rPr>
      <w:t>I-1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3D0DD" w14:textId="77777777" w:rsidR="007F6060" w:rsidRDefault="007F6060">
      <w:r>
        <w:separator/>
      </w:r>
    </w:p>
  </w:footnote>
  <w:footnote w:type="continuationSeparator" w:id="0">
    <w:p w14:paraId="35D20C8A" w14:textId="77777777" w:rsidR="007F6060" w:rsidRDefault="007F6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23F"/>
    <w:multiLevelType w:val="hybridMultilevel"/>
    <w:tmpl w:val="03A298F4"/>
    <w:lvl w:ilvl="0" w:tplc="7032BE4C">
      <w:start w:val="1"/>
      <w:numFmt w:val="lowerLetter"/>
      <w:suff w:val="space"/>
      <w:lvlText w:val="%1."/>
      <w:lvlJc w:val="left"/>
      <w:pPr>
        <w:ind w:left="936" w:hanging="288"/>
      </w:pPr>
      <w:rPr>
        <w:rFonts w:hint="default"/>
        <w:b w:val="0"/>
      </w:rPr>
    </w:lvl>
    <w:lvl w:ilvl="1" w:tplc="888023E4">
      <w:start w:val="1"/>
      <w:numFmt w:val="lowerLetter"/>
      <w:lvlText w:val="%2."/>
      <w:lvlJc w:val="left"/>
      <w:pPr>
        <w:ind w:left="2016" w:hanging="360"/>
      </w:pPr>
      <w:rPr>
        <w:rFonts w:ascii="Times New Roman" w:eastAsia="Times New Roman" w:hAnsi="Times New Roman" w:cs="Times New Roman"/>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154B0F31"/>
    <w:multiLevelType w:val="hybridMultilevel"/>
    <w:tmpl w:val="0C486C16"/>
    <w:lvl w:ilvl="0" w:tplc="0EFC56BC">
      <w:start w:val="4"/>
      <w:numFmt w:val="lowerRoman"/>
      <w:lvlText w:val="%1."/>
      <w:lvlJc w:val="left"/>
      <w:pPr>
        <w:ind w:left="1414" w:hanging="585"/>
        <w:jc w:val="right"/>
      </w:pPr>
      <w:rPr>
        <w:rFonts w:ascii="Times New Roman" w:eastAsia="Times New Roman" w:hAnsi="Times New Roman" w:cs="Times New Roman" w:hint="default"/>
        <w:spacing w:val="-1"/>
        <w:w w:val="104"/>
        <w:sz w:val="22"/>
        <w:szCs w:val="22"/>
      </w:rPr>
    </w:lvl>
    <w:lvl w:ilvl="1" w:tplc="D4CE80B2">
      <w:numFmt w:val="bullet"/>
      <w:lvlText w:val="•"/>
      <w:lvlJc w:val="left"/>
      <w:pPr>
        <w:ind w:left="2220" w:hanging="585"/>
      </w:pPr>
      <w:rPr>
        <w:rFonts w:hint="default"/>
      </w:rPr>
    </w:lvl>
    <w:lvl w:ilvl="2" w:tplc="96B646F8">
      <w:numFmt w:val="bullet"/>
      <w:lvlText w:val="•"/>
      <w:lvlJc w:val="left"/>
      <w:pPr>
        <w:ind w:left="3020" w:hanging="585"/>
      </w:pPr>
      <w:rPr>
        <w:rFonts w:hint="default"/>
      </w:rPr>
    </w:lvl>
    <w:lvl w:ilvl="3" w:tplc="10D28CAA">
      <w:numFmt w:val="bullet"/>
      <w:lvlText w:val="•"/>
      <w:lvlJc w:val="left"/>
      <w:pPr>
        <w:ind w:left="3820" w:hanging="585"/>
      </w:pPr>
      <w:rPr>
        <w:rFonts w:hint="default"/>
      </w:rPr>
    </w:lvl>
    <w:lvl w:ilvl="4" w:tplc="CF42CFBC">
      <w:numFmt w:val="bullet"/>
      <w:lvlText w:val="•"/>
      <w:lvlJc w:val="left"/>
      <w:pPr>
        <w:ind w:left="4620" w:hanging="585"/>
      </w:pPr>
      <w:rPr>
        <w:rFonts w:hint="default"/>
      </w:rPr>
    </w:lvl>
    <w:lvl w:ilvl="5" w:tplc="EC9E2DD0">
      <w:numFmt w:val="bullet"/>
      <w:lvlText w:val="•"/>
      <w:lvlJc w:val="left"/>
      <w:pPr>
        <w:ind w:left="5420" w:hanging="585"/>
      </w:pPr>
      <w:rPr>
        <w:rFonts w:hint="default"/>
      </w:rPr>
    </w:lvl>
    <w:lvl w:ilvl="6" w:tplc="F6187D06">
      <w:numFmt w:val="bullet"/>
      <w:lvlText w:val="•"/>
      <w:lvlJc w:val="left"/>
      <w:pPr>
        <w:ind w:left="6220" w:hanging="585"/>
      </w:pPr>
      <w:rPr>
        <w:rFonts w:hint="default"/>
      </w:rPr>
    </w:lvl>
    <w:lvl w:ilvl="7" w:tplc="DE70FE26">
      <w:numFmt w:val="bullet"/>
      <w:lvlText w:val="•"/>
      <w:lvlJc w:val="left"/>
      <w:pPr>
        <w:ind w:left="7020" w:hanging="585"/>
      </w:pPr>
      <w:rPr>
        <w:rFonts w:hint="default"/>
      </w:rPr>
    </w:lvl>
    <w:lvl w:ilvl="8" w:tplc="7E0048FC">
      <w:numFmt w:val="bullet"/>
      <w:lvlText w:val="•"/>
      <w:lvlJc w:val="left"/>
      <w:pPr>
        <w:ind w:left="7820" w:hanging="585"/>
      </w:pPr>
      <w:rPr>
        <w:rFonts w:hint="default"/>
      </w:rPr>
    </w:lvl>
  </w:abstractNum>
  <w:abstractNum w:abstractNumId="2" w15:restartNumberingAfterBreak="0">
    <w:nsid w:val="1BFE0AA8"/>
    <w:multiLevelType w:val="hybridMultilevel"/>
    <w:tmpl w:val="E79E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0739F"/>
    <w:multiLevelType w:val="hybridMultilevel"/>
    <w:tmpl w:val="F544F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A173F2"/>
    <w:multiLevelType w:val="hybridMultilevel"/>
    <w:tmpl w:val="B0622BE6"/>
    <w:lvl w:ilvl="0" w:tplc="9E361360">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86559E"/>
    <w:multiLevelType w:val="hybridMultilevel"/>
    <w:tmpl w:val="DF5C84C6"/>
    <w:lvl w:ilvl="0" w:tplc="382E9818">
      <w:start w:val="1"/>
      <w:numFmt w:val="bullet"/>
      <w:lvlText w:val=""/>
      <w:lvlJc w:val="left"/>
      <w:pPr>
        <w:ind w:left="1170" w:hanging="360"/>
      </w:pPr>
      <w:rPr>
        <w:rFonts w:ascii="Symbol" w:hAnsi="Symbol" w:hint="default"/>
        <w:sz w:val="20"/>
        <w:szCs w:val="20"/>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2BE6434C"/>
    <w:multiLevelType w:val="hybridMultilevel"/>
    <w:tmpl w:val="0A48BAB6"/>
    <w:lvl w:ilvl="0" w:tplc="A29E27E4">
      <w:start w:val="1"/>
      <w:numFmt w:val="decimal"/>
      <w:lvlText w:val="%1."/>
      <w:lvlJc w:val="left"/>
      <w:pPr>
        <w:ind w:left="72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732F88"/>
    <w:multiLevelType w:val="hybridMultilevel"/>
    <w:tmpl w:val="87985A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D6482"/>
    <w:multiLevelType w:val="hybridMultilevel"/>
    <w:tmpl w:val="539CEE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B49A6"/>
    <w:multiLevelType w:val="hybridMultilevel"/>
    <w:tmpl w:val="640EEDCC"/>
    <w:lvl w:ilvl="0" w:tplc="0409000F">
      <w:start w:val="1"/>
      <w:numFmt w:val="decimal"/>
      <w:lvlText w:val="%1."/>
      <w:lvlJc w:val="left"/>
      <w:pPr>
        <w:ind w:left="720" w:hanging="360"/>
      </w:pPr>
    </w:lvl>
    <w:lvl w:ilvl="1" w:tplc="278EB68A">
      <w:start w:val="1"/>
      <w:numFmt w:val="lowerRoman"/>
      <w:suff w:val="space"/>
      <w:lvlText w:val="%2."/>
      <w:lvlJc w:val="right"/>
      <w:pPr>
        <w:ind w:left="1440" w:hanging="360"/>
      </w:pPr>
      <w:rPr>
        <w:rFonts w:hint="default"/>
      </w:rPr>
    </w:lvl>
    <w:lvl w:ilvl="2" w:tplc="EE12E74A">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51FFF"/>
    <w:multiLevelType w:val="hybridMultilevel"/>
    <w:tmpl w:val="4476D798"/>
    <w:lvl w:ilvl="0" w:tplc="A29E27E4">
      <w:start w:val="1"/>
      <w:numFmt w:val="decimal"/>
      <w:lvlText w:val="%1."/>
      <w:lvlJc w:val="left"/>
      <w:pPr>
        <w:ind w:left="54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53544BD"/>
    <w:multiLevelType w:val="hybridMultilevel"/>
    <w:tmpl w:val="96D29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41F9C"/>
    <w:multiLevelType w:val="hybridMultilevel"/>
    <w:tmpl w:val="C7547692"/>
    <w:lvl w:ilvl="0" w:tplc="A29E27E4">
      <w:start w:val="1"/>
      <w:numFmt w:val="decimal"/>
      <w:lvlText w:val="%1."/>
      <w:lvlJc w:val="left"/>
      <w:pPr>
        <w:ind w:left="360" w:hanging="360"/>
      </w:pPr>
      <w:rPr>
        <w:b/>
      </w:rPr>
    </w:lvl>
    <w:lvl w:ilvl="1" w:tplc="888023E4">
      <w:start w:val="1"/>
      <w:numFmt w:val="lowerLetter"/>
      <w:lvlText w:val="%2."/>
      <w:lvlJc w:val="lef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1955F8"/>
    <w:multiLevelType w:val="hybridMultilevel"/>
    <w:tmpl w:val="AA1CA33E"/>
    <w:lvl w:ilvl="0" w:tplc="119AB2AC">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5B26A2"/>
    <w:multiLevelType w:val="hybridMultilevel"/>
    <w:tmpl w:val="4B0EA754"/>
    <w:lvl w:ilvl="0" w:tplc="73144864">
      <w:start w:val="1"/>
      <w:numFmt w:val="bullet"/>
      <w:lvlText w:val=""/>
      <w:lvlJc w:val="left"/>
      <w:pPr>
        <w:ind w:left="1440" w:hanging="360"/>
      </w:pPr>
      <w:rPr>
        <w:rFonts w:ascii="Symbol" w:hAnsi="Symbol" w:hint="default"/>
      </w:rPr>
    </w:lvl>
    <w:lvl w:ilvl="1" w:tplc="CB3C3468">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A14678"/>
    <w:multiLevelType w:val="hybridMultilevel"/>
    <w:tmpl w:val="0DBC28FC"/>
    <w:lvl w:ilvl="0" w:tplc="E9FC251C">
      <w:start w:val="1"/>
      <w:numFmt w:val="bullet"/>
      <w:lvlText w:val=""/>
      <w:lvlJc w:val="left"/>
      <w:pPr>
        <w:ind w:left="1440" w:hanging="360"/>
      </w:pPr>
      <w:rPr>
        <w:rFonts w:ascii="Symbol" w:hAnsi="Symbol" w:hint="default"/>
        <w:sz w:val="20"/>
        <w:szCs w:val="20"/>
      </w:rPr>
    </w:lvl>
    <w:lvl w:ilvl="1" w:tplc="1FEA94E0">
      <w:start w:val="1"/>
      <w:numFmt w:val="bullet"/>
      <w:lvlText w:val="o"/>
      <w:lvlJc w:val="left"/>
      <w:pPr>
        <w:ind w:left="2160" w:hanging="360"/>
      </w:pPr>
      <w:rPr>
        <w:rFonts w:ascii="Courier New" w:hAnsi="Courier New" w:cs="Courier New" w:hint="default"/>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E22846"/>
    <w:multiLevelType w:val="hybridMultilevel"/>
    <w:tmpl w:val="7910FD2E"/>
    <w:lvl w:ilvl="0" w:tplc="68922C1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E50F52"/>
    <w:multiLevelType w:val="hybridMultilevel"/>
    <w:tmpl w:val="8984FCBA"/>
    <w:lvl w:ilvl="0" w:tplc="0409001B">
      <w:start w:val="1"/>
      <w:numFmt w:val="lowerRoman"/>
      <w:lvlText w:val="%1."/>
      <w:lvlJc w:val="right"/>
      <w:pPr>
        <w:ind w:left="720" w:hanging="360"/>
      </w:pPr>
    </w:lvl>
    <w:lvl w:ilvl="1" w:tplc="FEE4F4B4">
      <w:start w:val="1"/>
      <w:numFmt w:val="lowerRoman"/>
      <w:suff w:val="space"/>
      <w:lvlText w:val="%2."/>
      <w:lvlJc w:val="right"/>
      <w:pPr>
        <w:ind w:left="1440" w:hanging="360"/>
      </w:pPr>
      <w:rPr>
        <w:rFonts w:hint="default"/>
      </w:rPr>
    </w:lvl>
    <w:lvl w:ilvl="2" w:tplc="69C2C492">
      <w:start w:val="1"/>
      <w:numFmt w:val="lowerRoman"/>
      <w:suff w:val="space"/>
      <w:lvlText w:val="%3."/>
      <w:lvlJc w:val="right"/>
      <w:pPr>
        <w:ind w:left="1818" w:hanging="288"/>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E22093"/>
    <w:multiLevelType w:val="hybridMultilevel"/>
    <w:tmpl w:val="BE1CB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062C4"/>
    <w:multiLevelType w:val="hybridMultilevel"/>
    <w:tmpl w:val="AA1C67EA"/>
    <w:lvl w:ilvl="0" w:tplc="FB6CDFF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110CF"/>
    <w:multiLevelType w:val="hybridMultilevel"/>
    <w:tmpl w:val="03A298F4"/>
    <w:lvl w:ilvl="0" w:tplc="7032BE4C">
      <w:start w:val="1"/>
      <w:numFmt w:val="lowerLetter"/>
      <w:suff w:val="space"/>
      <w:lvlText w:val="%1."/>
      <w:lvlJc w:val="left"/>
      <w:pPr>
        <w:ind w:left="936" w:hanging="288"/>
      </w:pPr>
      <w:rPr>
        <w:rFonts w:hint="default"/>
        <w:b w:val="0"/>
      </w:rPr>
    </w:lvl>
    <w:lvl w:ilvl="1" w:tplc="888023E4">
      <w:start w:val="1"/>
      <w:numFmt w:val="lowerLetter"/>
      <w:lvlText w:val="%2."/>
      <w:lvlJc w:val="left"/>
      <w:pPr>
        <w:ind w:left="2016" w:hanging="360"/>
      </w:pPr>
      <w:rPr>
        <w:rFonts w:ascii="Times New Roman" w:eastAsia="Times New Roman" w:hAnsi="Times New Roman" w:cs="Times New Roman"/>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76491CC1"/>
    <w:multiLevelType w:val="hybridMultilevel"/>
    <w:tmpl w:val="7CDEDD2C"/>
    <w:lvl w:ilvl="0" w:tplc="70561796">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2"/>
  </w:num>
  <w:num w:numId="2">
    <w:abstractNumId w:val="2"/>
  </w:num>
  <w:num w:numId="3">
    <w:abstractNumId w:val="6"/>
  </w:num>
  <w:num w:numId="4">
    <w:abstractNumId w:val="10"/>
  </w:num>
  <w:num w:numId="5">
    <w:abstractNumId w:val="11"/>
  </w:num>
  <w:num w:numId="6">
    <w:abstractNumId w:val="9"/>
  </w:num>
  <w:num w:numId="7">
    <w:abstractNumId w:val="20"/>
  </w:num>
  <w:num w:numId="8">
    <w:abstractNumId w:val="0"/>
  </w:num>
  <w:num w:numId="9">
    <w:abstractNumId w:val="8"/>
  </w:num>
  <w:num w:numId="10">
    <w:abstractNumId w:val="17"/>
  </w:num>
  <w:num w:numId="11">
    <w:abstractNumId w:val="21"/>
  </w:num>
  <w:num w:numId="12">
    <w:abstractNumId w:val="3"/>
  </w:num>
  <w:num w:numId="13">
    <w:abstractNumId w:val="15"/>
  </w:num>
  <w:num w:numId="14">
    <w:abstractNumId w:val="16"/>
  </w:num>
  <w:num w:numId="15">
    <w:abstractNumId w:val="14"/>
  </w:num>
  <w:num w:numId="16">
    <w:abstractNumId w:val="1"/>
  </w:num>
  <w:num w:numId="17">
    <w:abstractNumId w:val="4"/>
  </w:num>
  <w:num w:numId="18">
    <w:abstractNumId w:val="5"/>
  </w:num>
  <w:num w:numId="19">
    <w:abstractNumId w:val="19"/>
  </w:num>
  <w:num w:numId="20">
    <w:abstractNumId w:val="13"/>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A8853278-66CC-4EFE-8AFD-F4549EC8C7DD}"/>
    <w:docVar w:name="dgnword-eventsink" w:val="2115305495232"/>
    <w:docVar w:name="dgnword-lastRevisionsView" w:val="0"/>
  </w:docVars>
  <w:rsids>
    <w:rsidRoot w:val="00166B94"/>
    <w:rsid w:val="00002989"/>
    <w:rsid w:val="000110D3"/>
    <w:rsid w:val="000114A3"/>
    <w:rsid w:val="00012046"/>
    <w:rsid w:val="00013599"/>
    <w:rsid w:val="000160BF"/>
    <w:rsid w:val="000260D2"/>
    <w:rsid w:val="000437CE"/>
    <w:rsid w:val="00044A6A"/>
    <w:rsid w:val="0004510C"/>
    <w:rsid w:val="000465A8"/>
    <w:rsid w:val="0004745F"/>
    <w:rsid w:val="00050374"/>
    <w:rsid w:val="00051D6E"/>
    <w:rsid w:val="000569D3"/>
    <w:rsid w:val="000612EB"/>
    <w:rsid w:val="000648F9"/>
    <w:rsid w:val="000725C0"/>
    <w:rsid w:val="000739A8"/>
    <w:rsid w:val="000741A2"/>
    <w:rsid w:val="00074CF6"/>
    <w:rsid w:val="0008531A"/>
    <w:rsid w:val="00090307"/>
    <w:rsid w:val="00091B13"/>
    <w:rsid w:val="00092E61"/>
    <w:rsid w:val="00095760"/>
    <w:rsid w:val="000A641F"/>
    <w:rsid w:val="000B1453"/>
    <w:rsid w:val="000B1D4E"/>
    <w:rsid w:val="000B1F01"/>
    <w:rsid w:val="000B30E9"/>
    <w:rsid w:val="000C1CFF"/>
    <w:rsid w:val="000C41DE"/>
    <w:rsid w:val="000D1B42"/>
    <w:rsid w:val="000D4903"/>
    <w:rsid w:val="000D716F"/>
    <w:rsid w:val="000E3C1A"/>
    <w:rsid w:val="001008BD"/>
    <w:rsid w:val="00101298"/>
    <w:rsid w:val="00105F79"/>
    <w:rsid w:val="0011339A"/>
    <w:rsid w:val="00126F42"/>
    <w:rsid w:val="00130183"/>
    <w:rsid w:val="001304EB"/>
    <w:rsid w:val="0013217C"/>
    <w:rsid w:val="00132CF2"/>
    <w:rsid w:val="00136491"/>
    <w:rsid w:val="00136806"/>
    <w:rsid w:val="00137DAE"/>
    <w:rsid w:val="001438DA"/>
    <w:rsid w:val="001441E8"/>
    <w:rsid w:val="00145B23"/>
    <w:rsid w:val="00150659"/>
    <w:rsid w:val="00151FAB"/>
    <w:rsid w:val="00152233"/>
    <w:rsid w:val="00152697"/>
    <w:rsid w:val="00155495"/>
    <w:rsid w:val="00157AC1"/>
    <w:rsid w:val="00157CC1"/>
    <w:rsid w:val="00161DB0"/>
    <w:rsid w:val="00162151"/>
    <w:rsid w:val="00166B94"/>
    <w:rsid w:val="00166FBE"/>
    <w:rsid w:val="00170038"/>
    <w:rsid w:val="0019101F"/>
    <w:rsid w:val="0019771B"/>
    <w:rsid w:val="001A44FC"/>
    <w:rsid w:val="001A7189"/>
    <w:rsid w:val="001B04D4"/>
    <w:rsid w:val="001B2589"/>
    <w:rsid w:val="001B26C7"/>
    <w:rsid w:val="001B2E26"/>
    <w:rsid w:val="001B5088"/>
    <w:rsid w:val="001B515C"/>
    <w:rsid w:val="001C4838"/>
    <w:rsid w:val="001C6054"/>
    <w:rsid w:val="001C7C3E"/>
    <w:rsid w:val="001D1A22"/>
    <w:rsid w:val="001D5AB1"/>
    <w:rsid w:val="001E052B"/>
    <w:rsid w:val="001E1A65"/>
    <w:rsid w:val="001E68A6"/>
    <w:rsid w:val="001E7A35"/>
    <w:rsid w:val="001F05DF"/>
    <w:rsid w:val="001F2342"/>
    <w:rsid w:val="001F5AD7"/>
    <w:rsid w:val="00200949"/>
    <w:rsid w:val="00202307"/>
    <w:rsid w:val="00206523"/>
    <w:rsid w:val="0020689B"/>
    <w:rsid w:val="002071C3"/>
    <w:rsid w:val="00214267"/>
    <w:rsid w:val="002142C7"/>
    <w:rsid w:val="00217CB5"/>
    <w:rsid w:val="00221056"/>
    <w:rsid w:val="0022195E"/>
    <w:rsid w:val="00221CEF"/>
    <w:rsid w:val="002237F6"/>
    <w:rsid w:val="002330A8"/>
    <w:rsid w:val="002366DF"/>
    <w:rsid w:val="00237994"/>
    <w:rsid w:val="00237FA9"/>
    <w:rsid w:val="002413F6"/>
    <w:rsid w:val="00241BEF"/>
    <w:rsid w:val="002424CF"/>
    <w:rsid w:val="00244383"/>
    <w:rsid w:val="0024652A"/>
    <w:rsid w:val="002513DB"/>
    <w:rsid w:val="00252961"/>
    <w:rsid w:val="00253893"/>
    <w:rsid w:val="002539AC"/>
    <w:rsid w:val="002549B2"/>
    <w:rsid w:val="00265BF0"/>
    <w:rsid w:val="002710DD"/>
    <w:rsid w:val="00275A86"/>
    <w:rsid w:val="0027786B"/>
    <w:rsid w:val="0028618E"/>
    <w:rsid w:val="00287940"/>
    <w:rsid w:val="002A211E"/>
    <w:rsid w:val="002A3825"/>
    <w:rsid w:val="002B318E"/>
    <w:rsid w:val="002C2913"/>
    <w:rsid w:val="002C3E60"/>
    <w:rsid w:val="002C5BCF"/>
    <w:rsid w:val="002C60DB"/>
    <w:rsid w:val="002D397F"/>
    <w:rsid w:val="002D6B35"/>
    <w:rsid w:val="002E0284"/>
    <w:rsid w:val="002E0C6B"/>
    <w:rsid w:val="002E2431"/>
    <w:rsid w:val="002E2B44"/>
    <w:rsid w:val="002E5ED6"/>
    <w:rsid w:val="002F046F"/>
    <w:rsid w:val="002F1AD8"/>
    <w:rsid w:val="002F3808"/>
    <w:rsid w:val="003006FB"/>
    <w:rsid w:val="00307023"/>
    <w:rsid w:val="00311FC1"/>
    <w:rsid w:val="00313741"/>
    <w:rsid w:val="00320367"/>
    <w:rsid w:val="003230E9"/>
    <w:rsid w:val="00325409"/>
    <w:rsid w:val="00326853"/>
    <w:rsid w:val="003276E6"/>
    <w:rsid w:val="0032770E"/>
    <w:rsid w:val="00333239"/>
    <w:rsid w:val="00334BF5"/>
    <w:rsid w:val="00335FD9"/>
    <w:rsid w:val="00337217"/>
    <w:rsid w:val="00337912"/>
    <w:rsid w:val="00342815"/>
    <w:rsid w:val="00346797"/>
    <w:rsid w:val="003517F0"/>
    <w:rsid w:val="003528D1"/>
    <w:rsid w:val="00352F0A"/>
    <w:rsid w:val="00357BB6"/>
    <w:rsid w:val="0036576E"/>
    <w:rsid w:val="00371B72"/>
    <w:rsid w:val="00372130"/>
    <w:rsid w:val="003722D2"/>
    <w:rsid w:val="0037310E"/>
    <w:rsid w:val="00380AE5"/>
    <w:rsid w:val="00384F74"/>
    <w:rsid w:val="003854CC"/>
    <w:rsid w:val="003904D7"/>
    <w:rsid w:val="00391BD2"/>
    <w:rsid w:val="00396219"/>
    <w:rsid w:val="00396C8C"/>
    <w:rsid w:val="00397F7F"/>
    <w:rsid w:val="003A209E"/>
    <w:rsid w:val="003B0F9A"/>
    <w:rsid w:val="003B125F"/>
    <w:rsid w:val="003D76AE"/>
    <w:rsid w:val="003F156A"/>
    <w:rsid w:val="003F1C82"/>
    <w:rsid w:val="003F7D4F"/>
    <w:rsid w:val="00401B98"/>
    <w:rsid w:val="00407AB7"/>
    <w:rsid w:val="00412B08"/>
    <w:rsid w:val="004209EC"/>
    <w:rsid w:val="00421F7D"/>
    <w:rsid w:val="00422C00"/>
    <w:rsid w:val="0042500B"/>
    <w:rsid w:val="00426B9B"/>
    <w:rsid w:val="004320D7"/>
    <w:rsid w:val="004323A3"/>
    <w:rsid w:val="00434447"/>
    <w:rsid w:val="00440BF6"/>
    <w:rsid w:val="00443BB5"/>
    <w:rsid w:val="00444C9E"/>
    <w:rsid w:val="00457B74"/>
    <w:rsid w:val="0046238C"/>
    <w:rsid w:val="00465B2F"/>
    <w:rsid w:val="0046763F"/>
    <w:rsid w:val="00467970"/>
    <w:rsid w:val="00467FCD"/>
    <w:rsid w:val="00475242"/>
    <w:rsid w:val="004821D4"/>
    <w:rsid w:val="004829FF"/>
    <w:rsid w:val="00483E92"/>
    <w:rsid w:val="0048403F"/>
    <w:rsid w:val="004860BD"/>
    <w:rsid w:val="00493439"/>
    <w:rsid w:val="00495C73"/>
    <w:rsid w:val="00496F1D"/>
    <w:rsid w:val="004A20FF"/>
    <w:rsid w:val="004A4630"/>
    <w:rsid w:val="004A54A4"/>
    <w:rsid w:val="004B113E"/>
    <w:rsid w:val="004B298C"/>
    <w:rsid w:val="004B36B4"/>
    <w:rsid w:val="004B569C"/>
    <w:rsid w:val="004B5911"/>
    <w:rsid w:val="004B796F"/>
    <w:rsid w:val="004C1AC6"/>
    <w:rsid w:val="004C3BBA"/>
    <w:rsid w:val="004C3D85"/>
    <w:rsid w:val="004C4649"/>
    <w:rsid w:val="004C493F"/>
    <w:rsid w:val="004C5113"/>
    <w:rsid w:val="004C55D3"/>
    <w:rsid w:val="004D2A8C"/>
    <w:rsid w:val="004D30FE"/>
    <w:rsid w:val="004E3DE2"/>
    <w:rsid w:val="004E4C27"/>
    <w:rsid w:val="004F1440"/>
    <w:rsid w:val="004F381F"/>
    <w:rsid w:val="004F73C8"/>
    <w:rsid w:val="00500151"/>
    <w:rsid w:val="00502DAA"/>
    <w:rsid w:val="00507286"/>
    <w:rsid w:val="00507515"/>
    <w:rsid w:val="005117AB"/>
    <w:rsid w:val="00511E4B"/>
    <w:rsid w:val="00515A18"/>
    <w:rsid w:val="005231EC"/>
    <w:rsid w:val="005251C5"/>
    <w:rsid w:val="00527A1B"/>
    <w:rsid w:val="00530F18"/>
    <w:rsid w:val="00531521"/>
    <w:rsid w:val="00533AF2"/>
    <w:rsid w:val="00536801"/>
    <w:rsid w:val="00536878"/>
    <w:rsid w:val="00536E69"/>
    <w:rsid w:val="00540F5F"/>
    <w:rsid w:val="005446A3"/>
    <w:rsid w:val="00545DB4"/>
    <w:rsid w:val="005472C9"/>
    <w:rsid w:val="005523D6"/>
    <w:rsid w:val="005604BA"/>
    <w:rsid w:val="00561BDD"/>
    <w:rsid w:val="00563687"/>
    <w:rsid w:val="00577515"/>
    <w:rsid w:val="00584F06"/>
    <w:rsid w:val="00585F7B"/>
    <w:rsid w:val="00587A12"/>
    <w:rsid w:val="005902C5"/>
    <w:rsid w:val="005908F8"/>
    <w:rsid w:val="00592447"/>
    <w:rsid w:val="00592B73"/>
    <w:rsid w:val="00594607"/>
    <w:rsid w:val="00596B1A"/>
    <w:rsid w:val="00597D54"/>
    <w:rsid w:val="005A1414"/>
    <w:rsid w:val="005A17FA"/>
    <w:rsid w:val="005A4EA8"/>
    <w:rsid w:val="005B1965"/>
    <w:rsid w:val="005C211E"/>
    <w:rsid w:val="005C245A"/>
    <w:rsid w:val="005D10BC"/>
    <w:rsid w:val="005D2BCD"/>
    <w:rsid w:val="005D2E1B"/>
    <w:rsid w:val="005D51A9"/>
    <w:rsid w:val="005D7FAB"/>
    <w:rsid w:val="005E5E93"/>
    <w:rsid w:val="005F1454"/>
    <w:rsid w:val="005F28AD"/>
    <w:rsid w:val="005F33E4"/>
    <w:rsid w:val="005F3632"/>
    <w:rsid w:val="005F7F6C"/>
    <w:rsid w:val="00604B67"/>
    <w:rsid w:val="0060587E"/>
    <w:rsid w:val="00611057"/>
    <w:rsid w:val="00611359"/>
    <w:rsid w:val="006113B5"/>
    <w:rsid w:val="0061740E"/>
    <w:rsid w:val="00620489"/>
    <w:rsid w:val="00623CA8"/>
    <w:rsid w:val="00624A7C"/>
    <w:rsid w:val="00626FD9"/>
    <w:rsid w:val="00630103"/>
    <w:rsid w:val="006310F5"/>
    <w:rsid w:val="00634823"/>
    <w:rsid w:val="00637806"/>
    <w:rsid w:val="00642573"/>
    <w:rsid w:val="00645855"/>
    <w:rsid w:val="00646489"/>
    <w:rsid w:val="00646E56"/>
    <w:rsid w:val="00650CD6"/>
    <w:rsid w:val="00655E9A"/>
    <w:rsid w:val="0066531F"/>
    <w:rsid w:val="00670864"/>
    <w:rsid w:val="00671299"/>
    <w:rsid w:val="00673526"/>
    <w:rsid w:val="00673549"/>
    <w:rsid w:val="006757E9"/>
    <w:rsid w:val="00675D30"/>
    <w:rsid w:val="00684A22"/>
    <w:rsid w:val="00690FDA"/>
    <w:rsid w:val="006A7397"/>
    <w:rsid w:val="006B3C37"/>
    <w:rsid w:val="006B56DE"/>
    <w:rsid w:val="006C53EA"/>
    <w:rsid w:val="006C5962"/>
    <w:rsid w:val="006C7D8C"/>
    <w:rsid w:val="006D4509"/>
    <w:rsid w:val="006D5217"/>
    <w:rsid w:val="006D5270"/>
    <w:rsid w:val="006D7E34"/>
    <w:rsid w:val="006E0324"/>
    <w:rsid w:val="006F2F25"/>
    <w:rsid w:val="0070082B"/>
    <w:rsid w:val="0070251B"/>
    <w:rsid w:val="00704661"/>
    <w:rsid w:val="00704A01"/>
    <w:rsid w:val="00705993"/>
    <w:rsid w:val="0070652E"/>
    <w:rsid w:val="00713692"/>
    <w:rsid w:val="00714120"/>
    <w:rsid w:val="007164C1"/>
    <w:rsid w:val="00716CC2"/>
    <w:rsid w:val="00720378"/>
    <w:rsid w:val="00720ED7"/>
    <w:rsid w:val="00725717"/>
    <w:rsid w:val="00735413"/>
    <w:rsid w:val="0074475E"/>
    <w:rsid w:val="007505AC"/>
    <w:rsid w:val="00751DA2"/>
    <w:rsid w:val="00752F5F"/>
    <w:rsid w:val="007558DF"/>
    <w:rsid w:val="00756DA2"/>
    <w:rsid w:val="007608AF"/>
    <w:rsid w:val="007611D0"/>
    <w:rsid w:val="007615C2"/>
    <w:rsid w:val="00770334"/>
    <w:rsid w:val="00770370"/>
    <w:rsid w:val="00771299"/>
    <w:rsid w:val="00771BEB"/>
    <w:rsid w:val="0077217E"/>
    <w:rsid w:val="007740FB"/>
    <w:rsid w:val="00774490"/>
    <w:rsid w:val="007810E9"/>
    <w:rsid w:val="007819B4"/>
    <w:rsid w:val="00783549"/>
    <w:rsid w:val="007849B4"/>
    <w:rsid w:val="00786F6E"/>
    <w:rsid w:val="00787A4C"/>
    <w:rsid w:val="00791116"/>
    <w:rsid w:val="007941AF"/>
    <w:rsid w:val="007965BD"/>
    <w:rsid w:val="007A5B56"/>
    <w:rsid w:val="007A67DB"/>
    <w:rsid w:val="007B2725"/>
    <w:rsid w:val="007B312A"/>
    <w:rsid w:val="007B3277"/>
    <w:rsid w:val="007B7039"/>
    <w:rsid w:val="007C06EA"/>
    <w:rsid w:val="007C5D6B"/>
    <w:rsid w:val="007C6659"/>
    <w:rsid w:val="007D0A01"/>
    <w:rsid w:val="007D5B1D"/>
    <w:rsid w:val="007D6264"/>
    <w:rsid w:val="007E19A9"/>
    <w:rsid w:val="007E54D9"/>
    <w:rsid w:val="007F6060"/>
    <w:rsid w:val="008013D6"/>
    <w:rsid w:val="008060A6"/>
    <w:rsid w:val="0081197D"/>
    <w:rsid w:val="00811E3D"/>
    <w:rsid w:val="00813BF8"/>
    <w:rsid w:val="00814281"/>
    <w:rsid w:val="00815A89"/>
    <w:rsid w:val="00823A87"/>
    <w:rsid w:val="00823EEA"/>
    <w:rsid w:val="008246EA"/>
    <w:rsid w:val="008271FD"/>
    <w:rsid w:val="0083418C"/>
    <w:rsid w:val="00845280"/>
    <w:rsid w:val="008461AC"/>
    <w:rsid w:val="00855E0B"/>
    <w:rsid w:val="00855EC9"/>
    <w:rsid w:val="0087091C"/>
    <w:rsid w:val="00870CB0"/>
    <w:rsid w:val="0087751B"/>
    <w:rsid w:val="00877B47"/>
    <w:rsid w:val="00882EA4"/>
    <w:rsid w:val="00883C48"/>
    <w:rsid w:val="00884C7B"/>
    <w:rsid w:val="0088685D"/>
    <w:rsid w:val="008915E2"/>
    <w:rsid w:val="00893249"/>
    <w:rsid w:val="0089486B"/>
    <w:rsid w:val="008953F4"/>
    <w:rsid w:val="00897AD0"/>
    <w:rsid w:val="008A0222"/>
    <w:rsid w:val="008A049B"/>
    <w:rsid w:val="008A1E0B"/>
    <w:rsid w:val="008A2F4A"/>
    <w:rsid w:val="008A39F8"/>
    <w:rsid w:val="008A427E"/>
    <w:rsid w:val="008A47C2"/>
    <w:rsid w:val="008A7292"/>
    <w:rsid w:val="008A7DEA"/>
    <w:rsid w:val="008B3DE6"/>
    <w:rsid w:val="008B62FA"/>
    <w:rsid w:val="008C0480"/>
    <w:rsid w:val="008C23CD"/>
    <w:rsid w:val="008C5FCA"/>
    <w:rsid w:val="008D03A8"/>
    <w:rsid w:val="008D5668"/>
    <w:rsid w:val="008D57F2"/>
    <w:rsid w:val="008D78CA"/>
    <w:rsid w:val="008E2300"/>
    <w:rsid w:val="008E42F3"/>
    <w:rsid w:val="008E5D0A"/>
    <w:rsid w:val="008F4A3A"/>
    <w:rsid w:val="008F6269"/>
    <w:rsid w:val="008F67AD"/>
    <w:rsid w:val="008F69CD"/>
    <w:rsid w:val="0090169D"/>
    <w:rsid w:val="0090174D"/>
    <w:rsid w:val="009022C0"/>
    <w:rsid w:val="0091086B"/>
    <w:rsid w:val="00913472"/>
    <w:rsid w:val="0092218B"/>
    <w:rsid w:val="00923989"/>
    <w:rsid w:val="009314D3"/>
    <w:rsid w:val="00932222"/>
    <w:rsid w:val="0093354C"/>
    <w:rsid w:val="009375C0"/>
    <w:rsid w:val="009419EA"/>
    <w:rsid w:val="00943B89"/>
    <w:rsid w:val="00944509"/>
    <w:rsid w:val="009455FB"/>
    <w:rsid w:val="00947DFD"/>
    <w:rsid w:val="00954D6D"/>
    <w:rsid w:val="0096080A"/>
    <w:rsid w:val="0096178E"/>
    <w:rsid w:val="00965204"/>
    <w:rsid w:val="00966BB6"/>
    <w:rsid w:val="00967E01"/>
    <w:rsid w:val="00971637"/>
    <w:rsid w:val="009755A4"/>
    <w:rsid w:val="00976C06"/>
    <w:rsid w:val="00983940"/>
    <w:rsid w:val="00987EA6"/>
    <w:rsid w:val="00992403"/>
    <w:rsid w:val="00992F27"/>
    <w:rsid w:val="00993E85"/>
    <w:rsid w:val="009A0C15"/>
    <w:rsid w:val="009A3946"/>
    <w:rsid w:val="009A7008"/>
    <w:rsid w:val="009B01D0"/>
    <w:rsid w:val="009B37E6"/>
    <w:rsid w:val="009B7840"/>
    <w:rsid w:val="009C34DD"/>
    <w:rsid w:val="009C536D"/>
    <w:rsid w:val="009C586F"/>
    <w:rsid w:val="009D6DAF"/>
    <w:rsid w:val="009E5FAE"/>
    <w:rsid w:val="009F0ACE"/>
    <w:rsid w:val="00A000EC"/>
    <w:rsid w:val="00A01F62"/>
    <w:rsid w:val="00A028CA"/>
    <w:rsid w:val="00A06F83"/>
    <w:rsid w:val="00A07FDB"/>
    <w:rsid w:val="00A10F57"/>
    <w:rsid w:val="00A1297E"/>
    <w:rsid w:val="00A1489C"/>
    <w:rsid w:val="00A151B6"/>
    <w:rsid w:val="00A215A4"/>
    <w:rsid w:val="00A270EF"/>
    <w:rsid w:val="00A345CE"/>
    <w:rsid w:val="00A34BA6"/>
    <w:rsid w:val="00A3561C"/>
    <w:rsid w:val="00A375FD"/>
    <w:rsid w:val="00A37B31"/>
    <w:rsid w:val="00A37E39"/>
    <w:rsid w:val="00A4144D"/>
    <w:rsid w:val="00A419F3"/>
    <w:rsid w:val="00A41F6F"/>
    <w:rsid w:val="00A42FBE"/>
    <w:rsid w:val="00A449B2"/>
    <w:rsid w:val="00A47C09"/>
    <w:rsid w:val="00A531BE"/>
    <w:rsid w:val="00A53A2E"/>
    <w:rsid w:val="00A565CE"/>
    <w:rsid w:val="00A621FA"/>
    <w:rsid w:val="00A6489B"/>
    <w:rsid w:val="00A67779"/>
    <w:rsid w:val="00A70866"/>
    <w:rsid w:val="00A7189B"/>
    <w:rsid w:val="00A75036"/>
    <w:rsid w:val="00A75820"/>
    <w:rsid w:val="00A772DB"/>
    <w:rsid w:val="00A832F7"/>
    <w:rsid w:val="00A83EB6"/>
    <w:rsid w:val="00A8642E"/>
    <w:rsid w:val="00A91198"/>
    <w:rsid w:val="00A914FC"/>
    <w:rsid w:val="00A96244"/>
    <w:rsid w:val="00AA4688"/>
    <w:rsid w:val="00AA5331"/>
    <w:rsid w:val="00AA60A8"/>
    <w:rsid w:val="00AB0524"/>
    <w:rsid w:val="00AB19D5"/>
    <w:rsid w:val="00AB4AF8"/>
    <w:rsid w:val="00AC11F5"/>
    <w:rsid w:val="00AC4F35"/>
    <w:rsid w:val="00AC5B6E"/>
    <w:rsid w:val="00AC7C8B"/>
    <w:rsid w:val="00AD0DC2"/>
    <w:rsid w:val="00AE2662"/>
    <w:rsid w:val="00AE3940"/>
    <w:rsid w:val="00AE420E"/>
    <w:rsid w:val="00AE46CE"/>
    <w:rsid w:val="00AE5806"/>
    <w:rsid w:val="00AF4760"/>
    <w:rsid w:val="00AF512C"/>
    <w:rsid w:val="00AF5310"/>
    <w:rsid w:val="00AF573B"/>
    <w:rsid w:val="00B022F8"/>
    <w:rsid w:val="00B04F5F"/>
    <w:rsid w:val="00B12B9D"/>
    <w:rsid w:val="00B13014"/>
    <w:rsid w:val="00B14836"/>
    <w:rsid w:val="00B14D99"/>
    <w:rsid w:val="00B16B2D"/>
    <w:rsid w:val="00B16C7E"/>
    <w:rsid w:val="00B16F92"/>
    <w:rsid w:val="00B2067C"/>
    <w:rsid w:val="00B27BB4"/>
    <w:rsid w:val="00B31EDA"/>
    <w:rsid w:val="00B3346D"/>
    <w:rsid w:val="00B35057"/>
    <w:rsid w:val="00B43969"/>
    <w:rsid w:val="00B5098F"/>
    <w:rsid w:val="00B5211E"/>
    <w:rsid w:val="00B85AF1"/>
    <w:rsid w:val="00B90C23"/>
    <w:rsid w:val="00B92499"/>
    <w:rsid w:val="00B92BF2"/>
    <w:rsid w:val="00B95D3F"/>
    <w:rsid w:val="00BA2DE8"/>
    <w:rsid w:val="00BA3B44"/>
    <w:rsid w:val="00BB0565"/>
    <w:rsid w:val="00BB25F2"/>
    <w:rsid w:val="00BB34DB"/>
    <w:rsid w:val="00BB6076"/>
    <w:rsid w:val="00BC3611"/>
    <w:rsid w:val="00BC44D2"/>
    <w:rsid w:val="00BD549B"/>
    <w:rsid w:val="00BE003D"/>
    <w:rsid w:val="00BE2172"/>
    <w:rsid w:val="00BE6317"/>
    <w:rsid w:val="00BF4107"/>
    <w:rsid w:val="00BF777E"/>
    <w:rsid w:val="00BF7896"/>
    <w:rsid w:val="00C01827"/>
    <w:rsid w:val="00C024BE"/>
    <w:rsid w:val="00C038F4"/>
    <w:rsid w:val="00C05068"/>
    <w:rsid w:val="00C06DA2"/>
    <w:rsid w:val="00C07757"/>
    <w:rsid w:val="00C07931"/>
    <w:rsid w:val="00C13F04"/>
    <w:rsid w:val="00C2151B"/>
    <w:rsid w:val="00C33378"/>
    <w:rsid w:val="00C35AD9"/>
    <w:rsid w:val="00C36738"/>
    <w:rsid w:val="00C419BC"/>
    <w:rsid w:val="00C4394C"/>
    <w:rsid w:val="00C439BE"/>
    <w:rsid w:val="00C45206"/>
    <w:rsid w:val="00C5122C"/>
    <w:rsid w:val="00C51489"/>
    <w:rsid w:val="00C52907"/>
    <w:rsid w:val="00C53C4B"/>
    <w:rsid w:val="00C62E83"/>
    <w:rsid w:val="00C62F39"/>
    <w:rsid w:val="00C70F20"/>
    <w:rsid w:val="00C7285A"/>
    <w:rsid w:val="00C73F3F"/>
    <w:rsid w:val="00C8233B"/>
    <w:rsid w:val="00C86A09"/>
    <w:rsid w:val="00C942D8"/>
    <w:rsid w:val="00CA202F"/>
    <w:rsid w:val="00CA268C"/>
    <w:rsid w:val="00CA3F58"/>
    <w:rsid w:val="00CA7230"/>
    <w:rsid w:val="00CA7D4A"/>
    <w:rsid w:val="00CB0860"/>
    <w:rsid w:val="00CB1F3D"/>
    <w:rsid w:val="00CB6E25"/>
    <w:rsid w:val="00CC0634"/>
    <w:rsid w:val="00CC2919"/>
    <w:rsid w:val="00CC6438"/>
    <w:rsid w:val="00CD19EF"/>
    <w:rsid w:val="00CD26BB"/>
    <w:rsid w:val="00CE1F10"/>
    <w:rsid w:val="00CE4951"/>
    <w:rsid w:val="00CE5D9C"/>
    <w:rsid w:val="00CE7D5B"/>
    <w:rsid w:val="00CF0E39"/>
    <w:rsid w:val="00CF3C0F"/>
    <w:rsid w:val="00CF5A37"/>
    <w:rsid w:val="00CF5F4E"/>
    <w:rsid w:val="00D018B1"/>
    <w:rsid w:val="00D06DE8"/>
    <w:rsid w:val="00D10D32"/>
    <w:rsid w:val="00D130DC"/>
    <w:rsid w:val="00D13E1E"/>
    <w:rsid w:val="00D16547"/>
    <w:rsid w:val="00D23AF0"/>
    <w:rsid w:val="00D256A4"/>
    <w:rsid w:val="00D25D96"/>
    <w:rsid w:val="00D27487"/>
    <w:rsid w:val="00D327BF"/>
    <w:rsid w:val="00D33671"/>
    <w:rsid w:val="00D33D61"/>
    <w:rsid w:val="00D43F0F"/>
    <w:rsid w:val="00D474DB"/>
    <w:rsid w:val="00D47D23"/>
    <w:rsid w:val="00D54BFE"/>
    <w:rsid w:val="00D55E49"/>
    <w:rsid w:val="00D570F5"/>
    <w:rsid w:val="00D71643"/>
    <w:rsid w:val="00D72B41"/>
    <w:rsid w:val="00D752FF"/>
    <w:rsid w:val="00D75757"/>
    <w:rsid w:val="00D7710C"/>
    <w:rsid w:val="00D80276"/>
    <w:rsid w:val="00D82877"/>
    <w:rsid w:val="00D854A3"/>
    <w:rsid w:val="00D8606D"/>
    <w:rsid w:val="00D867E2"/>
    <w:rsid w:val="00D91836"/>
    <w:rsid w:val="00D944C6"/>
    <w:rsid w:val="00D94599"/>
    <w:rsid w:val="00D964AE"/>
    <w:rsid w:val="00DA0291"/>
    <w:rsid w:val="00DA340A"/>
    <w:rsid w:val="00DA58C7"/>
    <w:rsid w:val="00DA5C56"/>
    <w:rsid w:val="00DB5579"/>
    <w:rsid w:val="00DC01DE"/>
    <w:rsid w:val="00DC088A"/>
    <w:rsid w:val="00DD0614"/>
    <w:rsid w:val="00DD0A7B"/>
    <w:rsid w:val="00DD0BD8"/>
    <w:rsid w:val="00DD65B9"/>
    <w:rsid w:val="00DE34C2"/>
    <w:rsid w:val="00DE64D4"/>
    <w:rsid w:val="00DF13BE"/>
    <w:rsid w:val="00DF19FE"/>
    <w:rsid w:val="00DF3CA2"/>
    <w:rsid w:val="00DF655D"/>
    <w:rsid w:val="00DF7EB6"/>
    <w:rsid w:val="00E02883"/>
    <w:rsid w:val="00E0770A"/>
    <w:rsid w:val="00E2144A"/>
    <w:rsid w:val="00E23995"/>
    <w:rsid w:val="00E262CB"/>
    <w:rsid w:val="00E30F41"/>
    <w:rsid w:val="00E34E92"/>
    <w:rsid w:val="00E401A8"/>
    <w:rsid w:val="00E404D1"/>
    <w:rsid w:val="00E5096C"/>
    <w:rsid w:val="00E5215E"/>
    <w:rsid w:val="00E539B1"/>
    <w:rsid w:val="00E6293D"/>
    <w:rsid w:val="00E63935"/>
    <w:rsid w:val="00E64DF7"/>
    <w:rsid w:val="00E6556B"/>
    <w:rsid w:val="00E66AE6"/>
    <w:rsid w:val="00E70169"/>
    <w:rsid w:val="00E716A8"/>
    <w:rsid w:val="00E728DA"/>
    <w:rsid w:val="00E73D53"/>
    <w:rsid w:val="00E74BFC"/>
    <w:rsid w:val="00E7578C"/>
    <w:rsid w:val="00E84B70"/>
    <w:rsid w:val="00E84D65"/>
    <w:rsid w:val="00E90168"/>
    <w:rsid w:val="00E920FF"/>
    <w:rsid w:val="00E92432"/>
    <w:rsid w:val="00E928A0"/>
    <w:rsid w:val="00E9429D"/>
    <w:rsid w:val="00E973BB"/>
    <w:rsid w:val="00EB00BA"/>
    <w:rsid w:val="00EB1CFC"/>
    <w:rsid w:val="00EB205A"/>
    <w:rsid w:val="00EB440E"/>
    <w:rsid w:val="00EB499A"/>
    <w:rsid w:val="00EB4CE1"/>
    <w:rsid w:val="00EB7626"/>
    <w:rsid w:val="00EB7F06"/>
    <w:rsid w:val="00ED427C"/>
    <w:rsid w:val="00ED4656"/>
    <w:rsid w:val="00EE159A"/>
    <w:rsid w:val="00EE1955"/>
    <w:rsid w:val="00EE4340"/>
    <w:rsid w:val="00EE60CD"/>
    <w:rsid w:val="00EF34D6"/>
    <w:rsid w:val="00F0238A"/>
    <w:rsid w:val="00F03B2A"/>
    <w:rsid w:val="00F0734F"/>
    <w:rsid w:val="00F10EEF"/>
    <w:rsid w:val="00F1131E"/>
    <w:rsid w:val="00F123AD"/>
    <w:rsid w:val="00F14060"/>
    <w:rsid w:val="00F1556E"/>
    <w:rsid w:val="00F21BE7"/>
    <w:rsid w:val="00F21C3B"/>
    <w:rsid w:val="00F23F7F"/>
    <w:rsid w:val="00F26DF1"/>
    <w:rsid w:val="00F2726A"/>
    <w:rsid w:val="00F3022F"/>
    <w:rsid w:val="00F34100"/>
    <w:rsid w:val="00F34E23"/>
    <w:rsid w:val="00F40300"/>
    <w:rsid w:val="00F435CE"/>
    <w:rsid w:val="00F45CE4"/>
    <w:rsid w:val="00F514FB"/>
    <w:rsid w:val="00F54021"/>
    <w:rsid w:val="00F60C48"/>
    <w:rsid w:val="00F623EC"/>
    <w:rsid w:val="00F64481"/>
    <w:rsid w:val="00F652E2"/>
    <w:rsid w:val="00F67E13"/>
    <w:rsid w:val="00F717BD"/>
    <w:rsid w:val="00F75B08"/>
    <w:rsid w:val="00F760AD"/>
    <w:rsid w:val="00F83847"/>
    <w:rsid w:val="00F84DDD"/>
    <w:rsid w:val="00F85908"/>
    <w:rsid w:val="00F91852"/>
    <w:rsid w:val="00F92D80"/>
    <w:rsid w:val="00F9340D"/>
    <w:rsid w:val="00FA302D"/>
    <w:rsid w:val="00FA3EAA"/>
    <w:rsid w:val="00FB064F"/>
    <w:rsid w:val="00FB5141"/>
    <w:rsid w:val="00FB647C"/>
    <w:rsid w:val="00FB7597"/>
    <w:rsid w:val="00FC5DAE"/>
    <w:rsid w:val="00FC5DB5"/>
    <w:rsid w:val="00FD1158"/>
    <w:rsid w:val="00FD3AE1"/>
    <w:rsid w:val="00FD4A5D"/>
    <w:rsid w:val="00FE1337"/>
    <w:rsid w:val="00FE40AA"/>
    <w:rsid w:val="00FF33C0"/>
    <w:rsid w:val="00FF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7FE8A5"/>
  <w15:chartTrackingRefBased/>
  <w15:docId w15:val="{A17B2A4B-56C8-40DC-9200-39B17127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Lucida Console" w:hAnsi="Lucida Consol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166B94"/>
  </w:style>
  <w:style w:type="paragraph" w:styleId="BalloonText">
    <w:name w:val="Balloon Text"/>
    <w:basedOn w:val="Normal"/>
    <w:link w:val="BalloonTextChar"/>
    <w:uiPriority w:val="99"/>
    <w:semiHidden/>
    <w:rsid w:val="00BC3611"/>
    <w:rPr>
      <w:rFonts w:ascii="Tahoma" w:hAnsi="Tahoma" w:cs="Tahoma"/>
      <w:sz w:val="16"/>
      <w:szCs w:val="16"/>
    </w:rPr>
  </w:style>
  <w:style w:type="paragraph" w:styleId="ListParagraph">
    <w:name w:val="List Paragraph"/>
    <w:basedOn w:val="Normal"/>
    <w:uiPriority w:val="34"/>
    <w:qFormat/>
    <w:rsid w:val="00F1556E"/>
    <w:pPr>
      <w:ind w:left="720"/>
    </w:pPr>
  </w:style>
  <w:style w:type="paragraph" w:customStyle="1" w:styleId="TEGLHeading2">
    <w:name w:val="TEGL Heading 2"/>
    <w:basedOn w:val="Normal"/>
    <w:rsid w:val="00CB6E25"/>
    <w:pPr>
      <w:widowControl/>
      <w:tabs>
        <w:tab w:val="left" w:pos="1620"/>
      </w:tabs>
    </w:pPr>
    <w:rPr>
      <w:rFonts w:ascii="Times New Roman" w:hAnsi="Times New Roman"/>
      <w:b/>
      <w:bCs/>
      <w:sz w:val="24"/>
    </w:rPr>
  </w:style>
  <w:style w:type="character" w:styleId="Strong">
    <w:name w:val="Strong"/>
    <w:qFormat/>
    <w:rsid w:val="00CB6E25"/>
    <w:rPr>
      <w:b/>
      <w:bCs/>
    </w:rPr>
  </w:style>
  <w:style w:type="character" w:customStyle="1" w:styleId="StyleTimesNewRoman12pt">
    <w:name w:val="Style Times New Roman 12 pt"/>
    <w:rsid w:val="003276E6"/>
    <w:rPr>
      <w:rFonts w:ascii="Times New Roman" w:hAnsi="Times New Roman"/>
      <w:sz w:val="24"/>
    </w:rPr>
  </w:style>
  <w:style w:type="character" w:styleId="CommentReference">
    <w:name w:val="annotation reference"/>
    <w:uiPriority w:val="99"/>
    <w:unhideWhenUsed/>
    <w:rsid w:val="006113B5"/>
    <w:rPr>
      <w:sz w:val="16"/>
      <w:szCs w:val="16"/>
    </w:rPr>
  </w:style>
  <w:style w:type="paragraph" w:styleId="CommentText">
    <w:name w:val="annotation text"/>
    <w:basedOn w:val="Normal"/>
    <w:link w:val="CommentTextChar"/>
    <w:uiPriority w:val="99"/>
    <w:unhideWhenUsed/>
    <w:rsid w:val="006113B5"/>
    <w:pPr>
      <w:widowControl/>
      <w:autoSpaceDE/>
      <w:autoSpaceDN/>
      <w:adjustRightInd/>
      <w:spacing w:after="200"/>
    </w:pPr>
    <w:rPr>
      <w:rFonts w:ascii="Calibri" w:eastAsia="Calibri" w:hAnsi="Calibri"/>
      <w:szCs w:val="20"/>
    </w:rPr>
  </w:style>
  <w:style w:type="character" w:customStyle="1" w:styleId="CommentTextChar">
    <w:name w:val="Comment Text Char"/>
    <w:link w:val="CommentText"/>
    <w:uiPriority w:val="99"/>
    <w:rsid w:val="006113B5"/>
    <w:rPr>
      <w:rFonts w:ascii="Calibri" w:eastAsia="Calibri" w:hAnsi="Calibri"/>
    </w:rPr>
  </w:style>
  <w:style w:type="character" w:styleId="Hyperlink">
    <w:name w:val="Hyperlink"/>
    <w:uiPriority w:val="99"/>
    <w:unhideWhenUsed/>
    <w:rsid w:val="006113B5"/>
    <w:rPr>
      <w:color w:val="0000FF"/>
      <w:u w:val="single"/>
    </w:rPr>
  </w:style>
  <w:style w:type="paragraph" w:customStyle="1" w:styleId="Default">
    <w:name w:val="Default"/>
    <w:rsid w:val="006113B5"/>
    <w:pPr>
      <w:autoSpaceDE w:val="0"/>
      <w:autoSpaceDN w:val="0"/>
      <w:adjustRightInd w:val="0"/>
    </w:pPr>
    <w:rPr>
      <w:rFonts w:eastAsia="Calibri"/>
      <w:color w:val="000000"/>
      <w:sz w:val="24"/>
      <w:szCs w:val="24"/>
    </w:rPr>
  </w:style>
  <w:style w:type="character" w:customStyle="1" w:styleId="BalloonTextChar">
    <w:name w:val="Balloon Text Char"/>
    <w:link w:val="BalloonText"/>
    <w:uiPriority w:val="99"/>
    <w:semiHidden/>
    <w:rsid w:val="006113B5"/>
    <w:rPr>
      <w:rFonts w:ascii="Tahoma" w:hAnsi="Tahoma" w:cs="Tahoma"/>
      <w:sz w:val="16"/>
      <w:szCs w:val="16"/>
    </w:rPr>
  </w:style>
  <w:style w:type="character" w:customStyle="1" w:styleId="FooterChar">
    <w:name w:val="Footer Char"/>
    <w:link w:val="Footer"/>
    <w:uiPriority w:val="99"/>
    <w:rsid w:val="00F514FB"/>
    <w:rPr>
      <w:rFonts w:ascii="Lucida Console" w:hAnsi="Lucida Console"/>
      <w:szCs w:val="24"/>
    </w:rPr>
  </w:style>
  <w:style w:type="paragraph" w:styleId="BodyText">
    <w:name w:val="Body Text"/>
    <w:basedOn w:val="Normal"/>
    <w:link w:val="BodyTextChar"/>
    <w:uiPriority w:val="1"/>
    <w:qFormat/>
    <w:rsid w:val="0087751B"/>
    <w:pPr>
      <w:ind w:left="120"/>
    </w:pPr>
    <w:rPr>
      <w:rFonts w:ascii="Times New Roman" w:hAnsi="Times New Roman"/>
      <w:sz w:val="24"/>
    </w:rPr>
  </w:style>
  <w:style w:type="character" w:customStyle="1" w:styleId="BodyTextChar">
    <w:name w:val="Body Text Char"/>
    <w:link w:val="BodyText"/>
    <w:uiPriority w:val="1"/>
    <w:rsid w:val="0087751B"/>
    <w:rPr>
      <w:sz w:val="24"/>
      <w:szCs w:val="24"/>
    </w:rPr>
  </w:style>
  <w:style w:type="paragraph" w:styleId="CommentSubject">
    <w:name w:val="annotation subject"/>
    <w:basedOn w:val="CommentText"/>
    <w:next w:val="CommentText"/>
    <w:link w:val="CommentSubjectChar"/>
    <w:rsid w:val="00507515"/>
    <w:pPr>
      <w:widowControl w:val="0"/>
      <w:autoSpaceDE w:val="0"/>
      <w:autoSpaceDN w:val="0"/>
      <w:adjustRightInd w:val="0"/>
      <w:spacing w:after="0"/>
    </w:pPr>
    <w:rPr>
      <w:rFonts w:ascii="Lucida Console" w:eastAsia="Times New Roman" w:hAnsi="Lucida Console"/>
      <w:b/>
      <w:bCs/>
    </w:rPr>
  </w:style>
  <w:style w:type="character" w:customStyle="1" w:styleId="CommentSubjectChar">
    <w:name w:val="Comment Subject Char"/>
    <w:link w:val="CommentSubject"/>
    <w:rsid w:val="00507515"/>
    <w:rPr>
      <w:rFonts w:ascii="Lucida Console" w:eastAsia="Calibri" w:hAnsi="Lucida Console"/>
      <w:b/>
      <w:bCs/>
    </w:rPr>
  </w:style>
  <w:style w:type="paragraph" w:styleId="Revision">
    <w:name w:val="Revision"/>
    <w:hidden/>
    <w:uiPriority w:val="99"/>
    <w:semiHidden/>
    <w:rsid w:val="00F26DF1"/>
    <w:rPr>
      <w:rFonts w:ascii="Lucida Console" w:hAnsi="Lucida Console"/>
      <w:szCs w:val="24"/>
    </w:rPr>
  </w:style>
  <w:style w:type="table" w:styleId="TableGrid">
    <w:name w:val="Table Grid"/>
    <w:basedOn w:val="TableNormal"/>
    <w:uiPriority w:val="39"/>
    <w:rsid w:val="00CC29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57AC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548920">
      <w:bodyDiv w:val="1"/>
      <w:marLeft w:val="0"/>
      <w:marRight w:val="0"/>
      <w:marTop w:val="0"/>
      <w:marBottom w:val="0"/>
      <w:divBdr>
        <w:top w:val="none" w:sz="0" w:space="0" w:color="auto"/>
        <w:left w:val="none" w:sz="0" w:space="0" w:color="auto"/>
        <w:bottom w:val="none" w:sz="0" w:space="0" w:color="auto"/>
        <w:right w:val="none" w:sz="0" w:space="0" w:color="auto"/>
      </w:divBdr>
    </w:div>
    <w:div w:id="102617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dullah.Melissa@dol.gov"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OL_PRA_PUBLIC@dol.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grant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cc02.safelinks.protection.outlook.com/?url=http%3A%2F%2Fwww.palausupremecourt.net%2F&amp;data=02%7C01%7CLah.David%40dol.gov%7C1599e950b6c6466a196208d84f5968f9%7C75a6305472044e0c9126adab971d4aca%7C0%7C0%7C637346592710528872&amp;sdata=rNb3LahKtRZ0SeR4syLBvyLhtfqYuPPnIfmwY9nRdmk%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nds4job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73C3C-EEEC-475A-B1A1-80E6FC5DD33C}">
  <ds:schemaRefs>
    <ds:schemaRef ds:uri="http://schemas.microsoft.com/sharepoint/v3/contenttype/forms"/>
  </ds:schemaRefs>
</ds:datastoreItem>
</file>

<file path=customXml/itemProps2.xml><?xml version="1.0" encoding="utf-8"?>
<ds:datastoreItem xmlns:ds="http://schemas.openxmlformats.org/officeDocument/2006/customXml" ds:itemID="{8C6BC799-AD2E-475C-9109-6AFD7A827C74}">
  <ds:schemaRefs>
    <ds:schemaRef ds:uri="http://purl.org/dc/terms/"/>
    <ds:schemaRef ds:uri="http://purl.org/dc/dcmitype/"/>
    <ds:schemaRef ds:uri="2a1ba486-ff2f-4459-80ac-1ab5aa17f82f"/>
    <ds:schemaRef ds:uri="2b487234-2a61-45b0-86e3-998bf12a0e9d"/>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0A72CD2D-103B-402F-BB0D-577411CFA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4997F-0D14-4389-A6FF-B15B3CC0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EMPLOYMENT AND TRAINING ADMINISTRATION ADVISORY SYSTEM</vt:lpstr>
    </vt:vector>
  </TitlesOfParts>
  <Company>Department of Labor - ETA</Company>
  <LinksUpToDate>false</LinksUpToDate>
  <CharactersWithSpaces>24382</CharactersWithSpaces>
  <SharedDoc>false</SharedDoc>
  <HLinks>
    <vt:vector size="30" baseType="variant">
      <vt:variant>
        <vt:i4>6684776</vt:i4>
      </vt:variant>
      <vt:variant>
        <vt:i4>12</vt:i4>
      </vt:variant>
      <vt:variant>
        <vt:i4>0</vt:i4>
      </vt:variant>
      <vt:variant>
        <vt:i4>5</vt:i4>
      </vt:variant>
      <vt:variant>
        <vt:lpwstr>https://gcc02.safelinks.protection.outlook.com/?url=http%3A%2F%2Fwww.palausupremecourt.net%2F&amp;data=02%7C01%7CLah.David%40dol.gov%7C1599e950b6c6466a196208d84f5968f9%7C75a6305472044e0c9126adab971d4aca%7C0%7C0%7C637346592710528872&amp;sdata=rNb3LahKtRZ0SeR4syLBvyLhtfqYuPPnIfmwY9nRdmk%3D&amp;reserved=0</vt:lpwstr>
      </vt:variant>
      <vt:variant>
        <vt:lpwstr/>
      </vt:variant>
      <vt:variant>
        <vt:i4>3276925</vt:i4>
      </vt:variant>
      <vt:variant>
        <vt:i4>9</vt:i4>
      </vt:variant>
      <vt:variant>
        <vt:i4>0</vt:i4>
      </vt:variant>
      <vt:variant>
        <vt:i4>5</vt:i4>
      </vt:variant>
      <vt:variant>
        <vt:lpwstr>http://www.bonds4jobs.com/</vt:lpwstr>
      </vt:variant>
      <vt:variant>
        <vt:lpwstr/>
      </vt:variant>
      <vt:variant>
        <vt:i4>5570597</vt:i4>
      </vt:variant>
      <vt:variant>
        <vt:i4>6</vt:i4>
      </vt:variant>
      <vt:variant>
        <vt:i4>0</vt:i4>
      </vt:variant>
      <vt:variant>
        <vt:i4>5</vt:i4>
      </vt:variant>
      <vt:variant>
        <vt:lpwstr>mailto:Abdullah.Melissa@dol.gov</vt:lpwstr>
      </vt:variant>
      <vt:variant>
        <vt:lpwstr/>
      </vt:variant>
      <vt:variant>
        <vt:i4>7209026</vt:i4>
      </vt:variant>
      <vt:variant>
        <vt:i4>3</vt:i4>
      </vt:variant>
      <vt:variant>
        <vt:i4>0</vt:i4>
      </vt:variant>
      <vt:variant>
        <vt:i4>5</vt:i4>
      </vt:variant>
      <vt:variant>
        <vt:lpwstr>mailto:DOL_PRA_PUBLIC@dol.gov</vt:lpwstr>
      </vt:variant>
      <vt:variant>
        <vt:lpwstr/>
      </vt:variant>
      <vt:variant>
        <vt:i4>4784245</vt:i4>
      </vt:variant>
      <vt:variant>
        <vt:i4>0</vt:i4>
      </vt:variant>
      <vt:variant>
        <vt:i4>0</vt:i4>
      </vt:variant>
      <vt:variant>
        <vt:i4>5</vt:i4>
      </vt:variant>
      <vt:variant>
        <vt:lpwstr>mailto:support@grants.gov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TRAINING ADMINISTRATION ADVISORY SYSTEM</dc:title>
  <dc:subject/>
  <dc:creator>ETA User</dc:creator>
  <cp:keywords/>
  <dc:description/>
  <cp:lastModifiedBy>MSB</cp:lastModifiedBy>
  <cp:revision>2</cp:revision>
  <cp:lastPrinted>2020-11-30T19:03:00Z</cp:lastPrinted>
  <dcterms:created xsi:type="dcterms:W3CDTF">2020-12-02T16:36:00Z</dcterms:created>
  <dcterms:modified xsi:type="dcterms:W3CDTF">2020-12-02T16:36:00Z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