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3F" w:rsidP="00DC0F3F" w:rsidRDefault="004B2006">
      <w:pPr>
        <w:jc w:val="center"/>
        <w:rPr>
          <w:rFonts w:ascii="Times New Roman Bold" w:hAnsi="Times New Roman Bold" w:cs="Arial"/>
          <w:b/>
          <w:color w:val="000000"/>
          <w:szCs w:val="22"/>
        </w:rPr>
      </w:pPr>
      <w:r>
        <w:rPr>
          <w:rFonts w:ascii="Times New Roman Bold" w:hAnsi="Times New Roman Bold" w:cs="Arial"/>
          <w:b/>
          <w:color w:val="000000"/>
          <w:szCs w:val="22"/>
        </w:rPr>
        <w:t xml:space="preserve">2020 </w:t>
      </w:r>
      <w:r w:rsidR="00C23C2E">
        <w:rPr>
          <w:rFonts w:ascii="Times New Roman Bold" w:hAnsi="Times New Roman Bold" w:cs="Arial"/>
          <w:b/>
          <w:color w:val="000000"/>
          <w:szCs w:val="22"/>
        </w:rPr>
        <w:t>Funding Opportunity Announcement</w:t>
      </w:r>
    </w:p>
    <w:p w:rsidR="004B2006" w:rsidP="002A2A43" w:rsidRDefault="002A2A43">
      <w:pPr>
        <w:widowControl w:val="0"/>
        <w:contextualSpacing/>
        <w:jc w:val="center"/>
        <w:rPr>
          <w:b/>
        </w:rPr>
      </w:pPr>
      <w:r w:rsidRPr="002A2A43">
        <w:rPr>
          <w:rFonts w:ascii="Times New Roman" w:hAnsi="Times New Roman"/>
          <w:b/>
        </w:rPr>
        <w:t>Women in Apprenticeship and Nontraditional Occupations (WANTO) Technical Assistance (TA) Grant</w:t>
      </w:r>
      <w:r>
        <w:rPr>
          <w:rFonts w:ascii="Times New Roman" w:hAnsi="Times New Roman"/>
          <w:b/>
        </w:rPr>
        <w:t xml:space="preserve"> </w:t>
      </w:r>
      <w:r w:rsidRPr="00EA59C0" w:rsidR="004028FC">
        <w:rPr>
          <w:b/>
        </w:rPr>
        <w:t>Program</w:t>
      </w:r>
      <w:r w:rsidR="004028FC">
        <w:rPr>
          <w:b/>
        </w:rPr>
        <w:t xml:space="preserve"> </w:t>
      </w:r>
    </w:p>
    <w:p w:rsidRPr="007E1A3C" w:rsidR="007E1A3C" w:rsidP="002A2A43" w:rsidRDefault="004B2006">
      <w:pPr>
        <w:widowControl w:val="0"/>
        <w:contextualSpacing/>
        <w:jc w:val="center"/>
        <w:rPr>
          <w:rFonts w:ascii="Times New Roman" w:hAnsi="Times New Roman"/>
        </w:rPr>
      </w:pPr>
      <w:r>
        <w:rPr>
          <w:b/>
        </w:rPr>
        <w:t xml:space="preserve">Supplemental </w:t>
      </w:r>
      <w:r w:rsidR="00A4030B">
        <w:rPr>
          <w:rFonts w:ascii="Times New Roman" w:hAnsi="Times New Roman"/>
          <w:b/>
        </w:rPr>
        <w:t>Justification</w:t>
      </w:r>
    </w:p>
    <w:p w:rsidRPr="000F58C2" w:rsidR="007E1A3C" w:rsidP="00DC0F3F" w:rsidRDefault="007E1A3C">
      <w:pPr>
        <w:jc w:val="center"/>
        <w:rPr>
          <w:rFonts w:ascii="Times New Roman Bold" w:hAnsi="Times New Roman Bold" w:cs="Arial"/>
          <w:b/>
          <w:color w:val="000000"/>
          <w:szCs w:val="22"/>
        </w:rPr>
      </w:pPr>
    </w:p>
    <w:p w:rsidR="007A6BC1" w:rsidP="007A6BC1" w:rsidRDefault="007A6BC1">
      <w:pPr>
        <w:autoSpaceDE w:val="0"/>
        <w:autoSpaceDN w:val="0"/>
        <w:adjustRightInd w:val="0"/>
        <w:rPr>
          <w:rFonts w:ascii="Times New Roman" w:hAnsi="Times New Roman" w:cs="BookAntiqua"/>
          <w:b/>
          <w:i/>
          <w:color w:val="000000"/>
          <w:u w:val="single"/>
        </w:rPr>
      </w:pPr>
      <w:r>
        <w:rPr>
          <w:rFonts w:ascii="Times New Roman" w:hAnsi="Times New Roman" w:cs="BookAntiqua"/>
          <w:b/>
          <w:i/>
          <w:color w:val="000000"/>
          <w:u w:val="single"/>
        </w:rPr>
        <w:t xml:space="preserve">Supplemental </w:t>
      </w:r>
      <w:r w:rsidRPr="001853BB">
        <w:rPr>
          <w:rFonts w:ascii="Times New Roman" w:hAnsi="Times New Roman" w:cs="BookAntiqua"/>
          <w:b/>
          <w:i/>
          <w:color w:val="000000"/>
          <w:u w:val="single"/>
        </w:rPr>
        <w:t xml:space="preserve">Supporting Statement </w:t>
      </w:r>
      <w:r>
        <w:rPr>
          <w:rFonts w:ascii="Times New Roman" w:hAnsi="Times New Roman" w:cs="BookAntiqua"/>
          <w:b/>
          <w:i/>
          <w:color w:val="000000"/>
          <w:u w:val="single"/>
        </w:rPr>
        <w:t>A</w:t>
      </w:r>
      <w:r w:rsidRPr="001853BB">
        <w:rPr>
          <w:rFonts w:ascii="Times New Roman" w:hAnsi="Times New Roman" w:cs="BookAntiqua"/>
          <w:b/>
          <w:i/>
          <w:color w:val="000000"/>
          <w:u w:val="single"/>
        </w:rPr>
        <w:t xml:space="preserve">: </w:t>
      </w:r>
      <w:r>
        <w:rPr>
          <w:rFonts w:ascii="Times New Roman" w:hAnsi="Times New Roman" w:cs="BookAntiqua"/>
          <w:b/>
          <w:i/>
          <w:color w:val="000000"/>
          <w:u w:val="single"/>
        </w:rPr>
        <w:t>Justification</w:t>
      </w:r>
    </w:p>
    <w:p w:rsidR="0076657B" w:rsidP="007A6BC1" w:rsidRDefault="0076657B">
      <w:pPr>
        <w:autoSpaceDE w:val="0"/>
        <w:autoSpaceDN w:val="0"/>
        <w:adjustRightInd w:val="0"/>
        <w:rPr>
          <w:rFonts w:ascii="Times New Roman" w:hAnsi="Times New Roman" w:cs="Arial"/>
          <w:b/>
          <w:color w:val="000000"/>
          <w:u w:val="single"/>
        </w:rPr>
      </w:pPr>
    </w:p>
    <w:p w:rsidR="00565292" w:rsidP="00786A03" w:rsidRDefault="00786A03">
      <w:pPr>
        <w:contextualSpacing/>
        <w:rPr>
          <w:rFonts w:ascii="Times New Roman" w:hAnsi="Times New Roman"/>
        </w:rPr>
      </w:pPr>
      <w:bookmarkStart w:name="_Toc229889134" w:id="0"/>
      <w:bookmarkStart w:name="_Toc228885476" w:id="1"/>
      <w:bookmarkStart w:name="_Toc208654602" w:id="2"/>
      <w:bookmarkStart w:name="_Toc207778202" w:id="3"/>
      <w:r w:rsidRPr="00786A03">
        <w:rPr>
          <w:rFonts w:ascii="Times New Roman" w:hAnsi="Times New Roman"/>
        </w:rPr>
        <w:t>The U.S. Department of Labor</w:t>
      </w:r>
      <w:r w:rsidR="001C76A1">
        <w:rPr>
          <w:rFonts w:ascii="Times New Roman" w:hAnsi="Times New Roman"/>
        </w:rPr>
        <w:t xml:space="preserve"> </w:t>
      </w:r>
      <w:r w:rsidRPr="00786A03">
        <w:rPr>
          <w:rFonts w:ascii="Times New Roman" w:hAnsi="Times New Roman"/>
        </w:rPr>
        <w:t xml:space="preserve">Women’s Bureau (WB) and Employment and Training Administration (ETA) </w:t>
      </w:r>
      <w:r w:rsidR="001C76A1">
        <w:rPr>
          <w:rFonts w:ascii="Times New Roman" w:hAnsi="Times New Roman"/>
        </w:rPr>
        <w:t>will</w:t>
      </w:r>
      <w:r w:rsidRPr="00786A03">
        <w:rPr>
          <w:rFonts w:ascii="Times New Roman" w:hAnsi="Times New Roman"/>
        </w:rPr>
        <w:t xml:space="preserve"> announce the availability of </w:t>
      </w:r>
      <w:r w:rsidR="00565292">
        <w:rPr>
          <w:rFonts w:ascii="Times New Roman" w:hAnsi="Times New Roman"/>
        </w:rPr>
        <w:t>approximately $2</w:t>
      </w:r>
      <w:r w:rsidRPr="006A5D20">
        <w:rPr>
          <w:rFonts w:ascii="Times New Roman" w:hAnsi="Times New Roman"/>
        </w:rPr>
        <w:t>.</w:t>
      </w:r>
      <w:r w:rsidRPr="006A5D20" w:rsidR="008A53ED">
        <w:rPr>
          <w:rFonts w:ascii="Times New Roman" w:hAnsi="Times New Roman"/>
        </w:rPr>
        <w:t>5</w:t>
      </w:r>
      <w:r w:rsidRPr="006A5D20">
        <w:rPr>
          <w:rFonts w:ascii="Times New Roman" w:hAnsi="Times New Roman"/>
        </w:rPr>
        <w:t xml:space="preserve"> million</w:t>
      </w:r>
      <w:r w:rsidRPr="00786A03">
        <w:rPr>
          <w:rFonts w:ascii="Times New Roman" w:hAnsi="Times New Roman"/>
        </w:rPr>
        <w:t xml:space="preserve"> </w:t>
      </w:r>
      <w:r w:rsidRPr="00786A03" w:rsidDel="00CD178E">
        <w:rPr>
          <w:rFonts w:ascii="Times New Roman" w:hAnsi="Times New Roman"/>
        </w:rPr>
        <w:t>in</w:t>
      </w:r>
      <w:r w:rsidRPr="00786A03">
        <w:rPr>
          <w:rFonts w:ascii="Times New Roman" w:hAnsi="Times New Roman"/>
        </w:rPr>
        <w:t xml:space="preserve"> grant funds </w:t>
      </w:r>
      <w:r w:rsidR="006A5D20">
        <w:rPr>
          <w:rFonts w:ascii="Times New Roman" w:hAnsi="Times New Roman"/>
        </w:rPr>
        <w:t xml:space="preserve">(pursuant to a reprogramming) </w:t>
      </w:r>
      <w:r w:rsidRPr="00786A03">
        <w:rPr>
          <w:rFonts w:ascii="Times New Roman" w:hAnsi="Times New Roman"/>
        </w:rPr>
        <w:t xml:space="preserve">authorized by the Women in Apprenticeship and Nontraditional Occupations (WANTO) Act of 1992, Pub. L. 102-530, 29 U.S.C. </w:t>
      </w:r>
      <w:r w:rsidRPr="005E702E">
        <w:rPr>
          <w:rFonts w:ascii="Times New Roman" w:hAnsi="Times New Roman"/>
        </w:rPr>
        <w:t>2501 et seq.</w:t>
      </w:r>
      <w:r w:rsidRPr="00565292" w:rsidR="00565292">
        <w:rPr>
          <w:rFonts w:ascii="Times New Roman" w:hAnsi="Times New Roman"/>
        </w:rPr>
        <w:t>; 29 U.S.C. § 13; and the Further Consolidated Appropriations Act, 2020</w:t>
      </w:r>
      <w:r w:rsidR="00565292">
        <w:rPr>
          <w:rFonts w:ascii="Times New Roman" w:hAnsi="Times New Roman"/>
        </w:rPr>
        <w:t>.</w:t>
      </w:r>
    </w:p>
    <w:p w:rsidR="00565292" w:rsidP="00786A03" w:rsidRDefault="00565292">
      <w:pPr>
        <w:contextualSpacing/>
        <w:rPr>
          <w:rFonts w:ascii="Times New Roman" w:hAnsi="Times New Roman"/>
        </w:rPr>
      </w:pPr>
    </w:p>
    <w:p w:rsidR="00565292" w:rsidP="00786A03" w:rsidRDefault="00565292">
      <w:pPr>
        <w:contextualSpacing/>
        <w:rPr>
          <w:rFonts w:ascii="Times New Roman" w:hAnsi="Times New Roman"/>
        </w:rPr>
      </w:pPr>
    </w:p>
    <w:p w:rsidR="00786A03" w:rsidP="00786A03" w:rsidRDefault="00786A03">
      <w:pPr>
        <w:contextualSpacing/>
        <w:rPr>
          <w:rFonts w:ascii="Times New Roman" w:hAnsi="Times New Roman"/>
        </w:rPr>
      </w:pPr>
      <w:r w:rsidRPr="00786A03">
        <w:rPr>
          <w:rFonts w:ascii="Times New Roman" w:hAnsi="Times New Roman"/>
        </w:rPr>
        <w:t>The D</w:t>
      </w:r>
      <w:r w:rsidR="00B8045C">
        <w:rPr>
          <w:rFonts w:ascii="Times New Roman" w:hAnsi="Times New Roman"/>
        </w:rPr>
        <w:t>OL</w:t>
      </w:r>
      <w:r w:rsidRPr="00786A03">
        <w:rPr>
          <w:rFonts w:ascii="Times New Roman" w:hAnsi="Times New Roman"/>
        </w:rPr>
        <w:t xml:space="preserve"> plans to disburse </w:t>
      </w:r>
      <w:r w:rsidR="008A53ED">
        <w:rPr>
          <w:rFonts w:ascii="Times New Roman" w:hAnsi="Times New Roman"/>
        </w:rPr>
        <w:t>Fiscal</w:t>
      </w:r>
      <w:r w:rsidRPr="00786A03">
        <w:rPr>
          <w:rFonts w:ascii="Times New Roman" w:hAnsi="Times New Roman"/>
        </w:rPr>
        <w:t xml:space="preserve"> Year (</w:t>
      </w:r>
      <w:r w:rsidR="008A53ED">
        <w:rPr>
          <w:rFonts w:ascii="Times New Roman" w:hAnsi="Times New Roman"/>
        </w:rPr>
        <w:t>F</w:t>
      </w:r>
      <w:r w:rsidRPr="00786A03">
        <w:rPr>
          <w:rFonts w:ascii="Times New Roman" w:hAnsi="Times New Roman"/>
        </w:rPr>
        <w:t xml:space="preserve">Y) </w:t>
      </w:r>
      <w:r w:rsidR="009727A0">
        <w:rPr>
          <w:rFonts w:ascii="Times New Roman" w:hAnsi="Times New Roman"/>
        </w:rPr>
        <w:t>2020</w:t>
      </w:r>
      <w:r w:rsidRPr="00786A03">
        <w:rPr>
          <w:rFonts w:ascii="Times New Roman" w:hAnsi="Times New Roman"/>
        </w:rPr>
        <w:t xml:space="preserve"> WANTO grant funds to up to </w:t>
      </w:r>
      <w:r w:rsidR="008A53ED">
        <w:rPr>
          <w:rFonts w:ascii="Times New Roman" w:hAnsi="Times New Roman"/>
        </w:rPr>
        <w:t>six</w:t>
      </w:r>
      <w:r w:rsidRPr="00786A03">
        <w:rPr>
          <w:rFonts w:ascii="Times New Roman" w:hAnsi="Times New Roman"/>
        </w:rPr>
        <w:t xml:space="preserve"> (</w:t>
      </w:r>
      <w:r w:rsidR="008A53ED">
        <w:rPr>
          <w:rFonts w:ascii="Times New Roman" w:hAnsi="Times New Roman"/>
        </w:rPr>
        <w:t>6</w:t>
      </w:r>
      <w:r w:rsidRPr="00786A03">
        <w:rPr>
          <w:rFonts w:ascii="Times New Roman" w:hAnsi="Times New Roman"/>
        </w:rPr>
        <w:t>) community-based organization (CBO) grantees within the range of $</w:t>
      </w:r>
      <w:r w:rsidR="008A53ED">
        <w:rPr>
          <w:rFonts w:ascii="Times New Roman" w:hAnsi="Times New Roman"/>
        </w:rPr>
        <w:t>25</w:t>
      </w:r>
      <w:r w:rsidRPr="00786A03">
        <w:rPr>
          <w:rFonts w:ascii="Times New Roman" w:hAnsi="Times New Roman"/>
        </w:rPr>
        <w:t>0,000 to $5</w:t>
      </w:r>
      <w:r w:rsidR="008A53ED">
        <w:rPr>
          <w:rFonts w:ascii="Times New Roman" w:hAnsi="Times New Roman"/>
        </w:rPr>
        <w:t>0</w:t>
      </w:r>
      <w:r w:rsidRPr="00786A03">
        <w:rPr>
          <w:rFonts w:ascii="Times New Roman" w:hAnsi="Times New Roman"/>
        </w:rPr>
        <w:t xml:space="preserve">0,000 for a </w:t>
      </w:r>
      <w:r w:rsidR="00657332">
        <w:rPr>
          <w:rFonts w:ascii="Times New Roman" w:hAnsi="Times New Roman"/>
        </w:rPr>
        <w:t>2</w:t>
      </w:r>
      <w:r w:rsidRPr="00786A03">
        <w:rPr>
          <w:rFonts w:ascii="Times New Roman" w:hAnsi="Times New Roman"/>
        </w:rPr>
        <w:t xml:space="preserve">-year grant period to </w:t>
      </w:r>
      <w:r w:rsidR="00486D02">
        <w:rPr>
          <w:rFonts w:ascii="Times New Roman" w:hAnsi="Times New Roman"/>
        </w:rPr>
        <w:t>provide</w:t>
      </w:r>
      <w:r w:rsidRPr="00786A03">
        <w:rPr>
          <w:rFonts w:ascii="Times New Roman" w:hAnsi="Times New Roman"/>
        </w:rPr>
        <w:t xml:space="preserve"> </w:t>
      </w:r>
      <w:r w:rsidR="00486D02">
        <w:rPr>
          <w:rFonts w:ascii="Times New Roman" w:hAnsi="Times New Roman"/>
        </w:rPr>
        <w:t xml:space="preserve">technical assistance </w:t>
      </w:r>
      <w:r w:rsidRPr="00486D02" w:rsidR="00486D02">
        <w:rPr>
          <w:rFonts w:ascii="Times New Roman" w:hAnsi="Times New Roman"/>
        </w:rPr>
        <w:t>to employers and labor unions to encourage employment of women in apprenticeable occupations and nontraditional occupations</w:t>
      </w:r>
      <w:r w:rsidRPr="00486D02">
        <w:rPr>
          <w:rFonts w:ascii="Times New Roman" w:hAnsi="Times New Roman"/>
        </w:rPr>
        <w:t>, as defined in this solicitation.</w:t>
      </w:r>
      <w:r w:rsidRPr="00786A03">
        <w:rPr>
          <w:rFonts w:ascii="Times New Roman" w:hAnsi="Times New Roman"/>
        </w:rPr>
        <w:t xml:space="preserve">  </w:t>
      </w:r>
    </w:p>
    <w:p w:rsidR="00486D02" w:rsidP="00786A03" w:rsidRDefault="00486D02">
      <w:pPr>
        <w:contextualSpacing/>
        <w:rPr>
          <w:rFonts w:ascii="Times New Roman" w:hAnsi="Times New Roman"/>
        </w:rPr>
      </w:pPr>
    </w:p>
    <w:p w:rsidR="00C75DFA" w:rsidP="00C75DFA" w:rsidRDefault="00C75DFA">
      <w:pPr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  <w:r w:rsidRPr="003A0E9C">
        <w:rPr>
          <w:rFonts w:ascii="Times New Roman" w:hAnsi="Times New Roman"/>
          <w:color w:val="000000"/>
        </w:rPr>
        <w:t>Applications include the following information collections:</w:t>
      </w:r>
    </w:p>
    <w:p w:rsidRPr="003A0E9C" w:rsidR="007367A8" w:rsidP="00C75DFA" w:rsidRDefault="007367A8">
      <w:pPr>
        <w:autoSpaceDE w:val="0"/>
        <w:autoSpaceDN w:val="0"/>
        <w:adjustRightInd w:val="0"/>
        <w:contextualSpacing/>
        <w:rPr>
          <w:rFonts w:ascii="Times New Roman" w:hAnsi="Times New Roman"/>
          <w:color w:val="000000"/>
        </w:rPr>
      </w:pPr>
    </w:p>
    <w:p w:rsidR="00087FD7" w:rsidP="007367A8" w:rsidRDefault="007367A8">
      <w:pPr>
        <w:rPr>
          <w:rFonts w:ascii="Times New Roman" w:hAnsi="Times New Roman"/>
          <w:color w:val="000000"/>
        </w:rPr>
      </w:pPr>
      <w:r w:rsidRPr="007367A8">
        <w:rPr>
          <w:rFonts w:ascii="Times New Roman" w:hAnsi="Times New Roman"/>
        </w:rPr>
        <w:t xml:space="preserve"> (1) </w:t>
      </w:r>
      <w:r w:rsidR="00087FD7">
        <w:rPr>
          <w:rFonts w:ascii="Times New Roman" w:hAnsi="Times New Roman"/>
          <w:color w:val="000000"/>
        </w:rPr>
        <w:t>Form SF-424, Application for Federal Assistance and attachments (separately cleared under control number 4040-0004);</w:t>
      </w:r>
    </w:p>
    <w:p w:rsidR="00087FD7" w:rsidP="007367A8" w:rsidRDefault="007367A8">
      <w:pPr>
        <w:rPr>
          <w:rFonts w:ascii="Times New Roman" w:hAnsi="Times New Roman"/>
        </w:rPr>
      </w:pPr>
      <w:r w:rsidRPr="007367A8">
        <w:rPr>
          <w:rFonts w:ascii="Times New Roman" w:hAnsi="Times New Roman"/>
        </w:rPr>
        <w:t>(2) Project Budget;</w:t>
      </w:r>
      <w:r w:rsidR="00CE57AB">
        <w:rPr>
          <w:rFonts w:ascii="Times New Roman" w:hAnsi="Times New Roman"/>
        </w:rPr>
        <w:t xml:space="preserve"> </w:t>
      </w:r>
    </w:p>
    <w:p w:rsidRPr="007367A8" w:rsidR="00D11ED8" w:rsidP="00D11ED8" w:rsidRDefault="007367A8">
      <w:pPr>
        <w:rPr>
          <w:rFonts w:ascii="Times New Roman" w:hAnsi="Times New Roman"/>
        </w:rPr>
      </w:pPr>
      <w:r w:rsidRPr="007367A8">
        <w:rPr>
          <w:rFonts w:ascii="Times New Roman" w:hAnsi="Times New Roman"/>
        </w:rPr>
        <w:t>(3) Project Narrative</w:t>
      </w:r>
      <w:r w:rsidR="00D11ED8">
        <w:rPr>
          <w:rFonts w:ascii="Times New Roman" w:hAnsi="Times New Roman"/>
        </w:rPr>
        <w:t xml:space="preserve"> and Attachments</w:t>
      </w:r>
      <w:r w:rsidR="00C25D09">
        <w:rPr>
          <w:rFonts w:ascii="Times New Roman" w:hAnsi="Times New Roman"/>
        </w:rPr>
        <w:t>.</w:t>
      </w:r>
    </w:p>
    <w:bookmarkEnd w:id="0"/>
    <w:bookmarkEnd w:id="1"/>
    <w:bookmarkEnd w:id="2"/>
    <w:bookmarkEnd w:id="3"/>
    <w:p w:rsidRPr="008A4D9E" w:rsidR="00D23DF7" w:rsidP="00007812" w:rsidRDefault="00D23DF7">
      <w:pPr>
        <w:rPr>
          <w:rFonts w:ascii="Times New Roman" w:hAnsi="Times New Roman"/>
        </w:rPr>
      </w:pPr>
    </w:p>
    <w:p w:rsidRPr="00801461" w:rsidR="00FE5ABA" w:rsidRDefault="0040039D">
      <w:pPr>
        <w:rPr>
          <w:rFonts w:ascii="Times New Roman" w:hAnsi="Times New Roman"/>
          <w:b/>
          <w:color w:val="000000"/>
          <w:u w:val="single"/>
        </w:rPr>
      </w:pPr>
      <w:r w:rsidRPr="00801461">
        <w:rPr>
          <w:rFonts w:ascii="Times New Roman" w:hAnsi="Times New Roman"/>
          <w:b/>
          <w:color w:val="000000"/>
          <w:u w:val="single"/>
        </w:rPr>
        <w:t>Electronic avail</w:t>
      </w:r>
      <w:r w:rsidRPr="00801461" w:rsidR="00AB72EF">
        <w:rPr>
          <w:rFonts w:ascii="Times New Roman" w:hAnsi="Times New Roman"/>
          <w:b/>
          <w:color w:val="000000"/>
          <w:u w:val="single"/>
        </w:rPr>
        <w:t>ability:</w:t>
      </w:r>
    </w:p>
    <w:p w:rsidR="0040039D" w:rsidRDefault="0040039D">
      <w:pPr>
        <w:rPr>
          <w:rFonts w:ascii="Times New Roman" w:hAnsi="Times New Roman"/>
          <w:color w:val="000000"/>
        </w:rPr>
      </w:pPr>
    </w:p>
    <w:p w:rsidR="0040039D" w:rsidRDefault="0040039D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This grant solicitation is available on the grants.gov </w:t>
      </w:r>
      <w:r w:rsidR="009727A0">
        <w:rPr>
          <w:rFonts w:ascii="Times New Roman" w:hAnsi="Times New Roman"/>
          <w:color w:val="000000"/>
        </w:rPr>
        <w:t>website</w:t>
      </w:r>
      <w:r>
        <w:rPr>
          <w:rFonts w:ascii="Times New Roman" w:hAnsi="Times New Roman"/>
          <w:color w:val="000000"/>
        </w:rPr>
        <w:t>.</w:t>
      </w:r>
      <w:r w:rsidR="00A6089A">
        <w:rPr>
          <w:rFonts w:ascii="Times New Roman" w:hAnsi="Times New Roman"/>
          <w:color w:val="000000"/>
        </w:rPr>
        <w:t xml:space="preserve">  Ba</w:t>
      </w:r>
      <w:r w:rsidR="009727A0">
        <w:rPr>
          <w:rFonts w:ascii="Times New Roman" w:hAnsi="Times New Roman"/>
          <w:color w:val="000000"/>
        </w:rPr>
        <w:t xml:space="preserve">sed on past DOL experience, the </w:t>
      </w:r>
      <w:r w:rsidR="00A6089A">
        <w:rPr>
          <w:rFonts w:ascii="Times New Roman" w:hAnsi="Times New Roman"/>
          <w:color w:val="000000"/>
        </w:rPr>
        <w:t xml:space="preserve">Department anticipates </w:t>
      </w:r>
      <w:r w:rsidR="00154414">
        <w:rPr>
          <w:rFonts w:ascii="Times New Roman" w:hAnsi="Times New Roman"/>
          <w:color w:val="000000"/>
        </w:rPr>
        <w:t>8</w:t>
      </w:r>
      <w:r w:rsidR="00AF6807">
        <w:rPr>
          <w:rFonts w:ascii="Times New Roman" w:hAnsi="Times New Roman"/>
          <w:color w:val="000000"/>
        </w:rPr>
        <w:t>0</w:t>
      </w:r>
      <w:r w:rsidR="0052093F">
        <w:rPr>
          <w:rFonts w:ascii="Times New Roman" w:hAnsi="Times New Roman"/>
          <w:color w:val="000000"/>
        </w:rPr>
        <w:t xml:space="preserve"> percent of responses will be submitted electronically.</w:t>
      </w:r>
    </w:p>
    <w:p w:rsidR="00AB72EF" w:rsidRDefault="00AB72EF">
      <w:pPr>
        <w:rPr>
          <w:rFonts w:ascii="Times New Roman" w:hAnsi="Times New Roman"/>
          <w:color w:val="000000"/>
        </w:rPr>
      </w:pPr>
    </w:p>
    <w:p w:rsidRPr="001D05C3" w:rsidR="00AB72EF" w:rsidRDefault="00AB72EF">
      <w:pPr>
        <w:rPr>
          <w:rFonts w:ascii="Times New Roman" w:hAnsi="Times New Roman"/>
          <w:b/>
          <w:color w:val="000000"/>
          <w:u w:val="single"/>
        </w:rPr>
      </w:pPr>
      <w:r w:rsidRPr="001D05C3">
        <w:rPr>
          <w:rFonts w:ascii="Times New Roman" w:hAnsi="Times New Roman"/>
          <w:b/>
          <w:color w:val="000000"/>
          <w:u w:val="single"/>
        </w:rPr>
        <w:t>Small Entities:</w:t>
      </w:r>
    </w:p>
    <w:p w:rsidR="00AB72EF" w:rsidRDefault="00AB72EF">
      <w:pPr>
        <w:rPr>
          <w:rFonts w:ascii="Times New Roman" w:hAnsi="Times New Roman"/>
          <w:color w:val="000000"/>
        </w:rPr>
      </w:pPr>
    </w:p>
    <w:p w:rsidR="00AB72EF" w:rsidRDefault="001D05C3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This information collection will not have a significant impact on a substantial number of small entities.</w:t>
      </w:r>
    </w:p>
    <w:p w:rsidR="00FE5ABA" w:rsidRDefault="00FE5ABA">
      <w:pPr>
        <w:rPr>
          <w:rFonts w:ascii="Times New Roman" w:hAnsi="Times New Roman"/>
          <w:color w:val="000000"/>
        </w:rPr>
      </w:pPr>
    </w:p>
    <w:p w:rsidRPr="00DC0F3F" w:rsidR="00FE5ABA" w:rsidP="00FE5ABA" w:rsidRDefault="00FE5ABA">
      <w:pPr>
        <w:autoSpaceDE w:val="0"/>
        <w:autoSpaceDN w:val="0"/>
        <w:adjustRightInd w:val="0"/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Assurances of confidentiality:</w:t>
      </w:r>
    </w:p>
    <w:p w:rsidRPr="00DC0F3F" w:rsidR="00FE5ABA" w:rsidP="00FE5ABA" w:rsidRDefault="00FE5ABA">
      <w:pPr>
        <w:rPr>
          <w:rFonts w:ascii="Times New Roman" w:hAnsi="Times New Roman" w:cs="BookAntiqua"/>
          <w:color w:val="000000"/>
        </w:rPr>
      </w:pPr>
    </w:p>
    <w:p w:rsidRPr="00DC0F3F" w:rsidR="00FE5ABA" w:rsidP="00FE5ABA" w:rsidRDefault="00FE5ABA">
      <w:pPr>
        <w:rPr>
          <w:rFonts w:ascii="Times New Roman" w:hAnsi="Times New Roman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These grant solicitations do not offer applicants assurances of confidentiality.</w:t>
      </w:r>
    </w:p>
    <w:p w:rsidRPr="00DC0F3F" w:rsidR="00FE5ABA" w:rsidP="00FE5ABA" w:rsidRDefault="00FE5ABA">
      <w:pPr>
        <w:rPr>
          <w:rFonts w:ascii="Times New Roman" w:hAnsi="Times New Roman" w:cs="BookAntiqua"/>
          <w:color w:val="000000"/>
        </w:rPr>
      </w:pPr>
    </w:p>
    <w:p w:rsidRPr="00DC0F3F" w:rsidR="00FE5ABA" w:rsidP="00FE5ABA" w:rsidRDefault="00FE5ABA">
      <w:pPr>
        <w:rPr>
          <w:rFonts w:ascii="Times New Roman" w:hAnsi="Times New Roman" w:cs="BookAntiqua"/>
          <w:b/>
          <w:color w:val="000000"/>
          <w:u w:val="single"/>
        </w:rPr>
      </w:pPr>
      <w:r w:rsidRPr="00DC0F3F">
        <w:rPr>
          <w:rFonts w:ascii="Times New Roman" w:hAnsi="Times New Roman" w:cs="BookAntiqua"/>
          <w:b/>
          <w:color w:val="000000"/>
          <w:u w:val="single"/>
        </w:rPr>
        <w:t>Special circumstances:</w:t>
      </w:r>
    </w:p>
    <w:p w:rsidRPr="00DC0F3F" w:rsidR="00FE5ABA" w:rsidP="00FE5ABA" w:rsidRDefault="00FE5ABA">
      <w:pPr>
        <w:rPr>
          <w:rFonts w:ascii="Times New Roman" w:hAnsi="Times New Roman" w:cs="BookAntiqua"/>
          <w:color w:val="000000"/>
        </w:rPr>
      </w:pPr>
    </w:p>
    <w:p w:rsidRPr="00DC0F3F" w:rsidR="00FE5ABA" w:rsidP="00FE5ABA" w:rsidRDefault="003D4723">
      <w:pPr>
        <w:rPr>
          <w:rFonts w:ascii="Times New Roman" w:hAnsi="Times New Roman" w:cs="BookAntiqua"/>
          <w:color w:val="000000"/>
        </w:rPr>
      </w:pPr>
      <w:r>
        <w:rPr>
          <w:rFonts w:ascii="Times New Roman" w:hAnsi="Times New Roman" w:cs="BookAntiqua"/>
          <w:color w:val="000000"/>
        </w:rPr>
        <w:t xml:space="preserve">This </w:t>
      </w:r>
      <w:r w:rsidR="008A53ED">
        <w:rPr>
          <w:rFonts w:ascii="Times New Roman" w:hAnsi="Times New Roman" w:cs="BookAntiqua"/>
          <w:color w:val="000000"/>
        </w:rPr>
        <w:t>FOA</w:t>
      </w:r>
      <w:r>
        <w:rPr>
          <w:rFonts w:ascii="Times New Roman" w:hAnsi="Times New Roman" w:cs="BookAntiqua"/>
          <w:color w:val="000000"/>
        </w:rPr>
        <w:t xml:space="preserve"> implicates no special circumstances</w:t>
      </w:r>
      <w:r w:rsidR="001E7AE4">
        <w:rPr>
          <w:rFonts w:ascii="Times New Roman" w:hAnsi="Times New Roman" w:cs="BookAntiqua"/>
          <w:color w:val="000000"/>
        </w:rPr>
        <w:t>.</w:t>
      </w:r>
    </w:p>
    <w:p w:rsidR="00FE5ABA" w:rsidP="00121336" w:rsidRDefault="00FE5ABA">
      <w:pPr>
        <w:rPr>
          <w:rFonts w:ascii="Times New Roman" w:hAnsi="Times New Roman"/>
          <w:b/>
          <w:color w:val="000000"/>
          <w:u w:val="single"/>
        </w:rPr>
      </w:pPr>
    </w:p>
    <w:p w:rsidR="009727A0" w:rsidP="00121336" w:rsidRDefault="009727A0">
      <w:pPr>
        <w:rPr>
          <w:rFonts w:ascii="Times New Roman" w:hAnsi="Times New Roman"/>
          <w:b/>
          <w:color w:val="000000"/>
          <w:u w:val="single"/>
        </w:rPr>
      </w:pPr>
    </w:p>
    <w:p w:rsidRPr="00AD4178" w:rsidR="00AD4178" w:rsidP="00121336" w:rsidRDefault="00AD4178">
      <w:pPr>
        <w:rPr>
          <w:rFonts w:ascii="Times New Roman" w:hAnsi="Times New Roman"/>
          <w:b/>
          <w:color w:val="000000"/>
          <w:u w:val="single"/>
        </w:rPr>
      </w:pPr>
      <w:r w:rsidRPr="00AD4178">
        <w:rPr>
          <w:rFonts w:ascii="Times New Roman" w:hAnsi="Times New Roman"/>
          <w:b/>
          <w:color w:val="000000"/>
          <w:u w:val="single"/>
        </w:rPr>
        <w:lastRenderedPageBreak/>
        <w:t>Burden:</w:t>
      </w:r>
    </w:p>
    <w:p w:rsidR="00C80A99" w:rsidP="00121336" w:rsidRDefault="00C80A99">
      <w:pPr>
        <w:rPr>
          <w:rFonts w:ascii="Times New Roman" w:hAnsi="Times New Roman"/>
          <w:color w:val="000000"/>
        </w:rPr>
      </w:pPr>
    </w:p>
    <w:p w:rsidR="00CF56F9" w:rsidP="00CF56F9" w:rsidRDefault="00121336">
      <w:pPr>
        <w:rPr>
          <w:rFonts w:ascii="Times New Roman" w:hAnsi="Times New Roman"/>
          <w:color w:val="000000"/>
        </w:rPr>
      </w:pPr>
      <w:r w:rsidRPr="00DC0F3F">
        <w:rPr>
          <w:rFonts w:ascii="Times New Roman" w:hAnsi="Times New Roman"/>
          <w:color w:val="000000"/>
        </w:rPr>
        <w:t xml:space="preserve">Based on past </w:t>
      </w:r>
      <w:r w:rsidR="00395DE3">
        <w:rPr>
          <w:rFonts w:ascii="Times New Roman" w:hAnsi="Times New Roman"/>
          <w:color w:val="000000"/>
        </w:rPr>
        <w:t>experience</w:t>
      </w:r>
      <w:r w:rsidRPr="00DC0F3F">
        <w:rPr>
          <w:rFonts w:ascii="Times New Roman" w:hAnsi="Times New Roman"/>
          <w:color w:val="000000"/>
        </w:rPr>
        <w:t xml:space="preserve">, DOL </w:t>
      </w:r>
      <w:r w:rsidRPr="00DC0F3F" w:rsidR="00696D63">
        <w:rPr>
          <w:rFonts w:ascii="Times New Roman" w:hAnsi="Times New Roman"/>
          <w:color w:val="000000"/>
        </w:rPr>
        <w:t>expect</w:t>
      </w:r>
      <w:r w:rsidR="00395DE3">
        <w:rPr>
          <w:rFonts w:ascii="Times New Roman" w:hAnsi="Times New Roman"/>
          <w:color w:val="000000"/>
        </w:rPr>
        <w:t>s</w:t>
      </w:r>
      <w:r w:rsidRPr="00DC0F3F" w:rsidR="00696D63">
        <w:rPr>
          <w:rFonts w:ascii="Times New Roman" w:hAnsi="Times New Roman"/>
          <w:color w:val="000000"/>
        </w:rPr>
        <w:t xml:space="preserve"> to receive approximately</w:t>
      </w:r>
      <w:r w:rsidR="00184D91">
        <w:rPr>
          <w:rFonts w:ascii="Times New Roman" w:hAnsi="Times New Roman"/>
          <w:color w:val="000000"/>
        </w:rPr>
        <w:t xml:space="preserve"> </w:t>
      </w:r>
      <w:r w:rsidR="006F560F">
        <w:rPr>
          <w:rFonts w:ascii="Times New Roman" w:hAnsi="Times New Roman"/>
          <w:color w:val="000000"/>
        </w:rPr>
        <w:t>45</w:t>
      </w:r>
      <w:r w:rsidR="00786A03">
        <w:rPr>
          <w:rFonts w:ascii="Times New Roman" w:hAnsi="Times New Roman"/>
          <w:color w:val="000000"/>
        </w:rPr>
        <w:t xml:space="preserve"> </w:t>
      </w:r>
      <w:r w:rsidRPr="00DC0F3F">
        <w:rPr>
          <w:rFonts w:ascii="Times New Roman" w:hAnsi="Times New Roman"/>
          <w:color w:val="000000"/>
        </w:rPr>
        <w:t>applica</w:t>
      </w:r>
      <w:r w:rsidRPr="00DC0F3F" w:rsidR="00696D63">
        <w:rPr>
          <w:rFonts w:ascii="Times New Roman" w:hAnsi="Times New Roman"/>
          <w:color w:val="000000"/>
        </w:rPr>
        <w:t xml:space="preserve">tions.  </w:t>
      </w:r>
      <w:r w:rsidR="000F79D4">
        <w:rPr>
          <w:rFonts w:ascii="Times New Roman" w:hAnsi="Times New Roman"/>
          <w:color w:val="000000"/>
        </w:rPr>
        <w:t>ETA estimates p</w:t>
      </w:r>
      <w:r w:rsidRPr="00DC0F3F" w:rsidR="00CF56F9">
        <w:rPr>
          <w:rFonts w:ascii="Times New Roman" w:hAnsi="Times New Roman"/>
          <w:color w:val="000000"/>
        </w:rPr>
        <w:t xml:space="preserve">ublic reporting burden for </w:t>
      </w:r>
      <w:r w:rsidR="007F3251">
        <w:rPr>
          <w:rFonts w:ascii="Times New Roman" w:hAnsi="Times New Roman"/>
          <w:color w:val="000000"/>
        </w:rPr>
        <w:t>the information collection</w:t>
      </w:r>
      <w:r w:rsidRPr="00DC0F3F" w:rsidR="00CF56F9">
        <w:rPr>
          <w:rFonts w:ascii="Times New Roman" w:hAnsi="Times New Roman"/>
          <w:color w:val="000000"/>
        </w:rPr>
        <w:t xml:space="preserve"> to average 20 hours per response for reviewing instructions, searching existing data sources, gathering and maintaining </w:t>
      </w:r>
      <w:r w:rsidR="006518AB">
        <w:rPr>
          <w:rFonts w:ascii="Times New Roman" w:hAnsi="Times New Roman"/>
          <w:color w:val="000000"/>
        </w:rPr>
        <w:t>needed</w:t>
      </w:r>
      <w:r w:rsidRPr="00DC0F3F" w:rsidR="00CF56F9">
        <w:rPr>
          <w:rFonts w:ascii="Times New Roman" w:hAnsi="Times New Roman"/>
          <w:color w:val="000000"/>
        </w:rPr>
        <w:t xml:space="preserve"> data, and completing and reviewing the collection of information</w:t>
      </w:r>
      <w:r w:rsidR="00785449">
        <w:rPr>
          <w:rFonts w:ascii="Times New Roman" w:hAnsi="Times New Roman"/>
          <w:color w:val="000000"/>
        </w:rPr>
        <w:t>.</w:t>
      </w:r>
    </w:p>
    <w:p w:rsidR="00C80A99" w:rsidP="00121336" w:rsidRDefault="00C80A99">
      <w:pPr>
        <w:rPr>
          <w:rFonts w:ascii="Times New Roman" w:hAnsi="Times New Roman"/>
          <w:color w:val="000000"/>
        </w:rPr>
      </w:pPr>
    </w:p>
    <w:tbl>
      <w:tblPr>
        <w:tblStyle w:val="TableGrid1"/>
        <w:tblpPr w:leftFromText="176" w:rightFromText="176" w:vertAnchor="page" w:horzAnchor="margin" w:tblpY="3466"/>
        <w:tblW w:w="8550" w:type="dxa"/>
        <w:tblBorders>
          <w:top w:val="single" w:color="auto" w:sz="3" w:space="0"/>
          <w:left w:val="single" w:color="auto" w:sz="3" w:space="0"/>
          <w:bottom w:val="single" w:color="auto" w:sz="3" w:space="0"/>
          <w:right w:val="single" w:color="auto" w:sz="3" w:space="0"/>
          <w:insideH w:val="single" w:color="auto" w:sz="3" w:space="0"/>
          <w:insideV w:val="single" w:color="auto" w:sz="3" w:space="0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40"/>
        <w:gridCol w:w="1350"/>
        <w:gridCol w:w="1170"/>
        <w:gridCol w:w="1260"/>
        <w:gridCol w:w="1080"/>
        <w:gridCol w:w="1170"/>
        <w:gridCol w:w="1080"/>
      </w:tblGrid>
      <w:tr w:rsidRPr="004F382A" w:rsidR="00C80A99" w:rsidTr="00C80A99">
        <w:trPr>
          <w:trHeight w:val="1045"/>
        </w:trPr>
        <w:tc>
          <w:tcPr>
            <w:tcW w:w="144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No. of Respondents</w:t>
            </w:r>
          </w:p>
        </w:tc>
        <w:tc>
          <w:tcPr>
            <w:tcW w:w="135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No. of Responses per Respondent</w:t>
            </w:r>
          </w:p>
        </w:tc>
        <w:tc>
          <w:tcPr>
            <w:tcW w:w="117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Total Number of Responses</w:t>
            </w:r>
          </w:p>
        </w:tc>
        <w:tc>
          <w:tcPr>
            <w:tcW w:w="126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Avg. Burden per Response</w:t>
            </w:r>
          </w:p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(In hrs.)</w:t>
            </w:r>
          </w:p>
        </w:tc>
        <w:tc>
          <w:tcPr>
            <w:tcW w:w="108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Total Burden</w:t>
            </w:r>
          </w:p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 xml:space="preserve">Hours </w:t>
            </w:r>
          </w:p>
        </w:tc>
        <w:tc>
          <w:tcPr>
            <w:tcW w:w="117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Avg. Hourly Wage</w:t>
            </w:r>
            <w:r w:rsidRPr="004F382A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 w:rsidRPr="004F382A">
              <w:rPr>
                <w:rFonts w:ascii="Times New Roman" w:hAnsi="Times New Roman"/>
                <w:sz w:val="22"/>
                <w:szCs w:val="22"/>
              </w:rPr>
              <w:t>Total Burden Costs</w:t>
            </w:r>
          </w:p>
        </w:tc>
      </w:tr>
      <w:tr w:rsidRPr="004F382A" w:rsidR="00C80A99" w:rsidTr="00C80A99">
        <w:tc>
          <w:tcPr>
            <w:tcW w:w="144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35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117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126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08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900</w:t>
            </w:r>
          </w:p>
        </w:tc>
        <w:tc>
          <w:tcPr>
            <w:tcW w:w="117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$42.53</w:t>
            </w:r>
          </w:p>
        </w:tc>
        <w:tc>
          <w:tcPr>
            <w:tcW w:w="1080" w:type="dxa"/>
          </w:tcPr>
          <w:p w:rsidRPr="004F382A" w:rsidR="00C80A99" w:rsidP="00C80A99" w:rsidRDefault="00C80A99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$38,277</w:t>
            </w:r>
          </w:p>
        </w:tc>
      </w:tr>
    </w:tbl>
    <w:p w:rsidR="0052093F" w:rsidP="0052093F" w:rsidRDefault="0052093F">
      <w:pPr>
        <w:rPr>
          <w:rFonts w:ascii="Times New Roman" w:hAnsi="Times New Roman"/>
          <w:color w:val="000000"/>
        </w:rPr>
      </w:pPr>
    </w:p>
    <w:p w:rsidR="00C80A99" w:rsidP="0052093F" w:rsidRDefault="00C80A99">
      <w:pPr>
        <w:rPr>
          <w:rFonts w:ascii="Times New Roman" w:hAnsi="Times New Roman"/>
          <w:color w:val="000000"/>
        </w:rPr>
      </w:pPr>
    </w:p>
    <w:p w:rsidR="00C80A99" w:rsidP="0052093F" w:rsidRDefault="00C80A99">
      <w:pPr>
        <w:rPr>
          <w:rFonts w:ascii="Times New Roman" w:hAnsi="Times New Roman"/>
          <w:color w:val="000000"/>
        </w:rPr>
      </w:pPr>
    </w:p>
    <w:p w:rsidR="00C80A99" w:rsidP="0052093F" w:rsidRDefault="00C80A99">
      <w:pPr>
        <w:rPr>
          <w:rFonts w:ascii="Times New Roman" w:hAnsi="Times New Roman"/>
          <w:color w:val="000000"/>
        </w:rPr>
      </w:pPr>
    </w:p>
    <w:p w:rsidR="00C80A99" w:rsidP="0052093F" w:rsidRDefault="00C80A99">
      <w:pPr>
        <w:rPr>
          <w:rFonts w:ascii="Times New Roman" w:hAnsi="Times New Roman"/>
          <w:color w:val="000000"/>
        </w:rPr>
      </w:pPr>
    </w:p>
    <w:p w:rsidR="00C80A99" w:rsidP="0052093F" w:rsidRDefault="00C80A99">
      <w:pPr>
        <w:rPr>
          <w:rFonts w:ascii="Times New Roman" w:hAnsi="Times New Roman"/>
          <w:color w:val="000000"/>
        </w:rPr>
      </w:pPr>
    </w:p>
    <w:p w:rsidR="00151ACE" w:rsidP="00121336" w:rsidRDefault="005B7FF7">
      <w:pPr>
        <w:rPr>
          <w:rFonts w:ascii="Times New Roman" w:hAnsi="Times New Roman"/>
          <w:color w:val="000000"/>
        </w:rPr>
      </w:pPr>
      <w:r w:rsidRPr="007A53BC">
        <w:rPr>
          <w:rFonts w:ascii="Times New Roman" w:hAnsi="Times New Roman"/>
          <w:color w:val="000000"/>
        </w:rPr>
        <w:t xml:space="preserve">DOL has increased the </w:t>
      </w:r>
      <w:r>
        <w:rPr>
          <w:rFonts w:ascii="Times New Roman" w:hAnsi="Times New Roman"/>
          <w:color w:val="000000"/>
        </w:rPr>
        <w:t>Oct</w:t>
      </w:r>
      <w:r w:rsidR="004D6A16">
        <w:rPr>
          <w:rFonts w:ascii="Times New Roman" w:hAnsi="Times New Roman"/>
          <w:color w:val="000000"/>
        </w:rPr>
        <w:t>o</w:t>
      </w:r>
      <w:r>
        <w:rPr>
          <w:rFonts w:ascii="Times New Roman" w:hAnsi="Times New Roman"/>
          <w:color w:val="000000"/>
        </w:rPr>
        <w:t xml:space="preserve">ber </w:t>
      </w:r>
      <w:r w:rsidR="008B4366">
        <w:rPr>
          <w:rFonts w:ascii="Times New Roman" w:hAnsi="Times New Roman"/>
          <w:color w:val="000000"/>
        </w:rPr>
        <w:t>2013</w:t>
      </w:r>
      <w:r w:rsidR="004D6A16">
        <w:rPr>
          <w:rFonts w:ascii="Times New Roman" w:hAnsi="Times New Roman"/>
          <w:color w:val="000000"/>
        </w:rPr>
        <w:t xml:space="preserve"> av</w:t>
      </w:r>
      <w:r w:rsidR="00A90621">
        <w:rPr>
          <w:rFonts w:ascii="Times New Roman" w:hAnsi="Times New Roman"/>
          <w:color w:val="000000"/>
        </w:rPr>
        <w:t>erage hourly earnings in the pro</w:t>
      </w:r>
      <w:r w:rsidR="0038567C">
        <w:rPr>
          <w:rFonts w:ascii="Times New Roman" w:hAnsi="Times New Roman"/>
          <w:color w:val="000000"/>
        </w:rPr>
        <w:t>fessional</w:t>
      </w:r>
      <w:r w:rsidR="004D6A16">
        <w:rPr>
          <w:rFonts w:ascii="Times New Roman" w:hAnsi="Times New Roman"/>
          <w:color w:val="000000"/>
        </w:rPr>
        <w:t xml:space="preserve"> and </w:t>
      </w:r>
      <w:r w:rsidR="00184D91">
        <w:rPr>
          <w:rFonts w:ascii="Times New Roman" w:hAnsi="Times New Roman"/>
          <w:color w:val="000000"/>
        </w:rPr>
        <w:t>business services industry</w:t>
      </w:r>
      <w:r w:rsidR="001C66A7">
        <w:rPr>
          <w:rFonts w:ascii="Times New Roman" w:hAnsi="Times New Roman"/>
          <w:color w:val="000000"/>
        </w:rPr>
        <w:t xml:space="preserve"> of</w:t>
      </w:r>
      <w:r w:rsidR="00184D91">
        <w:rPr>
          <w:rFonts w:ascii="Times New Roman" w:hAnsi="Times New Roman"/>
          <w:color w:val="000000"/>
        </w:rPr>
        <w:t xml:space="preserve"> </w:t>
      </w:r>
      <w:r w:rsidR="00AB60AC">
        <w:rPr>
          <w:rFonts w:ascii="Times New Roman" w:hAnsi="Times New Roman"/>
          <w:color w:val="000000"/>
        </w:rPr>
        <w:t>$</w:t>
      </w:r>
      <w:r w:rsidR="001C66A7">
        <w:rPr>
          <w:rFonts w:ascii="Times New Roman" w:hAnsi="Times New Roman"/>
          <w:color w:val="000000"/>
        </w:rPr>
        <w:t xml:space="preserve">30.38 by 40 percent (total </w:t>
      </w:r>
      <w:r w:rsidR="00BC3547">
        <w:rPr>
          <w:rFonts w:ascii="Times New Roman" w:hAnsi="Times New Roman"/>
          <w:color w:val="000000"/>
        </w:rPr>
        <w:t xml:space="preserve">$42.53) </w:t>
      </w:r>
      <w:r w:rsidR="0038567C">
        <w:rPr>
          <w:rFonts w:ascii="Times New Roman" w:hAnsi="Times New Roman"/>
          <w:color w:val="000000"/>
        </w:rPr>
        <w:t xml:space="preserve">to </w:t>
      </w:r>
      <w:r w:rsidR="00C73B50">
        <w:rPr>
          <w:rFonts w:ascii="Times New Roman" w:hAnsi="Times New Roman"/>
          <w:color w:val="000000"/>
        </w:rPr>
        <w:t>monetiz</w:t>
      </w:r>
      <w:r w:rsidR="0038567C">
        <w:rPr>
          <w:rFonts w:ascii="Times New Roman" w:hAnsi="Times New Roman"/>
          <w:color w:val="000000"/>
        </w:rPr>
        <w:t>e</w:t>
      </w:r>
      <w:r w:rsidR="00AB60AC">
        <w:rPr>
          <w:rFonts w:ascii="Times New Roman" w:hAnsi="Times New Roman"/>
          <w:color w:val="000000"/>
        </w:rPr>
        <w:t xml:space="preserve"> this burden.</w:t>
      </w:r>
      <w:r w:rsidR="000C67BB">
        <w:rPr>
          <w:rFonts w:ascii="Times New Roman" w:hAnsi="Times New Roman"/>
          <w:color w:val="000000"/>
        </w:rPr>
        <w:t xml:space="preserve">  </w:t>
      </w:r>
      <w:r w:rsidR="000C67BB">
        <w:rPr>
          <w:rFonts w:ascii="Times New Roman" w:hAnsi="Times New Roman"/>
          <w:i/>
          <w:color w:val="000000"/>
        </w:rPr>
        <w:t>See</w:t>
      </w:r>
      <w:r w:rsidR="009959D2">
        <w:rPr>
          <w:rFonts w:ascii="Times New Roman" w:hAnsi="Times New Roman"/>
          <w:i/>
          <w:color w:val="000000"/>
        </w:rPr>
        <w:t xml:space="preserve"> The Employment Situation—</w:t>
      </w:r>
      <w:r>
        <w:rPr>
          <w:rFonts w:ascii="Times New Roman" w:hAnsi="Times New Roman"/>
          <w:i/>
          <w:color w:val="000000"/>
        </w:rPr>
        <w:t>December</w:t>
      </w:r>
      <w:r w:rsidR="0085052C">
        <w:rPr>
          <w:rFonts w:ascii="Times New Roman" w:hAnsi="Times New Roman"/>
          <w:i/>
          <w:color w:val="000000"/>
        </w:rPr>
        <w:t xml:space="preserve"> </w:t>
      </w:r>
      <w:r w:rsidR="009959D2">
        <w:rPr>
          <w:rFonts w:ascii="Times New Roman" w:hAnsi="Times New Roman"/>
          <w:i/>
          <w:color w:val="000000"/>
        </w:rPr>
        <w:t>201</w:t>
      </w:r>
      <w:r w:rsidR="0085052C">
        <w:rPr>
          <w:rFonts w:ascii="Times New Roman" w:hAnsi="Times New Roman"/>
          <w:i/>
          <w:color w:val="000000"/>
        </w:rPr>
        <w:t>3</w:t>
      </w:r>
      <w:r w:rsidR="009959D2">
        <w:rPr>
          <w:rFonts w:ascii="Times New Roman" w:hAnsi="Times New Roman"/>
          <w:color w:val="000000"/>
        </w:rPr>
        <w:t xml:space="preserve">, </w:t>
      </w:r>
      <w:r w:rsidR="002828B5">
        <w:rPr>
          <w:rFonts w:ascii="Times New Roman" w:hAnsi="Times New Roman"/>
          <w:color w:val="000000"/>
        </w:rPr>
        <w:t xml:space="preserve">DOL, </w:t>
      </w:r>
      <w:r w:rsidR="009959D2">
        <w:rPr>
          <w:rFonts w:ascii="Times New Roman" w:hAnsi="Times New Roman"/>
          <w:color w:val="000000"/>
        </w:rPr>
        <w:t>Bureau of Labor Statistics,</w:t>
      </w:r>
      <w:r w:rsidR="00157F4B">
        <w:rPr>
          <w:rFonts w:ascii="Times New Roman" w:hAnsi="Times New Roman"/>
          <w:color w:val="000000"/>
        </w:rPr>
        <w:t xml:space="preserve"> </w:t>
      </w:r>
      <w:hyperlink w:history="1" r:id="rId7">
        <w:r w:rsidRPr="008E6CF8" w:rsidR="0085052C">
          <w:rPr>
            <w:rStyle w:val="Hyperlink"/>
            <w:rFonts w:ascii="Times New Roman" w:hAnsi="Times New Roman"/>
          </w:rPr>
          <w:t>http://www.bls.gov/news.release/archives/empsit_01102014.pdf</w:t>
        </w:r>
      </w:hyperlink>
      <w:r w:rsidR="0085052C">
        <w:rPr>
          <w:rFonts w:ascii="Times New Roman" w:hAnsi="Times New Roman"/>
          <w:color w:val="000000"/>
        </w:rPr>
        <w:t xml:space="preserve"> </w:t>
      </w:r>
      <w:r w:rsidR="000C67BB">
        <w:rPr>
          <w:rFonts w:ascii="Times New Roman" w:hAnsi="Times New Roman"/>
          <w:color w:val="000000"/>
        </w:rPr>
        <w:t>at 3</w:t>
      </w:r>
      <w:r w:rsidR="0085052C">
        <w:rPr>
          <w:rFonts w:ascii="Times New Roman" w:hAnsi="Times New Roman"/>
          <w:color w:val="000000"/>
        </w:rPr>
        <w:t>5</w:t>
      </w:r>
      <w:r w:rsidR="000C67BB">
        <w:rPr>
          <w:rFonts w:ascii="Times New Roman" w:hAnsi="Times New Roman"/>
          <w:color w:val="000000"/>
        </w:rPr>
        <w:t>.</w:t>
      </w:r>
    </w:p>
    <w:p w:rsidR="001853BB" w:rsidP="00121336" w:rsidRDefault="001853BB">
      <w:pPr>
        <w:rPr>
          <w:rFonts w:ascii="Times New Roman" w:hAnsi="Times New Roman"/>
          <w:color w:val="000000"/>
        </w:rPr>
      </w:pPr>
    </w:p>
    <w:p w:rsidRPr="00C80A99" w:rsidR="00C93432" w:rsidP="00121336" w:rsidRDefault="00486785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DOL associates no other burden costs with this information collection.</w:t>
      </w:r>
      <w:r w:rsidR="009F7376">
        <w:rPr>
          <w:rFonts w:ascii="Times New Roman" w:hAnsi="Times New Roman"/>
          <w:color w:val="000000"/>
        </w:rPr>
        <w:t xml:space="preserve">  In addition to the application, e</w:t>
      </w:r>
      <w:r w:rsidRPr="00DC0F3F" w:rsidR="009F7376">
        <w:rPr>
          <w:rFonts w:ascii="Times New Roman" w:hAnsi="Times New Roman"/>
          <w:color w:val="000000"/>
        </w:rPr>
        <w:t xml:space="preserve">ach </w:t>
      </w:r>
      <w:r w:rsidR="009F7376">
        <w:rPr>
          <w:rFonts w:ascii="Times New Roman" w:hAnsi="Times New Roman"/>
          <w:color w:val="000000"/>
        </w:rPr>
        <w:t>grantee</w:t>
      </w:r>
      <w:r w:rsidRPr="00DC0F3F" w:rsidR="009F7376">
        <w:rPr>
          <w:rFonts w:ascii="Times New Roman" w:hAnsi="Times New Roman"/>
          <w:color w:val="000000"/>
        </w:rPr>
        <w:t xml:space="preserve"> will be required to submit </w:t>
      </w:r>
      <w:r w:rsidR="009F7376">
        <w:rPr>
          <w:rFonts w:ascii="Times New Roman" w:hAnsi="Times New Roman"/>
          <w:color w:val="000000"/>
        </w:rPr>
        <w:t xml:space="preserve">quarterly financial, performance, and narrative </w:t>
      </w:r>
      <w:r w:rsidRPr="00DC0F3F" w:rsidR="009F7376">
        <w:rPr>
          <w:rFonts w:ascii="Times New Roman" w:hAnsi="Times New Roman"/>
          <w:color w:val="000000"/>
        </w:rPr>
        <w:t xml:space="preserve">reports to </w:t>
      </w:r>
      <w:r w:rsidR="009F7376">
        <w:rPr>
          <w:rFonts w:ascii="Times New Roman" w:hAnsi="Times New Roman"/>
          <w:color w:val="000000"/>
        </w:rPr>
        <w:t xml:space="preserve">the </w:t>
      </w:r>
      <w:r w:rsidR="00C23C2E">
        <w:rPr>
          <w:rFonts w:ascii="Times New Roman" w:hAnsi="Times New Roman"/>
          <w:color w:val="000000"/>
        </w:rPr>
        <w:t>WB</w:t>
      </w:r>
      <w:r w:rsidRPr="00DC0F3F" w:rsidR="009F7376">
        <w:rPr>
          <w:rFonts w:ascii="Times New Roman" w:hAnsi="Times New Roman"/>
          <w:color w:val="000000"/>
        </w:rPr>
        <w:t>.</w:t>
      </w:r>
      <w:r w:rsidR="009F7376">
        <w:rPr>
          <w:rFonts w:ascii="Times New Roman" w:hAnsi="Times New Roman"/>
          <w:color w:val="000000"/>
        </w:rPr>
        <w:t xml:space="preserve">  Those information collection requirements will be cleared under a separate control number.</w:t>
      </w:r>
      <w:bookmarkStart w:name="_GoBack" w:id="4"/>
      <w:bookmarkEnd w:id="4"/>
    </w:p>
    <w:p w:rsidR="002A0046" w:rsidP="007254DE" w:rsidRDefault="002A0046">
      <w:pPr>
        <w:rPr>
          <w:rFonts w:ascii="Times New Roman" w:hAnsi="Times New Roman" w:cs="BookAntiqua"/>
          <w:b/>
          <w:color w:val="000000"/>
          <w:u w:val="single"/>
        </w:rPr>
      </w:pPr>
    </w:p>
    <w:p w:rsidRPr="001853BB" w:rsidR="007254DE" w:rsidP="007254DE" w:rsidRDefault="00C328FF">
      <w:pPr>
        <w:rPr>
          <w:rFonts w:ascii="Times New Roman" w:hAnsi="Times New Roman" w:cs="BookAntiqua"/>
          <w:b/>
          <w:i/>
          <w:color w:val="000000"/>
          <w:u w:val="single"/>
        </w:rPr>
      </w:pPr>
      <w:r>
        <w:rPr>
          <w:rFonts w:ascii="Times New Roman" w:hAnsi="Times New Roman" w:cs="BookAntiqua"/>
          <w:b/>
          <w:i/>
          <w:color w:val="000000"/>
          <w:u w:val="single"/>
        </w:rPr>
        <w:t xml:space="preserve">Supplemental </w:t>
      </w:r>
      <w:r w:rsidRPr="001853BB" w:rsidR="007254DE">
        <w:rPr>
          <w:rFonts w:ascii="Times New Roman" w:hAnsi="Times New Roman" w:cs="BookAntiqua"/>
          <w:b/>
          <w:i/>
          <w:color w:val="000000"/>
          <w:u w:val="single"/>
        </w:rPr>
        <w:t>Supporting Statement B</w:t>
      </w:r>
      <w:r w:rsidRPr="001853BB" w:rsidR="001853BB">
        <w:rPr>
          <w:rFonts w:ascii="Times New Roman" w:hAnsi="Times New Roman" w:cs="BookAntiqua"/>
          <w:b/>
          <w:i/>
          <w:color w:val="000000"/>
          <w:u w:val="single"/>
        </w:rPr>
        <w:t>:</w:t>
      </w:r>
      <w:r w:rsidRPr="001853BB" w:rsidR="007254DE">
        <w:rPr>
          <w:rFonts w:ascii="Times New Roman" w:hAnsi="Times New Roman" w:cs="BookAntiqua"/>
          <w:b/>
          <w:i/>
          <w:color w:val="000000"/>
          <w:u w:val="single"/>
        </w:rPr>
        <w:t xml:space="preserve"> Statistical Methods</w:t>
      </w:r>
    </w:p>
    <w:p w:rsidRPr="00DC0F3F" w:rsidR="007254DE" w:rsidP="007254DE" w:rsidRDefault="007254DE">
      <w:pPr>
        <w:rPr>
          <w:rFonts w:ascii="Times New Roman" w:hAnsi="Times New Roman" w:cs="BookAntiqua"/>
          <w:color w:val="000000"/>
        </w:rPr>
      </w:pPr>
    </w:p>
    <w:p w:rsidRPr="00A10611" w:rsidR="00121336" w:rsidRDefault="007254DE">
      <w:pPr>
        <w:rPr>
          <w:rFonts w:ascii="Times New Roman" w:hAnsi="Times New Roman" w:cs="BookAntiqua"/>
          <w:color w:val="000000"/>
        </w:rPr>
      </w:pPr>
      <w:r w:rsidRPr="00DC0F3F">
        <w:rPr>
          <w:rFonts w:ascii="Times New Roman" w:hAnsi="Times New Roman" w:cs="BookAntiqua"/>
          <w:color w:val="000000"/>
        </w:rPr>
        <w:t>This information collection does not employ statistical methods.</w:t>
      </w:r>
    </w:p>
    <w:sectPr w:rsidRPr="00A10611" w:rsidR="00121336" w:rsidSect="0052093F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FBC" w:rsidRDefault="00976FBC">
      <w:r>
        <w:separator/>
      </w:r>
    </w:p>
  </w:endnote>
  <w:endnote w:type="continuationSeparator" w:id="0">
    <w:p w:rsidR="00976FBC" w:rsidRDefault="00976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B58" w:rsidRDefault="00320B58" w:rsidP="001D4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20B58" w:rsidRDefault="00320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0B58" w:rsidRDefault="00320B58" w:rsidP="001D4E4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80A99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320B58" w:rsidRDefault="00320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FBC" w:rsidRDefault="00976FBC">
      <w:r>
        <w:separator/>
      </w:r>
    </w:p>
  </w:footnote>
  <w:footnote w:type="continuationSeparator" w:id="0">
    <w:p w:rsidR="00976FBC" w:rsidRDefault="00976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7225A"/>
    <w:multiLevelType w:val="hybridMultilevel"/>
    <w:tmpl w:val="5E0C7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24AE0"/>
    <w:multiLevelType w:val="hybridMultilevel"/>
    <w:tmpl w:val="B29228A0"/>
    <w:lvl w:ilvl="0" w:tplc="F12EF82E">
      <w:start w:val="1"/>
      <w:numFmt w:val="upperRoman"/>
      <w:lvlText w:val="%1."/>
      <w:lvlJc w:val="left"/>
      <w:pPr>
        <w:ind w:left="720" w:hanging="720"/>
      </w:pPr>
      <w:rPr>
        <w:b/>
        <w:strike w:val="0"/>
        <w:dstrike w:val="0"/>
        <w:color w:val="auto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AAB16F2"/>
    <w:multiLevelType w:val="hybridMultilevel"/>
    <w:tmpl w:val="5C6287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B00DE"/>
    <w:multiLevelType w:val="hybridMultilevel"/>
    <w:tmpl w:val="D3CE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60985"/>
    <w:multiLevelType w:val="hybridMultilevel"/>
    <w:tmpl w:val="BB4E20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545E4"/>
    <w:multiLevelType w:val="hybridMultilevel"/>
    <w:tmpl w:val="B0DA1F8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5">
      <w:start w:val="1"/>
      <w:numFmt w:val="upp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BA40B12"/>
    <w:multiLevelType w:val="hybridMultilevel"/>
    <w:tmpl w:val="B342A3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0915ED4"/>
    <w:multiLevelType w:val="hybridMultilevel"/>
    <w:tmpl w:val="D2E05816"/>
    <w:lvl w:ilvl="0" w:tplc="A8BE21F8">
      <w:start w:val="1"/>
      <w:numFmt w:val="upperLetter"/>
      <w:lvlText w:val="%1."/>
      <w:lvlJc w:val="left"/>
      <w:pPr>
        <w:ind w:left="450" w:hanging="360"/>
      </w:pPr>
      <w:rPr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12315"/>
    <w:multiLevelType w:val="hybridMultilevel"/>
    <w:tmpl w:val="49D01E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4706CF"/>
    <w:multiLevelType w:val="hybridMultilevel"/>
    <w:tmpl w:val="B810E26E"/>
    <w:lvl w:ilvl="0" w:tplc="9ACE43A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AEC38E1"/>
    <w:multiLevelType w:val="hybridMultilevel"/>
    <w:tmpl w:val="983CB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F2BC4"/>
    <w:multiLevelType w:val="hybridMultilevel"/>
    <w:tmpl w:val="74F419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541400"/>
    <w:multiLevelType w:val="hybridMultilevel"/>
    <w:tmpl w:val="CFAC9EB6"/>
    <w:lvl w:ilvl="0" w:tplc="1ABE7070">
      <w:start w:val="1"/>
      <w:numFmt w:val="decimal"/>
      <w:pStyle w:val="Heading2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 w:tplc="D3087E20">
      <w:start w:val="1"/>
      <w:numFmt w:val="decimal"/>
      <w:lvlText w:val="%2."/>
      <w:lvlJc w:val="left"/>
      <w:pPr>
        <w:tabs>
          <w:tab w:val="num" w:pos="1944"/>
        </w:tabs>
        <w:ind w:left="19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</w:rPr>
    </w:lvl>
    <w:lvl w:ilvl="2" w:tplc="08642FFC">
      <w:start w:val="202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hint="default"/>
        <w:b/>
        <w:i w:val="0"/>
        <w:color w:val="auto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3"/>
  </w:num>
  <w:num w:numId="2">
    <w:abstractNumId w:val="10"/>
  </w:num>
  <w:num w:numId="3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"/>
  </w:num>
  <w:num w:numId="8">
    <w:abstractNumId w:val="8"/>
  </w:num>
  <w:num w:numId="9">
    <w:abstractNumId w:val="11"/>
  </w:num>
  <w:num w:numId="10">
    <w:abstractNumId w:val="4"/>
  </w:num>
  <w:num w:numId="11">
    <w:abstractNumId w:val="5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805"/>
    <w:rsid w:val="00007812"/>
    <w:rsid w:val="00025DAF"/>
    <w:rsid w:val="00044805"/>
    <w:rsid w:val="000563BC"/>
    <w:rsid w:val="0007007D"/>
    <w:rsid w:val="00082A19"/>
    <w:rsid w:val="0008463D"/>
    <w:rsid w:val="00087FD7"/>
    <w:rsid w:val="000A276A"/>
    <w:rsid w:val="000C44A8"/>
    <w:rsid w:val="000C67BB"/>
    <w:rsid w:val="000D6F44"/>
    <w:rsid w:val="000F2A69"/>
    <w:rsid w:val="000F58C2"/>
    <w:rsid w:val="000F79D4"/>
    <w:rsid w:val="001033CA"/>
    <w:rsid w:val="00106764"/>
    <w:rsid w:val="00115227"/>
    <w:rsid w:val="00121336"/>
    <w:rsid w:val="001238AB"/>
    <w:rsid w:val="00124664"/>
    <w:rsid w:val="001326C1"/>
    <w:rsid w:val="00135C38"/>
    <w:rsid w:val="00136588"/>
    <w:rsid w:val="00151ACE"/>
    <w:rsid w:val="00154414"/>
    <w:rsid w:val="00157F4B"/>
    <w:rsid w:val="00162A9B"/>
    <w:rsid w:val="00173021"/>
    <w:rsid w:val="00184398"/>
    <w:rsid w:val="00184D91"/>
    <w:rsid w:val="001853BB"/>
    <w:rsid w:val="0019235F"/>
    <w:rsid w:val="001A4F95"/>
    <w:rsid w:val="001B25D7"/>
    <w:rsid w:val="001C66A7"/>
    <w:rsid w:val="001C76A1"/>
    <w:rsid w:val="001D05C3"/>
    <w:rsid w:val="001D1615"/>
    <w:rsid w:val="001D4E4E"/>
    <w:rsid w:val="001E7AE4"/>
    <w:rsid w:val="001F2443"/>
    <w:rsid w:val="001F4751"/>
    <w:rsid w:val="00211F5A"/>
    <w:rsid w:val="0025161D"/>
    <w:rsid w:val="002605AC"/>
    <w:rsid w:val="002617AE"/>
    <w:rsid w:val="00266CCD"/>
    <w:rsid w:val="002828B5"/>
    <w:rsid w:val="0028760C"/>
    <w:rsid w:val="002A0046"/>
    <w:rsid w:val="002A2A43"/>
    <w:rsid w:val="002B0756"/>
    <w:rsid w:val="002D11E1"/>
    <w:rsid w:val="002E1469"/>
    <w:rsid w:val="002F6247"/>
    <w:rsid w:val="003046D6"/>
    <w:rsid w:val="0030556D"/>
    <w:rsid w:val="00320B58"/>
    <w:rsid w:val="003830C5"/>
    <w:rsid w:val="0038567C"/>
    <w:rsid w:val="00395DE3"/>
    <w:rsid w:val="003A0E9C"/>
    <w:rsid w:val="003A2B87"/>
    <w:rsid w:val="003A5C23"/>
    <w:rsid w:val="003A7812"/>
    <w:rsid w:val="003B3D7C"/>
    <w:rsid w:val="003B4428"/>
    <w:rsid w:val="003C272D"/>
    <w:rsid w:val="003C7D16"/>
    <w:rsid w:val="003D4723"/>
    <w:rsid w:val="003E24A7"/>
    <w:rsid w:val="0040039D"/>
    <w:rsid w:val="004028FC"/>
    <w:rsid w:val="00405FF5"/>
    <w:rsid w:val="00406743"/>
    <w:rsid w:val="004217B3"/>
    <w:rsid w:val="00421CE2"/>
    <w:rsid w:val="00422C02"/>
    <w:rsid w:val="00424AC2"/>
    <w:rsid w:val="00425E34"/>
    <w:rsid w:val="00441FCC"/>
    <w:rsid w:val="00454564"/>
    <w:rsid w:val="00477F77"/>
    <w:rsid w:val="00486390"/>
    <w:rsid w:val="00486785"/>
    <w:rsid w:val="00486D02"/>
    <w:rsid w:val="00493511"/>
    <w:rsid w:val="004A4FA8"/>
    <w:rsid w:val="004B2006"/>
    <w:rsid w:val="004B39F1"/>
    <w:rsid w:val="004C0FBC"/>
    <w:rsid w:val="004D0852"/>
    <w:rsid w:val="004D6A16"/>
    <w:rsid w:val="004E0514"/>
    <w:rsid w:val="004F13EA"/>
    <w:rsid w:val="004F31A5"/>
    <w:rsid w:val="00510B21"/>
    <w:rsid w:val="00513F8B"/>
    <w:rsid w:val="0052093F"/>
    <w:rsid w:val="00520C18"/>
    <w:rsid w:val="00527BB1"/>
    <w:rsid w:val="00541466"/>
    <w:rsid w:val="005518EA"/>
    <w:rsid w:val="00565292"/>
    <w:rsid w:val="005A1D72"/>
    <w:rsid w:val="005B7FF7"/>
    <w:rsid w:val="005C1587"/>
    <w:rsid w:val="005C598D"/>
    <w:rsid w:val="005C668D"/>
    <w:rsid w:val="005D7227"/>
    <w:rsid w:val="005E4A73"/>
    <w:rsid w:val="005E702E"/>
    <w:rsid w:val="005E721C"/>
    <w:rsid w:val="005F300B"/>
    <w:rsid w:val="00600F7D"/>
    <w:rsid w:val="00607DA4"/>
    <w:rsid w:val="00613276"/>
    <w:rsid w:val="00640429"/>
    <w:rsid w:val="00642C15"/>
    <w:rsid w:val="006439CF"/>
    <w:rsid w:val="00646B86"/>
    <w:rsid w:val="0065095E"/>
    <w:rsid w:val="006518AB"/>
    <w:rsid w:val="00657332"/>
    <w:rsid w:val="006575A1"/>
    <w:rsid w:val="00661A91"/>
    <w:rsid w:val="006646D6"/>
    <w:rsid w:val="00696D63"/>
    <w:rsid w:val="006A02AD"/>
    <w:rsid w:val="006A5D20"/>
    <w:rsid w:val="006C3846"/>
    <w:rsid w:val="006D2533"/>
    <w:rsid w:val="006E32FD"/>
    <w:rsid w:val="006F129F"/>
    <w:rsid w:val="006F560F"/>
    <w:rsid w:val="00700AE2"/>
    <w:rsid w:val="0070704D"/>
    <w:rsid w:val="007254DE"/>
    <w:rsid w:val="0073288F"/>
    <w:rsid w:val="007367A8"/>
    <w:rsid w:val="00755B2A"/>
    <w:rsid w:val="00756035"/>
    <w:rsid w:val="00760DEE"/>
    <w:rsid w:val="0076657B"/>
    <w:rsid w:val="00773321"/>
    <w:rsid w:val="0077385D"/>
    <w:rsid w:val="00782123"/>
    <w:rsid w:val="00785449"/>
    <w:rsid w:val="00786A03"/>
    <w:rsid w:val="00797BCE"/>
    <w:rsid w:val="007A6BC1"/>
    <w:rsid w:val="007C62C7"/>
    <w:rsid w:val="007D1B41"/>
    <w:rsid w:val="007D2861"/>
    <w:rsid w:val="007E1A3C"/>
    <w:rsid w:val="007E590D"/>
    <w:rsid w:val="007E72B8"/>
    <w:rsid w:val="007E7D3B"/>
    <w:rsid w:val="007F3251"/>
    <w:rsid w:val="007F4F73"/>
    <w:rsid w:val="007F5C8A"/>
    <w:rsid w:val="00801461"/>
    <w:rsid w:val="008045E2"/>
    <w:rsid w:val="0083052E"/>
    <w:rsid w:val="00837BB6"/>
    <w:rsid w:val="0085052C"/>
    <w:rsid w:val="00861810"/>
    <w:rsid w:val="008818BA"/>
    <w:rsid w:val="00894312"/>
    <w:rsid w:val="008A4D9E"/>
    <w:rsid w:val="008A53ED"/>
    <w:rsid w:val="008A5465"/>
    <w:rsid w:val="008B4366"/>
    <w:rsid w:val="008D2E7C"/>
    <w:rsid w:val="008D3E4C"/>
    <w:rsid w:val="008F243C"/>
    <w:rsid w:val="00903EC3"/>
    <w:rsid w:val="00913554"/>
    <w:rsid w:val="00921C2E"/>
    <w:rsid w:val="00935899"/>
    <w:rsid w:val="00972295"/>
    <w:rsid w:val="009727A0"/>
    <w:rsid w:val="00976FBC"/>
    <w:rsid w:val="00983D48"/>
    <w:rsid w:val="00986662"/>
    <w:rsid w:val="009940C9"/>
    <w:rsid w:val="009959D2"/>
    <w:rsid w:val="009A418C"/>
    <w:rsid w:val="009D5BE5"/>
    <w:rsid w:val="009E40F7"/>
    <w:rsid w:val="009F0EB8"/>
    <w:rsid w:val="009F7376"/>
    <w:rsid w:val="00A0203E"/>
    <w:rsid w:val="00A04408"/>
    <w:rsid w:val="00A10611"/>
    <w:rsid w:val="00A4030B"/>
    <w:rsid w:val="00A4499D"/>
    <w:rsid w:val="00A50738"/>
    <w:rsid w:val="00A53F9C"/>
    <w:rsid w:val="00A548AE"/>
    <w:rsid w:val="00A6089A"/>
    <w:rsid w:val="00A64074"/>
    <w:rsid w:val="00A739A4"/>
    <w:rsid w:val="00A90621"/>
    <w:rsid w:val="00A91979"/>
    <w:rsid w:val="00A94A95"/>
    <w:rsid w:val="00A95890"/>
    <w:rsid w:val="00AA267B"/>
    <w:rsid w:val="00AB1BF9"/>
    <w:rsid w:val="00AB2991"/>
    <w:rsid w:val="00AB60AC"/>
    <w:rsid w:val="00AB72EF"/>
    <w:rsid w:val="00AD4178"/>
    <w:rsid w:val="00AF6807"/>
    <w:rsid w:val="00B0501E"/>
    <w:rsid w:val="00B249D3"/>
    <w:rsid w:val="00B26058"/>
    <w:rsid w:val="00B4597E"/>
    <w:rsid w:val="00B52506"/>
    <w:rsid w:val="00B65C86"/>
    <w:rsid w:val="00B8045C"/>
    <w:rsid w:val="00B96740"/>
    <w:rsid w:val="00BA6CBA"/>
    <w:rsid w:val="00BC3547"/>
    <w:rsid w:val="00BD36D6"/>
    <w:rsid w:val="00BD4935"/>
    <w:rsid w:val="00BE5326"/>
    <w:rsid w:val="00C10010"/>
    <w:rsid w:val="00C20805"/>
    <w:rsid w:val="00C23C2E"/>
    <w:rsid w:val="00C25D09"/>
    <w:rsid w:val="00C26EFD"/>
    <w:rsid w:val="00C328FF"/>
    <w:rsid w:val="00C46CC4"/>
    <w:rsid w:val="00C608E8"/>
    <w:rsid w:val="00C73B50"/>
    <w:rsid w:val="00C75DFA"/>
    <w:rsid w:val="00C80A99"/>
    <w:rsid w:val="00C93432"/>
    <w:rsid w:val="00CA36DA"/>
    <w:rsid w:val="00CB0BCA"/>
    <w:rsid w:val="00CC6D8D"/>
    <w:rsid w:val="00CD4EB9"/>
    <w:rsid w:val="00CE0434"/>
    <w:rsid w:val="00CE07EB"/>
    <w:rsid w:val="00CE57AB"/>
    <w:rsid w:val="00CF56F9"/>
    <w:rsid w:val="00D114E0"/>
    <w:rsid w:val="00D11ED8"/>
    <w:rsid w:val="00D129DD"/>
    <w:rsid w:val="00D23DF7"/>
    <w:rsid w:val="00D25371"/>
    <w:rsid w:val="00D8132E"/>
    <w:rsid w:val="00DA7726"/>
    <w:rsid w:val="00DB1356"/>
    <w:rsid w:val="00DC0F3F"/>
    <w:rsid w:val="00DD79DB"/>
    <w:rsid w:val="00DE42B7"/>
    <w:rsid w:val="00DE4CF0"/>
    <w:rsid w:val="00DE4DE1"/>
    <w:rsid w:val="00DF0B74"/>
    <w:rsid w:val="00DF3625"/>
    <w:rsid w:val="00DF604E"/>
    <w:rsid w:val="00E43F8D"/>
    <w:rsid w:val="00E7429C"/>
    <w:rsid w:val="00E75D7D"/>
    <w:rsid w:val="00E80FD5"/>
    <w:rsid w:val="00E81126"/>
    <w:rsid w:val="00E905AF"/>
    <w:rsid w:val="00EE5BE7"/>
    <w:rsid w:val="00F040BD"/>
    <w:rsid w:val="00F13E95"/>
    <w:rsid w:val="00F178AC"/>
    <w:rsid w:val="00F32F26"/>
    <w:rsid w:val="00F73BD9"/>
    <w:rsid w:val="00F811A2"/>
    <w:rsid w:val="00F831E5"/>
    <w:rsid w:val="00F83EDF"/>
    <w:rsid w:val="00F845F8"/>
    <w:rsid w:val="00FA28E1"/>
    <w:rsid w:val="00FB5111"/>
    <w:rsid w:val="00FE5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509C30"/>
  <w15:chartTrackingRefBased/>
  <w15:docId w15:val="{36B6245B-FC74-4F41-B813-C93083402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hAnsi="Book Antiqua"/>
      <w:sz w:val="24"/>
      <w:szCs w:val="24"/>
    </w:rPr>
  </w:style>
  <w:style w:type="paragraph" w:styleId="Heading1">
    <w:name w:val="heading 1"/>
    <w:basedOn w:val="Heading5"/>
    <w:next w:val="Normal"/>
    <w:link w:val="Heading1Char"/>
    <w:qFormat/>
    <w:rsid w:val="00266CCD"/>
    <w:pPr>
      <w:keepNext/>
      <w:spacing w:before="0" w:after="0" w:line="480" w:lineRule="auto"/>
      <w:outlineLvl w:val="0"/>
    </w:pPr>
    <w:rPr>
      <w:rFonts w:ascii="Palatino Linotype" w:hAnsi="Palatino Linotype"/>
      <w:i w:val="0"/>
      <w:iCs w:val="0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266CCD"/>
    <w:pPr>
      <w:numPr>
        <w:numId w:val="3"/>
      </w:numPr>
      <w:spacing w:line="480" w:lineRule="auto"/>
      <w:outlineLvl w:val="1"/>
    </w:pPr>
    <w:rPr>
      <w:rFonts w:ascii="Palatino Linotype" w:hAnsi="Palatino Linotype"/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367A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266C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A004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0046"/>
  </w:style>
  <w:style w:type="paragraph" w:styleId="Header">
    <w:name w:val="header"/>
    <w:basedOn w:val="Normal"/>
    <w:rsid w:val="002A0046"/>
    <w:pPr>
      <w:tabs>
        <w:tab w:val="center" w:pos="4320"/>
        <w:tab w:val="right" w:pos="8640"/>
      </w:tabs>
    </w:pPr>
  </w:style>
  <w:style w:type="character" w:styleId="Hyperlink">
    <w:name w:val="Hyperlink"/>
    <w:rsid w:val="000C67BB"/>
    <w:rPr>
      <w:color w:val="0000FF"/>
      <w:u w:val="single"/>
    </w:rPr>
  </w:style>
  <w:style w:type="paragraph" w:styleId="CommentText">
    <w:name w:val="annotation text"/>
    <w:basedOn w:val="Normal"/>
    <w:link w:val="CommentTextChar"/>
    <w:rsid w:val="00760DEE"/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0DEE"/>
  </w:style>
  <w:style w:type="character" w:styleId="FollowedHyperlink">
    <w:name w:val="FollowedHyperlink"/>
    <w:rsid w:val="00477F77"/>
    <w:rPr>
      <w:color w:val="800080"/>
      <w:u w:val="single"/>
    </w:rPr>
  </w:style>
  <w:style w:type="paragraph" w:styleId="PlainText">
    <w:name w:val="Plain Text"/>
    <w:basedOn w:val="Normal"/>
    <w:link w:val="PlainTextChar"/>
    <w:uiPriority w:val="99"/>
    <w:rsid w:val="00513F8B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lainTextChar">
    <w:name w:val="Plain Text Char"/>
    <w:link w:val="PlainText"/>
    <w:uiPriority w:val="99"/>
    <w:rsid w:val="00513F8B"/>
    <w:rPr>
      <w:sz w:val="24"/>
      <w:szCs w:val="24"/>
    </w:rPr>
  </w:style>
  <w:style w:type="character" w:customStyle="1" w:styleId="Heading1Char">
    <w:name w:val="Heading 1 Char"/>
    <w:link w:val="Heading1"/>
    <w:rsid w:val="00266CCD"/>
    <w:rPr>
      <w:rFonts w:ascii="Palatino Linotype" w:hAnsi="Palatino Linotype"/>
      <w:b/>
      <w:bCs/>
      <w:sz w:val="24"/>
      <w:szCs w:val="24"/>
    </w:rPr>
  </w:style>
  <w:style w:type="character" w:customStyle="1" w:styleId="Heading2Char">
    <w:name w:val="Heading 2 Char"/>
    <w:link w:val="Heading2"/>
    <w:semiHidden/>
    <w:rsid w:val="00266CCD"/>
    <w:rPr>
      <w:rFonts w:ascii="Palatino Linotype" w:hAnsi="Palatino Linotype"/>
      <w:b/>
      <w:i/>
      <w:sz w:val="24"/>
      <w:szCs w:val="24"/>
    </w:rPr>
  </w:style>
  <w:style w:type="paragraph" w:styleId="FootnoteText">
    <w:name w:val="footnote text"/>
    <w:basedOn w:val="Normal"/>
    <w:link w:val="FootnoteTextChar"/>
    <w:unhideWhenUsed/>
    <w:rsid w:val="00266CCD"/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66CCD"/>
  </w:style>
  <w:style w:type="paragraph" w:styleId="ListParagraph">
    <w:name w:val="List Paragraph"/>
    <w:basedOn w:val="Normal"/>
    <w:qFormat/>
    <w:rsid w:val="00266CCD"/>
    <w:pPr>
      <w:ind w:left="720"/>
      <w:contextualSpacing/>
    </w:pPr>
    <w:rPr>
      <w:rFonts w:ascii="Times New Roman" w:hAnsi="Times New Roman"/>
    </w:rPr>
  </w:style>
  <w:style w:type="paragraph" w:customStyle="1" w:styleId="Default">
    <w:name w:val="Default"/>
    <w:rsid w:val="00266CC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otnoteReference">
    <w:name w:val="footnote reference"/>
    <w:unhideWhenUsed/>
    <w:rsid w:val="00266CCD"/>
    <w:rPr>
      <w:rFonts w:ascii="Times New Roman" w:hAnsi="Times New Roman" w:cs="Times New Roman" w:hint="default"/>
      <w:vertAlign w:val="superscript"/>
    </w:rPr>
  </w:style>
  <w:style w:type="character" w:customStyle="1" w:styleId="Heading5Char">
    <w:name w:val="Heading 5 Char"/>
    <w:link w:val="Heading5"/>
    <w:semiHidden/>
    <w:rsid w:val="00266CC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semiHidden/>
    <w:rsid w:val="007367A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ormaltextrun">
    <w:name w:val="normaltextrun"/>
    <w:rsid w:val="00486D02"/>
  </w:style>
  <w:style w:type="table" w:customStyle="1" w:styleId="TableGrid1">
    <w:name w:val="Table Grid1"/>
    <w:basedOn w:val="TableNormal"/>
    <w:next w:val="TableGrid"/>
    <w:uiPriority w:val="59"/>
    <w:rsid w:val="00C80A99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C80A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04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ls.gov/news.release/archives/empsit_0110201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SOLICITATION FOR GRANT APPLICATION</vt:lpstr>
    </vt:vector>
  </TitlesOfParts>
  <Company>DOL</Company>
  <LinksUpToDate>false</LinksUpToDate>
  <CharactersWithSpaces>3161</CharactersWithSpaces>
  <SharedDoc>false</SharedDoc>
  <HLinks>
    <vt:vector size="6" baseType="variant">
      <vt:variant>
        <vt:i4>7274589</vt:i4>
      </vt:variant>
      <vt:variant>
        <vt:i4>0</vt:i4>
      </vt:variant>
      <vt:variant>
        <vt:i4>0</vt:i4>
      </vt:variant>
      <vt:variant>
        <vt:i4>5</vt:i4>
      </vt:variant>
      <vt:variant>
        <vt:lpwstr>http://www.bls.gov/news.release/archives/empsit_01102014.pdf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SOLICITATION FOR GRANT APPLICATION</dc:title>
  <dc:subject/>
  <dc:creator>feehan.richard</dc:creator>
  <cp:keywords/>
  <cp:lastModifiedBy>May, Anthony W - OASAM OCIO</cp:lastModifiedBy>
  <cp:revision>3</cp:revision>
  <dcterms:created xsi:type="dcterms:W3CDTF">2020-06-09T19:45:00Z</dcterms:created>
  <dcterms:modified xsi:type="dcterms:W3CDTF">2020-06-09T19:59:00Z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