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FBACD" w14:textId="77777777" w:rsidR="009169A2" w:rsidRPr="000C6C93" w:rsidRDefault="009169A2" w:rsidP="00AF19D0">
      <w:pPr>
        <w:pStyle w:val="Header"/>
        <w:widowControl/>
        <w:tabs>
          <w:tab w:val="clear" w:pos="4320"/>
          <w:tab w:val="clear" w:pos="8640"/>
        </w:tabs>
        <w:rPr>
          <w:rFonts w:ascii="Times New Roman" w:hAnsi="Times New Roman"/>
        </w:rPr>
      </w:pPr>
      <w:bookmarkStart w:id="0" w:name="_GoBack"/>
      <w:bookmarkEnd w:id="0"/>
      <w:r w:rsidRPr="000C6C93">
        <w:rPr>
          <w:rFonts w:ascii="Times New Roman" w:hAnsi="Times New Roman"/>
        </w:rPr>
        <w:t xml:space="preserve">SUPPORTING STATEMENT FOR PAPERWORK REDUCTION ACT </w:t>
      </w:r>
      <w:r w:rsidR="00A779AF" w:rsidRPr="000C6C93">
        <w:rPr>
          <w:rFonts w:ascii="Times New Roman" w:hAnsi="Times New Roman"/>
        </w:rPr>
        <w:t xml:space="preserve">OF 1995 </w:t>
      </w:r>
      <w:r w:rsidRPr="000C6C93">
        <w:rPr>
          <w:rFonts w:ascii="Times New Roman" w:hAnsi="Times New Roman"/>
        </w:rPr>
        <w:t>SUBMISSION</w:t>
      </w:r>
      <w:r w:rsidR="00A779AF" w:rsidRPr="000C6C93">
        <w:rPr>
          <w:rFonts w:ascii="Times New Roman" w:hAnsi="Times New Roman"/>
        </w:rPr>
        <w:t>S</w:t>
      </w:r>
    </w:p>
    <w:p w14:paraId="79AE3D42" w14:textId="77777777" w:rsidR="00CD6AFD" w:rsidRDefault="00CD6AFD" w:rsidP="00AF19D0">
      <w:pPr>
        <w:widowControl/>
        <w:tabs>
          <w:tab w:val="left" w:pos="-1440"/>
        </w:tabs>
        <w:ind w:left="720" w:hanging="720"/>
        <w:rPr>
          <w:rFonts w:ascii="Times New Roman" w:hAnsi="Times New Roman"/>
          <w:u w:val="single"/>
        </w:rPr>
      </w:pPr>
    </w:p>
    <w:p w14:paraId="2C7117AC" w14:textId="77777777" w:rsidR="00694589" w:rsidRPr="00694589" w:rsidRDefault="00694589" w:rsidP="00AF19D0">
      <w:pPr>
        <w:widowControl/>
        <w:tabs>
          <w:tab w:val="left" w:pos="-1440"/>
        </w:tabs>
        <w:ind w:left="720" w:hanging="720"/>
        <w:rPr>
          <w:rFonts w:ascii="Times New Roman" w:hAnsi="Times New Roman"/>
          <w:u w:val="single"/>
        </w:rPr>
      </w:pPr>
      <w:r w:rsidRPr="00694589">
        <w:rPr>
          <w:rFonts w:ascii="Times New Roman" w:hAnsi="Times New Roman"/>
          <w:u w:val="single"/>
        </w:rPr>
        <w:t>Part A. Justification</w:t>
      </w:r>
    </w:p>
    <w:p w14:paraId="09A5DD5B" w14:textId="77777777" w:rsidR="00694589" w:rsidRPr="00AF19D0" w:rsidRDefault="00694589" w:rsidP="00AF19D0">
      <w:pPr>
        <w:widowControl/>
        <w:tabs>
          <w:tab w:val="left" w:pos="-1440"/>
        </w:tabs>
        <w:ind w:left="720" w:hanging="720"/>
        <w:rPr>
          <w:rFonts w:ascii="Times New Roman" w:hAnsi="Times New Roman"/>
        </w:rPr>
      </w:pPr>
    </w:p>
    <w:p w14:paraId="3B29A48E"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w:t>
      </w:r>
      <w:r w:rsidRPr="00AF19D0">
        <w:rPr>
          <w:rFonts w:ascii="Times New Roman" w:hAnsi="Times New Roman"/>
        </w:rPr>
        <w:tab/>
      </w:r>
      <w:r w:rsidRPr="00AF19D0">
        <w:rPr>
          <w:rFonts w:ascii="Times New Roman" w:hAnsi="Times New Roman"/>
          <w:i/>
          <w:iCs/>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79AB3C7" w14:textId="77777777" w:rsidR="00BA3642" w:rsidRPr="00AF19D0" w:rsidRDefault="00BA3642" w:rsidP="00AF19D0">
      <w:pPr>
        <w:widowControl/>
        <w:tabs>
          <w:tab w:val="left" w:pos="-1440"/>
        </w:tabs>
        <w:ind w:left="720" w:hanging="720"/>
        <w:rPr>
          <w:rFonts w:ascii="Times New Roman" w:hAnsi="Times New Roman"/>
          <w:i/>
          <w:iCs/>
          <w:sz w:val="20"/>
        </w:rPr>
      </w:pPr>
    </w:p>
    <w:p w14:paraId="14EFAB1E" w14:textId="77777777" w:rsidR="001235BF" w:rsidRDefault="00113AA9" w:rsidP="00723BC9">
      <w:pPr>
        <w:widowControl/>
        <w:ind w:left="720"/>
        <w:rPr>
          <w:rFonts w:ascii="Times New Roman" w:hAnsi="Times New Roman"/>
        </w:rPr>
      </w:pPr>
      <w:r w:rsidRPr="00113AA9">
        <w:rPr>
          <w:rFonts w:ascii="Times New Roman" w:hAnsi="Times New Roman"/>
        </w:rPr>
        <w:t>On October 12, 2017, President Trump issued Executive Order 13813</w:t>
      </w:r>
      <w:r w:rsidRPr="00DC1F94">
        <w:rPr>
          <w:rStyle w:val="FootnoteReference"/>
          <w:rFonts w:ascii="Times New Roman" w:hAnsi="Times New Roman"/>
          <w:vertAlign w:val="superscript"/>
        </w:rPr>
        <w:footnoteReference w:id="1"/>
      </w:r>
      <w:r w:rsidRPr="00113AA9">
        <w:rPr>
          <w:rFonts w:ascii="Times New Roman" w:hAnsi="Times New Roman"/>
        </w:rPr>
        <w:t>, “Promoting Healthcare Choice and Competition Across the United States</w:t>
      </w:r>
      <w:r w:rsidR="00723BC9">
        <w:rPr>
          <w:rFonts w:ascii="Times New Roman" w:hAnsi="Times New Roman"/>
        </w:rPr>
        <w:t>.</w:t>
      </w:r>
      <w:r w:rsidRPr="00113AA9">
        <w:rPr>
          <w:rFonts w:ascii="Times New Roman" w:hAnsi="Times New Roman"/>
        </w:rPr>
        <w:t xml:space="preserve">” </w:t>
      </w:r>
      <w:r w:rsidR="00723BC9">
        <w:rPr>
          <w:rFonts w:ascii="Times New Roman" w:hAnsi="Times New Roman"/>
        </w:rPr>
        <w:t xml:space="preserve">The executive order </w:t>
      </w:r>
      <w:r w:rsidRPr="00113AA9">
        <w:rPr>
          <w:rFonts w:ascii="Times New Roman" w:hAnsi="Times New Roman"/>
        </w:rPr>
        <w:t>stat</w:t>
      </w:r>
      <w:r w:rsidR="00723BC9">
        <w:rPr>
          <w:rFonts w:ascii="Times New Roman" w:hAnsi="Times New Roman"/>
        </w:rPr>
        <w:t>es</w:t>
      </w:r>
      <w:r w:rsidRPr="00113AA9">
        <w:rPr>
          <w:rFonts w:ascii="Times New Roman" w:hAnsi="Times New Roman"/>
        </w:rPr>
        <w:t xml:space="preserve">, in part, that the “Administration will prioritize three areas for improvement in the near term: association health plans (AHPs), short-term, limited-duration insurance (STLDI), and health reimbursement arrangements (HRAs).”  With regard to HRAs, the Executive Order directs the Secretaries of the Treasury, Labor, and HHS to “consider proposing regulations or revising guidance, to the extent permitted by law and supported by sound policy, to increase usability of HRAs, to expand employers’ ability to offer HRAs to their employees, and to allow HRAs to be used in conjunction with nongroup coverage.”  The </w:t>
      </w:r>
      <w:r w:rsidR="00723BC9">
        <w:rPr>
          <w:rFonts w:ascii="Times New Roman" w:hAnsi="Times New Roman"/>
        </w:rPr>
        <w:t>e</w:t>
      </w:r>
      <w:r w:rsidRPr="00113AA9">
        <w:rPr>
          <w:rFonts w:ascii="Times New Roman" w:hAnsi="Times New Roman"/>
        </w:rPr>
        <w:t xml:space="preserve">xecutive </w:t>
      </w:r>
      <w:r w:rsidR="00723BC9">
        <w:rPr>
          <w:rFonts w:ascii="Times New Roman" w:hAnsi="Times New Roman"/>
        </w:rPr>
        <w:t>o</w:t>
      </w:r>
      <w:r w:rsidRPr="00113AA9">
        <w:rPr>
          <w:rFonts w:ascii="Times New Roman" w:hAnsi="Times New Roman"/>
        </w:rPr>
        <w:t xml:space="preserve">rder further provides that expanding “the flexibility and use of HRAs would provide many Americans, including employees who work at small businesses, with more options for financing their healthcare.”  These </w:t>
      </w:r>
      <w:r w:rsidR="007C63D1">
        <w:rPr>
          <w:rFonts w:ascii="Times New Roman" w:hAnsi="Times New Roman"/>
        </w:rPr>
        <w:t>final</w:t>
      </w:r>
      <w:r w:rsidR="007C63D1" w:rsidRPr="00113AA9">
        <w:rPr>
          <w:rFonts w:ascii="Times New Roman" w:hAnsi="Times New Roman"/>
        </w:rPr>
        <w:t xml:space="preserve"> </w:t>
      </w:r>
      <w:r w:rsidRPr="00113AA9">
        <w:rPr>
          <w:rFonts w:ascii="Times New Roman" w:hAnsi="Times New Roman"/>
        </w:rPr>
        <w:t xml:space="preserve">regulations have been developed in response to this </w:t>
      </w:r>
      <w:r w:rsidR="00723BC9">
        <w:rPr>
          <w:rFonts w:ascii="Times New Roman" w:hAnsi="Times New Roman"/>
        </w:rPr>
        <w:t>e</w:t>
      </w:r>
      <w:r w:rsidRPr="00113AA9">
        <w:rPr>
          <w:rFonts w:ascii="Times New Roman" w:hAnsi="Times New Roman"/>
        </w:rPr>
        <w:t xml:space="preserve">xecutive </w:t>
      </w:r>
      <w:r w:rsidR="00723BC9">
        <w:rPr>
          <w:rFonts w:ascii="Times New Roman" w:hAnsi="Times New Roman"/>
        </w:rPr>
        <w:t>o</w:t>
      </w:r>
      <w:r w:rsidRPr="00113AA9">
        <w:rPr>
          <w:rFonts w:ascii="Times New Roman" w:hAnsi="Times New Roman"/>
        </w:rPr>
        <w:t>rder.</w:t>
      </w:r>
      <w:r w:rsidRPr="00113AA9">
        <w:rPr>
          <w:rStyle w:val="FootnoteReference"/>
          <w:rFonts w:ascii="Times New Roman" w:hAnsi="Times New Roman"/>
          <w:vertAlign w:val="superscript"/>
        </w:rPr>
        <w:footnoteReference w:id="2"/>
      </w:r>
    </w:p>
    <w:p w14:paraId="49845EDC" w14:textId="77777777" w:rsidR="0039394E" w:rsidRDefault="0039394E" w:rsidP="007A5726">
      <w:pPr>
        <w:widowControl/>
        <w:ind w:left="720"/>
        <w:rPr>
          <w:rFonts w:ascii="Times New Roman" w:hAnsi="Times New Roman"/>
        </w:rPr>
      </w:pPr>
    </w:p>
    <w:p w14:paraId="76380A44" w14:textId="77777777" w:rsidR="0039394E" w:rsidRDefault="0039394E" w:rsidP="00DF4BE7">
      <w:pPr>
        <w:ind w:left="720"/>
        <w:rPr>
          <w:rFonts w:ascii="Times New Roman" w:hAnsi="Times New Roman"/>
        </w:rPr>
      </w:pPr>
      <w:bookmarkStart w:id="1" w:name="OLE_LINK3"/>
      <w:r w:rsidRPr="0039394E">
        <w:rPr>
          <w:rFonts w:ascii="Times New Roman" w:hAnsi="Times New Roman"/>
        </w:rPr>
        <w:t xml:space="preserve">The </w:t>
      </w:r>
      <w:r w:rsidR="003C0F20">
        <w:rPr>
          <w:rFonts w:ascii="Times New Roman" w:hAnsi="Times New Roman"/>
        </w:rPr>
        <w:t>final</w:t>
      </w:r>
      <w:r w:rsidR="003C0F20" w:rsidRPr="0039394E">
        <w:rPr>
          <w:rFonts w:ascii="Times New Roman" w:hAnsi="Times New Roman"/>
        </w:rPr>
        <w:t xml:space="preserve"> </w:t>
      </w:r>
      <w:r w:rsidRPr="0039394E">
        <w:rPr>
          <w:rFonts w:ascii="Times New Roman" w:hAnsi="Times New Roman"/>
        </w:rPr>
        <w:t>rules remove the current prohi</w:t>
      </w:r>
      <w:r w:rsidR="003B265B">
        <w:rPr>
          <w:rFonts w:ascii="Times New Roman" w:hAnsi="Times New Roman"/>
        </w:rPr>
        <w:t xml:space="preserve">bition on integrating HRAs with </w:t>
      </w:r>
      <w:r w:rsidRPr="0039394E">
        <w:rPr>
          <w:rFonts w:ascii="Times New Roman" w:hAnsi="Times New Roman"/>
        </w:rPr>
        <w:t>individual health insurance coverage, if certain conditions are met.</w:t>
      </w:r>
      <w:bookmarkEnd w:id="1"/>
      <w:r w:rsidRPr="0039394E">
        <w:rPr>
          <w:rFonts w:ascii="Times New Roman" w:hAnsi="Times New Roman"/>
        </w:rPr>
        <w:t xml:space="preserve"> The </w:t>
      </w:r>
      <w:r w:rsidR="003C0F20">
        <w:rPr>
          <w:rFonts w:ascii="Times New Roman" w:hAnsi="Times New Roman"/>
        </w:rPr>
        <w:t>final</w:t>
      </w:r>
      <w:r w:rsidR="003C0F20" w:rsidRPr="0039394E">
        <w:rPr>
          <w:rFonts w:ascii="Times New Roman" w:hAnsi="Times New Roman"/>
        </w:rPr>
        <w:t xml:space="preserve"> </w:t>
      </w:r>
      <w:r w:rsidRPr="0039394E">
        <w:rPr>
          <w:rFonts w:ascii="Times New Roman" w:hAnsi="Times New Roman"/>
        </w:rPr>
        <w:t xml:space="preserve">rules also set forth conditions under which certain HRAs </w:t>
      </w:r>
      <w:r w:rsidR="006773B0">
        <w:rPr>
          <w:rFonts w:ascii="Times New Roman" w:hAnsi="Times New Roman"/>
        </w:rPr>
        <w:t xml:space="preserve">are </w:t>
      </w:r>
      <w:r w:rsidRPr="0039394E">
        <w:rPr>
          <w:rFonts w:ascii="Times New Roman" w:hAnsi="Times New Roman"/>
        </w:rPr>
        <w:t xml:space="preserve">as limited excepted benefits. In addition, the Treasury Department and the IRS are </w:t>
      </w:r>
      <w:r w:rsidR="003C0F20">
        <w:rPr>
          <w:rFonts w:ascii="Times New Roman" w:hAnsi="Times New Roman"/>
        </w:rPr>
        <w:t>finalizing</w:t>
      </w:r>
      <w:r w:rsidR="003C0F20" w:rsidRPr="0039394E">
        <w:rPr>
          <w:rFonts w:ascii="Times New Roman" w:hAnsi="Times New Roman"/>
        </w:rPr>
        <w:t xml:space="preserve"> </w:t>
      </w:r>
      <w:r w:rsidRPr="0039394E">
        <w:rPr>
          <w:rFonts w:ascii="Times New Roman" w:hAnsi="Times New Roman"/>
        </w:rPr>
        <w:t xml:space="preserve">rules regarding </w:t>
      </w:r>
      <w:r w:rsidR="00723BC9">
        <w:rPr>
          <w:rFonts w:ascii="Times New Roman" w:hAnsi="Times New Roman"/>
        </w:rPr>
        <w:t>premium tax credit (</w:t>
      </w:r>
      <w:r w:rsidRPr="0039394E">
        <w:rPr>
          <w:rFonts w:ascii="Times New Roman" w:hAnsi="Times New Roman"/>
        </w:rPr>
        <w:t>PTC</w:t>
      </w:r>
      <w:r w:rsidR="00723BC9">
        <w:rPr>
          <w:rFonts w:ascii="Times New Roman" w:hAnsi="Times New Roman"/>
        </w:rPr>
        <w:t>)</w:t>
      </w:r>
      <w:r w:rsidRPr="0039394E">
        <w:rPr>
          <w:rFonts w:ascii="Times New Roman" w:hAnsi="Times New Roman"/>
        </w:rPr>
        <w:t xml:space="preserve"> eligibility for individuals offered coverage under an HRA integrated with individual health insurance coverage, and DOL is </w:t>
      </w:r>
      <w:r w:rsidR="003C0F20">
        <w:rPr>
          <w:rFonts w:ascii="Times New Roman" w:hAnsi="Times New Roman"/>
        </w:rPr>
        <w:t>finalizing</w:t>
      </w:r>
      <w:r w:rsidR="003C0F20" w:rsidRPr="0039394E">
        <w:rPr>
          <w:rFonts w:ascii="Times New Roman" w:hAnsi="Times New Roman"/>
        </w:rPr>
        <w:t xml:space="preserve"> </w:t>
      </w:r>
      <w:r w:rsidRPr="0039394E">
        <w:rPr>
          <w:rFonts w:ascii="Times New Roman" w:hAnsi="Times New Roman"/>
        </w:rPr>
        <w:t xml:space="preserve">a safe harbor to provide HRA plan sponsors with assurance that the individual health insurance coverage that is integrated with an HRA would not become part of an ERISA plan if the conditions of the safe harbor are met.  Finally, HHS is </w:t>
      </w:r>
      <w:r w:rsidR="003C0F20">
        <w:rPr>
          <w:rFonts w:ascii="Times New Roman" w:hAnsi="Times New Roman"/>
        </w:rPr>
        <w:t>finalizing</w:t>
      </w:r>
      <w:r w:rsidR="003C0F20" w:rsidRPr="0039394E">
        <w:rPr>
          <w:rFonts w:ascii="Times New Roman" w:hAnsi="Times New Roman"/>
        </w:rPr>
        <w:t xml:space="preserve"> </w:t>
      </w:r>
      <w:r w:rsidRPr="0039394E">
        <w:rPr>
          <w:rFonts w:ascii="Times New Roman" w:hAnsi="Times New Roman"/>
        </w:rPr>
        <w:t xml:space="preserve">rules that  provide a special enrollment period in the individual market for individuals who gain access to an HRA that is integrated with individual health insurance coverage or who are provided </w:t>
      </w:r>
      <w:r w:rsidRPr="00DE4C93">
        <w:rPr>
          <w:rFonts w:ascii="Times New Roman" w:hAnsi="Times New Roman"/>
        </w:rPr>
        <w:t xml:space="preserve">a </w:t>
      </w:r>
      <w:r w:rsidR="00DE4C93" w:rsidRPr="00DE4C93">
        <w:rPr>
          <w:rFonts w:ascii="Times New Roman" w:hAnsi="Times New Roman"/>
          <w:shd w:val="clear" w:color="auto" w:fill="FFFFFF"/>
        </w:rPr>
        <w:t>qualified small employer health reimbursement arrangement</w:t>
      </w:r>
      <w:r w:rsidR="00DE4C93">
        <w:rPr>
          <w:rFonts w:ascii="Times New Roman" w:hAnsi="Times New Roman"/>
          <w:shd w:val="clear" w:color="auto" w:fill="FFFFFF"/>
        </w:rPr>
        <w:t xml:space="preserve"> (QSEHRA)</w:t>
      </w:r>
      <w:r w:rsidRPr="0039394E">
        <w:rPr>
          <w:rFonts w:ascii="Times New Roman" w:hAnsi="Times New Roman"/>
        </w:rPr>
        <w:t xml:space="preserve">.  </w:t>
      </w:r>
    </w:p>
    <w:p w14:paraId="5EEEC591" w14:textId="77777777" w:rsidR="00D72588" w:rsidRDefault="00D72588" w:rsidP="007A5726">
      <w:pPr>
        <w:ind w:left="720" w:firstLine="720"/>
        <w:rPr>
          <w:rFonts w:ascii="Times New Roman" w:hAnsi="Times New Roman"/>
        </w:rPr>
      </w:pPr>
    </w:p>
    <w:p w14:paraId="091E370D" w14:textId="77777777" w:rsidR="00D72588" w:rsidRPr="0039394E" w:rsidRDefault="00723BC9" w:rsidP="00DF4BE7">
      <w:pPr>
        <w:ind w:left="720"/>
        <w:rPr>
          <w:rFonts w:ascii="Times New Roman" w:hAnsi="Times New Roman"/>
        </w:rPr>
      </w:pPr>
      <w:r>
        <w:rPr>
          <w:rFonts w:ascii="Times New Roman" w:hAnsi="Times New Roman"/>
        </w:rPr>
        <w:t>As discussed in more detail in Item 2., below, t</w:t>
      </w:r>
      <w:r w:rsidR="00D72588">
        <w:rPr>
          <w:rFonts w:ascii="Times New Roman" w:hAnsi="Times New Roman"/>
        </w:rPr>
        <w:t>he ICR</w:t>
      </w:r>
      <w:r w:rsidR="003B265B">
        <w:rPr>
          <w:rFonts w:ascii="Times New Roman" w:hAnsi="Times New Roman"/>
        </w:rPr>
        <w:t>s are</w:t>
      </w:r>
      <w:r w:rsidR="00D72588">
        <w:rPr>
          <w:rFonts w:ascii="Times New Roman" w:hAnsi="Times New Roman"/>
        </w:rPr>
        <w:t xml:space="preserve"> needed to </w:t>
      </w:r>
      <w:r w:rsidR="003B265B">
        <w:rPr>
          <w:rFonts w:ascii="Times New Roman" w:hAnsi="Times New Roman"/>
        </w:rPr>
        <w:t xml:space="preserve">notify the HRA that </w:t>
      </w:r>
      <w:r w:rsidR="003B265B">
        <w:rPr>
          <w:rFonts w:ascii="Times New Roman" w:hAnsi="Times New Roman"/>
        </w:rPr>
        <w:lastRenderedPageBreak/>
        <w:t xml:space="preserve">participants are enrolled in </w:t>
      </w:r>
      <w:r w:rsidR="00237420">
        <w:rPr>
          <w:rFonts w:ascii="Times New Roman" w:hAnsi="Times New Roman"/>
        </w:rPr>
        <w:t>individual</w:t>
      </w:r>
      <w:r w:rsidR="003B265B">
        <w:rPr>
          <w:rFonts w:ascii="Times New Roman" w:hAnsi="Times New Roman"/>
        </w:rPr>
        <w:t xml:space="preserve"> health insurance coverage</w:t>
      </w:r>
      <w:r w:rsidR="00A56C21">
        <w:rPr>
          <w:rFonts w:ascii="Times New Roman" w:hAnsi="Times New Roman"/>
        </w:rPr>
        <w:t>, to help individuals understand the impact of enrolling in an HRA on their eligibility for the PTC, and that coverage is not subject to the rules and consumer protections of the Employee Retirement Income Security Act</w:t>
      </w:r>
      <w:r>
        <w:rPr>
          <w:rFonts w:ascii="Times New Roman" w:hAnsi="Times New Roman"/>
        </w:rPr>
        <w:t xml:space="preserve"> (ERISA)</w:t>
      </w:r>
      <w:r w:rsidR="00D72588">
        <w:rPr>
          <w:rFonts w:ascii="Times New Roman" w:hAnsi="Times New Roman"/>
        </w:rPr>
        <w:t>.</w:t>
      </w:r>
    </w:p>
    <w:p w14:paraId="6732AC5C" w14:textId="77777777" w:rsidR="0039394E" w:rsidRPr="00113AA9" w:rsidRDefault="0039394E" w:rsidP="006316A1">
      <w:pPr>
        <w:widowControl/>
        <w:rPr>
          <w:rFonts w:ascii="Times New Roman" w:hAnsi="Times New Roman"/>
        </w:rPr>
      </w:pPr>
    </w:p>
    <w:p w14:paraId="1E0B3FEF" w14:textId="77777777" w:rsidR="008B027D" w:rsidRDefault="008B027D" w:rsidP="006316A1">
      <w:pPr>
        <w:widowControl/>
        <w:ind w:left="720"/>
        <w:rPr>
          <w:rFonts w:ascii="Times New Roman" w:hAnsi="Times New Roman"/>
        </w:rPr>
      </w:pPr>
    </w:p>
    <w:p w14:paraId="30A066A0"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2.</w:t>
      </w:r>
      <w:r w:rsidRPr="00AF19D0">
        <w:rPr>
          <w:rFonts w:ascii="Times New Roman" w:hAnsi="Times New Roman"/>
        </w:rPr>
        <w:tab/>
      </w:r>
      <w:r w:rsidRPr="00AF19D0">
        <w:rPr>
          <w:rFonts w:ascii="Times New Roman" w:hAnsi="Times New Roman"/>
          <w:i/>
          <w:iCs/>
          <w:sz w:val="20"/>
        </w:rPr>
        <w:t xml:space="preserve">Indicate how, by whom, and for what purpose the information is to be used.  Except for a new collection, indicate the actual use the agency has made of the information received from the current collection. </w:t>
      </w:r>
    </w:p>
    <w:p w14:paraId="148DE7D0" w14:textId="77777777" w:rsidR="00AC428A" w:rsidRDefault="00AC428A" w:rsidP="006316A1">
      <w:pPr>
        <w:widowControl/>
        <w:tabs>
          <w:tab w:val="left" w:pos="-1440"/>
        </w:tabs>
        <w:ind w:left="720"/>
        <w:rPr>
          <w:rFonts w:ascii="Times New Roman" w:hAnsi="Times New Roman"/>
          <w:sz w:val="20"/>
        </w:rPr>
      </w:pPr>
    </w:p>
    <w:p w14:paraId="2302C851" w14:textId="77777777" w:rsidR="00237420" w:rsidRPr="003C336E" w:rsidRDefault="00237420" w:rsidP="003C336E">
      <w:pPr>
        <w:ind w:left="720" w:firstLine="720"/>
        <w:rPr>
          <w:rFonts w:ascii="Times New Roman" w:eastAsia="Calibri" w:hAnsi="Times New Roman"/>
        </w:rPr>
      </w:pPr>
      <w:r w:rsidRPr="00E37D65">
        <w:rPr>
          <w:rFonts w:ascii="Times New Roman" w:hAnsi="Times New Roman"/>
        </w:rPr>
        <w:t>Th</w:t>
      </w:r>
      <w:r w:rsidR="00723BC9">
        <w:rPr>
          <w:rFonts w:ascii="Times New Roman" w:hAnsi="Times New Roman"/>
        </w:rPr>
        <w:t xml:space="preserve">e following </w:t>
      </w:r>
      <w:r w:rsidR="00CA483B">
        <w:rPr>
          <w:rFonts w:ascii="Times New Roman" w:hAnsi="Times New Roman"/>
        </w:rPr>
        <w:t>five</w:t>
      </w:r>
      <w:r w:rsidR="00CA483B" w:rsidRPr="00E37D65">
        <w:rPr>
          <w:rFonts w:ascii="Times New Roman" w:hAnsi="Times New Roman"/>
        </w:rPr>
        <w:t xml:space="preserve"> </w:t>
      </w:r>
      <w:r w:rsidRPr="00E37D65">
        <w:rPr>
          <w:rFonts w:ascii="Times New Roman" w:hAnsi="Times New Roman"/>
        </w:rPr>
        <w:t xml:space="preserve">Information Collections </w:t>
      </w:r>
      <w:r w:rsidR="00723BC9">
        <w:rPr>
          <w:rFonts w:ascii="Times New Roman" w:hAnsi="Times New Roman"/>
        </w:rPr>
        <w:t>are containe</w:t>
      </w:r>
      <w:r w:rsidRPr="00E37D65">
        <w:rPr>
          <w:rFonts w:ascii="Times New Roman" w:hAnsi="Times New Roman"/>
        </w:rPr>
        <w:t xml:space="preserve">d </w:t>
      </w:r>
      <w:r w:rsidR="00723BC9">
        <w:rPr>
          <w:rFonts w:ascii="Times New Roman" w:hAnsi="Times New Roman"/>
        </w:rPr>
        <w:t>in</w:t>
      </w:r>
      <w:r w:rsidRPr="00E37D65">
        <w:rPr>
          <w:rFonts w:ascii="Times New Roman" w:hAnsi="Times New Roman"/>
        </w:rPr>
        <w:t xml:space="preserve"> the </w:t>
      </w:r>
      <w:r w:rsidR="00CA483B">
        <w:rPr>
          <w:rFonts w:ascii="Times New Roman" w:hAnsi="Times New Roman"/>
        </w:rPr>
        <w:t>final</w:t>
      </w:r>
      <w:r w:rsidR="00CA483B" w:rsidRPr="00E37D65">
        <w:rPr>
          <w:rFonts w:ascii="Times New Roman" w:hAnsi="Times New Roman"/>
        </w:rPr>
        <w:t xml:space="preserve"> </w:t>
      </w:r>
      <w:r w:rsidRPr="00E37D65">
        <w:rPr>
          <w:rFonts w:ascii="Times New Roman" w:hAnsi="Times New Roman"/>
        </w:rPr>
        <w:t>rules</w:t>
      </w:r>
      <w:r w:rsidR="00F30406">
        <w:rPr>
          <w:rFonts w:ascii="Times New Roman" w:hAnsi="Times New Roman"/>
        </w:rPr>
        <w:t>:</w:t>
      </w:r>
      <w:r w:rsidRPr="00E37D65">
        <w:rPr>
          <w:rFonts w:ascii="Times New Roman" w:hAnsi="Times New Roman"/>
        </w:rPr>
        <w:t xml:space="preserve">  </w:t>
      </w:r>
      <w:r w:rsidR="00723BC9">
        <w:rPr>
          <w:rFonts w:ascii="Times New Roman" w:hAnsi="Times New Roman"/>
        </w:rPr>
        <w:t>(</w:t>
      </w:r>
      <w:r w:rsidRPr="00E37D65">
        <w:rPr>
          <w:rFonts w:ascii="Times New Roman" w:hAnsi="Times New Roman"/>
        </w:rPr>
        <w:t xml:space="preserve">1) </w:t>
      </w:r>
      <w:r w:rsidR="00E37D65" w:rsidRPr="00E37D65">
        <w:rPr>
          <w:rFonts w:ascii="Times New Roman" w:hAnsi="Times New Roman"/>
        </w:rPr>
        <w:t>Verification of Enrollment in Individual Coverage</w:t>
      </w:r>
      <w:r w:rsidR="00723BC9">
        <w:rPr>
          <w:rFonts w:ascii="Times New Roman" w:hAnsi="Times New Roman"/>
        </w:rPr>
        <w:t>;</w:t>
      </w:r>
      <w:r w:rsidRPr="00E37D65">
        <w:rPr>
          <w:rFonts w:ascii="Times New Roman" w:hAnsi="Times New Roman"/>
        </w:rPr>
        <w:t xml:space="preserve"> </w:t>
      </w:r>
      <w:r w:rsidR="00723BC9">
        <w:rPr>
          <w:rFonts w:ascii="Times New Roman" w:hAnsi="Times New Roman"/>
        </w:rPr>
        <w:t>(</w:t>
      </w:r>
      <w:r w:rsidRPr="00E37D65">
        <w:rPr>
          <w:rFonts w:ascii="Times New Roman" w:hAnsi="Times New Roman"/>
        </w:rPr>
        <w:t xml:space="preserve">2) </w:t>
      </w:r>
      <w:r w:rsidR="00E37D65" w:rsidRPr="00E37D65">
        <w:rPr>
          <w:rFonts w:ascii="Times New Roman" w:hAnsi="Times New Roman"/>
        </w:rPr>
        <w:t>HRA Notice to Participants</w:t>
      </w:r>
      <w:r w:rsidR="00723BC9">
        <w:rPr>
          <w:rFonts w:ascii="Times New Roman" w:hAnsi="Times New Roman"/>
        </w:rPr>
        <w:t>; (</w:t>
      </w:r>
      <w:r w:rsidR="00E37D65" w:rsidRPr="00E37D65">
        <w:rPr>
          <w:rFonts w:ascii="Times New Roman" w:hAnsi="Times New Roman"/>
        </w:rPr>
        <w:t xml:space="preserve">3) Notice to Participants that Individual Policy is not </w:t>
      </w:r>
      <w:r w:rsidR="00723BC9">
        <w:rPr>
          <w:rFonts w:ascii="Times New Roman" w:hAnsi="Times New Roman"/>
        </w:rPr>
        <w:t>S</w:t>
      </w:r>
      <w:r w:rsidR="00E37D65" w:rsidRPr="00E37D65">
        <w:rPr>
          <w:rFonts w:ascii="Times New Roman" w:hAnsi="Times New Roman"/>
        </w:rPr>
        <w:t>ubject to</w:t>
      </w:r>
      <w:r w:rsidR="007739F6">
        <w:rPr>
          <w:rFonts w:ascii="Times New Roman" w:hAnsi="Times New Roman"/>
        </w:rPr>
        <w:t xml:space="preserve"> </w:t>
      </w:r>
      <w:r w:rsidR="00723BC9">
        <w:rPr>
          <w:rFonts w:ascii="Times New Roman" w:hAnsi="Times New Roman"/>
        </w:rPr>
        <w:t>T</w:t>
      </w:r>
      <w:r w:rsidR="00E37D65" w:rsidRPr="00E37D65">
        <w:rPr>
          <w:rFonts w:ascii="Times New Roman" w:hAnsi="Times New Roman"/>
        </w:rPr>
        <w:t>itle I of ERISA</w:t>
      </w:r>
      <w:r w:rsidR="00CA483B" w:rsidRPr="00CA483B">
        <w:rPr>
          <w:rFonts w:ascii="Times New Roman" w:hAnsi="Times New Roman"/>
        </w:rPr>
        <w:t xml:space="preserve">; 4) </w:t>
      </w:r>
      <w:r w:rsidR="00CA483B" w:rsidRPr="003C336E">
        <w:rPr>
          <w:rFonts w:ascii="Times New Roman" w:eastAsia="Calibri" w:hAnsi="Times New Roman"/>
          <w:u w:val="single"/>
        </w:rPr>
        <w:t>Participant Notif</w:t>
      </w:r>
      <w:r w:rsidR="006773B0">
        <w:rPr>
          <w:rFonts w:ascii="Times New Roman" w:eastAsia="Calibri" w:hAnsi="Times New Roman"/>
          <w:u w:val="single"/>
        </w:rPr>
        <w:t>ication o</w:t>
      </w:r>
      <w:r w:rsidR="005176A7">
        <w:rPr>
          <w:rFonts w:ascii="Times New Roman" w:eastAsia="Calibri" w:hAnsi="Times New Roman"/>
          <w:u w:val="single"/>
        </w:rPr>
        <w:t>f</w:t>
      </w:r>
      <w:r w:rsidR="006773B0">
        <w:rPr>
          <w:rFonts w:ascii="Times New Roman" w:eastAsia="Calibri" w:hAnsi="Times New Roman"/>
          <w:u w:val="single"/>
        </w:rPr>
        <w:t xml:space="preserve"> </w:t>
      </w:r>
      <w:r w:rsidR="00CA483B" w:rsidRPr="003C336E">
        <w:rPr>
          <w:rFonts w:ascii="Times New Roman" w:eastAsia="Calibri" w:hAnsi="Times New Roman"/>
          <w:u w:val="single"/>
        </w:rPr>
        <w:t xml:space="preserve"> Individual Coverage HRA of Cancelled or Discontinued Coverage</w:t>
      </w:r>
      <w:r w:rsidR="00CA483B">
        <w:rPr>
          <w:rFonts w:ascii="Times New Roman" w:eastAsia="Calibri" w:hAnsi="Times New Roman"/>
          <w:u w:val="single"/>
        </w:rPr>
        <w:t xml:space="preserve">; 5) </w:t>
      </w:r>
      <w:r w:rsidR="00CA483B" w:rsidRPr="003C336E">
        <w:rPr>
          <w:rFonts w:ascii="Times New Roman" w:eastAsia="Calibri" w:hAnsi="Times New Roman"/>
          <w:u w:val="single"/>
        </w:rPr>
        <w:t>Notice for Excepted Benefit HRAs</w:t>
      </w:r>
      <w:r w:rsidR="00E37D65" w:rsidRPr="003C336E">
        <w:rPr>
          <w:rFonts w:ascii="Times New Roman" w:hAnsi="Times New Roman"/>
        </w:rPr>
        <w:t>.</w:t>
      </w:r>
      <w:r w:rsidR="00723BC9" w:rsidRPr="003C336E">
        <w:rPr>
          <w:rFonts w:ascii="Times New Roman" w:hAnsi="Times New Roman"/>
        </w:rPr>
        <w:t xml:space="preserve"> These are described bel</w:t>
      </w:r>
      <w:r w:rsidR="007739F6" w:rsidRPr="003C336E">
        <w:rPr>
          <w:rFonts w:ascii="Times New Roman" w:hAnsi="Times New Roman"/>
        </w:rPr>
        <w:t>ow</w:t>
      </w:r>
      <w:r w:rsidR="00723BC9" w:rsidRPr="003C336E">
        <w:rPr>
          <w:rFonts w:ascii="Times New Roman" w:hAnsi="Times New Roman"/>
        </w:rPr>
        <w:t>.</w:t>
      </w:r>
    </w:p>
    <w:p w14:paraId="3CCB9648" w14:textId="77777777" w:rsidR="00237420" w:rsidRPr="00E37D65" w:rsidRDefault="00237420" w:rsidP="00237420">
      <w:pPr>
        <w:tabs>
          <w:tab w:val="left" w:pos="720"/>
        </w:tabs>
        <w:ind w:left="720"/>
        <w:rPr>
          <w:rFonts w:ascii="Times New Roman" w:hAnsi="Times New Roman"/>
        </w:rPr>
      </w:pPr>
    </w:p>
    <w:p w14:paraId="69510D3D" w14:textId="77777777" w:rsidR="00237420" w:rsidRDefault="00E37D65" w:rsidP="002F3577">
      <w:pPr>
        <w:pStyle w:val="ListParagraph"/>
        <w:numPr>
          <w:ilvl w:val="0"/>
          <w:numId w:val="11"/>
        </w:numPr>
        <w:tabs>
          <w:tab w:val="left" w:pos="720"/>
        </w:tabs>
        <w:rPr>
          <w:rFonts w:ascii="Times New Roman" w:hAnsi="Times New Roman"/>
          <w:sz w:val="24"/>
          <w:szCs w:val="24"/>
        </w:rPr>
      </w:pPr>
      <w:bookmarkStart w:id="2" w:name="OLE_LINK1"/>
      <w:bookmarkStart w:id="3" w:name="OLE_LINK2"/>
      <w:r w:rsidRPr="00E37D65">
        <w:rPr>
          <w:rFonts w:ascii="Times New Roman" w:hAnsi="Times New Roman"/>
          <w:sz w:val="24"/>
          <w:szCs w:val="24"/>
        </w:rPr>
        <w:t>Verification of Enrollment in Individual Coverage</w:t>
      </w:r>
    </w:p>
    <w:bookmarkEnd w:id="2"/>
    <w:bookmarkEnd w:id="3"/>
    <w:p w14:paraId="6575C921" w14:textId="77777777" w:rsidR="00C047A4" w:rsidRDefault="00C047A4" w:rsidP="00C047A4">
      <w:pPr>
        <w:pStyle w:val="ListParagraph"/>
        <w:tabs>
          <w:tab w:val="left" w:pos="720"/>
        </w:tabs>
        <w:rPr>
          <w:rFonts w:ascii="Times New Roman" w:hAnsi="Times New Roman"/>
          <w:sz w:val="24"/>
          <w:szCs w:val="24"/>
        </w:rPr>
      </w:pPr>
    </w:p>
    <w:p w14:paraId="72B1ED5F" w14:textId="77777777" w:rsidR="00C047A4" w:rsidRDefault="00C047A4" w:rsidP="00C047A4">
      <w:pPr>
        <w:pStyle w:val="ListParagraph"/>
        <w:tabs>
          <w:tab w:val="left" w:pos="720"/>
        </w:tabs>
        <w:rPr>
          <w:rFonts w:ascii="Times New Roman" w:hAnsi="Times New Roman"/>
          <w:sz w:val="24"/>
          <w:szCs w:val="24"/>
        </w:rPr>
      </w:pPr>
      <w:r>
        <w:rPr>
          <w:rFonts w:ascii="Times New Roman" w:hAnsi="Times New Roman"/>
          <w:sz w:val="24"/>
          <w:szCs w:val="24"/>
        </w:rPr>
        <w:t xml:space="preserve">The HRA must implement and comply with reasonable procedures to verify that participants and beneficiaries are enrolled in individual insurance coverage for that year. This requirement can be satisfied by providing a document from a third party, like an insurance issuer, verifying coverage.   An alternative procedure </w:t>
      </w:r>
      <w:r w:rsidR="00CB73D9">
        <w:rPr>
          <w:rFonts w:ascii="Times New Roman" w:hAnsi="Times New Roman"/>
          <w:sz w:val="24"/>
          <w:szCs w:val="24"/>
        </w:rPr>
        <w:t>requires participants</w:t>
      </w:r>
      <w:r>
        <w:rPr>
          <w:rFonts w:ascii="Times New Roman" w:hAnsi="Times New Roman"/>
          <w:sz w:val="24"/>
          <w:szCs w:val="24"/>
        </w:rPr>
        <w:t xml:space="preserve"> to provide an attestation of coverage</w:t>
      </w:r>
      <w:r w:rsidR="00CB73D9">
        <w:rPr>
          <w:rFonts w:ascii="Times New Roman" w:hAnsi="Times New Roman"/>
          <w:sz w:val="24"/>
          <w:szCs w:val="24"/>
        </w:rPr>
        <w:t>,</w:t>
      </w:r>
      <w:r>
        <w:rPr>
          <w:rFonts w:ascii="Times New Roman" w:hAnsi="Times New Roman"/>
          <w:sz w:val="24"/>
          <w:szCs w:val="24"/>
        </w:rPr>
        <w:t xml:space="preserve"> includ</w:t>
      </w:r>
      <w:r w:rsidR="00CB73D9">
        <w:rPr>
          <w:rFonts w:ascii="Times New Roman" w:hAnsi="Times New Roman"/>
          <w:sz w:val="24"/>
          <w:szCs w:val="24"/>
        </w:rPr>
        <w:t>ing</w:t>
      </w:r>
      <w:r>
        <w:rPr>
          <w:rFonts w:ascii="Times New Roman" w:hAnsi="Times New Roman"/>
          <w:sz w:val="24"/>
          <w:szCs w:val="24"/>
        </w:rPr>
        <w:t xml:space="preserve"> the dat</w:t>
      </w:r>
      <w:r w:rsidR="00CB73D9">
        <w:rPr>
          <w:rFonts w:ascii="Times New Roman" w:hAnsi="Times New Roman"/>
          <w:sz w:val="24"/>
          <w:szCs w:val="24"/>
        </w:rPr>
        <w:t>e</w:t>
      </w:r>
      <w:r>
        <w:rPr>
          <w:rFonts w:ascii="Times New Roman" w:hAnsi="Times New Roman"/>
          <w:sz w:val="24"/>
          <w:szCs w:val="24"/>
        </w:rPr>
        <w:t xml:space="preserve"> coverage begins and the provider of the coverage.</w:t>
      </w:r>
    </w:p>
    <w:p w14:paraId="2EEC556A" w14:textId="77777777" w:rsidR="00C047A4" w:rsidRDefault="00C047A4" w:rsidP="00C047A4">
      <w:pPr>
        <w:pStyle w:val="ListParagraph"/>
        <w:tabs>
          <w:tab w:val="left" w:pos="720"/>
        </w:tabs>
        <w:rPr>
          <w:rFonts w:ascii="Times New Roman" w:hAnsi="Times New Roman"/>
          <w:sz w:val="24"/>
          <w:szCs w:val="24"/>
        </w:rPr>
      </w:pPr>
    </w:p>
    <w:p w14:paraId="3B959FBF" w14:textId="77777777" w:rsidR="00C047A4" w:rsidRPr="00E37D65" w:rsidRDefault="00C047A4" w:rsidP="00C047A4">
      <w:pPr>
        <w:pStyle w:val="ListParagraph"/>
        <w:tabs>
          <w:tab w:val="left" w:pos="720"/>
        </w:tabs>
        <w:rPr>
          <w:rFonts w:ascii="Times New Roman" w:hAnsi="Times New Roman"/>
          <w:sz w:val="24"/>
          <w:szCs w:val="24"/>
        </w:rPr>
      </w:pPr>
      <w:r>
        <w:rPr>
          <w:rFonts w:ascii="Times New Roman" w:hAnsi="Times New Roman"/>
          <w:sz w:val="24"/>
          <w:szCs w:val="24"/>
        </w:rPr>
        <w:t xml:space="preserve"> </w:t>
      </w:r>
    </w:p>
    <w:p w14:paraId="761E2CDD" w14:textId="77777777" w:rsidR="002F3577" w:rsidRPr="00C047A4" w:rsidRDefault="00E37D65" w:rsidP="002F3577">
      <w:pPr>
        <w:pStyle w:val="ListParagraph"/>
        <w:numPr>
          <w:ilvl w:val="0"/>
          <w:numId w:val="11"/>
        </w:numPr>
        <w:tabs>
          <w:tab w:val="left" w:pos="720"/>
        </w:tabs>
        <w:rPr>
          <w:rFonts w:ascii="Times New Roman" w:hAnsi="Times New Roman"/>
          <w:sz w:val="24"/>
          <w:szCs w:val="24"/>
        </w:rPr>
      </w:pPr>
      <w:r w:rsidRPr="00E37D65">
        <w:rPr>
          <w:rFonts w:ascii="Times New Roman" w:hAnsi="Times New Roman"/>
          <w:sz w:val="24"/>
          <w:szCs w:val="24"/>
        </w:rPr>
        <w:t>HRA Notice to Participants</w:t>
      </w:r>
    </w:p>
    <w:p w14:paraId="7EAC0940" w14:textId="77777777" w:rsidR="009A3C0E" w:rsidRDefault="009A3C0E" w:rsidP="00023BF5">
      <w:pPr>
        <w:tabs>
          <w:tab w:val="left" w:pos="720"/>
        </w:tabs>
        <w:ind w:left="720"/>
        <w:rPr>
          <w:rFonts w:ascii="Times New Roman" w:hAnsi="Times New Roman"/>
        </w:rPr>
      </w:pPr>
      <w:r w:rsidRPr="00E37D65">
        <w:rPr>
          <w:rFonts w:ascii="Times New Roman" w:hAnsi="Times New Roman"/>
        </w:rPr>
        <w:t>Because</w:t>
      </w:r>
      <w:r w:rsidR="00E16C7C" w:rsidRPr="00E37D65">
        <w:rPr>
          <w:rFonts w:ascii="Times New Roman" w:hAnsi="Times New Roman"/>
        </w:rPr>
        <w:t xml:space="preserve"> </w:t>
      </w:r>
      <w:r w:rsidRPr="00E37D65">
        <w:rPr>
          <w:rFonts w:ascii="Times New Roman" w:hAnsi="Times New Roman"/>
        </w:rPr>
        <w:t>HRAs are different from traditional employer-provided health coverage in many respects, the Departments are concerned that individuals eligible for HRAs integrated with individual health insurance coverage may not recognize that the offer and/or acceptance of an HRA will have consequences for PTC eligibility</w:t>
      </w:r>
      <w:r w:rsidR="00B550BC" w:rsidRPr="00E37D65">
        <w:rPr>
          <w:rFonts w:ascii="Times New Roman" w:hAnsi="Times New Roman"/>
        </w:rPr>
        <w:t>.</w:t>
      </w:r>
      <w:r w:rsidRPr="00E37D65">
        <w:rPr>
          <w:rFonts w:ascii="Times New Roman" w:hAnsi="Times New Roman"/>
        </w:rPr>
        <w:t xml:space="preserve"> Therefore, in order to ensure that participants who are eligible to participate in an HRA integrated with individual health insurance coverage understand the potential effect that the offer of and enrollment</w:t>
      </w:r>
      <w:r w:rsidRPr="009A3C0E">
        <w:rPr>
          <w:rFonts w:ascii="Times New Roman" w:hAnsi="Times New Roman"/>
        </w:rPr>
        <w:t xml:space="preserve"> in the HRA might have on their ability to claim the PTC, these </w:t>
      </w:r>
      <w:r w:rsidR="00697ED8">
        <w:rPr>
          <w:rFonts w:ascii="Times New Roman" w:hAnsi="Times New Roman"/>
        </w:rPr>
        <w:t xml:space="preserve">final </w:t>
      </w:r>
      <w:r w:rsidRPr="009A3C0E">
        <w:rPr>
          <w:rFonts w:ascii="Times New Roman" w:hAnsi="Times New Roman"/>
        </w:rPr>
        <w:t xml:space="preserve">regulations include a requirement that an HRA provide written notice to eligible participants. The HRA </w:t>
      </w:r>
      <w:r w:rsidR="00723BC9">
        <w:rPr>
          <w:rFonts w:ascii="Times New Roman" w:hAnsi="Times New Roman"/>
        </w:rPr>
        <w:t xml:space="preserve">sponsor </w:t>
      </w:r>
      <w:r w:rsidRPr="009A3C0E">
        <w:rPr>
          <w:rFonts w:ascii="Times New Roman" w:hAnsi="Times New Roman"/>
        </w:rPr>
        <w:t xml:space="preserve">would be required to provide a written notice to each participant at least 90 days before the beginning of each plan year.  For participants who are not yet eligible to participate at the beginning of the plan year (or who are not eligible when the notice is provided at least 90 days prior to the beginning of the plan year), the HRA must provide the notice no later than the date on which the participant is first eligible to participate in the HRA. </w:t>
      </w:r>
    </w:p>
    <w:p w14:paraId="28EBDCE7" w14:textId="77777777" w:rsidR="009A3C0E" w:rsidRPr="009A3C0E" w:rsidRDefault="009A3C0E" w:rsidP="00023BF5">
      <w:pPr>
        <w:tabs>
          <w:tab w:val="left" w:pos="720"/>
        </w:tabs>
        <w:ind w:left="720"/>
        <w:rPr>
          <w:rFonts w:ascii="Times New Roman" w:hAnsi="Times New Roman"/>
        </w:rPr>
      </w:pPr>
    </w:p>
    <w:p w14:paraId="7B865F1C" w14:textId="77777777" w:rsidR="009A3C0E" w:rsidRDefault="009A3C0E" w:rsidP="00023BF5">
      <w:pPr>
        <w:ind w:left="720"/>
        <w:rPr>
          <w:rFonts w:ascii="Times New Roman" w:hAnsi="Times New Roman"/>
        </w:rPr>
      </w:pPr>
      <w:r w:rsidRPr="009A3C0E">
        <w:rPr>
          <w:rFonts w:ascii="Times New Roman" w:hAnsi="Times New Roman"/>
        </w:rPr>
        <w:lastRenderedPageBreak/>
        <w:t xml:space="preserve">The written notice must include certain relevant information, including among other things, a description of the terms of the HRA, including the contribution amount used in the affordability determination under the Code section 36B </w:t>
      </w:r>
      <w:r w:rsidR="00697ED8">
        <w:rPr>
          <w:rFonts w:ascii="Times New Roman" w:hAnsi="Times New Roman"/>
        </w:rPr>
        <w:t>final</w:t>
      </w:r>
      <w:r w:rsidR="00697ED8" w:rsidRPr="009A3C0E">
        <w:rPr>
          <w:rFonts w:ascii="Times New Roman" w:hAnsi="Times New Roman"/>
        </w:rPr>
        <w:t xml:space="preserve"> </w:t>
      </w:r>
      <w:r w:rsidRPr="009A3C0E">
        <w:rPr>
          <w:rFonts w:ascii="Times New Roman" w:hAnsi="Times New Roman"/>
        </w:rPr>
        <w:t>regulations</w:t>
      </w:r>
      <w:r w:rsidRPr="00AE0F66">
        <w:rPr>
          <w:rStyle w:val="FootnoteReference"/>
          <w:rFonts w:ascii="Times New Roman" w:hAnsi="Times New Roman"/>
          <w:vertAlign w:val="superscript"/>
        </w:rPr>
        <w:footnoteReference w:id="3"/>
      </w:r>
      <w:r w:rsidRPr="009A3C0E">
        <w:rPr>
          <w:rFonts w:ascii="Times New Roman" w:hAnsi="Times New Roman"/>
        </w:rPr>
        <w:t xml:space="preserve">; a statement of the right of the participant to opt-out of and waive future reimbursement under the HRA; a description of the PTC eligibility consequences for a participant who opts out of the HRA; and a description of the PTC eligibility consequences for a participant who accepts the HRA. </w:t>
      </w:r>
    </w:p>
    <w:p w14:paraId="6CFBA32A" w14:textId="77777777" w:rsidR="009A3C0E" w:rsidRPr="009A3C0E" w:rsidRDefault="009A3C0E" w:rsidP="00023BF5">
      <w:pPr>
        <w:ind w:left="720" w:firstLine="360"/>
        <w:rPr>
          <w:rFonts w:ascii="Times New Roman" w:hAnsi="Times New Roman"/>
        </w:rPr>
      </w:pPr>
    </w:p>
    <w:p w14:paraId="0CAF74FA" w14:textId="77777777" w:rsidR="009A3C0E" w:rsidRDefault="009A3C0E" w:rsidP="00023BF5">
      <w:pPr>
        <w:ind w:left="720"/>
        <w:rPr>
          <w:rFonts w:ascii="Times New Roman" w:hAnsi="Times New Roman"/>
        </w:rPr>
      </w:pPr>
      <w:r w:rsidRPr="009A3C0E">
        <w:rPr>
          <w:rFonts w:ascii="Times New Roman" w:hAnsi="Times New Roman"/>
        </w:rPr>
        <w:t xml:space="preserve">The written notice must include the information required by the </w:t>
      </w:r>
      <w:r w:rsidR="00697ED8">
        <w:rPr>
          <w:rFonts w:ascii="Times New Roman" w:hAnsi="Times New Roman"/>
        </w:rPr>
        <w:t>final</w:t>
      </w:r>
      <w:r w:rsidR="00697ED8" w:rsidRPr="009A3C0E">
        <w:rPr>
          <w:rFonts w:ascii="Times New Roman" w:hAnsi="Times New Roman"/>
        </w:rPr>
        <w:t xml:space="preserve"> </w:t>
      </w:r>
      <w:r w:rsidRPr="009A3C0E">
        <w:rPr>
          <w:rFonts w:ascii="Times New Roman" w:hAnsi="Times New Roman"/>
        </w:rPr>
        <w:t xml:space="preserve">regulations, and may include other information, as long as the additional information does not conflict with the required information.  The written notice </w:t>
      </w:r>
      <w:r w:rsidR="006773B0">
        <w:rPr>
          <w:rFonts w:ascii="Times New Roman" w:hAnsi="Times New Roman"/>
        </w:rPr>
        <w:t>does</w:t>
      </w:r>
      <w:r w:rsidRPr="009A3C0E">
        <w:rPr>
          <w:rFonts w:ascii="Times New Roman" w:hAnsi="Times New Roman"/>
        </w:rPr>
        <w:t xml:space="preserve"> not need to include information specific to a participant.  For example, it would be sufficient under the </w:t>
      </w:r>
      <w:r w:rsidR="00697ED8">
        <w:rPr>
          <w:rFonts w:ascii="Times New Roman" w:hAnsi="Times New Roman"/>
        </w:rPr>
        <w:t>final</w:t>
      </w:r>
      <w:r w:rsidR="00697ED8" w:rsidRPr="009A3C0E">
        <w:rPr>
          <w:rFonts w:ascii="Times New Roman" w:hAnsi="Times New Roman"/>
        </w:rPr>
        <w:t xml:space="preserve"> </w:t>
      </w:r>
      <w:r w:rsidRPr="009A3C0E">
        <w:rPr>
          <w:rFonts w:ascii="Times New Roman" w:hAnsi="Times New Roman"/>
        </w:rPr>
        <w:t xml:space="preserve">rule for the notice to include a description of the terms of the HRA that would allow a participant to determine the amounts newly made available under the HRA, which are needed for the participant to determine affordability under the </w:t>
      </w:r>
      <w:r w:rsidR="00697ED8">
        <w:rPr>
          <w:rFonts w:ascii="Times New Roman" w:hAnsi="Times New Roman"/>
        </w:rPr>
        <w:t>final</w:t>
      </w:r>
      <w:r w:rsidR="00697ED8" w:rsidRPr="009A3C0E">
        <w:rPr>
          <w:rFonts w:ascii="Times New Roman" w:hAnsi="Times New Roman"/>
        </w:rPr>
        <w:t xml:space="preserve"> </w:t>
      </w:r>
      <w:r w:rsidRPr="009A3C0E">
        <w:rPr>
          <w:rFonts w:ascii="Times New Roman" w:hAnsi="Times New Roman"/>
        </w:rPr>
        <w:t xml:space="preserve">rules at 26 CFR 1.36B-2(c)(5).  The </w:t>
      </w:r>
      <w:r w:rsidR="00697ED8">
        <w:rPr>
          <w:rFonts w:ascii="Times New Roman" w:hAnsi="Times New Roman"/>
        </w:rPr>
        <w:t>final</w:t>
      </w:r>
      <w:r w:rsidR="00697ED8" w:rsidRPr="009A3C0E">
        <w:rPr>
          <w:rFonts w:ascii="Times New Roman" w:hAnsi="Times New Roman"/>
        </w:rPr>
        <w:t xml:space="preserve"> </w:t>
      </w:r>
      <w:r w:rsidRPr="009A3C0E">
        <w:rPr>
          <w:rFonts w:ascii="Times New Roman" w:hAnsi="Times New Roman"/>
        </w:rPr>
        <w:t xml:space="preserve">regulations </w:t>
      </w:r>
      <w:r w:rsidR="006773B0">
        <w:rPr>
          <w:rFonts w:ascii="Times New Roman" w:hAnsi="Times New Roman"/>
        </w:rPr>
        <w:t>do</w:t>
      </w:r>
      <w:r w:rsidRPr="009A3C0E">
        <w:rPr>
          <w:rFonts w:ascii="Times New Roman" w:hAnsi="Times New Roman"/>
        </w:rPr>
        <w:t xml:space="preserve"> not require the HRA to include in the notice a determination of whether the HRA is considered affordable for the participant. </w:t>
      </w:r>
    </w:p>
    <w:p w14:paraId="422751E5" w14:textId="77777777" w:rsidR="00E37D65" w:rsidRDefault="00E37D65" w:rsidP="007A5726">
      <w:pPr>
        <w:ind w:left="360" w:firstLine="720"/>
        <w:rPr>
          <w:rFonts w:ascii="Times New Roman" w:hAnsi="Times New Roman"/>
        </w:rPr>
      </w:pPr>
    </w:p>
    <w:p w14:paraId="797D8512" w14:textId="77777777" w:rsidR="00E37D65" w:rsidRPr="00E37D65" w:rsidRDefault="00E37D65" w:rsidP="00E37D65">
      <w:pPr>
        <w:pStyle w:val="ListParagraph"/>
        <w:numPr>
          <w:ilvl w:val="0"/>
          <w:numId w:val="11"/>
        </w:numPr>
        <w:tabs>
          <w:tab w:val="left" w:pos="720"/>
        </w:tabs>
        <w:rPr>
          <w:rFonts w:ascii="Times New Roman" w:hAnsi="Times New Roman"/>
          <w:sz w:val="24"/>
          <w:szCs w:val="24"/>
        </w:rPr>
      </w:pPr>
      <w:r w:rsidRPr="00E37D65">
        <w:rPr>
          <w:rFonts w:ascii="Times New Roman" w:hAnsi="Times New Roman"/>
          <w:sz w:val="24"/>
          <w:szCs w:val="24"/>
        </w:rPr>
        <w:t>Notice to Participants that Individual Policy is not subject to title I of ERISA.</w:t>
      </w:r>
    </w:p>
    <w:p w14:paraId="5F66FD4C" w14:textId="77777777" w:rsidR="00E37D65" w:rsidRPr="00E37D65" w:rsidRDefault="00023BF5" w:rsidP="00E37D65">
      <w:pPr>
        <w:tabs>
          <w:tab w:val="left" w:pos="720"/>
        </w:tabs>
        <w:ind w:left="720"/>
        <w:rPr>
          <w:rFonts w:ascii="Times New Roman" w:hAnsi="Times New Roman"/>
        </w:rPr>
      </w:pPr>
      <w:r>
        <w:rPr>
          <w:rFonts w:ascii="Times New Roman" w:hAnsi="Times New Roman"/>
        </w:rPr>
        <w:t xml:space="preserve">If certain conditions are met individual health insurance coverage is not considered an “employee welfare benefit plan” </w:t>
      </w:r>
      <w:r w:rsidR="00CB73D9">
        <w:rPr>
          <w:rFonts w:ascii="Times New Roman" w:hAnsi="Times New Roman"/>
        </w:rPr>
        <w:t>with</w:t>
      </w:r>
      <w:r>
        <w:rPr>
          <w:rFonts w:ascii="Times New Roman" w:hAnsi="Times New Roman"/>
        </w:rPr>
        <w:t xml:space="preserve"> the consumer protections </w:t>
      </w:r>
      <w:r w:rsidR="00CB73D9">
        <w:rPr>
          <w:rFonts w:ascii="Times New Roman" w:hAnsi="Times New Roman"/>
        </w:rPr>
        <w:t>provided under</w:t>
      </w:r>
      <w:r>
        <w:rPr>
          <w:rFonts w:ascii="Times New Roman" w:hAnsi="Times New Roman"/>
        </w:rPr>
        <w:t xml:space="preserve"> ERISA.  </w:t>
      </w:r>
      <w:r w:rsidR="00723BC9">
        <w:rPr>
          <w:rFonts w:ascii="Times New Roman" w:hAnsi="Times New Roman"/>
        </w:rPr>
        <w:t xml:space="preserve">The </w:t>
      </w:r>
      <w:r w:rsidR="00697ED8">
        <w:rPr>
          <w:rFonts w:ascii="Times New Roman" w:hAnsi="Times New Roman"/>
        </w:rPr>
        <w:t xml:space="preserve">final </w:t>
      </w:r>
      <w:r w:rsidR="00DF4BE7">
        <w:rPr>
          <w:rFonts w:ascii="Times New Roman" w:hAnsi="Times New Roman"/>
        </w:rPr>
        <w:t>rule</w:t>
      </w:r>
      <w:r w:rsidR="00723BC9">
        <w:rPr>
          <w:rFonts w:ascii="Times New Roman" w:hAnsi="Times New Roman"/>
        </w:rPr>
        <w:t xml:space="preserve"> require </w:t>
      </w:r>
      <w:r>
        <w:rPr>
          <w:rFonts w:ascii="Times New Roman" w:hAnsi="Times New Roman"/>
        </w:rPr>
        <w:t>HRAs</w:t>
      </w:r>
      <w:r w:rsidR="00CB73D9">
        <w:rPr>
          <w:rFonts w:ascii="Times New Roman" w:hAnsi="Times New Roman"/>
        </w:rPr>
        <w:t xml:space="preserve"> plan </w:t>
      </w:r>
      <w:r w:rsidR="00697ED8">
        <w:rPr>
          <w:rFonts w:ascii="Times New Roman" w:hAnsi="Times New Roman"/>
        </w:rPr>
        <w:t>sponsors</w:t>
      </w:r>
      <w:r>
        <w:rPr>
          <w:rFonts w:ascii="Times New Roman" w:hAnsi="Times New Roman"/>
        </w:rPr>
        <w:t xml:space="preserve"> to notify participant of this fact.  </w:t>
      </w:r>
      <w:r w:rsidR="00E37D65" w:rsidRPr="00E37D65">
        <w:rPr>
          <w:rFonts w:ascii="Times New Roman" w:hAnsi="Times New Roman"/>
        </w:rPr>
        <w:t>For an HRA</w:t>
      </w:r>
      <w:r w:rsidR="00723BC9">
        <w:rPr>
          <w:rFonts w:ascii="Times New Roman" w:hAnsi="Times New Roman"/>
        </w:rPr>
        <w:t xml:space="preserve"> sponsor, </w:t>
      </w:r>
      <w:r w:rsidR="00E37D65" w:rsidRPr="00E37D65">
        <w:rPr>
          <w:rFonts w:ascii="Times New Roman" w:hAnsi="Times New Roman"/>
        </w:rPr>
        <w:t xml:space="preserve">this notice requirement is meet if annually the notice requirements in section 2590.702-2(c)(6) are met.  These notice requirements are part of the </w:t>
      </w:r>
      <w:r w:rsidR="00E37D65">
        <w:rPr>
          <w:rFonts w:ascii="Times New Roman" w:hAnsi="Times New Roman"/>
        </w:rPr>
        <w:t>HRA notice to Participants</w:t>
      </w:r>
      <w:r w:rsidR="00E37D65" w:rsidRPr="00E37D65">
        <w:rPr>
          <w:rFonts w:ascii="Times New Roman" w:hAnsi="Times New Roman"/>
        </w:rPr>
        <w:t xml:space="preserve">.  For QSEHRAs this notice requirement is met if </w:t>
      </w:r>
      <w:r w:rsidR="00CB73D9">
        <w:rPr>
          <w:rFonts w:ascii="Times New Roman" w:hAnsi="Times New Roman"/>
        </w:rPr>
        <w:t xml:space="preserve">the plan sponsor </w:t>
      </w:r>
      <w:r w:rsidR="00E37D65" w:rsidRPr="00E37D65">
        <w:rPr>
          <w:rFonts w:ascii="Times New Roman" w:hAnsi="Times New Roman"/>
        </w:rPr>
        <w:t>annually</w:t>
      </w:r>
      <w:r w:rsidR="00E37D65">
        <w:rPr>
          <w:rFonts w:ascii="Times New Roman" w:hAnsi="Times New Roman"/>
        </w:rPr>
        <w:t>,</w:t>
      </w:r>
      <w:r w:rsidR="00E37D65" w:rsidRPr="00E37D65">
        <w:rPr>
          <w:rFonts w:ascii="Times New Roman" w:hAnsi="Times New Roman"/>
        </w:rPr>
        <w:t xml:space="preserve"> </w:t>
      </w:r>
      <w:r w:rsidR="00CB73D9">
        <w:rPr>
          <w:rFonts w:ascii="Times New Roman" w:hAnsi="Times New Roman"/>
        </w:rPr>
        <w:t xml:space="preserve">includes </w:t>
      </w:r>
      <w:r w:rsidR="00E37D65" w:rsidRPr="00E37D65">
        <w:rPr>
          <w:rFonts w:ascii="Times New Roman" w:hAnsi="Times New Roman"/>
        </w:rPr>
        <w:t xml:space="preserve">language provided in the rule </w:t>
      </w:r>
      <w:r w:rsidR="00CB73D9">
        <w:rPr>
          <w:rFonts w:ascii="Times New Roman" w:hAnsi="Times New Roman"/>
        </w:rPr>
        <w:t>in the Summary Plan Description</w:t>
      </w:r>
      <w:r w:rsidR="00E37D65" w:rsidRPr="00E37D65">
        <w:rPr>
          <w:rFonts w:ascii="Times New Roman" w:hAnsi="Times New Roman"/>
        </w:rPr>
        <w:t>.</w:t>
      </w:r>
    </w:p>
    <w:p w14:paraId="0D102CE5" w14:textId="77777777" w:rsidR="00E37D65" w:rsidRPr="009A3C0E" w:rsidRDefault="00E37D65" w:rsidP="007A5726">
      <w:pPr>
        <w:ind w:left="360" w:firstLine="720"/>
        <w:rPr>
          <w:rFonts w:ascii="Times New Roman" w:hAnsi="Times New Roman"/>
        </w:rPr>
      </w:pPr>
    </w:p>
    <w:p w14:paraId="40971054" w14:textId="77777777" w:rsidR="007739F6" w:rsidRPr="003C336E" w:rsidRDefault="007739F6" w:rsidP="003C336E">
      <w:pPr>
        <w:pStyle w:val="ListParagraph"/>
        <w:numPr>
          <w:ilvl w:val="0"/>
          <w:numId w:val="11"/>
        </w:numPr>
        <w:spacing w:line="480" w:lineRule="auto"/>
        <w:rPr>
          <w:rFonts w:ascii="Times New Roman" w:eastAsia="Calibri" w:hAnsi="Times New Roman"/>
        </w:rPr>
      </w:pPr>
      <w:r w:rsidRPr="003C336E">
        <w:rPr>
          <w:rFonts w:ascii="Times New Roman" w:eastAsia="Calibri" w:hAnsi="Times New Roman"/>
        </w:rPr>
        <w:t>Participant Notif</w:t>
      </w:r>
      <w:r w:rsidR="006773B0">
        <w:rPr>
          <w:rFonts w:ascii="Times New Roman" w:eastAsia="Calibri" w:hAnsi="Times New Roman"/>
        </w:rPr>
        <w:t>ication of</w:t>
      </w:r>
      <w:r w:rsidR="00DF4BE7">
        <w:rPr>
          <w:rFonts w:ascii="Times New Roman" w:eastAsia="Calibri" w:hAnsi="Times New Roman"/>
        </w:rPr>
        <w:t xml:space="preserve"> </w:t>
      </w:r>
      <w:r w:rsidRPr="003C336E">
        <w:rPr>
          <w:rFonts w:ascii="Times New Roman" w:eastAsia="Calibri" w:hAnsi="Times New Roman"/>
        </w:rPr>
        <w:t>Individual Coverage HRA of Cancelled or Discontinued Coverage</w:t>
      </w:r>
    </w:p>
    <w:p w14:paraId="7E5A36C3" w14:textId="77777777" w:rsidR="009A3C0E" w:rsidRPr="007739F6" w:rsidRDefault="007739F6" w:rsidP="007739F6">
      <w:pPr>
        <w:widowControl/>
        <w:tabs>
          <w:tab w:val="left" w:pos="-1440"/>
        </w:tabs>
        <w:ind w:left="720"/>
        <w:rPr>
          <w:rFonts w:ascii="Times New Roman" w:hAnsi="Times New Roman"/>
          <w:sz w:val="20"/>
        </w:rPr>
      </w:pPr>
      <w:r w:rsidRPr="003C336E">
        <w:rPr>
          <w:rFonts w:ascii="Times New Roman" w:hAnsi="Times New Roman"/>
        </w:rPr>
        <w:t>The final rules require that if the covered individual fails to pay the applicable premium(s) by the end of the grace period and the coverage is cancelled or discontinued, including retroactively, or if individual health insurance coverage is cancelled or discontinued retroactively for some other reason (for example, a rescission), the individual coverage HRA must require that the individual notify the HRA that coverage has been cancelled or discontinued and the date on which the coverage cancellation or discontinuance is effective (54.9801-4(c)(1)(iii)).</w:t>
      </w:r>
    </w:p>
    <w:p w14:paraId="65F3C548" w14:textId="77777777" w:rsidR="00F9391C" w:rsidRDefault="00F9391C" w:rsidP="00F9391C">
      <w:pPr>
        <w:widowControl/>
        <w:ind w:left="720"/>
        <w:rPr>
          <w:rFonts w:ascii="Times New Roman" w:hAnsi="Times New Roman"/>
        </w:rPr>
      </w:pPr>
    </w:p>
    <w:p w14:paraId="53E45178" w14:textId="77777777" w:rsidR="007739F6" w:rsidRPr="003C336E" w:rsidRDefault="007739F6" w:rsidP="003C336E">
      <w:pPr>
        <w:pStyle w:val="ListParagraph"/>
        <w:numPr>
          <w:ilvl w:val="0"/>
          <w:numId w:val="11"/>
        </w:numPr>
        <w:rPr>
          <w:rFonts w:ascii="Times New Roman" w:eastAsia="Calibri" w:hAnsi="Times New Roman"/>
        </w:rPr>
      </w:pPr>
      <w:r w:rsidRPr="003C336E">
        <w:rPr>
          <w:rFonts w:ascii="Times New Roman" w:eastAsia="Calibri" w:hAnsi="Times New Roman"/>
        </w:rPr>
        <w:t>Notice for Excepted Benefit HRAs</w:t>
      </w:r>
    </w:p>
    <w:p w14:paraId="79163B29" w14:textId="77777777" w:rsidR="007739F6" w:rsidRDefault="007739F6" w:rsidP="003C336E">
      <w:pPr>
        <w:ind w:left="720"/>
        <w:rPr>
          <w:rFonts w:ascii="Times New Roman" w:eastAsia="Calibri" w:hAnsi="Times New Roman"/>
        </w:rPr>
      </w:pPr>
      <w:r w:rsidRPr="003C336E">
        <w:rPr>
          <w:rFonts w:ascii="Times New Roman" w:eastAsia="Calibri" w:hAnsi="Times New Roman"/>
        </w:rPr>
        <w:t>In response to commenters’ concerns, the final rules impose a notice requirement with respect to excepted benefit HRAs sponsored by non-federal governmental plans. Such an excepted benefit HRA must provide a notice that states conditions pertaining to eligibility to receive benefits, annual or lifetime caps or other limits on benefits under the excepted benefit HRA, and a description of or summary of the benefits consistent with the content and timing of DOL’s SPD requirements.</w:t>
      </w:r>
    </w:p>
    <w:p w14:paraId="64E89A8A" w14:textId="77777777" w:rsidR="00CA483B" w:rsidRPr="003C336E" w:rsidRDefault="00CA483B" w:rsidP="00CA483B">
      <w:pPr>
        <w:ind w:left="720"/>
        <w:rPr>
          <w:rFonts w:ascii="Times New Roman" w:eastAsia="Calibri" w:hAnsi="Times New Roman"/>
          <w:u w:val="single"/>
        </w:rPr>
      </w:pPr>
    </w:p>
    <w:p w14:paraId="4A7D89B5" w14:textId="77777777" w:rsidR="007739F6" w:rsidRPr="003C336E" w:rsidRDefault="007739F6" w:rsidP="003C336E">
      <w:pPr>
        <w:ind w:left="720"/>
        <w:rPr>
          <w:rFonts w:ascii="Times New Roman" w:eastAsia="Calibri" w:hAnsi="Times New Roman"/>
        </w:rPr>
      </w:pPr>
      <w:r w:rsidRPr="003C336E">
        <w:rPr>
          <w:rFonts w:ascii="Times New Roman" w:eastAsia="Calibri" w:hAnsi="Times New Roman"/>
        </w:rPr>
        <w:t>For private-sector, employment-based plans, other notice requirements under Part 1 of ERISA already apply. For example, excepted benefit HRAs that are ERISA-covered plans must provide a summary plan description (SPD), summaries of material modifications (SMM), and summaries of material reductions in covered services or benefits.</w:t>
      </w:r>
      <w:r w:rsidRPr="003C336E">
        <w:rPr>
          <w:rFonts w:ascii="Times New Roman" w:eastAsia="Calibri" w:hAnsi="Times New Roman"/>
          <w:vertAlign w:val="superscript"/>
        </w:rPr>
        <w:footnoteReference w:id="4"/>
      </w:r>
      <w:r w:rsidRPr="003C336E">
        <w:rPr>
          <w:rFonts w:ascii="Times New Roman" w:eastAsia="Calibri" w:hAnsi="Times New Roman"/>
        </w:rPr>
        <w:t xml:space="preserve"> The excepted benefit HRA’s SPD must include, for example, the conditions pertaining to eligibility to receive benefits; a description or summary of the benefits; the circumstances that may result in disqualification, ineligibility, or denial, loss, forfeiture, suspension, offset, reduction, or recovery (for example, by exercise of subrogation or reimbursement rights) of any benefits; and the procedures governing claims for benefits under the excepted benefit HRA. Accordingly, for excepted benefit HRAs that are subject to ERISA, the burden for providing information regarding excepted benefit HRAs is captured under the Department’s SPD information collection (OMB Control Number 1210-0039), which includes a growth factor for new SPDs and SMMs provided to participants to notify them regarding coverage under new plans and plan amendments.</w:t>
      </w:r>
    </w:p>
    <w:p w14:paraId="4D18BBF8" w14:textId="77777777" w:rsidR="007739F6" w:rsidRPr="00AF19D0" w:rsidRDefault="007739F6" w:rsidP="00F9391C">
      <w:pPr>
        <w:widowControl/>
        <w:ind w:left="720"/>
        <w:rPr>
          <w:rFonts w:ascii="Times New Roman" w:hAnsi="Times New Roman"/>
        </w:rPr>
      </w:pPr>
    </w:p>
    <w:p w14:paraId="48F0036B" w14:textId="77777777" w:rsidR="009169A2" w:rsidRPr="00AF19D0" w:rsidRDefault="009169A2" w:rsidP="00AF19D0">
      <w:pPr>
        <w:widowControl/>
        <w:tabs>
          <w:tab w:val="left" w:pos="-1440"/>
        </w:tabs>
        <w:ind w:left="720" w:hanging="720"/>
        <w:rPr>
          <w:rFonts w:ascii="Times New Roman" w:hAnsi="Times New Roman"/>
          <w:i/>
          <w:iCs/>
        </w:rPr>
      </w:pPr>
      <w:r w:rsidRPr="00AF19D0">
        <w:rPr>
          <w:rFonts w:ascii="Times New Roman" w:hAnsi="Times New Roman"/>
        </w:rPr>
        <w:t>3.</w:t>
      </w:r>
      <w:r w:rsidRPr="00AF19D0">
        <w:rPr>
          <w:rFonts w:ascii="Times New Roman" w:hAnsi="Times New Roman"/>
          <w:i/>
          <w:iCs/>
        </w:rPr>
        <w:tab/>
      </w:r>
      <w:r w:rsidRPr="00AF19D0">
        <w:rPr>
          <w:rFonts w:ascii="Times New Roman" w:hAnsi="Times New Roman"/>
          <w:i/>
          <w:iCs/>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3ABFF00C" w14:textId="77777777" w:rsidR="00D00A54" w:rsidRPr="00AF19D0" w:rsidRDefault="00D00A54" w:rsidP="00AF19D0">
      <w:pPr>
        <w:widowControl/>
        <w:rPr>
          <w:rFonts w:ascii="Times New Roman" w:hAnsi="Times New Roman"/>
        </w:rPr>
      </w:pPr>
    </w:p>
    <w:p w14:paraId="7068BD78" w14:textId="77777777" w:rsidR="00C5402D" w:rsidRDefault="00C5402D" w:rsidP="007A5726">
      <w:pPr>
        <w:widowControl/>
        <w:tabs>
          <w:tab w:val="left" w:pos="-1440"/>
        </w:tabs>
        <w:ind w:left="1440"/>
        <w:rPr>
          <w:rFonts w:ascii="Times New Roman" w:hAnsi="Times New Roman"/>
        </w:rPr>
      </w:pPr>
    </w:p>
    <w:p w14:paraId="7D399EE0" w14:textId="77777777" w:rsidR="00C5402D" w:rsidRDefault="00C5402D" w:rsidP="007A5726">
      <w:pPr>
        <w:ind w:left="720"/>
        <w:rPr>
          <w:rFonts w:ascii="Times New Roman" w:hAnsi="Times New Roman"/>
        </w:rPr>
      </w:pPr>
      <w:r>
        <w:rPr>
          <w:rFonts w:ascii="Times New Roman" w:hAnsi="Times New Roman"/>
        </w:rPr>
        <w:t>The regulation does not restrict HRAs from using electronic technology to provide either disclosure. The Department of Labor’s regulations under 29 C.F.R. § 2520.104b-1(b) provide that,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29 CFR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14:paraId="2690E200" w14:textId="77777777" w:rsidR="00C5402D" w:rsidRDefault="00C5402D" w:rsidP="00C5402D">
      <w:pPr>
        <w:widowControl/>
        <w:tabs>
          <w:tab w:val="left" w:pos="-1440"/>
        </w:tabs>
        <w:ind w:left="720"/>
        <w:rPr>
          <w:rFonts w:ascii="Times New Roman" w:hAnsi="Times New Roman"/>
        </w:rPr>
      </w:pPr>
    </w:p>
    <w:p w14:paraId="1F3ADFC3" w14:textId="77777777" w:rsidR="00D00A54" w:rsidRPr="00AF19D0" w:rsidRDefault="00D00A54" w:rsidP="00AF19D0">
      <w:pPr>
        <w:widowControl/>
        <w:rPr>
          <w:rFonts w:ascii="Times New Roman" w:hAnsi="Times New Roman"/>
        </w:rPr>
      </w:pPr>
    </w:p>
    <w:p w14:paraId="30A6F370"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4.</w:t>
      </w:r>
      <w:r w:rsidRPr="00AF19D0">
        <w:rPr>
          <w:rFonts w:ascii="Times New Roman" w:hAnsi="Times New Roman"/>
        </w:rPr>
        <w:tab/>
      </w:r>
      <w:r w:rsidRPr="00AF19D0">
        <w:rPr>
          <w:rFonts w:ascii="Times New Roman" w:hAnsi="Times New Roman"/>
          <w:i/>
          <w:iCs/>
          <w:sz w:val="20"/>
        </w:rPr>
        <w:t>Describe efforts to identify duplication.  Show specifically why any similar information already available cannot be used or modified for use for the purposes described in Item 2 above</w:t>
      </w:r>
      <w:r w:rsidRPr="00AF19D0">
        <w:rPr>
          <w:rFonts w:ascii="Times New Roman" w:hAnsi="Times New Roman"/>
          <w:sz w:val="20"/>
        </w:rPr>
        <w:t>.</w:t>
      </w:r>
    </w:p>
    <w:p w14:paraId="0FD5E0FD" w14:textId="77777777" w:rsidR="00D14FA9" w:rsidRPr="00AF19D0" w:rsidRDefault="00D14FA9" w:rsidP="00AF19D0">
      <w:pPr>
        <w:widowControl/>
        <w:tabs>
          <w:tab w:val="left" w:pos="-1440"/>
        </w:tabs>
        <w:ind w:left="720" w:hanging="720"/>
        <w:rPr>
          <w:rFonts w:ascii="Times New Roman" w:hAnsi="Times New Roman"/>
          <w:sz w:val="20"/>
        </w:rPr>
      </w:pPr>
    </w:p>
    <w:p w14:paraId="1B250076" w14:textId="77777777" w:rsidR="00D14FA9" w:rsidRPr="00AF19D0" w:rsidRDefault="00D14FA9" w:rsidP="00777263">
      <w:pPr>
        <w:widowControl/>
        <w:ind w:firstLine="720"/>
        <w:rPr>
          <w:rFonts w:ascii="Times New Roman" w:hAnsi="Times New Roman"/>
        </w:rPr>
      </w:pPr>
      <w:r w:rsidRPr="00AF19D0">
        <w:rPr>
          <w:rFonts w:ascii="Times New Roman" w:hAnsi="Times New Roman"/>
        </w:rPr>
        <w:t xml:space="preserve">The information collection does not require duplicative information. </w:t>
      </w:r>
    </w:p>
    <w:p w14:paraId="758F6B55" w14:textId="77777777" w:rsidR="009169A2" w:rsidRDefault="009169A2" w:rsidP="00AF19D0">
      <w:pPr>
        <w:widowControl/>
        <w:rPr>
          <w:rFonts w:ascii="Times New Roman" w:hAnsi="Times New Roman"/>
        </w:rPr>
      </w:pPr>
    </w:p>
    <w:p w14:paraId="1A158C20"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5.</w:t>
      </w:r>
      <w:r w:rsidRPr="00AF19D0">
        <w:rPr>
          <w:rFonts w:ascii="Times New Roman" w:hAnsi="Times New Roman"/>
        </w:rPr>
        <w:tab/>
      </w:r>
      <w:r w:rsidRPr="00AF19D0">
        <w:rPr>
          <w:rFonts w:ascii="Times New Roman" w:hAnsi="Times New Roman"/>
          <w:i/>
          <w:iCs/>
          <w:sz w:val="20"/>
        </w:rPr>
        <w:t>If the collection of information impacts small businesses or other small entitie</w:t>
      </w:r>
      <w:r w:rsidR="00856CC7">
        <w:rPr>
          <w:rFonts w:ascii="Times New Roman" w:hAnsi="Times New Roman"/>
          <w:i/>
          <w:iCs/>
          <w:sz w:val="20"/>
        </w:rPr>
        <w:t>s</w:t>
      </w:r>
      <w:r w:rsidRPr="00AF19D0">
        <w:rPr>
          <w:rFonts w:ascii="Times New Roman" w:hAnsi="Times New Roman"/>
          <w:i/>
          <w:iCs/>
          <w:sz w:val="20"/>
        </w:rPr>
        <w:t>, describe any methods used to minimize burden.</w:t>
      </w:r>
    </w:p>
    <w:p w14:paraId="47AD5EFF" w14:textId="77777777" w:rsidR="007B01C2" w:rsidRDefault="007B01C2" w:rsidP="007B01C2">
      <w:pPr>
        <w:widowControl/>
        <w:rPr>
          <w:rFonts w:ascii="Times New Roman" w:hAnsi="Times New Roman"/>
        </w:rPr>
      </w:pPr>
    </w:p>
    <w:p w14:paraId="61223F64" w14:textId="77777777" w:rsidR="00D14FA9" w:rsidRDefault="007B01C2" w:rsidP="007A5726">
      <w:pPr>
        <w:widowControl/>
        <w:ind w:left="720"/>
        <w:rPr>
          <w:rFonts w:ascii="Times New Roman" w:hAnsi="Times New Roman"/>
        </w:rPr>
      </w:pPr>
      <w:r>
        <w:rPr>
          <w:rFonts w:ascii="Times New Roman" w:hAnsi="Times New Roman"/>
        </w:rPr>
        <w:t>Section 29 CFR 2520.104b-1(c) allows for electronic delivery of notices as long as the requirements are met.  Also, while specific content is required in the notices, the notices does not require participant specific information.</w:t>
      </w:r>
    </w:p>
    <w:p w14:paraId="79E6C899" w14:textId="77777777" w:rsidR="007B01C2" w:rsidRPr="00AF19D0" w:rsidRDefault="007B01C2" w:rsidP="00AF19D0">
      <w:pPr>
        <w:widowControl/>
        <w:rPr>
          <w:rFonts w:ascii="Times New Roman" w:hAnsi="Times New Roman"/>
        </w:rPr>
      </w:pPr>
    </w:p>
    <w:p w14:paraId="25AA9DA7"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6.</w:t>
      </w:r>
      <w:r w:rsidRPr="00AF19D0">
        <w:rPr>
          <w:rFonts w:ascii="Times New Roman" w:hAnsi="Times New Roman"/>
        </w:rPr>
        <w:tab/>
      </w:r>
      <w:r w:rsidRPr="00AF19D0">
        <w:rPr>
          <w:rFonts w:ascii="Times New Roman" w:hAnsi="Times New Roman"/>
          <w:i/>
          <w:iCs/>
          <w:sz w:val="20"/>
        </w:rPr>
        <w:t>Describe the consequence to Federal program or policy activities if the collection is not conducted or is conducted less frequently, as well as any technical or legal obstacles to reducing burden</w:t>
      </w:r>
      <w:r w:rsidRPr="00AF19D0">
        <w:rPr>
          <w:rFonts w:ascii="Times New Roman" w:hAnsi="Times New Roman"/>
          <w:sz w:val="20"/>
        </w:rPr>
        <w:t>.</w:t>
      </w:r>
    </w:p>
    <w:p w14:paraId="1D6EE41D" w14:textId="77777777" w:rsidR="00D0736E" w:rsidRDefault="00197115" w:rsidP="00D0736E">
      <w:pPr>
        <w:pStyle w:val="NormalWeb"/>
        <w:spacing w:before="0" w:beforeAutospacing="0" w:after="0" w:afterAutospacing="0"/>
        <w:ind w:left="720"/>
      </w:pPr>
      <w:r>
        <w:t xml:space="preserve"> </w:t>
      </w:r>
    </w:p>
    <w:p w14:paraId="4231FB36" w14:textId="77777777" w:rsidR="00197115" w:rsidRDefault="00197115" w:rsidP="007A5726">
      <w:pPr>
        <w:pStyle w:val="NormalWeb"/>
        <w:spacing w:before="0" w:beforeAutospacing="0" w:after="0" w:afterAutospacing="0"/>
        <w:ind w:left="720"/>
      </w:pPr>
      <w:r>
        <w:t>If this information collection was conducted less frequently affected individuals would not have the information they need to make an annual selection of a health plan.</w:t>
      </w:r>
    </w:p>
    <w:p w14:paraId="127F15D2" w14:textId="77777777" w:rsidR="00F44C88" w:rsidRDefault="00F44C88" w:rsidP="007A5726">
      <w:pPr>
        <w:pStyle w:val="NormalWeb"/>
        <w:spacing w:before="0" w:beforeAutospacing="0" w:after="0" w:afterAutospacing="0"/>
        <w:ind w:left="1440"/>
      </w:pPr>
    </w:p>
    <w:p w14:paraId="3074CC8B" w14:textId="77777777" w:rsidR="00A20CB8" w:rsidRPr="00AF19D0" w:rsidRDefault="00A20CB8" w:rsidP="006316A1">
      <w:pPr>
        <w:pStyle w:val="NormalWeb"/>
        <w:spacing w:before="0" w:beforeAutospacing="0" w:after="0" w:afterAutospacing="0"/>
        <w:ind w:left="720"/>
      </w:pPr>
    </w:p>
    <w:p w14:paraId="0BD7AD44"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7.</w:t>
      </w:r>
      <w:r w:rsidRPr="00AF19D0">
        <w:rPr>
          <w:rFonts w:ascii="Times New Roman" w:hAnsi="Times New Roman"/>
        </w:rPr>
        <w:tab/>
      </w:r>
      <w:r w:rsidRPr="00AF19D0">
        <w:rPr>
          <w:rFonts w:ascii="Times New Roman" w:hAnsi="Times New Roman"/>
          <w:i/>
          <w:iCs/>
          <w:sz w:val="20"/>
        </w:rPr>
        <w:t>Explain any special circumstances that would cause an information collection to be conducted in a manner:</w:t>
      </w:r>
    </w:p>
    <w:p w14:paraId="6C1EC917" w14:textId="77777777" w:rsidR="009169A2" w:rsidRPr="00AF19D0" w:rsidRDefault="009169A2" w:rsidP="00AF19D0">
      <w:pPr>
        <w:widowControl/>
        <w:rPr>
          <w:rFonts w:ascii="Times New Roman" w:hAnsi="Times New Roman"/>
          <w:sz w:val="20"/>
        </w:rPr>
      </w:pPr>
    </w:p>
    <w:p w14:paraId="74156AD1"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report information to the agency more often than quarterly;</w:t>
      </w:r>
    </w:p>
    <w:p w14:paraId="74AFD0AE" w14:textId="77777777" w:rsidR="009169A2" w:rsidRPr="00AF19D0" w:rsidRDefault="009169A2" w:rsidP="00AF19D0">
      <w:pPr>
        <w:widowControl/>
        <w:rPr>
          <w:rFonts w:ascii="Times New Roman" w:hAnsi="Times New Roman"/>
          <w:i/>
          <w:iCs/>
          <w:sz w:val="20"/>
        </w:rPr>
      </w:pPr>
    </w:p>
    <w:p w14:paraId="17E58DB0"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prepare a written response to a collection of information in fewer than 30 days after receipt of it;</w:t>
      </w:r>
    </w:p>
    <w:p w14:paraId="5C7950C2" w14:textId="77777777" w:rsidR="009169A2" w:rsidRPr="00AF19D0" w:rsidRDefault="009169A2" w:rsidP="00AF19D0">
      <w:pPr>
        <w:widowControl/>
        <w:rPr>
          <w:rFonts w:ascii="Times New Roman" w:hAnsi="Times New Roman"/>
          <w:i/>
          <w:iCs/>
          <w:sz w:val="20"/>
        </w:rPr>
      </w:pPr>
    </w:p>
    <w:p w14:paraId="351C08AE"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submit more than an original and two copies of any document;</w:t>
      </w:r>
    </w:p>
    <w:p w14:paraId="0F85CBC3" w14:textId="77777777" w:rsidR="009169A2" w:rsidRPr="00AF19D0" w:rsidRDefault="009169A2" w:rsidP="00AF19D0">
      <w:pPr>
        <w:widowControl/>
        <w:rPr>
          <w:rFonts w:ascii="Times New Roman" w:hAnsi="Times New Roman"/>
          <w:i/>
          <w:iCs/>
          <w:sz w:val="20"/>
        </w:rPr>
      </w:pPr>
    </w:p>
    <w:p w14:paraId="1AE6B56F"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retain records, other than health, medical, government contract, grant-in-aid, or tax records for more than three years;</w:t>
      </w:r>
    </w:p>
    <w:p w14:paraId="1FCB22A4" w14:textId="77777777" w:rsidR="009169A2" w:rsidRPr="00AF19D0" w:rsidRDefault="009169A2" w:rsidP="00AF19D0">
      <w:pPr>
        <w:widowControl/>
        <w:rPr>
          <w:rFonts w:ascii="Times New Roman" w:hAnsi="Times New Roman"/>
          <w:i/>
          <w:iCs/>
          <w:sz w:val="20"/>
        </w:rPr>
      </w:pPr>
    </w:p>
    <w:p w14:paraId="4EFCB3B6"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in connection with a statistical survey, that is not designed to produce valid and reliable results that can be generalized to the universe of study;</w:t>
      </w:r>
    </w:p>
    <w:p w14:paraId="4F87278E" w14:textId="77777777" w:rsidR="009169A2" w:rsidRPr="00AF19D0" w:rsidRDefault="009169A2" w:rsidP="00AF19D0">
      <w:pPr>
        <w:widowControl/>
        <w:rPr>
          <w:rFonts w:ascii="Times New Roman" w:hAnsi="Times New Roman"/>
          <w:i/>
          <w:iCs/>
          <w:sz w:val="20"/>
        </w:rPr>
      </w:pPr>
    </w:p>
    <w:p w14:paraId="0F0555A5"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the use of a statistical data classification that has not been reviewed and approved by OMB;</w:t>
      </w:r>
    </w:p>
    <w:p w14:paraId="5AB3535C" w14:textId="77777777" w:rsidR="009169A2" w:rsidRPr="00AF19D0" w:rsidRDefault="009169A2" w:rsidP="00AF19D0">
      <w:pPr>
        <w:widowControl/>
        <w:rPr>
          <w:rFonts w:ascii="Times New Roman" w:hAnsi="Times New Roman"/>
          <w:i/>
          <w:iCs/>
          <w:sz w:val="20"/>
        </w:rPr>
      </w:pPr>
    </w:p>
    <w:p w14:paraId="2C91E802"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47E6AAB" w14:textId="77777777" w:rsidR="009169A2" w:rsidRPr="00AF19D0" w:rsidRDefault="009169A2" w:rsidP="00AF19D0">
      <w:pPr>
        <w:widowControl/>
        <w:rPr>
          <w:rFonts w:ascii="Times New Roman" w:hAnsi="Times New Roman"/>
          <w:i/>
          <w:iCs/>
          <w:sz w:val="20"/>
        </w:rPr>
      </w:pPr>
    </w:p>
    <w:p w14:paraId="30CF0913" w14:textId="77777777" w:rsidR="009169A2"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submit proprietary trade secret, or other confidential information unless the agency can demonstrate that it has instituted procedures to protect the information's</w:t>
      </w:r>
      <w:r w:rsidRPr="00AF19D0">
        <w:rPr>
          <w:rFonts w:ascii="Times New Roman" w:hAnsi="Times New Roman"/>
          <w:sz w:val="20"/>
        </w:rPr>
        <w:t xml:space="preserve"> </w:t>
      </w:r>
      <w:r w:rsidRPr="00AF19D0">
        <w:rPr>
          <w:rFonts w:ascii="Times New Roman" w:hAnsi="Times New Roman"/>
          <w:i/>
          <w:iCs/>
          <w:sz w:val="20"/>
        </w:rPr>
        <w:t>confidentiality to the extent permitted by law.</w:t>
      </w:r>
    </w:p>
    <w:p w14:paraId="119BE78F" w14:textId="77777777" w:rsidR="00BA076D" w:rsidRDefault="00BA076D" w:rsidP="00AF19D0">
      <w:pPr>
        <w:widowControl/>
        <w:tabs>
          <w:tab w:val="left" w:pos="-1440"/>
        </w:tabs>
        <w:ind w:left="1440" w:hanging="720"/>
        <w:rPr>
          <w:rFonts w:ascii="Times New Roman" w:hAnsi="Times New Roman"/>
          <w:i/>
          <w:iCs/>
          <w:sz w:val="20"/>
        </w:rPr>
      </w:pPr>
    </w:p>
    <w:p w14:paraId="250F21A2" w14:textId="77777777" w:rsidR="00BA076D" w:rsidRDefault="00197115" w:rsidP="00AF19D0">
      <w:pPr>
        <w:widowControl/>
        <w:tabs>
          <w:tab w:val="left" w:pos="-1440"/>
        </w:tabs>
        <w:ind w:left="1440" w:hanging="720"/>
        <w:rPr>
          <w:rFonts w:ascii="Times New Roman" w:hAnsi="Times New Roman"/>
          <w:i/>
          <w:iCs/>
          <w:sz w:val="20"/>
        </w:rPr>
      </w:pPr>
      <w:r>
        <w:rPr>
          <w:rFonts w:ascii="Times New Roman" w:hAnsi="Times New Roman"/>
          <w:i/>
          <w:iCs/>
          <w:sz w:val="20"/>
        </w:rPr>
        <w:t>None.</w:t>
      </w:r>
    </w:p>
    <w:p w14:paraId="5089FEAB" w14:textId="77777777" w:rsidR="00197115" w:rsidRPr="00AF19D0" w:rsidRDefault="00197115" w:rsidP="00AF19D0">
      <w:pPr>
        <w:widowControl/>
        <w:tabs>
          <w:tab w:val="left" w:pos="-1440"/>
        </w:tabs>
        <w:ind w:left="1440" w:hanging="720"/>
        <w:rPr>
          <w:rFonts w:ascii="Times New Roman" w:hAnsi="Times New Roman"/>
          <w:i/>
          <w:iCs/>
          <w:sz w:val="20"/>
        </w:rPr>
      </w:pPr>
    </w:p>
    <w:p w14:paraId="58FBD683"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8.</w:t>
      </w:r>
      <w:r w:rsidRPr="00AF19D0">
        <w:rPr>
          <w:rFonts w:ascii="Times New Roman" w:hAnsi="Times New Roman"/>
        </w:rPr>
        <w:tab/>
      </w:r>
      <w:r w:rsidRPr="00AF19D0">
        <w:rPr>
          <w:rFonts w:ascii="Times New Roman" w:hAnsi="Times New Roman"/>
          <w:i/>
          <w:iCs/>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0614B1C" w14:textId="77777777" w:rsidR="009169A2" w:rsidRPr="00AF19D0" w:rsidRDefault="009169A2" w:rsidP="00AF19D0">
      <w:pPr>
        <w:widowControl/>
        <w:rPr>
          <w:rFonts w:ascii="Times New Roman" w:hAnsi="Times New Roman"/>
          <w:i/>
          <w:iCs/>
          <w:sz w:val="20"/>
        </w:rPr>
      </w:pPr>
    </w:p>
    <w:p w14:paraId="3F8B641D" w14:textId="77777777" w:rsidR="009169A2" w:rsidRPr="00AF19D0" w:rsidRDefault="009169A2" w:rsidP="00AF19D0">
      <w:pPr>
        <w:widowControl/>
        <w:ind w:left="720"/>
        <w:rPr>
          <w:rFonts w:ascii="Times New Roman" w:hAnsi="Times New Roman"/>
          <w:i/>
          <w:iCs/>
          <w:sz w:val="20"/>
        </w:rPr>
      </w:pPr>
      <w:r w:rsidRPr="00AF19D0">
        <w:rPr>
          <w:rFonts w:ascii="Times New Roman" w:hAnsi="Times New Roman"/>
          <w:i/>
          <w:iCs/>
          <w:sz w:val="2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618C7870" w14:textId="77777777" w:rsidR="009169A2" w:rsidRPr="00AF19D0" w:rsidRDefault="009169A2" w:rsidP="00AF19D0">
      <w:pPr>
        <w:widowControl/>
        <w:rPr>
          <w:rFonts w:ascii="Times New Roman" w:hAnsi="Times New Roman"/>
          <w:i/>
          <w:iCs/>
          <w:sz w:val="20"/>
        </w:rPr>
      </w:pPr>
    </w:p>
    <w:p w14:paraId="64F53A99" w14:textId="77777777" w:rsidR="009169A2" w:rsidRPr="00AF19D0" w:rsidRDefault="009169A2" w:rsidP="00AF19D0">
      <w:pPr>
        <w:widowControl/>
        <w:ind w:left="720"/>
        <w:rPr>
          <w:rFonts w:ascii="Times New Roman" w:hAnsi="Times New Roman"/>
          <w:sz w:val="20"/>
        </w:rPr>
      </w:pPr>
      <w:r w:rsidRPr="00AF19D0">
        <w:rPr>
          <w:rFonts w:ascii="Times New Roman" w:hAnsi="Times New Roman"/>
          <w:i/>
          <w:iCs/>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ED5FE96" w14:textId="77777777" w:rsidR="00DD3538" w:rsidRDefault="00DD3538" w:rsidP="008B027D">
      <w:pPr>
        <w:widowControl/>
        <w:ind w:left="720"/>
        <w:rPr>
          <w:rFonts w:ascii="Times New Roman" w:hAnsi="Times New Roman"/>
        </w:rPr>
      </w:pPr>
    </w:p>
    <w:p w14:paraId="26627875" w14:textId="454E5846" w:rsidR="006B2897" w:rsidRDefault="00C02EC0" w:rsidP="006B2897">
      <w:pPr>
        <w:widowControl/>
        <w:ind w:left="720"/>
        <w:rPr>
          <w:rFonts w:ascii="Times New Roman" w:hAnsi="Times New Roman"/>
        </w:rPr>
      </w:pPr>
      <w:r>
        <w:rPr>
          <w:rFonts w:ascii="Times New Roman" w:hAnsi="Times New Roman"/>
        </w:rPr>
        <w:t xml:space="preserve">The notice of proposed rulemaking </w:t>
      </w:r>
      <w:r w:rsidR="00723BC9">
        <w:rPr>
          <w:rFonts w:ascii="Times New Roman" w:hAnsi="Times New Roman"/>
        </w:rPr>
        <w:t>provid</w:t>
      </w:r>
      <w:r w:rsidR="006773B0">
        <w:rPr>
          <w:rFonts w:ascii="Times New Roman" w:hAnsi="Times New Roman"/>
        </w:rPr>
        <w:t>ed</w:t>
      </w:r>
      <w:r w:rsidR="00723BC9">
        <w:rPr>
          <w:rFonts w:ascii="Times New Roman" w:hAnsi="Times New Roman"/>
        </w:rPr>
        <w:t xml:space="preserve"> the public with sixty days to comment on the information collections contained </w:t>
      </w:r>
      <w:r w:rsidR="00723BC9" w:rsidRPr="007739F6">
        <w:rPr>
          <w:rFonts w:ascii="Times New Roman" w:hAnsi="Times New Roman"/>
        </w:rPr>
        <w:t>therein</w:t>
      </w:r>
      <w:r w:rsidR="007739F6">
        <w:rPr>
          <w:rFonts w:ascii="Times New Roman" w:hAnsi="Times New Roman"/>
        </w:rPr>
        <w:t xml:space="preserve"> </w:t>
      </w:r>
      <w:r w:rsidR="006773B0">
        <w:rPr>
          <w:rFonts w:ascii="Times New Roman" w:hAnsi="Times New Roman"/>
        </w:rPr>
        <w:t xml:space="preserve">and </w:t>
      </w:r>
      <w:r w:rsidR="007739F6">
        <w:rPr>
          <w:rFonts w:ascii="Times New Roman" w:hAnsi="Times New Roman"/>
        </w:rPr>
        <w:t>was</w:t>
      </w:r>
      <w:r w:rsidR="007739F6" w:rsidRPr="003C336E">
        <w:rPr>
          <w:rFonts w:ascii="Times New Roman" w:eastAsia="Calibri" w:hAnsi="Times New Roman"/>
        </w:rPr>
        <w:t xml:space="preserve"> published notice November 15, 2018 (83 FR 57585)</w:t>
      </w:r>
      <w:r w:rsidR="007739F6">
        <w:rPr>
          <w:rFonts w:ascii="Times New Roman" w:eastAsia="Calibri" w:hAnsi="Times New Roman"/>
        </w:rPr>
        <w:t>.</w:t>
      </w:r>
      <w:r w:rsidRPr="007739F6">
        <w:rPr>
          <w:rFonts w:ascii="Times New Roman" w:hAnsi="Times New Roman"/>
        </w:rPr>
        <w:t xml:space="preserve"> </w:t>
      </w:r>
      <w:r w:rsidR="00E22A5E">
        <w:rPr>
          <w:rFonts w:ascii="Times New Roman" w:hAnsi="Times New Roman"/>
        </w:rPr>
        <w:t>The</w:t>
      </w:r>
      <w:r w:rsidR="006773B0">
        <w:rPr>
          <w:rFonts w:ascii="Times New Roman" w:hAnsi="Times New Roman"/>
        </w:rPr>
        <w:t xml:space="preserve"> Departments received </w:t>
      </w:r>
      <w:r w:rsidR="00E22A5E">
        <w:rPr>
          <w:rFonts w:ascii="Times New Roman" w:hAnsi="Times New Roman"/>
        </w:rPr>
        <w:t>567 comments in response to the proposed regulation</w:t>
      </w:r>
      <w:r w:rsidR="006B2897">
        <w:rPr>
          <w:rFonts w:ascii="Times New Roman" w:hAnsi="Times New Roman"/>
        </w:rPr>
        <w:t>.</w:t>
      </w:r>
      <w:r w:rsidR="00E504CA">
        <w:rPr>
          <w:rFonts w:ascii="Times New Roman" w:hAnsi="Times New Roman"/>
        </w:rPr>
        <w:t xml:space="preserve"> </w:t>
      </w:r>
      <w:r w:rsidR="006B2897">
        <w:rPr>
          <w:rFonts w:ascii="Times New Roman" w:hAnsi="Times New Roman"/>
        </w:rPr>
        <w:t>An extensive discussion of and the Departments’ responses to those comments are contained in the preamble accompanying the final rule.   The comments did not provide alternative estimates or feasible methodologies that would inform refinements or improvements to the Departments’ burden estimates. The comments</w:t>
      </w:r>
    </w:p>
    <w:p w14:paraId="629495C2" w14:textId="68AD9AD6" w:rsidR="00E504CA" w:rsidRDefault="00E504CA" w:rsidP="00F646F8">
      <w:pPr>
        <w:widowControl/>
        <w:ind w:left="720"/>
        <w:rPr>
          <w:rFonts w:ascii="Times New Roman" w:hAnsi="Times New Roman"/>
        </w:rPr>
      </w:pPr>
      <w:r>
        <w:rPr>
          <w:rFonts w:ascii="Times New Roman" w:hAnsi="Times New Roman"/>
        </w:rPr>
        <w:t xml:space="preserve">can be found at: </w:t>
      </w:r>
      <w:hyperlink r:id="rId9" w:history="1">
        <w:r w:rsidRPr="00CA7E63">
          <w:rPr>
            <w:rStyle w:val="Hyperlink"/>
            <w:rFonts w:ascii="Times New Roman" w:hAnsi="Times New Roman"/>
          </w:rPr>
          <w:t>https://www.regulations.gov/docketBrowser?rpp=25&amp;so=DESC&amp;sb=commentDueDate&amp;po=0&amp;dct=PS&amp;D=IRS-2018-0028</w:t>
        </w:r>
      </w:hyperlink>
      <w:r w:rsidR="00E22A5E" w:rsidRPr="00E504CA">
        <w:rPr>
          <w:rFonts w:ascii="Times New Roman" w:hAnsi="Times New Roman"/>
        </w:rPr>
        <w:t xml:space="preserve">.  </w:t>
      </w:r>
    </w:p>
    <w:p w14:paraId="42868AE4" w14:textId="77777777" w:rsidR="00166611" w:rsidRDefault="00166611" w:rsidP="00166611">
      <w:pPr>
        <w:widowControl/>
        <w:ind w:left="720"/>
        <w:rPr>
          <w:rFonts w:ascii="Times New Roman" w:hAnsi="Times New Roman"/>
        </w:rPr>
      </w:pPr>
    </w:p>
    <w:p w14:paraId="3E8B2FA9" w14:textId="77777777" w:rsidR="00323AD8" w:rsidRPr="003C336E" w:rsidRDefault="00323AD8" w:rsidP="003C336E">
      <w:pPr>
        <w:ind w:left="720"/>
        <w:rPr>
          <w:rFonts w:ascii="Times New Roman" w:hAnsi="Times New Roman"/>
        </w:rPr>
      </w:pPr>
      <w:r w:rsidRPr="003C336E">
        <w:rPr>
          <w:rFonts w:ascii="Times New Roman" w:hAnsi="Times New Roman"/>
        </w:rPr>
        <w:t>Several commenters stated that the Departments’ analysis failed to take account of variation in individual market risk across geographic areas. The Departments’ acknowledge that the quantitative estimates are derived from a nationally representative model, largely because the MEPS-HC is a nationally representative survey. The Departments do not know of any readily available data on the distribution of health claims at the firm level for specific rating areas or states. If the health risk in the individual market relative to that of employer risk pools varies across geographic areas, a nationally based model will understate the extent to which employees might transition to individual markets with healthier risk pools and overstate movement into less healthy individual markets. This would understate potential premium increases in some markets and overstate them in others. To examine this possibility the Departments estimated the correlation between individual market premiums and traditional group coverage premiums in all rating areas across the country.</w:t>
      </w:r>
      <w:r w:rsidRPr="003C336E">
        <w:rPr>
          <w:rStyle w:val="FootnoteReference"/>
          <w:rFonts w:ascii="Times New Roman" w:hAnsi="Times New Roman"/>
          <w:vertAlign w:val="superscript"/>
        </w:rPr>
        <w:footnoteReference w:id="5"/>
      </w:r>
      <w:r w:rsidRPr="003C336E">
        <w:rPr>
          <w:rFonts w:ascii="Times New Roman" w:hAnsi="Times New Roman"/>
          <w:vertAlign w:val="superscript"/>
        </w:rPr>
        <w:t xml:space="preserve"> </w:t>
      </w:r>
      <w:r w:rsidRPr="003C336E">
        <w:rPr>
          <w:rFonts w:ascii="Times New Roman" w:hAnsi="Times New Roman"/>
        </w:rPr>
        <w:t xml:space="preserve">The Departments found that premiums in each market are positively correlated, and that the correlation is statistically significant. In other words, where premiums for individual health insurance coverage are higher, premiums in the traditional employer market also tend to be higher. The Departments also do not find any evidence that, to date, employers have substantially dropped coverage or disproportionately dropped coverage and sent less healthy employees to individual markets with healthier risk pools. Even if the difference between individual market health risk and group market health risk currently varies across location, there is no clear reason why that variation would not persist when the individual coverage HRA is available. As a result of these observations, the Departments conclude that there is little indication that the individual coverage HRA will be disproportionately used in areas with healthier individual market risk pools. Moreover, it is not evident that adverse selection into the individual market would be much more likely in these lower cost areas, or that those risk pools would not be able to absorb additional enrollees from the group market. </w:t>
      </w:r>
    </w:p>
    <w:p w14:paraId="7CB03045" w14:textId="77777777" w:rsidR="00323AD8" w:rsidRDefault="00323AD8" w:rsidP="00166611">
      <w:pPr>
        <w:widowControl/>
        <w:ind w:left="720"/>
        <w:rPr>
          <w:rFonts w:ascii="Times New Roman" w:hAnsi="Times New Roman"/>
        </w:rPr>
      </w:pPr>
    </w:p>
    <w:p w14:paraId="0E38CB05" w14:textId="77777777" w:rsidR="00A77777" w:rsidRDefault="00E22A5E" w:rsidP="0050150E">
      <w:pPr>
        <w:widowControl/>
        <w:ind w:left="720"/>
        <w:rPr>
          <w:rFonts w:ascii="Times New Roman" w:hAnsi="Times New Roman"/>
        </w:rPr>
      </w:pPr>
      <w:r>
        <w:rPr>
          <w:rFonts w:ascii="Times New Roman" w:hAnsi="Times New Roman"/>
        </w:rPr>
        <w:t xml:space="preserve"> </w:t>
      </w:r>
      <w:r w:rsidR="00977552">
        <w:rPr>
          <w:rFonts w:ascii="Times New Roman" w:hAnsi="Times New Roman"/>
        </w:rPr>
        <w:t xml:space="preserve">Commenters also </w:t>
      </w:r>
      <w:r w:rsidR="009E1A72">
        <w:rPr>
          <w:rFonts w:ascii="Times New Roman" w:hAnsi="Times New Roman"/>
        </w:rPr>
        <w:t>addressed</w:t>
      </w:r>
      <w:r w:rsidR="007D31D5">
        <w:rPr>
          <w:rFonts w:ascii="Times New Roman" w:hAnsi="Times New Roman"/>
        </w:rPr>
        <w:t xml:space="preserve"> </w:t>
      </w:r>
      <w:r w:rsidR="00977552">
        <w:rPr>
          <w:rFonts w:ascii="Times New Roman" w:hAnsi="Times New Roman"/>
        </w:rPr>
        <w:t xml:space="preserve">the requirement that HRA participants </w:t>
      </w:r>
      <w:r w:rsidR="009E1A72">
        <w:rPr>
          <w:rFonts w:ascii="Times New Roman" w:hAnsi="Times New Roman"/>
        </w:rPr>
        <w:t xml:space="preserve">substantiate their enrollment in individual coverage. </w:t>
      </w:r>
      <w:r w:rsidR="00977552">
        <w:rPr>
          <w:rFonts w:ascii="Times New Roman" w:hAnsi="Times New Roman"/>
        </w:rPr>
        <w:t xml:space="preserve"> </w:t>
      </w:r>
      <w:r w:rsidR="009E1A72">
        <w:rPr>
          <w:rFonts w:ascii="Times New Roman" w:hAnsi="Times New Roman"/>
        </w:rPr>
        <w:t>Most commenters support</w:t>
      </w:r>
      <w:r w:rsidR="0050150E">
        <w:rPr>
          <w:rFonts w:ascii="Times New Roman" w:hAnsi="Times New Roman"/>
        </w:rPr>
        <w:t>ed</w:t>
      </w:r>
      <w:r w:rsidR="009E1A72">
        <w:rPr>
          <w:rFonts w:ascii="Times New Roman" w:hAnsi="Times New Roman"/>
        </w:rPr>
        <w:t xml:space="preserve"> this requirement.    Some commenters where concerned about the added burden of requiring substantiation of coverage before being reimbursed.  However, other commenters and the Departments believe that </w:t>
      </w:r>
      <w:r w:rsidR="009E1A72" w:rsidRPr="003C336E">
        <w:rPr>
          <w:rFonts w:ascii="Times New Roman" w:hAnsi="Times New Roman"/>
        </w:rPr>
        <w:t>the ongoing substantiation requirement is essential to ensure compliance with the requirement that an individual covered by an individual coverage HRA be enrolled in individual health insurance coverage</w:t>
      </w:r>
      <w:r w:rsidR="0050150E">
        <w:rPr>
          <w:rFonts w:ascii="Times New Roman" w:hAnsi="Times New Roman"/>
        </w:rPr>
        <w:t>,</w:t>
      </w:r>
      <w:r w:rsidR="009E1A72" w:rsidRPr="003C336E">
        <w:rPr>
          <w:rFonts w:ascii="Times New Roman" w:hAnsi="Times New Roman"/>
        </w:rPr>
        <w:t xml:space="preserve"> and</w:t>
      </w:r>
      <w:r w:rsidR="0050150E">
        <w:rPr>
          <w:rFonts w:ascii="Times New Roman" w:hAnsi="Times New Roman"/>
        </w:rPr>
        <w:t xml:space="preserve"> that it</w:t>
      </w:r>
      <w:r w:rsidR="009E1A72" w:rsidRPr="003C336E">
        <w:rPr>
          <w:rFonts w:ascii="Times New Roman" w:hAnsi="Times New Roman"/>
        </w:rPr>
        <w:t xml:space="preserve"> will impose minimal burden because it can be met by collecting a written attestation from the participant on the same form used for requesting reimbursement.</w:t>
      </w:r>
      <w:r w:rsidR="009E1A72">
        <w:rPr>
          <w:rFonts w:ascii="Times New Roman" w:hAnsi="Times New Roman"/>
        </w:rPr>
        <w:t xml:space="preserve">  The requirement is for HRAs in general and not specific to this rulemaking.</w:t>
      </w:r>
    </w:p>
    <w:p w14:paraId="33D12D59" w14:textId="77777777" w:rsidR="007D31D5" w:rsidRDefault="007D31D5" w:rsidP="009E1A72">
      <w:pPr>
        <w:widowControl/>
        <w:ind w:left="720"/>
        <w:rPr>
          <w:rFonts w:ascii="Times New Roman" w:hAnsi="Times New Roman"/>
        </w:rPr>
      </w:pPr>
    </w:p>
    <w:p w14:paraId="7AC58173" w14:textId="77777777" w:rsidR="007D31D5" w:rsidRDefault="00AA3BC0" w:rsidP="009E1A72">
      <w:pPr>
        <w:widowControl/>
        <w:ind w:left="720"/>
        <w:rPr>
          <w:rFonts w:ascii="Times New Roman" w:hAnsi="Times New Roman"/>
        </w:rPr>
      </w:pPr>
      <w:r>
        <w:rPr>
          <w:rFonts w:ascii="Times New Roman" w:hAnsi="Times New Roman"/>
        </w:rPr>
        <w:t xml:space="preserve">In response to comments about </w:t>
      </w:r>
      <w:r w:rsidR="00F445E7">
        <w:rPr>
          <w:rFonts w:ascii="Times New Roman" w:hAnsi="Times New Roman"/>
        </w:rPr>
        <w:t xml:space="preserve">grace periods and </w:t>
      </w:r>
      <w:r>
        <w:rPr>
          <w:rFonts w:ascii="Times New Roman" w:hAnsi="Times New Roman"/>
        </w:rPr>
        <w:t>cancellation of coverage</w:t>
      </w:r>
      <w:r w:rsidR="0050150E">
        <w:rPr>
          <w:rFonts w:ascii="Times New Roman" w:hAnsi="Times New Roman"/>
        </w:rPr>
        <w:t>,</w:t>
      </w:r>
      <w:r>
        <w:rPr>
          <w:rFonts w:ascii="Times New Roman" w:hAnsi="Times New Roman"/>
        </w:rPr>
        <w:t xml:space="preserve"> the Departmen</w:t>
      </w:r>
      <w:r w:rsidR="00DF4BE7">
        <w:rPr>
          <w:rFonts w:ascii="Times New Roman" w:hAnsi="Times New Roman"/>
        </w:rPr>
        <w:t>ts added a new requirement that</w:t>
      </w:r>
      <w:r w:rsidR="00F445E7" w:rsidRPr="003C336E">
        <w:rPr>
          <w:rFonts w:ascii="Times New Roman" w:hAnsi="Times New Roman"/>
        </w:rPr>
        <w:t xml:space="preserve"> require</w:t>
      </w:r>
      <w:r w:rsidR="0050150E">
        <w:rPr>
          <w:rFonts w:ascii="Times New Roman" w:hAnsi="Times New Roman"/>
        </w:rPr>
        <w:t>s</w:t>
      </w:r>
      <w:r w:rsidR="00F445E7" w:rsidRPr="003C336E">
        <w:rPr>
          <w:rFonts w:ascii="Times New Roman" w:hAnsi="Times New Roman"/>
        </w:rPr>
        <w:t xml:space="preserve"> the individual to notify the HRA that coverage has been cancelled or discontinued and the date on which the cancellation or discontinuance is effective. After the individual coverage HRA has received the notice of cancellation or discontinuance, the HRA may not reimburse expenses incurred on and after the date of cancellation or discontinuance of the individual health insurance coverage, which is considered to be the date of termination of coverage under the HRA.</w:t>
      </w:r>
    </w:p>
    <w:p w14:paraId="06041BFB" w14:textId="77777777" w:rsidR="00E3734D" w:rsidRDefault="00E3734D" w:rsidP="009E1A72">
      <w:pPr>
        <w:widowControl/>
        <w:ind w:left="720"/>
        <w:rPr>
          <w:rFonts w:ascii="Times New Roman" w:hAnsi="Times New Roman"/>
        </w:rPr>
      </w:pPr>
    </w:p>
    <w:p w14:paraId="66B221C1" w14:textId="77777777" w:rsidR="00226984" w:rsidRPr="003C336E" w:rsidRDefault="00226984" w:rsidP="003C336E">
      <w:pPr>
        <w:spacing w:after="160"/>
        <w:ind w:left="720"/>
        <w:contextualSpacing/>
        <w:rPr>
          <w:rFonts w:ascii="Times New Roman" w:eastAsia="Calibri" w:hAnsi="Times New Roman"/>
        </w:rPr>
      </w:pPr>
      <w:r w:rsidRPr="003C336E">
        <w:rPr>
          <w:rFonts w:ascii="Times New Roman" w:eastAsia="Calibri" w:hAnsi="Times New Roman"/>
        </w:rPr>
        <w:t xml:space="preserve">Several commenters suggested that the Departments impose certain notice requirements for excepted benefit HRAs in the final rules. Commenters stated that the required notice should be similar to the notice required for individual coverage HRAs, or should, at a minimum, inform participants and beneficiaries of the annual dollar limit for benefits under the excepted benefit HRA, other terms and conditions of the excepted benefit HRA, and participants’ and beneficiaries’ rights under the excepted benefit HRA. </w:t>
      </w:r>
    </w:p>
    <w:p w14:paraId="5AC5E472" w14:textId="77777777" w:rsidR="00226984" w:rsidRPr="003C336E" w:rsidRDefault="00226984" w:rsidP="003C336E">
      <w:pPr>
        <w:ind w:left="720"/>
        <w:rPr>
          <w:rFonts w:ascii="Times New Roman" w:eastAsia="Calibri" w:hAnsi="Times New Roman"/>
        </w:rPr>
      </w:pPr>
      <w:r w:rsidRPr="003C336E">
        <w:rPr>
          <w:rFonts w:ascii="Times New Roman" w:eastAsia="Calibri" w:hAnsi="Times New Roman"/>
        </w:rPr>
        <w:t>However, the Departments note that for private-sector, employment-based plans, other long-standing notice requirements under Part 1 of ERISA already apply. ERISA-covered plans, including excepted benefit HRAs, must provide an SPD, summaries of material modifications, and summaries of material reductions in covered services or benefits.</w:t>
      </w:r>
      <w:r w:rsidRPr="003C336E">
        <w:rPr>
          <w:rFonts w:ascii="Times New Roman" w:eastAsia="Calibri" w:hAnsi="Times New Roman"/>
          <w:vertAlign w:val="superscript"/>
        </w:rPr>
        <w:footnoteReference w:id="6"/>
      </w:r>
      <w:r w:rsidRPr="003C336E">
        <w:rPr>
          <w:rFonts w:ascii="Times New Roman" w:eastAsia="Calibri" w:hAnsi="Times New Roman"/>
        </w:rPr>
        <w:t xml:space="preserve">  Under ERISA sections 102 and 104 and their implementing regulations, an excepted benefit HRA’s SPD must include, for example, the conditions pertaining to eligibility to receive benefits; a description or summary of the benefits; the circumstances that may result in disqualification, ineligibility, or denial, loss, forfeiture, suspension, offset, reduction, or recovery (for example, by exercise of subrogation or reimbursement rights) of any benefits; and the procedures governing claims for benefits under the excepted benefit HRA. Excepted benefit HRAs that are ERISA-covered plans are subject to additional disclosure requirements to provide instruments under which the excepted benefit HRA is established or operated and information relevant to a participant’s adverse benefit determination upon request.</w:t>
      </w:r>
      <w:r w:rsidRPr="003C336E">
        <w:rPr>
          <w:rFonts w:ascii="Times New Roman" w:eastAsia="Calibri" w:hAnsi="Times New Roman"/>
          <w:vertAlign w:val="superscript"/>
        </w:rPr>
        <w:footnoteReference w:id="7"/>
      </w:r>
      <w:r w:rsidRPr="003C336E">
        <w:rPr>
          <w:rFonts w:ascii="Times New Roman" w:eastAsia="Calibri" w:hAnsi="Times New Roman"/>
        </w:rPr>
        <w:t xml:space="preserve"> </w:t>
      </w:r>
    </w:p>
    <w:p w14:paraId="74D9C280" w14:textId="77777777" w:rsidR="00226984" w:rsidRDefault="00226984" w:rsidP="003C336E">
      <w:pPr>
        <w:ind w:firstLine="720"/>
        <w:rPr>
          <w:rFonts w:ascii="Times New Roman" w:eastAsia="Calibri" w:hAnsi="Times New Roman"/>
        </w:rPr>
      </w:pPr>
    </w:p>
    <w:p w14:paraId="6107A794" w14:textId="77777777" w:rsidR="00226984" w:rsidRDefault="0050150E" w:rsidP="003C336E">
      <w:pPr>
        <w:ind w:left="720"/>
        <w:rPr>
          <w:rFonts w:ascii="Times New Roman" w:eastAsia="Calibri" w:hAnsi="Times New Roman"/>
        </w:rPr>
      </w:pPr>
      <w:r>
        <w:rPr>
          <w:rFonts w:ascii="Times New Roman" w:eastAsia="Calibri" w:hAnsi="Times New Roman"/>
        </w:rPr>
        <w:t xml:space="preserve"> </w:t>
      </w:r>
      <w:r w:rsidR="00226984" w:rsidRPr="003C336E">
        <w:rPr>
          <w:rFonts w:ascii="Times New Roman" w:eastAsia="Calibri" w:hAnsi="Times New Roman"/>
        </w:rPr>
        <w:t xml:space="preserve">Accordingly, for excepted benefit HRAs that are subject to ERISA, the final rules include a cross reference to existing ERISA notice provisions in order to ensure that excepted benefit HRA plan sponsors are aware of their obligations under those provisions.  However, the final rules do not include any additional notice requirements for ERISA-covered plans. </w:t>
      </w:r>
    </w:p>
    <w:p w14:paraId="7DB4B500" w14:textId="77777777" w:rsidR="00226984" w:rsidRPr="003C336E" w:rsidRDefault="00226984" w:rsidP="003C336E">
      <w:pPr>
        <w:ind w:left="720"/>
        <w:rPr>
          <w:rFonts w:ascii="Times New Roman" w:eastAsia="Calibri" w:hAnsi="Times New Roman"/>
        </w:rPr>
      </w:pPr>
    </w:p>
    <w:p w14:paraId="1890B1D8" w14:textId="77777777" w:rsidR="00E3734D" w:rsidRPr="00226984" w:rsidRDefault="00226984" w:rsidP="00226984">
      <w:pPr>
        <w:widowControl/>
        <w:ind w:left="720"/>
        <w:rPr>
          <w:rFonts w:ascii="Times New Roman" w:hAnsi="Times New Roman"/>
        </w:rPr>
      </w:pPr>
      <w:r w:rsidRPr="003C336E">
        <w:rPr>
          <w:rFonts w:ascii="Times New Roman" w:eastAsia="Calibri" w:hAnsi="Times New Roman"/>
        </w:rPr>
        <w:t>In response to commenters’ concerns, the final rules impose a notice requirement with respect to excepted benefit HRAs sponsored by non-federal governmental plans</w:t>
      </w:r>
      <w:r>
        <w:rPr>
          <w:rFonts w:ascii="Times New Roman" w:eastAsia="Calibri" w:hAnsi="Times New Roman"/>
        </w:rPr>
        <w:t xml:space="preserve"> that are covered by HHS</w:t>
      </w:r>
      <w:r w:rsidR="0050150E">
        <w:rPr>
          <w:rFonts w:ascii="Times New Roman" w:eastAsia="Calibri" w:hAnsi="Times New Roman"/>
        </w:rPr>
        <w:t xml:space="preserve"> and not subject to ERISA</w:t>
      </w:r>
      <w:r w:rsidRPr="003C336E">
        <w:rPr>
          <w:rFonts w:ascii="Times New Roman" w:eastAsia="Calibri" w:hAnsi="Times New Roman"/>
        </w:rPr>
        <w:t>.</w:t>
      </w:r>
    </w:p>
    <w:p w14:paraId="0203743A" w14:textId="77777777" w:rsidR="001235BF" w:rsidRPr="00AF19D0" w:rsidRDefault="001235BF" w:rsidP="00BB2EE7">
      <w:pPr>
        <w:widowControl/>
        <w:ind w:left="720"/>
        <w:rPr>
          <w:rFonts w:ascii="Times New Roman" w:hAnsi="Times New Roman"/>
        </w:rPr>
      </w:pPr>
    </w:p>
    <w:p w14:paraId="598E96DB"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9.</w:t>
      </w:r>
      <w:r w:rsidRPr="00AF19D0">
        <w:rPr>
          <w:rFonts w:ascii="Times New Roman" w:hAnsi="Times New Roman"/>
        </w:rPr>
        <w:tab/>
      </w:r>
      <w:r w:rsidRPr="00AF19D0">
        <w:rPr>
          <w:rFonts w:ascii="Times New Roman" w:hAnsi="Times New Roman"/>
          <w:i/>
          <w:iCs/>
          <w:sz w:val="20"/>
        </w:rPr>
        <w:t>Explain any decision to provide any payment or gift to respondents, other than remuneration of contractors or grantees.</w:t>
      </w:r>
    </w:p>
    <w:p w14:paraId="4E3E3BD5" w14:textId="77777777" w:rsidR="009169A2" w:rsidRPr="00AF19D0" w:rsidRDefault="009169A2" w:rsidP="00AF19D0">
      <w:pPr>
        <w:widowControl/>
        <w:rPr>
          <w:rFonts w:ascii="Times New Roman" w:hAnsi="Times New Roman"/>
        </w:rPr>
      </w:pPr>
    </w:p>
    <w:p w14:paraId="448A36EA" w14:textId="77777777" w:rsidR="009169A2" w:rsidRPr="00AF19D0" w:rsidRDefault="009169A2" w:rsidP="00AF19D0">
      <w:pPr>
        <w:widowControl/>
        <w:ind w:firstLine="720"/>
        <w:rPr>
          <w:rFonts w:ascii="Times New Roman" w:hAnsi="Times New Roman"/>
        </w:rPr>
      </w:pPr>
      <w:r w:rsidRPr="00AF19D0">
        <w:rPr>
          <w:rFonts w:ascii="Times New Roman" w:hAnsi="Times New Roman"/>
        </w:rPr>
        <w:t>Not applicable.</w:t>
      </w:r>
    </w:p>
    <w:p w14:paraId="0569955D" w14:textId="77777777" w:rsidR="009169A2" w:rsidRPr="00AF19D0" w:rsidRDefault="009169A2" w:rsidP="00AF19D0">
      <w:pPr>
        <w:widowControl/>
        <w:ind w:firstLine="720"/>
        <w:rPr>
          <w:rFonts w:ascii="Times New Roman" w:hAnsi="Times New Roman"/>
        </w:rPr>
      </w:pPr>
    </w:p>
    <w:p w14:paraId="3E93C8E8"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10.</w:t>
      </w:r>
      <w:r w:rsidRPr="00AF19D0">
        <w:rPr>
          <w:rFonts w:ascii="Times New Roman" w:hAnsi="Times New Roman"/>
        </w:rPr>
        <w:tab/>
      </w:r>
      <w:r w:rsidRPr="00AF19D0">
        <w:rPr>
          <w:rFonts w:ascii="Times New Roman" w:hAnsi="Times New Roman"/>
          <w:i/>
          <w:iCs/>
          <w:sz w:val="20"/>
        </w:rPr>
        <w:t>Describe any assurance of confidentiality provided to respondents and the basis for the assurance in statute, regulation, or agency policy.</w:t>
      </w:r>
    </w:p>
    <w:p w14:paraId="468F47FE" w14:textId="77777777" w:rsidR="009169A2" w:rsidRPr="00AF19D0" w:rsidRDefault="009169A2" w:rsidP="00AF19D0">
      <w:pPr>
        <w:widowControl/>
        <w:rPr>
          <w:rFonts w:ascii="Times New Roman" w:hAnsi="Times New Roman"/>
        </w:rPr>
      </w:pPr>
    </w:p>
    <w:p w14:paraId="01C9C1B4" w14:textId="77777777" w:rsidR="009169A2" w:rsidRPr="00AF19D0" w:rsidRDefault="00D14426" w:rsidP="00AF19D0">
      <w:pPr>
        <w:widowControl/>
        <w:ind w:firstLine="720"/>
        <w:rPr>
          <w:rFonts w:ascii="Times New Roman" w:hAnsi="Times New Roman"/>
        </w:rPr>
      </w:pPr>
      <w:r w:rsidRPr="00AF19D0">
        <w:rPr>
          <w:rFonts w:ascii="Times New Roman" w:hAnsi="Times New Roman"/>
        </w:rPr>
        <w:t>Not applicable.</w:t>
      </w:r>
    </w:p>
    <w:p w14:paraId="3418D57B" w14:textId="77777777" w:rsidR="00D14426" w:rsidRPr="00AF19D0" w:rsidRDefault="00D14426" w:rsidP="00AF19D0">
      <w:pPr>
        <w:widowControl/>
        <w:ind w:firstLine="720"/>
        <w:rPr>
          <w:rFonts w:ascii="Times New Roman" w:hAnsi="Times New Roman"/>
        </w:rPr>
      </w:pPr>
    </w:p>
    <w:p w14:paraId="37C2A747"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11.</w:t>
      </w:r>
      <w:r w:rsidRPr="00AF19D0">
        <w:rPr>
          <w:rFonts w:ascii="Times New Roman" w:hAnsi="Times New Roman"/>
        </w:rPr>
        <w:tab/>
      </w:r>
      <w:r w:rsidRPr="00AF19D0">
        <w:rPr>
          <w:rFonts w:ascii="Times New Roman" w:hAnsi="Times New Roman"/>
          <w:i/>
          <w:iCs/>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198263C" w14:textId="77777777" w:rsidR="009169A2" w:rsidRPr="00AF19D0" w:rsidRDefault="009169A2" w:rsidP="006316A1">
      <w:pPr>
        <w:widowControl/>
        <w:ind w:left="720"/>
        <w:rPr>
          <w:rFonts w:ascii="Times New Roman" w:hAnsi="Times New Roman"/>
        </w:rPr>
      </w:pPr>
    </w:p>
    <w:p w14:paraId="04FFA4AA" w14:textId="77777777" w:rsidR="00EA6170" w:rsidRDefault="001235BF" w:rsidP="006316A1">
      <w:pPr>
        <w:widowControl/>
        <w:ind w:left="720"/>
        <w:rPr>
          <w:rFonts w:ascii="Times New Roman" w:hAnsi="Times New Roman"/>
        </w:rPr>
      </w:pPr>
      <w:r>
        <w:rPr>
          <w:rFonts w:ascii="Times New Roman" w:hAnsi="Times New Roman"/>
        </w:rPr>
        <w:t>Not applicable.</w:t>
      </w:r>
    </w:p>
    <w:p w14:paraId="5E5CD191" w14:textId="77777777" w:rsidR="00786997" w:rsidRPr="00AF19D0" w:rsidRDefault="00786997" w:rsidP="006316A1">
      <w:pPr>
        <w:widowControl/>
        <w:ind w:left="720"/>
        <w:rPr>
          <w:rFonts w:ascii="Times New Roman" w:hAnsi="Times New Roman"/>
        </w:rPr>
      </w:pPr>
    </w:p>
    <w:p w14:paraId="29E09047" w14:textId="77777777" w:rsidR="009169A2" w:rsidRPr="00AF19D0" w:rsidRDefault="009169A2" w:rsidP="00AF19D0">
      <w:pPr>
        <w:widowControl/>
        <w:numPr>
          <w:ilvl w:val="0"/>
          <w:numId w:val="3"/>
        </w:numPr>
        <w:tabs>
          <w:tab w:val="clear" w:pos="1080"/>
          <w:tab w:val="left" w:pos="-1440"/>
          <w:tab w:val="num" w:pos="720"/>
        </w:tabs>
        <w:ind w:hanging="1080"/>
        <w:rPr>
          <w:rFonts w:ascii="Times New Roman" w:hAnsi="Times New Roman"/>
          <w:i/>
          <w:iCs/>
          <w:sz w:val="20"/>
        </w:rPr>
      </w:pPr>
      <w:r w:rsidRPr="00AF19D0">
        <w:rPr>
          <w:rFonts w:ascii="Times New Roman" w:hAnsi="Times New Roman"/>
          <w:i/>
          <w:iCs/>
          <w:sz w:val="20"/>
        </w:rPr>
        <w:t>Provide estimates of the hour burden of the collection of information.  The statement should:</w:t>
      </w:r>
    </w:p>
    <w:p w14:paraId="270BBD26" w14:textId="77777777" w:rsidR="009169A2" w:rsidRPr="00AF19D0" w:rsidRDefault="009169A2" w:rsidP="00AF19D0">
      <w:pPr>
        <w:widowControl/>
        <w:rPr>
          <w:rFonts w:ascii="Times New Roman" w:hAnsi="Times New Roman"/>
          <w:sz w:val="20"/>
        </w:rPr>
      </w:pPr>
    </w:p>
    <w:p w14:paraId="08642DFB" w14:textId="77777777"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6449B21" w14:textId="77777777" w:rsidR="009169A2" w:rsidRPr="00AF19D0" w:rsidRDefault="009169A2" w:rsidP="00AF19D0">
      <w:pPr>
        <w:widowControl/>
        <w:rPr>
          <w:rFonts w:ascii="Times New Roman" w:hAnsi="Times New Roman"/>
          <w:i/>
          <w:iCs/>
          <w:sz w:val="20"/>
        </w:rPr>
      </w:pPr>
    </w:p>
    <w:p w14:paraId="10FFE329" w14:textId="77777777"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If this request for approval covers more than one form, provide separate hour burden estimates for each form and aggregate the hour burdens in Item 13.</w:t>
      </w:r>
    </w:p>
    <w:p w14:paraId="43BA48C7" w14:textId="77777777" w:rsidR="009169A2" w:rsidRPr="00AF19D0" w:rsidRDefault="009169A2" w:rsidP="00AF19D0">
      <w:pPr>
        <w:widowControl/>
        <w:rPr>
          <w:rFonts w:ascii="Times New Roman" w:hAnsi="Times New Roman"/>
          <w:i/>
          <w:iCs/>
          <w:sz w:val="20"/>
        </w:rPr>
      </w:pPr>
    </w:p>
    <w:p w14:paraId="5C86CC90" w14:textId="77777777"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3A629B16" w14:textId="77777777" w:rsidR="007A5726" w:rsidRDefault="007A5726" w:rsidP="007A5726">
      <w:pPr>
        <w:spacing w:line="480" w:lineRule="auto"/>
      </w:pPr>
    </w:p>
    <w:p w14:paraId="73E46E9C" w14:textId="77777777" w:rsidR="00F40DA8" w:rsidRDefault="00723BC9" w:rsidP="00723BC9">
      <w:pPr>
        <w:pStyle w:val="ListParagraph"/>
        <w:tabs>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hour burden associated with the </w:t>
      </w:r>
      <w:r w:rsidR="00F30FDC">
        <w:rPr>
          <w:rFonts w:ascii="Times New Roman" w:hAnsi="Times New Roman" w:cs="Times New Roman"/>
          <w:sz w:val="24"/>
          <w:szCs w:val="24"/>
        </w:rPr>
        <w:t xml:space="preserve">five </w:t>
      </w:r>
      <w:r>
        <w:rPr>
          <w:rFonts w:ascii="Times New Roman" w:hAnsi="Times New Roman" w:cs="Times New Roman"/>
          <w:sz w:val="24"/>
          <w:szCs w:val="24"/>
        </w:rPr>
        <w:t>information collections is discussed below.</w:t>
      </w:r>
      <w:r w:rsidRPr="00F40DA8" w:rsidDel="00723BC9">
        <w:rPr>
          <w:rFonts w:ascii="Times New Roman" w:hAnsi="Times New Roman" w:cs="Times New Roman"/>
          <w:sz w:val="24"/>
          <w:szCs w:val="24"/>
        </w:rPr>
        <w:t xml:space="preserve"> </w:t>
      </w:r>
    </w:p>
    <w:p w14:paraId="1D744BCA" w14:textId="77777777" w:rsidR="00723BC9" w:rsidRPr="00F40DA8" w:rsidRDefault="00723BC9" w:rsidP="00F40DA8">
      <w:pPr>
        <w:pStyle w:val="ListParagraph"/>
        <w:tabs>
          <w:tab w:val="left" w:pos="720"/>
        </w:tabs>
        <w:spacing w:line="240" w:lineRule="auto"/>
        <w:rPr>
          <w:rFonts w:ascii="Times New Roman" w:hAnsi="Times New Roman" w:cs="Times New Roman"/>
          <w:sz w:val="24"/>
          <w:szCs w:val="24"/>
        </w:rPr>
      </w:pPr>
    </w:p>
    <w:p w14:paraId="118C3444" w14:textId="77777777" w:rsidR="00F40DA8" w:rsidRPr="00F40DA8" w:rsidRDefault="00F40DA8" w:rsidP="00F40DA8">
      <w:pPr>
        <w:pStyle w:val="ListParagraph"/>
        <w:numPr>
          <w:ilvl w:val="0"/>
          <w:numId w:val="13"/>
        </w:numPr>
        <w:rPr>
          <w:rFonts w:ascii="Times New Roman" w:hAnsi="Times New Roman"/>
        </w:rPr>
      </w:pPr>
      <w:r w:rsidRPr="00F40DA8">
        <w:rPr>
          <w:rFonts w:ascii="Times New Roman" w:hAnsi="Times New Roman"/>
        </w:rPr>
        <w:t>Verification of Enrollment in Individual Coverage</w:t>
      </w:r>
    </w:p>
    <w:p w14:paraId="4ABDCACD" w14:textId="77777777" w:rsidR="00F40DA8" w:rsidRPr="00F40DA8" w:rsidRDefault="00F40DA8" w:rsidP="00F40DA8">
      <w:pPr>
        <w:pStyle w:val="ListParagraph"/>
        <w:ind w:left="1080"/>
        <w:rPr>
          <w:rFonts w:ascii="Times New Roman" w:hAnsi="Times New Roman"/>
        </w:rPr>
      </w:pPr>
    </w:p>
    <w:p w14:paraId="6E19F9DB" w14:textId="77777777" w:rsidR="00F40DA8" w:rsidRPr="00F40DA8" w:rsidRDefault="00F40DA8" w:rsidP="00F40DA8">
      <w:pPr>
        <w:pStyle w:val="ListParagraph"/>
        <w:tabs>
          <w:tab w:val="left" w:pos="720"/>
        </w:tabs>
        <w:spacing w:line="240" w:lineRule="auto"/>
        <w:rPr>
          <w:rFonts w:ascii="Times New Roman" w:hAnsi="Times New Roman" w:cs="Times New Roman"/>
          <w:sz w:val="24"/>
          <w:szCs w:val="24"/>
        </w:rPr>
      </w:pPr>
      <w:r w:rsidRPr="00F40DA8">
        <w:rPr>
          <w:rFonts w:ascii="Times New Roman" w:hAnsi="Times New Roman" w:cs="Times New Roman"/>
          <w:sz w:val="24"/>
          <w:szCs w:val="24"/>
        </w:rPr>
        <w:tab/>
        <w:t xml:space="preserve">The HRA must implement and comply with reasonable procedures to verify that participants and beneficiaries are enrolled in individual insurance coverage for that year. This requirement can be satisfied by providing a document from a third party, like an insurance issuer, verifying coverage.   An alternative procedure </w:t>
      </w:r>
      <w:r w:rsidR="00CB73D9">
        <w:rPr>
          <w:rFonts w:ascii="Times New Roman" w:hAnsi="Times New Roman" w:cs="Times New Roman"/>
          <w:sz w:val="24"/>
          <w:szCs w:val="24"/>
        </w:rPr>
        <w:t>requires</w:t>
      </w:r>
      <w:r w:rsidRPr="00F40DA8">
        <w:rPr>
          <w:rFonts w:ascii="Times New Roman" w:hAnsi="Times New Roman" w:cs="Times New Roman"/>
          <w:sz w:val="24"/>
          <w:szCs w:val="24"/>
        </w:rPr>
        <w:t xml:space="preserve"> participants </w:t>
      </w:r>
      <w:r w:rsidR="00CB73D9">
        <w:rPr>
          <w:rFonts w:ascii="Times New Roman" w:hAnsi="Times New Roman" w:cs="Times New Roman"/>
          <w:sz w:val="24"/>
          <w:szCs w:val="24"/>
        </w:rPr>
        <w:t xml:space="preserve">to </w:t>
      </w:r>
      <w:r w:rsidRPr="00F40DA8">
        <w:rPr>
          <w:rFonts w:ascii="Times New Roman" w:hAnsi="Times New Roman" w:cs="Times New Roman"/>
          <w:sz w:val="24"/>
          <w:szCs w:val="24"/>
        </w:rPr>
        <w:t xml:space="preserve">provide an attestation of coverage </w:t>
      </w:r>
      <w:r w:rsidR="00CB73D9">
        <w:rPr>
          <w:rFonts w:ascii="Times New Roman" w:hAnsi="Times New Roman" w:cs="Times New Roman"/>
          <w:sz w:val="24"/>
          <w:szCs w:val="24"/>
        </w:rPr>
        <w:t>including the</w:t>
      </w:r>
      <w:r w:rsidRPr="00F40DA8">
        <w:rPr>
          <w:rFonts w:ascii="Times New Roman" w:hAnsi="Times New Roman" w:cs="Times New Roman"/>
          <w:sz w:val="24"/>
          <w:szCs w:val="24"/>
        </w:rPr>
        <w:t xml:space="preserve"> dat</w:t>
      </w:r>
      <w:r w:rsidR="00CB73D9">
        <w:rPr>
          <w:rFonts w:ascii="Times New Roman" w:hAnsi="Times New Roman" w:cs="Times New Roman"/>
          <w:sz w:val="24"/>
          <w:szCs w:val="24"/>
        </w:rPr>
        <w:t>e</w:t>
      </w:r>
      <w:r w:rsidRPr="00F40DA8">
        <w:rPr>
          <w:rFonts w:ascii="Times New Roman" w:hAnsi="Times New Roman" w:cs="Times New Roman"/>
          <w:sz w:val="24"/>
          <w:szCs w:val="24"/>
        </w:rPr>
        <w:t xml:space="preserve"> coverage begins and the provider of the coverage.  </w:t>
      </w:r>
    </w:p>
    <w:p w14:paraId="75932929" w14:textId="77777777" w:rsidR="00F40DA8" w:rsidRPr="00F40DA8" w:rsidRDefault="00F40DA8" w:rsidP="00F40DA8">
      <w:pPr>
        <w:pStyle w:val="ListParagraph"/>
        <w:tabs>
          <w:tab w:val="left" w:pos="720"/>
        </w:tabs>
        <w:spacing w:line="240" w:lineRule="auto"/>
        <w:rPr>
          <w:rFonts w:ascii="Times New Roman" w:hAnsi="Times New Roman" w:cs="Times New Roman"/>
          <w:sz w:val="24"/>
          <w:szCs w:val="24"/>
        </w:rPr>
      </w:pPr>
    </w:p>
    <w:p w14:paraId="299F0B99" w14:textId="77777777" w:rsidR="00F40DA8" w:rsidRDefault="00F40DA8" w:rsidP="00F40DA8">
      <w:pPr>
        <w:pStyle w:val="ListParagraph"/>
        <w:tabs>
          <w:tab w:val="left" w:pos="720"/>
        </w:tabs>
        <w:spacing w:line="240" w:lineRule="auto"/>
        <w:rPr>
          <w:rFonts w:ascii="Times New Roman" w:hAnsi="Times New Roman" w:cs="Times New Roman"/>
          <w:sz w:val="24"/>
          <w:szCs w:val="24"/>
        </w:rPr>
      </w:pPr>
      <w:r w:rsidRPr="00F40DA8">
        <w:rPr>
          <w:rFonts w:ascii="Times New Roman" w:hAnsi="Times New Roman" w:cs="Times New Roman"/>
          <w:sz w:val="24"/>
          <w:szCs w:val="24"/>
        </w:rPr>
        <w:tab/>
        <w:t xml:space="preserve">Documentation, or proof of expenditure of funds, is nearly universal when seeking reimbursement from a HRA.  </w:t>
      </w:r>
      <w:r w:rsidR="00CB73D9">
        <w:rPr>
          <w:rFonts w:ascii="Times New Roman" w:hAnsi="Times New Roman" w:cs="Times New Roman"/>
          <w:sz w:val="24"/>
          <w:szCs w:val="24"/>
        </w:rPr>
        <w:t xml:space="preserve">The </w:t>
      </w:r>
      <w:r w:rsidRPr="00F40DA8">
        <w:rPr>
          <w:rFonts w:ascii="Times New Roman" w:hAnsi="Times New Roman" w:cs="Times New Roman"/>
          <w:sz w:val="24"/>
          <w:szCs w:val="24"/>
        </w:rPr>
        <w:t xml:space="preserve">HRA can require proof of coverage or attestations of coverage when participants seek reimbursement for premiums or other medical expenditures.  </w:t>
      </w:r>
      <w:r w:rsidR="00CB73D9">
        <w:rPr>
          <w:rFonts w:ascii="Times New Roman" w:hAnsi="Times New Roman" w:cs="Times New Roman"/>
          <w:sz w:val="24"/>
          <w:szCs w:val="24"/>
        </w:rPr>
        <w:t>The additional burden is de minimis, because the attestation can be part of the information already required when seeking reimbursement.</w:t>
      </w:r>
    </w:p>
    <w:p w14:paraId="558CB03E" w14:textId="77777777" w:rsidR="00F40DA8" w:rsidRPr="00F40DA8" w:rsidRDefault="00F40DA8" w:rsidP="00F40DA8">
      <w:pPr>
        <w:pStyle w:val="ListParagraph"/>
        <w:tabs>
          <w:tab w:val="left" w:pos="720"/>
        </w:tabs>
        <w:spacing w:line="240" w:lineRule="auto"/>
        <w:rPr>
          <w:rFonts w:ascii="Times New Roman" w:hAnsi="Times New Roman" w:cs="Times New Roman"/>
          <w:sz w:val="24"/>
          <w:szCs w:val="24"/>
        </w:rPr>
      </w:pPr>
    </w:p>
    <w:p w14:paraId="11521531" w14:textId="77777777" w:rsidR="00F40DA8" w:rsidRPr="00F40DA8" w:rsidRDefault="00F40DA8" w:rsidP="00F40DA8">
      <w:pPr>
        <w:pStyle w:val="ListParagraph"/>
        <w:numPr>
          <w:ilvl w:val="0"/>
          <w:numId w:val="13"/>
        </w:numPr>
        <w:rPr>
          <w:rFonts w:ascii="Times New Roman" w:hAnsi="Times New Roman"/>
        </w:rPr>
      </w:pPr>
      <w:r w:rsidRPr="00F40DA8">
        <w:rPr>
          <w:rFonts w:ascii="Times New Roman" w:hAnsi="Times New Roman"/>
        </w:rPr>
        <w:t>HRA Notice to Participants</w:t>
      </w:r>
    </w:p>
    <w:p w14:paraId="1503A40A" w14:textId="77777777" w:rsidR="00F40DA8" w:rsidRPr="00F40DA8" w:rsidRDefault="00F40DA8" w:rsidP="00F40DA8">
      <w:pPr>
        <w:pStyle w:val="ListParagraph"/>
        <w:ind w:left="1080"/>
        <w:rPr>
          <w:rFonts w:ascii="Times New Roman" w:hAnsi="Times New Roman"/>
        </w:rPr>
      </w:pPr>
    </w:p>
    <w:p w14:paraId="47B8BFB1" w14:textId="77777777" w:rsidR="00F40DA8" w:rsidRDefault="00F40DA8" w:rsidP="00DF4BE7">
      <w:pPr>
        <w:ind w:left="720"/>
        <w:rPr>
          <w:rFonts w:ascii="Times New Roman" w:hAnsi="Times New Roman"/>
        </w:rPr>
      </w:pPr>
      <w:r w:rsidRPr="00F40DA8">
        <w:rPr>
          <w:rFonts w:ascii="Times New Roman" w:hAnsi="Times New Roman"/>
        </w:rPr>
        <w:t xml:space="preserve">These </w:t>
      </w:r>
      <w:r w:rsidR="000747DC">
        <w:rPr>
          <w:rFonts w:ascii="Times New Roman" w:hAnsi="Times New Roman"/>
        </w:rPr>
        <w:t>final</w:t>
      </w:r>
      <w:r w:rsidR="000747DC" w:rsidRPr="00F40DA8">
        <w:rPr>
          <w:rFonts w:ascii="Times New Roman" w:hAnsi="Times New Roman"/>
        </w:rPr>
        <w:t xml:space="preserve"> </w:t>
      </w:r>
      <w:r w:rsidRPr="00F40DA8">
        <w:rPr>
          <w:rFonts w:ascii="Times New Roman" w:hAnsi="Times New Roman"/>
        </w:rPr>
        <w:t xml:space="preserve">regulation requires an HRA plan sponsor to provide written notice to eligible participants including, among other things, the following information: (1) a description of the terms of the HRA, including the contribution amount used in the affordability determination under the Code section 36B </w:t>
      </w:r>
      <w:r w:rsidR="00697ED8">
        <w:rPr>
          <w:rFonts w:ascii="Times New Roman" w:hAnsi="Times New Roman"/>
        </w:rPr>
        <w:t>final</w:t>
      </w:r>
      <w:r w:rsidR="00697ED8" w:rsidRPr="00F40DA8">
        <w:rPr>
          <w:rFonts w:ascii="Times New Roman" w:hAnsi="Times New Roman"/>
        </w:rPr>
        <w:t xml:space="preserve"> </w:t>
      </w:r>
      <w:r w:rsidRPr="00F40DA8">
        <w:rPr>
          <w:rFonts w:ascii="Times New Roman" w:hAnsi="Times New Roman"/>
        </w:rPr>
        <w:t>regulations; (2) a statement of the right of the participant to opt-out of and waive future reimbursement under the HRA; (3) a description of the Premium Tax Credit (PTC) eligibility consequences for a participant who opts out of the HRA; and (4) a description of the PTC eligibility consequences for a participant who accepts the HRA.  The written notice may include other information, as long as the additional information does not conflict with the required information.  The written notice does not need to include information specific to a participant.</w:t>
      </w:r>
    </w:p>
    <w:p w14:paraId="159EBBA6" w14:textId="77777777" w:rsidR="00F40DA8" w:rsidRPr="00F40DA8" w:rsidRDefault="00F40DA8" w:rsidP="00F40DA8">
      <w:pPr>
        <w:ind w:left="720" w:firstLine="720"/>
        <w:rPr>
          <w:rFonts w:ascii="Times New Roman" w:hAnsi="Times New Roman"/>
        </w:rPr>
      </w:pPr>
    </w:p>
    <w:p w14:paraId="05919AB0" w14:textId="77777777" w:rsidR="00F40DA8" w:rsidRDefault="00F40DA8" w:rsidP="00DF4BE7">
      <w:pPr>
        <w:ind w:left="720"/>
        <w:rPr>
          <w:rFonts w:ascii="Times New Roman" w:hAnsi="Times New Roman"/>
        </w:rPr>
      </w:pPr>
      <w:r w:rsidRPr="00F40DA8">
        <w:rPr>
          <w:rFonts w:ascii="Times New Roman" w:hAnsi="Times New Roman"/>
        </w:rPr>
        <w:t>The HRA plan sponsor must provide the written notice to each participant at least 90 days before the beginning of each plan year.  For participants who are not yet eligible to participate at the beginning of the plan year (or who are not eligible when the notice is provided at least 90 days prior to the beginning of the plan year), the HRA plan sponsor must provide the notice no later than the date on which the participant is first eligible to participate in the HRA.</w:t>
      </w:r>
    </w:p>
    <w:p w14:paraId="3DE7FB13" w14:textId="77777777" w:rsidR="00F40DA8" w:rsidRPr="00F40DA8" w:rsidRDefault="00F40DA8" w:rsidP="00F40DA8">
      <w:pPr>
        <w:ind w:left="720" w:firstLine="720"/>
        <w:rPr>
          <w:rFonts w:ascii="Times New Roman" w:hAnsi="Times New Roman"/>
        </w:rPr>
      </w:pPr>
    </w:p>
    <w:p w14:paraId="0797D708" w14:textId="77777777" w:rsidR="00F40DA8" w:rsidRPr="00F40DA8" w:rsidRDefault="00F40DA8" w:rsidP="00DF4BE7">
      <w:pPr>
        <w:ind w:left="720"/>
        <w:rPr>
          <w:rFonts w:ascii="Times New Roman" w:hAnsi="Times New Roman"/>
        </w:rPr>
      </w:pPr>
      <w:r w:rsidRPr="00F40DA8">
        <w:rPr>
          <w:rFonts w:ascii="Times New Roman" w:hAnsi="Times New Roman"/>
        </w:rPr>
        <w:t>The Departments estimate that a compensation and benefits manager would require 2 hours (at $125 per hour) and a lawyer would require need 1 hour (at $136.44 per hour)</w:t>
      </w:r>
      <w:r w:rsidR="00CB73D9">
        <w:rPr>
          <w:rFonts w:ascii="Times New Roman" w:hAnsi="Times New Roman"/>
        </w:rPr>
        <w:t xml:space="preserve"> to prepare the notice for each HRA plan sponsor</w:t>
      </w:r>
      <w:r w:rsidRPr="00F40DA8">
        <w:rPr>
          <w:rFonts w:ascii="Times New Roman" w:hAnsi="Times New Roman"/>
        </w:rPr>
        <w:t xml:space="preserve">. Thus, the total hour burden for each HRA plan sponsor would be 3 hours with an equivalent cost of approximately $386. The Departments estimate that each notice would be two pages, with total materials and printing cost of $0.10 per notice ($0.05 per page). </w:t>
      </w:r>
    </w:p>
    <w:p w14:paraId="6720FA30" w14:textId="77777777" w:rsidR="00F40DA8" w:rsidRDefault="00F40DA8" w:rsidP="00F40DA8">
      <w:pPr>
        <w:ind w:left="720"/>
        <w:rPr>
          <w:rFonts w:ascii="Times New Roman" w:hAnsi="Times New Roman"/>
        </w:rPr>
      </w:pPr>
      <w:r w:rsidRPr="00F40DA8">
        <w:rPr>
          <w:rFonts w:ascii="Times New Roman" w:hAnsi="Times New Roman"/>
        </w:rPr>
        <w:t xml:space="preserve">The Departments estimate that </w:t>
      </w:r>
      <w:r w:rsidR="007662D1">
        <w:rPr>
          <w:rFonts w:ascii="Times New Roman" w:hAnsi="Times New Roman"/>
        </w:rPr>
        <w:t>78,797</w:t>
      </w:r>
      <w:r w:rsidRPr="00F40DA8">
        <w:rPr>
          <w:rFonts w:ascii="Times New Roman" w:hAnsi="Times New Roman"/>
        </w:rPr>
        <w:t xml:space="preserve"> private employers would switch from traditional health plans to HRAs</w:t>
      </w:r>
      <w:r w:rsidRPr="00A249DC">
        <w:rPr>
          <w:rStyle w:val="FootnoteReference"/>
          <w:rFonts w:ascii="Times New Roman" w:hAnsi="Times New Roman"/>
          <w:vertAlign w:val="superscript"/>
        </w:rPr>
        <w:footnoteReference w:id="8"/>
      </w:r>
      <w:r w:rsidR="007662D1">
        <w:rPr>
          <w:rFonts w:ascii="Times New Roman" w:hAnsi="Times New Roman"/>
        </w:rPr>
        <w:t xml:space="preserve"> or newly offer HRAs</w:t>
      </w:r>
      <w:r w:rsidRPr="00A249DC">
        <w:rPr>
          <w:rFonts w:ascii="Times New Roman" w:hAnsi="Times New Roman"/>
          <w:vertAlign w:val="superscript"/>
        </w:rPr>
        <w:t xml:space="preserve"> </w:t>
      </w:r>
      <w:r w:rsidRPr="00F40DA8">
        <w:rPr>
          <w:rFonts w:ascii="Times New Roman" w:hAnsi="Times New Roman"/>
        </w:rPr>
        <w:t>in 2020</w:t>
      </w:r>
      <w:r w:rsidRPr="00A249DC">
        <w:rPr>
          <w:rStyle w:val="FootnoteReference"/>
          <w:rFonts w:ascii="Times New Roman" w:hAnsi="Times New Roman"/>
          <w:vertAlign w:val="superscript"/>
        </w:rPr>
        <w:footnoteReference w:id="9"/>
      </w:r>
      <w:r w:rsidRPr="00A249DC">
        <w:rPr>
          <w:rFonts w:ascii="Times New Roman" w:hAnsi="Times New Roman"/>
          <w:vertAlign w:val="superscript"/>
        </w:rPr>
        <w:t xml:space="preserve"> </w:t>
      </w:r>
      <w:r w:rsidRPr="00F40DA8">
        <w:rPr>
          <w:rFonts w:ascii="Times New Roman" w:hAnsi="Times New Roman"/>
        </w:rPr>
        <w:t xml:space="preserve">as a result of the </w:t>
      </w:r>
      <w:r w:rsidR="00697ED8">
        <w:rPr>
          <w:rFonts w:ascii="Times New Roman" w:hAnsi="Times New Roman"/>
        </w:rPr>
        <w:t>final</w:t>
      </w:r>
      <w:r w:rsidR="00697ED8" w:rsidRPr="00F40DA8">
        <w:rPr>
          <w:rFonts w:ascii="Times New Roman" w:hAnsi="Times New Roman"/>
        </w:rPr>
        <w:t xml:space="preserve"> </w:t>
      </w:r>
      <w:r w:rsidRPr="00F40DA8">
        <w:rPr>
          <w:rFonts w:ascii="Times New Roman" w:hAnsi="Times New Roman"/>
        </w:rPr>
        <w:t xml:space="preserve">in the first year. Therefore, the Departments estimate for the total hour burden for these HRA sponsors to prepare the notices would be </w:t>
      </w:r>
      <w:r w:rsidR="007662D1">
        <w:rPr>
          <w:rFonts w:ascii="Times New Roman" w:hAnsi="Times New Roman"/>
        </w:rPr>
        <w:t>236,390</w:t>
      </w:r>
      <w:r w:rsidRPr="00F40DA8">
        <w:rPr>
          <w:rFonts w:ascii="Times New Roman" w:hAnsi="Times New Roman"/>
        </w:rPr>
        <w:t xml:space="preserve"> hours with an equivalent cost of $</w:t>
      </w:r>
      <w:r w:rsidR="00F01DD6">
        <w:rPr>
          <w:rFonts w:ascii="Times New Roman" w:hAnsi="Times New Roman"/>
        </w:rPr>
        <w:t>30,450,216</w:t>
      </w:r>
      <w:r w:rsidRPr="00F40DA8">
        <w:rPr>
          <w:rFonts w:ascii="Times New Roman" w:hAnsi="Times New Roman"/>
        </w:rPr>
        <w:t xml:space="preserve">.  </w:t>
      </w:r>
    </w:p>
    <w:p w14:paraId="772AEAB0" w14:textId="77777777" w:rsidR="00EC1AE7" w:rsidRDefault="00EC1AE7" w:rsidP="00F40DA8">
      <w:pPr>
        <w:ind w:left="720"/>
        <w:rPr>
          <w:rFonts w:ascii="Times New Roman" w:hAnsi="Times New Roman"/>
        </w:rPr>
      </w:pPr>
    </w:p>
    <w:tbl>
      <w:tblPr>
        <w:tblW w:w="9300" w:type="dxa"/>
        <w:tblLook w:val="04A0" w:firstRow="1" w:lastRow="0" w:firstColumn="1" w:lastColumn="0" w:noHBand="0" w:noVBand="1"/>
      </w:tblPr>
      <w:tblGrid>
        <w:gridCol w:w="1120"/>
        <w:gridCol w:w="1180"/>
        <w:gridCol w:w="1140"/>
        <w:gridCol w:w="1000"/>
        <w:gridCol w:w="1060"/>
        <w:gridCol w:w="1260"/>
        <w:gridCol w:w="1120"/>
        <w:gridCol w:w="1464"/>
      </w:tblGrid>
      <w:tr w:rsidR="00F01DD6" w:rsidRPr="00F01DD6" w14:paraId="2AC6FA28" w14:textId="77777777" w:rsidTr="00F01DD6">
        <w:trPr>
          <w:trHeight w:val="300"/>
        </w:trPr>
        <w:tc>
          <w:tcPr>
            <w:tcW w:w="7880" w:type="dxa"/>
            <w:gridSpan w:val="7"/>
            <w:tcBorders>
              <w:top w:val="nil"/>
              <w:left w:val="nil"/>
              <w:bottom w:val="nil"/>
              <w:right w:val="nil"/>
            </w:tcBorders>
            <w:shd w:val="clear" w:color="auto" w:fill="auto"/>
            <w:noWrap/>
            <w:vAlign w:val="bottom"/>
            <w:hideMark/>
          </w:tcPr>
          <w:p w14:paraId="447A4751" w14:textId="77777777" w:rsidR="00F01DD6" w:rsidRPr="00D07BC4" w:rsidRDefault="00F01DD6" w:rsidP="00F01DD6">
            <w:pPr>
              <w:widowControl/>
              <w:autoSpaceDE/>
              <w:autoSpaceDN/>
              <w:adjustRightInd/>
              <w:rPr>
                <w:rFonts w:ascii="Times New Roman" w:hAnsi="Times New Roman"/>
                <w:color w:val="000000"/>
                <w:sz w:val="20"/>
                <w:szCs w:val="20"/>
              </w:rPr>
            </w:pPr>
            <w:r w:rsidRPr="00D07BC4">
              <w:rPr>
                <w:rFonts w:ascii="Times New Roman" w:hAnsi="Times New Roman"/>
                <w:color w:val="000000"/>
                <w:sz w:val="20"/>
                <w:szCs w:val="20"/>
              </w:rPr>
              <w:t>TABLE 1.--</w:t>
            </w:r>
            <w:r w:rsidRPr="00D07BC4">
              <w:rPr>
                <w:rFonts w:ascii="Times New Roman" w:hAnsi="Times New Roman"/>
                <w:i/>
                <w:iCs/>
                <w:color w:val="000000"/>
                <w:sz w:val="20"/>
                <w:szCs w:val="20"/>
              </w:rPr>
              <w:t xml:space="preserve"> Burden to Prepare HRA Notice for the First Time- Private Sector Employers</w:t>
            </w:r>
          </w:p>
        </w:tc>
        <w:tc>
          <w:tcPr>
            <w:tcW w:w="1420" w:type="dxa"/>
            <w:tcBorders>
              <w:top w:val="nil"/>
              <w:left w:val="nil"/>
              <w:bottom w:val="nil"/>
              <w:right w:val="nil"/>
            </w:tcBorders>
            <w:shd w:val="clear" w:color="auto" w:fill="auto"/>
            <w:noWrap/>
            <w:vAlign w:val="bottom"/>
            <w:hideMark/>
          </w:tcPr>
          <w:p w14:paraId="220EBF20" w14:textId="77777777" w:rsidR="00F01DD6" w:rsidRPr="00F01DD6" w:rsidRDefault="00F01DD6" w:rsidP="00F01DD6">
            <w:pPr>
              <w:widowControl/>
              <w:autoSpaceDE/>
              <w:autoSpaceDN/>
              <w:adjustRightInd/>
              <w:rPr>
                <w:rFonts w:ascii="Calibri" w:hAnsi="Calibri" w:cs="Calibri"/>
                <w:color w:val="000000"/>
                <w:sz w:val="22"/>
                <w:szCs w:val="22"/>
              </w:rPr>
            </w:pPr>
          </w:p>
        </w:tc>
      </w:tr>
      <w:tr w:rsidR="00F01DD6" w:rsidRPr="00F01DD6" w14:paraId="32B66FDA" w14:textId="77777777" w:rsidTr="00F01DD6">
        <w:trPr>
          <w:trHeight w:val="1500"/>
        </w:trPr>
        <w:tc>
          <w:tcPr>
            <w:tcW w:w="1120" w:type="dxa"/>
            <w:tcBorders>
              <w:top w:val="single" w:sz="4" w:space="0" w:color="auto"/>
              <w:left w:val="nil"/>
              <w:bottom w:val="nil"/>
              <w:right w:val="nil"/>
            </w:tcBorders>
            <w:shd w:val="clear" w:color="auto" w:fill="auto"/>
            <w:vAlign w:val="bottom"/>
            <w:hideMark/>
          </w:tcPr>
          <w:p w14:paraId="2E77879B"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Year</w:t>
            </w:r>
          </w:p>
        </w:tc>
        <w:tc>
          <w:tcPr>
            <w:tcW w:w="1180" w:type="dxa"/>
            <w:tcBorders>
              <w:top w:val="single" w:sz="4" w:space="0" w:color="auto"/>
              <w:left w:val="nil"/>
              <w:bottom w:val="nil"/>
              <w:right w:val="nil"/>
            </w:tcBorders>
            <w:shd w:val="clear" w:color="auto" w:fill="auto"/>
            <w:vAlign w:val="bottom"/>
            <w:hideMark/>
          </w:tcPr>
          <w:p w14:paraId="3A9A0C31"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Number of Employers Newly Offering HRAs</w:t>
            </w:r>
          </w:p>
        </w:tc>
        <w:tc>
          <w:tcPr>
            <w:tcW w:w="1140" w:type="dxa"/>
            <w:tcBorders>
              <w:top w:val="single" w:sz="4" w:space="0" w:color="auto"/>
              <w:left w:val="nil"/>
              <w:bottom w:val="nil"/>
              <w:right w:val="nil"/>
            </w:tcBorders>
            <w:shd w:val="clear" w:color="auto" w:fill="auto"/>
            <w:vAlign w:val="bottom"/>
            <w:hideMark/>
          </w:tcPr>
          <w:p w14:paraId="42D28732"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Legal Cost Per Hour</w:t>
            </w:r>
          </w:p>
        </w:tc>
        <w:tc>
          <w:tcPr>
            <w:tcW w:w="1000" w:type="dxa"/>
            <w:tcBorders>
              <w:top w:val="single" w:sz="4" w:space="0" w:color="auto"/>
              <w:left w:val="nil"/>
              <w:bottom w:val="nil"/>
              <w:right w:val="nil"/>
            </w:tcBorders>
            <w:shd w:val="clear" w:color="auto" w:fill="auto"/>
            <w:vAlign w:val="bottom"/>
            <w:hideMark/>
          </w:tcPr>
          <w:p w14:paraId="21996960"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Number of Hours for Legal</w:t>
            </w:r>
          </w:p>
        </w:tc>
        <w:tc>
          <w:tcPr>
            <w:tcW w:w="1060" w:type="dxa"/>
            <w:tcBorders>
              <w:top w:val="single" w:sz="4" w:space="0" w:color="auto"/>
              <w:left w:val="nil"/>
              <w:bottom w:val="nil"/>
              <w:right w:val="nil"/>
            </w:tcBorders>
            <w:shd w:val="clear" w:color="auto" w:fill="auto"/>
            <w:vAlign w:val="bottom"/>
            <w:hideMark/>
          </w:tcPr>
          <w:p w14:paraId="156C440C"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Benefit Manager Cost per Hour</w:t>
            </w:r>
          </w:p>
        </w:tc>
        <w:tc>
          <w:tcPr>
            <w:tcW w:w="1260" w:type="dxa"/>
            <w:tcBorders>
              <w:top w:val="single" w:sz="4" w:space="0" w:color="auto"/>
              <w:left w:val="nil"/>
              <w:bottom w:val="nil"/>
              <w:right w:val="nil"/>
            </w:tcBorders>
            <w:shd w:val="clear" w:color="auto" w:fill="auto"/>
            <w:vAlign w:val="bottom"/>
            <w:hideMark/>
          </w:tcPr>
          <w:p w14:paraId="757B2E5D"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Number of Hours for Benefit Manager</w:t>
            </w:r>
          </w:p>
        </w:tc>
        <w:tc>
          <w:tcPr>
            <w:tcW w:w="1120" w:type="dxa"/>
            <w:tcBorders>
              <w:top w:val="single" w:sz="4" w:space="0" w:color="auto"/>
              <w:left w:val="nil"/>
              <w:bottom w:val="nil"/>
              <w:right w:val="nil"/>
            </w:tcBorders>
            <w:shd w:val="clear" w:color="auto" w:fill="auto"/>
            <w:vAlign w:val="bottom"/>
            <w:hideMark/>
          </w:tcPr>
          <w:p w14:paraId="11AE93DC"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Total Hour Burden</w:t>
            </w:r>
          </w:p>
        </w:tc>
        <w:tc>
          <w:tcPr>
            <w:tcW w:w="1420" w:type="dxa"/>
            <w:tcBorders>
              <w:top w:val="single" w:sz="4" w:space="0" w:color="auto"/>
              <w:left w:val="nil"/>
              <w:bottom w:val="nil"/>
              <w:right w:val="nil"/>
            </w:tcBorders>
            <w:shd w:val="clear" w:color="auto" w:fill="auto"/>
            <w:vAlign w:val="bottom"/>
            <w:hideMark/>
          </w:tcPr>
          <w:p w14:paraId="716B0BF3" w14:textId="77777777" w:rsidR="00F01DD6" w:rsidRPr="00F01DD6" w:rsidRDefault="00F01DD6" w:rsidP="00F01DD6">
            <w:pPr>
              <w:widowControl/>
              <w:autoSpaceDE/>
              <w:autoSpaceDN/>
              <w:adjustRightInd/>
              <w:jc w:val="center"/>
              <w:rPr>
                <w:rFonts w:ascii="Calibri" w:hAnsi="Calibri" w:cs="Calibri"/>
                <w:color w:val="000000"/>
                <w:sz w:val="22"/>
                <w:szCs w:val="22"/>
              </w:rPr>
            </w:pPr>
            <w:r w:rsidRPr="00F01DD6">
              <w:rPr>
                <w:rFonts w:ascii="Calibri" w:hAnsi="Calibri" w:cs="Calibri"/>
                <w:color w:val="000000"/>
                <w:sz w:val="22"/>
                <w:szCs w:val="22"/>
              </w:rPr>
              <w:t>Total Equivalent  Cost</w:t>
            </w:r>
          </w:p>
        </w:tc>
      </w:tr>
      <w:tr w:rsidR="00F01DD6" w:rsidRPr="00F01DD6" w14:paraId="2F54C225" w14:textId="77777777" w:rsidTr="00F01DD6">
        <w:trPr>
          <w:trHeight w:val="600"/>
        </w:trPr>
        <w:tc>
          <w:tcPr>
            <w:tcW w:w="1120" w:type="dxa"/>
            <w:tcBorders>
              <w:top w:val="single" w:sz="4" w:space="0" w:color="auto"/>
              <w:left w:val="nil"/>
              <w:bottom w:val="nil"/>
              <w:right w:val="nil"/>
            </w:tcBorders>
            <w:shd w:val="clear" w:color="auto" w:fill="auto"/>
            <w:vAlign w:val="bottom"/>
            <w:hideMark/>
          </w:tcPr>
          <w:p w14:paraId="1BEDBA5E"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(a)</w:t>
            </w:r>
          </w:p>
        </w:tc>
        <w:tc>
          <w:tcPr>
            <w:tcW w:w="1180" w:type="dxa"/>
            <w:tcBorders>
              <w:top w:val="single" w:sz="4" w:space="0" w:color="auto"/>
              <w:left w:val="nil"/>
              <w:bottom w:val="nil"/>
              <w:right w:val="nil"/>
            </w:tcBorders>
            <w:shd w:val="clear" w:color="auto" w:fill="auto"/>
            <w:vAlign w:val="bottom"/>
            <w:hideMark/>
          </w:tcPr>
          <w:p w14:paraId="0A135628"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(b)</w:t>
            </w:r>
          </w:p>
        </w:tc>
        <w:tc>
          <w:tcPr>
            <w:tcW w:w="1140" w:type="dxa"/>
            <w:tcBorders>
              <w:top w:val="single" w:sz="4" w:space="0" w:color="auto"/>
              <w:left w:val="nil"/>
              <w:bottom w:val="nil"/>
              <w:right w:val="nil"/>
            </w:tcBorders>
            <w:shd w:val="clear" w:color="auto" w:fill="auto"/>
            <w:vAlign w:val="bottom"/>
            <w:hideMark/>
          </w:tcPr>
          <w:p w14:paraId="22DD043D"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(c)</w:t>
            </w:r>
          </w:p>
        </w:tc>
        <w:tc>
          <w:tcPr>
            <w:tcW w:w="1000" w:type="dxa"/>
            <w:tcBorders>
              <w:top w:val="single" w:sz="4" w:space="0" w:color="auto"/>
              <w:left w:val="nil"/>
              <w:bottom w:val="nil"/>
              <w:right w:val="nil"/>
            </w:tcBorders>
            <w:shd w:val="clear" w:color="auto" w:fill="auto"/>
            <w:vAlign w:val="bottom"/>
            <w:hideMark/>
          </w:tcPr>
          <w:p w14:paraId="13F86B7C"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(d)=1*(b)</w:t>
            </w:r>
          </w:p>
        </w:tc>
        <w:tc>
          <w:tcPr>
            <w:tcW w:w="1060" w:type="dxa"/>
            <w:tcBorders>
              <w:top w:val="single" w:sz="4" w:space="0" w:color="auto"/>
              <w:left w:val="nil"/>
              <w:bottom w:val="nil"/>
              <w:right w:val="nil"/>
            </w:tcBorders>
            <w:shd w:val="clear" w:color="auto" w:fill="auto"/>
            <w:vAlign w:val="bottom"/>
            <w:hideMark/>
          </w:tcPr>
          <w:p w14:paraId="3C4026EC"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(e)</w:t>
            </w:r>
          </w:p>
        </w:tc>
        <w:tc>
          <w:tcPr>
            <w:tcW w:w="1260" w:type="dxa"/>
            <w:tcBorders>
              <w:top w:val="single" w:sz="4" w:space="0" w:color="auto"/>
              <w:left w:val="nil"/>
              <w:bottom w:val="nil"/>
              <w:right w:val="nil"/>
            </w:tcBorders>
            <w:shd w:val="clear" w:color="auto" w:fill="auto"/>
            <w:vAlign w:val="bottom"/>
            <w:hideMark/>
          </w:tcPr>
          <w:p w14:paraId="04221264"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(f)=2*(b)</w:t>
            </w:r>
          </w:p>
        </w:tc>
        <w:tc>
          <w:tcPr>
            <w:tcW w:w="1120" w:type="dxa"/>
            <w:tcBorders>
              <w:top w:val="single" w:sz="4" w:space="0" w:color="auto"/>
              <w:left w:val="nil"/>
              <w:bottom w:val="nil"/>
              <w:right w:val="nil"/>
            </w:tcBorders>
            <w:shd w:val="clear" w:color="auto" w:fill="auto"/>
            <w:vAlign w:val="bottom"/>
            <w:hideMark/>
          </w:tcPr>
          <w:p w14:paraId="2A2833F6"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(g)=(d)+(f)</w:t>
            </w:r>
          </w:p>
        </w:tc>
        <w:tc>
          <w:tcPr>
            <w:tcW w:w="1420" w:type="dxa"/>
            <w:tcBorders>
              <w:top w:val="single" w:sz="4" w:space="0" w:color="auto"/>
              <w:left w:val="nil"/>
              <w:bottom w:val="nil"/>
              <w:right w:val="nil"/>
            </w:tcBorders>
            <w:shd w:val="clear" w:color="auto" w:fill="auto"/>
            <w:vAlign w:val="bottom"/>
            <w:hideMark/>
          </w:tcPr>
          <w:p w14:paraId="635E2F98" w14:textId="77777777" w:rsidR="00F01DD6" w:rsidRPr="00F01DD6" w:rsidRDefault="00F01DD6" w:rsidP="00F01DD6">
            <w:pPr>
              <w:widowControl/>
              <w:autoSpaceDE/>
              <w:autoSpaceDN/>
              <w:adjustRightInd/>
              <w:jc w:val="center"/>
              <w:rPr>
                <w:rFonts w:ascii="Calibri" w:hAnsi="Calibri" w:cs="Calibri"/>
                <w:color w:val="000000"/>
                <w:sz w:val="22"/>
                <w:szCs w:val="22"/>
              </w:rPr>
            </w:pPr>
            <w:r w:rsidRPr="00F01DD6">
              <w:rPr>
                <w:rFonts w:ascii="Calibri" w:hAnsi="Calibri" w:cs="Calibri"/>
                <w:color w:val="000000"/>
                <w:sz w:val="22"/>
                <w:szCs w:val="22"/>
              </w:rPr>
              <w:t>(c)*(d)+(e)*(f)</w:t>
            </w:r>
          </w:p>
        </w:tc>
      </w:tr>
      <w:tr w:rsidR="00F01DD6" w:rsidRPr="00F01DD6" w14:paraId="10533437" w14:textId="77777777" w:rsidTr="00F01DD6">
        <w:trPr>
          <w:trHeight w:val="300"/>
        </w:trPr>
        <w:tc>
          <w:tcPr>
            <w:tcW w:w="1120" w:type="dxa"/>
            <w:tcBorders>
              <w:top w:val="single" w:sz="4" w:space="0" w:color="auto"/>
              <w:left w:val="nil"/>
              <w:bottom w:val="nil"/>
              <w:right w:val="nil"/>
            </w:tcBorders>
            <w:shd w:val="clear" w:color="auto" w:fill="auto"/>
            <w:noWrap/>
            <w:vAlign w:val="bottom"/>
            <w:hideMark/>
          </w:tcPr>
          <w:p w14:paraId="61A8DCCE"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2020</w:t>
            </w:r>
          </w:p>
        </w:tc>
        <w:tc>
          <w:tcPr>
            <w:tcW w:w="1180" w:type="dxa"/>
            <w:tcBorders>
              <w:top w:val="single" w:sz="4" w:space="0" w:color="auto"/>
              <w:left w:val="nil"/>
              <w:bottom w:val="nil"/>
              <w:right w:val="nil"/>
            </w:tcBorders>
            <w:shd w:val="clear" w:color="auto" w:fill="auto"/>
            <w:noWrap/>
            <w:vAlign w:val="bottom"/>
            <w:hideMark/>
          </w:tcPr>
          <w:p w14:paraId="262BC319"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78,797 </w:t>
            </w:r>
          </w:p>
        </w:tc>
        <w:tc>
          <w:tcPr>
            <w:tcW w:w="1140" w:type="dxa"/>
            <w:tcBorders>
              <w:top w:val="single" w:sz="4" w:space="0" w:color="auto"/>
              <w:left w:val="nil"/>
              <w:bottom w:val="nil"/>
              <w:right w:val="nil"/>
            </w:tcBorders>
            <w:shd w:val="clear" w:color="auto" w:fill="auto"/>
            <w:noWrap/>
            <w:vAlign w:val="bottom"/>
            <w:hideMark/>
          </w:tcPr>
          <w:p w14:paraId="77E85E03"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$136.44 </w:t>
            </w:r>
          </w:p>
        </w:tc>
        <w:tc>
          <w:tcPr>
            <w:tcW w:w="1000" w:type="dxa"/>
            <w:tcBorders>
              <w:top w:val="single" w:sz="4" w:space="0" w:color="auto"/>
              <w:left w:val="nil"/>
              <w:bottom w:val="nil"/>
              <w:right w:val="nil"/>
            </w:tcBorders>
            <w:shd w:val="clear" w:color="auto" w:fill="auto"/>
            <w:noWrap/>
            <w:vAlign w:val="bottom"/>
            <w:hideMark/>
          </w:tcPr>
          <w:p w14:paraId="286B8151"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78,797 </w:t>
            </w:r>
          </w:p>
        </w:tc>
        <w:tc>
          <w:tcPr>
            <w:tcW w:w="1060" w:type="dxa"/>
            <w:tcBorders>
              <w:top w:val="single" w:sz="4" w:space="0" w:color="auto"/>
              <w:left w:val="nil"/>
              <w:bottom w:val="nil"/>
              <w:right w:val="nil"/>
            </w:tcBorders>
            <w:shd w:val="clear" w:color="auto" w:fill="auto"/>
            <w:noWrap/>
            <w:vAlign w:val="bottom"/>
            <w:hideMark/>
          </w:tcPr>
          <w:p w14:paraId="3F4CCD61"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$125.00</w:t>
            </w:r>
          </w:p>
        </w:tc>
        <w:tc>
          <w:tcPr>
            <w:tcW w:w="1260" w:type="dxa"/>
            <w:tcBorders>
              <w:top w:val="single" w:sz="4" w:space="0" w:color="auto"/>
              <w:left w:val="nil"/>
              <w:bottom w:val="nil"/>
              <w:right w:val="nil"/>
            </w:tcBorders>
            <w:shd w:val="clear" w:color="auto" w:fill="auto"/>
            <w:noWrap/>
            <w:vAlign w:val="bottom"/>
            <w:hideMark/>
          </w:tcPr>
          <w:p w14:paraId="006FCAA0"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157,593 </w:t>
            </w:r>
          </w:p>
        </w:tc>
        <w:tc>
          <w:tcPr>
            <w:tcW w:w="1120" w:type="dxa"/>
            <w:tcBorders>
              <w:top w:val="single" w:sz="4" w:space="0" w:color="auto"/>
              <w:left w:val="nil"/>
              <w:bottom w:val="nil"/>
              <w:right w:val="nil"/>
            </w:tcBorders>
            <w:shd w:val="clear" w:color="auto" w:fill="auto"/>
            <w:noWrap/>
            <w:vAlign w:val="bottom"/>
            <w:hideMark/>
          </w:tcPr>
          <w:p w14:paraId="5BBCFB12"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236,390 </w:t>
            </w:r>
          </w:p>
        </w:tc>
        <w:tc>
          <w:tcPr>
            <w:tcW w:w="1420" w:type="dxa"/>
            <w:tcBorders>
              <w:top w:val="single" w:sz="4" w:space="0" w:color="auto"/>
              <w:left w:val="nil"/>
              <w:bottom w:val="nil"/>
              <w:right w:val="nil"/>
            </w:tcBorders>
            <w:shd w:val="clear" w:color="auto" w:fill="auto"/>
            <w:noWrap/>
            <w:vAlign w:val="bottom"/>
            <w:hideMark/>
          </w:tcPr>
          <w:p w14:paraId="7BF8BC0D" w14:textId="77777777" w:rsidR="00F01DD6" w:rsidRPr="002A33AF" w:rsidRDefault="00F01DD6" w:rsidP="00F01DD6">
            <w:pPr>
              <w:widowControl/>
              <w:autoSpaceDE/>
              <w:autoSpaceDN/>
              <w:adjustRightInd/>
              <w:jc w:val="center"/>
              <w:rPr>
                <w:rFonts w:ascii="Times New Roman" w:hAnsi="Times New Roman"/>
                <w:color w:val="000000"/>
                <w:sz w:val="20"/>
                <w:szCs w:val="20"/>
              </w:rPr>
            </w:pPr>
            <w:r w:rsidRPr="002A33AF">
              <w:rPr>
                <w:rFonts w:ascii="Times New Roman" w:hAnsi="Times New Roman"/>
                <w:color w:val="000000"/>
                <w:sz w:val="20"/>
                <w:szCs w:val="20"/>
              </w:rPr>
              <w:t>$30,450,216</w:t>
            </w:r>
          </w:p>
        </w:tc>
      </w:tr>
      <w:tr w:rsidR="00F01DD6" w:rsidRPr="00F01DD6" w14:paraId="37488E6A" w14:textId="77777777" w:rsidTr="00F01DD6">
        <w:trPr>
          <w:trHeight w:val="300"/>
        </w:trPr>
        <w:tc>
          <w:tcPr>
            <w:tcW w:w="1120" w:type="dxa"/>
            <w:tcBorders>
              <w:top w:val="nil"/>
              <w:left w:val="nil"/>
              <w:bottom w:val="nil"/>
              <w:right w:val="nil"/>
            </w:tcBorders>
            <w:shd w:val="clear" w:color="auto" w:fill="auto"/>
            <w:noWrap/>
            <w:vAlign w:val="bottom"/>
            <w:hideMark/>
          </w:tcPr>
          <w:p w14:paraId="6306CE43"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2021</w:t>
            </w:r>
          </w:p>
        </w:tc>
        <w:tc>
          <w:tcPr>
            <w:tcW w:w="1180" w:type="dxa"/>
            <w:tcBorders>
              <w:top w:val="nil"/>
              <w:left w:val="nil"/>
              <w:bottom w:val="nil"/>
              <w:right w:val="nil"/>
            </w:tcBorders>
            <w:shd w:val="clear" w:color="auto" w:fill="auto"/>
            <w:noWrap/>
            <w:vAlign w:val="bottom"/>
            <w:hideMark/>
          </w:tcPr>
          <w:p w14:paraId="1723C798"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118,195 </w:t>
            </w:r>
          </w:p>
        </w:tc>
        <w:tc>
          <w:tcPr>
            <w:tcW w:w="1140" w:type="dxa"/>
            <w:tcBorders>
              <w:top w:val="nil"/>
              <w:left w:val="nil"/>
              <w:bottom w:val="nil"/>
              <w:right w:val="nil"/>
            </w:tcBorders>
            <w:shd w:val="clear" w:color="auto" w:fill="auto"/>
            <w:noWrap/>
            <w:vAlign w:val="bottom"/>
            <w:hideMark/>
          </w:tcPr>
          <w:p w14:paraId="52ACD13C"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$136.44 </w:t>
            </w:r>
          </w:p>
        </w:tc>
        <w:tc>
          <w:tcPr>
            <w:tcW w:w="1000" w:type="dxa"/>
            <w:tcBorders>
              <w:top w:val="nil"/>
              <w:left w:val="nil"/>
              <w:bottom w:val="nil"/>
              <w:right w:val="nil"/>
            </w:tcBorders>
            <w:shd w:val="clear" w:color="auto" w:fill="auto"/>
            <w:noWrap/>
            <w:vAlign w:val="bottom"/>
            <w:hideMark/>
          </w:tcPr>
          <w:p w14:paraId="4AE3BB6B"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118,195 </w:t>
            </w:r>
          </w:p>
        </w:tc>
        <w:tc>
          <w:tcPr>
            <w:tcW w:w="1060" w:type="dxa"/>
            <w:tcBorders>
              <w:top w:val="nil"/>
              <w:left w:val="nil"/>
              <w:bottom w:val="nil"/>
              <w:right w:val="nil"/>
            </w:tcBorders>
            <w:shd w:val="clear" w:color="auto" w:fill="auto"/>
            <w:noWrap/>
            <w:vAlign w:val="bottom"/>
            <w:hideMark/>
          </w:tcPr>
          <w:p w14:paraId="1D99E2CC"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$125.00</w:t>
            </w:r>
          </w:p>
        </w:tc>
        <w:tc>
          <w:tcPr>
            <w:tcW w:w="1260" w:type="dxa"/>
            <w:tcBorders>
              <w:top w:val="nil"/>
              <w:left w:val="nil"/>
              <w:bottom w:val="nil"/>
              <w:right w:val="nil"/>
            </w:tcBorders>
            <w:shd w:val="clear" w:color="auto" w:fill="auto"/>
            <w:noWrap/>
            <w:vAlign w:val="bottom"/>
            <w:hideMark/>
          </w:tcPr>
          <w:p w14:paraId="339E674E"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236,390 </w:t>
            </w:r>
          </w:p>
        </w:tc>
        <w:tc>
          <w:tcPr>
            <w:tcW w:w="1120" w:type="dxa"/>
            <w:tcBorders>
              <w:top w:val="nil"/>
              <w:left w:val="nil"/>
              <w:bottom w:val="nil"/>
              <w:right w:val="nil"/>
            </w:tcBorders>
            <w:shd w:val="clear" w:color="auto" w:fill="auto"/>
            <w:noWrap/>
            <w:vAlign w:val="bottom"/>
            <w:hideMark/>
          </w:tcPr>
          <w:p w14:paraId="5EEDE1D8"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354,585 </w:t>
            </w:r>
          </w:p>
        </w:tc>
        <w:tc>
          <w:tcPr>
            <w:tcW w:w="1420" w:type="dxa"/>
            <w:tcBorders>
              <w:top w:val="nil"/>
              <w:left w:val="nil"/>
              <w:bottom w:val="nil"/>
              <w:right w:val="nil"/>
            </w:tcBorders>
            <w:shd w:val="clear" w:color="auto" w:fill="auto"/>
            <w:noWrap/>
            <w:vAlign w:val="bottom"/>
            <w:hideMark/>
          </w:tcPr>
          <w:p w14:paraId="66FDF262" w14:textId="77777777" w:rsidR="00F01DD6" w:rsidRPr="002A33AF" w:rsidRDefault="00F01DD6" w:rsidP="00F01DD6">
            <w:pPr>
              <w:widowControl/>
              <w:autoSpaceDE/>
              <w:autoSpaceDN/>
              <w:adjustRightInd/>
              <w:jc w:val="center"/>
              <w:rPr>
                <w:rFonts w:ascii="Times New Roman" w:hAnsi="Times New Roman"/>
                <w:color w:val="000000"/>
                <w:sz w:val="20"/>
                <w:szCs w:val="20"/>
              </w:rPr>
            </w:pPr>
            <w:r w:rsidRPr="002A33AF">
              <w:rPr>
                <w:rFonts w:ascii="Times New Roman" w:hAnsi="Times New Roman"/>
                <w:color w:val="000000"/>
                <w:sz w:val="20"/>
                <w:szCs w:val="20"/>
              </w:rPr>
              <w:t>$45,675,324</w:t>
            </w:r>
          </w:p>
        </w:tc>
      </w:tr>
      <w:tr w:rsidR="00F01DD6" w:rsidRPr="00F01DD6" w14:paraId="501D665B" w14:textId="77777777" w:rsidTr="00F01DD6">
        <w:trPr>
          <w:trHeight w:val="315"/>
        </w:trPr>
        <w:tc>
          <w:tcPr>
            <w:tcW w:w="1120" w:type="dxa"/>
            <w:tcBorders>
              <w:top w:val="nil"/>
              <w:left w:val="nil"/>
              <w:bottom w:val="single" w:sz="8" w:space="0" w:color="auto"/>
              <w:right w:val="nil"/>
            </w:tcBorders>
            <w:shd w:val="clear" w:color="auto" w:fill="auto"/>
            <w:noWrap/>
            <w:vAlign w:val="bottom"/>
            <w:hideMark/>
          </w:tcPr>
          <w:p w14:paraId="758C592A"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2022</w:t>
            </w:r>
          </w:p>
        </w:tc>
        <w:tc>
          <w:tcPr>
            <w:tcW w:w="1180" w:type="dxa"/>
            <w:tcBorders>
              <w:top w:val="nil"/>
              <w:left w:val="nil"/>
              <w:bottom w:val="single" w:sz="8" w:space="0" w:color="auto"/>
              <w:right w:val="nil"/>
            </w:tcBorders>
            <w:shd w:val="clear" w:color="auto" w:fill="auto"/>
            <w:noWrap/>
            <w:vAlign w:val="bottom"/>
            <w:hideMark/>
          </w:tcPr>
          <w:p w14:paraId="2445863D"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196,992 </w:t>
            </w:r>
          </w:p>
        </w:tc>
        <w:tc>
          <w:tcPr>
            <w:tcW w:w="1140" w:type="dxa"/>
            <w:tcBorders>
              <w:top w:val="nil"/>
              <w:left w:val="nil"/>
              <w:bottom w:val="single" w:sz="8" w:space="0" w:color="auto"/>
              <w:right w:val="nil"/>
            </w:tcBorders>
            <w:shd w:val="clear" w:color="auto" w:fill="auto"/>
            <w:noWrap/>
            <w:vAlign w:val="bottom"/>
            <w:hideMark/>
          </w:tcPr>
          <w:p w14:paraId="1A3B8DE1"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$136.44 </w:t>
            </w:r>
          </w:p>
        </w:tc>
        <w:tc>
          <w:tcPr>
            <w:tcW w:w="1000" w:type="dxa"/>
            <w:tcBorders>
              <w:top w:val="nil"/>
              <w:left w:val="nil"/>
              <w:bottom w:val="single" w:sz="8" w:space="0" w:color="auto"/>
              <w:right w:val="nil"/>
            </w:tcBorders>
            <w:shd w:val="clear" w:color="auto" w:fill="auto"/>
            <w:noWrap/>
            <w:vAlign w:val="bottom"/>
            <w:hideMark/>
          </w:tcPr>
          <w:p w14:paraId="79BEC1A8"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196,992 </w:t>
            </w:r>
          </w:p>
        </w:tc>
        <w:tc>
          <w:tcPr>
            <w:tcW w:w="1060" w:type="dxa"/>
            <w:tcBorders>
              <w:top w:val="nil"/>
              <w:left w:val="nil"/>
              <w:bottom w:val="single" w:sz="8" w:space="0" w:color="auto"/>
              <w:right w:val="nil"/>
            </w:tcBorders>
            <w:shd w:val="clear" w:color="auto" w:fill="auto"/>
            <w:noWrap/>
            <w:vAlign w:val="bottom"/>
            <w:hideMark/>
          </w:tcPr>
          <w:p w14:paraId="261850D4"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$125.00</w:t>
            </w:r>
          </w:p>
        </w:tc>
        <w:tc>
          <w:tcPr>
            <w:tcW w:w="1260" w:type="dxa"/>
            <w:tcBorders>
              <w:top w:val="nil"/>
              <w:left w:val="nil"/>
              <w:bottom w:val="single" w:sz="8" w:space="0" w:color="auto"/>
              <w:right w:val="nil"/>
            </w:tcBorders>
            <w:shd w:val="clear" w:color="auto" w:fill="auto"/>
            <w:noWrap/>
            <w:vAlign w:val="bottom"/>
            <w:hideMark/>
          </w:tcPr>
          <w:p w14:paraId="0DE1A62B"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393,984 </w:t>
            </w:r>
          </w:p>
        </w:tc>
        <w:tc>
          <w:tcPr>
            <w:tcW w:w="1120" w:type="dxa"/>
            <w:tcBorders>
              <w:top w:val="nil"/>
              <w:left w:val="nil"/>
              <w:bottom w:val="single" w:sz="8" w:space="0" w:color="auto"/>
              <w:right w:val="nil"/>
            </w:tcBorders>
            <w:shd w:val="clear" w:color="auto" w:fill="auto"/>
            <w:noWrap/>
            <w:vAlign w:val="bottom"/>
            <w:hideMark/>
          </w:tcPr>
          <w:p w14:paraId="24B0683C"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590,976 </w:t>
            </w:r>
          </w:p>
        </w:tc>
        <w:tc>
          <w:tcPr>
            <w:tcW w:w="1420" w:type="dxa"/>
            <w:tcBorders>
              <w:top w:val="nil"/>
              <w:left w:val="nil"/>
              <w:bottom w:val="single" w:sz="8" w:space="0" w:color="auto"/>
              <w:right w:val="nil"/>
            </w:tcBorders>
            <w:shd w:val="clear" w:color="auto" w:fill="auto"/>
            <w:noWrap/>
            <w:vAlign w:val="bottom"/>
            <w:hideMark/>
          </w:tcPr>
          <w:p w14:paraId="1E9B8A82" w14:textId="77777777" w:rsidR="00F01DD6" w:rsidRPr="002A33AF" w:rsidRDefault="00F01DD6" w:rsidP="00F01DD6">
            <w:pPr>
              <w:widowControl/>
              <w:autoSpaceDE/>
              <w:autoSpaceDN/>
              <w:adjustRightInd/>
              <w:jc w:val="center"/>
              <w:rPr>
                <w:rFonts w:ascii="Times New Roman" w:hAnsi="Times New Roman"/>
                <w:color w:val="000000"/>
                <w:sz w:val="20"/>
                <w:szCs w:val="20"/>
              </w:rPr>
            </w:pPr>
            <w:r w:rsidRPr="002A33AF">
              <w:rPr>
                <w:rFonts w:ascii="Times New Roman" w:hAnsi="Times New Roman"/>
                <w:color w:val="000000"/>
                <w:sz w:val="20"/>
                <w:szCs w:val="20"/>
              </w:rPr>
              <w:t>$76,125,539</w:t>
            </w:r>
          </w:p>
        </w:tc>
      </w:tr>
    </w:tbl>
    <w:p w14:paraId="12EC95B1" w14:textId="77777777" w:rsidR="00EC1AE7" w:rsidRDefault="00EC1AE7" w:rsidP="00F40DA8">
      <w:pPr>
        <w:ind w:left="720"/>
        <w:rPr>
          <w:rFonts w:ascii="Times New Roman" w:hAnsi="Times New Roman"/>
        </w:rPr>
      </w:pPr>
    </w:p>
    <w:p w14:paraId="1937589B" w14:textId="77777777" w:rsidR="00F40DA8" w:rsidRDefault="00F40DA8" w:rsidP="00F40DA8">
      <w:pPr>
        <w:ind w:left="720"/>
        <w:rPr>
          <w:rFonts w:ascii="Times New Roman" w:hAnsi="Times New Roman"/>
        </w:rPr>
      </w:pPr>
    </w:p>
    <w:p w14:paraId="7B4EF9B6" w14:textId="77777777" w:rsidR="00F40DA8" w:rsidRPr="00A249DC" w:rsidRDefault="00F40DA8" w:rsidP="00A249DC">
      <w:pPr>
        <w:pStyle w:val="ListParagraph"/>
        <w:numPr>
          <w:ilvl w:val="0"/>
          <w:numId w:val="13"/>
        </w:numPr>
        <w:rPr>
          <w:rFonts w:ascii="Times New Roman" w:hAnsi="Times New Roman"/>
        </w:rPr>
      </w:pPr>
      <w:r w:rsidRPr="00A249DC">
        <w:rPr>
          <w:rFonts w:ascii="Times New Roman" w:hAnsi="Times New Roman"/>
        </w:rPr>
        <w:t>Notice to Participants that Individual Policy is not subject to title I of ERISA</w:t>
      </w:r>
    </w:p>
    <w:p w14:paraId="1FCEBF4B" w14:textId="77777777" w:rsidR="00ED36E2" w:rsidRPr="00A249DC" w:rsidRDefault="00ED36E2" w:rsidP="00A249DC">
      <w:pPr>
        <w:pStyle w:val="ListParagraph"/>
        <w:ind w:left="1080"/>
        <w:rPr>
          <w:rFonts w:ascii="Times New Roman" w:hAnsi="Times New Roman"/>
        </w:rPr>
      </w:pPr>
    </w:p>
    <w:p w14:paraId="598D639B" w14:textId="77777777" w:rsidR="00F40DA8" w:rsidRPr="00F40DA8" w:rsidRDefault="00F40DA8" w:rsidP="00F40DA8">
      <w:pPr>
        <w:ind w:left="720"/>
        <w:rPr>
          <w:rFonts w:ascii="Times New Roman" w:hAnsi="Times New Roman"/>
        </w:rPr>
      </w:pPr>
      <w:r w:rsidRPr="00F40DA8">
        <w:rPr>
          <w:rFonts w:ascii="Times New Roman" w:hAnsi="Times New Roman"/>
        </w:rPr>
        <w:t xml:space="preserve">If certain conditions are met individual health insurance coverage is not considered an “employee welfare benefit plan” </w:t>
      </w:r>
      <w:r w:rsidR="00ED36E2">
        <w:rPr>
          <w:rFonts w:ascii="Times New Roman" w:hAnsi="Times New Roman"/>
        </w:rPr>
        <w:t>with</w:t>
      </w:r>
      <w:r w:rsidRPr="00F40DA8">
        <w:rPr>
          <w:rFonts w:ascii="Times New Roman" w:hAnsi="Times New Roman"/>
        </w:rPr>
        <w:t xml:space="preserve"> consumer protections </w:t>
      </w:r>
      <w:r w:rsidR="00ED36E2">
        <w:rPr>
          <w:rFonts w:ascii="Times New Roman" w:hAnsi="Times New Roman"/>
        </w:rPr>
        <w:t>provided under</w:t>
      </w:r>
      <w:r w:rsidRPr="00F40DA8">
        <w:rPr>
          <w:rFonts w:ascii="Times New Roman" w:hAnsi="Times New Roman"/>
        </w:rPr>
        <w:t xml:space="preserve"> ERISA.  HRA</w:t>
      </w:r>
      <w:r w:rsidR="00ED36E2">
        <w:rPr>
          <w:rFonts w:ascii="Times New Roman" w:hAnsi="Times New Roman"/>
        </w:rPr>
        <w:t xml:space="preserve"> plan sponsors</w:t>
      </w:r>
      <w:r w:rsidRPr="00F40DA8">
        <w:rPr>
          <w:rFonts w:ascii="Times New Roman" w:hAnsi="Times New Roman"/>
        </w:rPr>
        <w:t xml:space="preserve"> are required to notify participant of this fact.  For an HRA this notice requirement is meet if annually the notice requirements in section 2590.702-2(c)(6) are met</w:t>
      </w:r>
      <w:r w:rsidR="00ED36E2">
        <w:rPr>
          <w:rFonts w:ascii="Times New Roman" w:hAnsi="Times New Roman"/>
        </w:rPr>
        <w:t>, which are part of the</w:t>
      </w:r>
      <w:r w:rsidRPr="00F40DA8">
        <w:rPr>
          <w:rFonts w:ascii="Times New Roman" w:hAnsi="Times New Roman"/>
        </w:rPr>
        <w:t xml:space="preserve"> HRA notice to Participants.  Therefore, this notice requirement imposes no additional burden.  For QSEHRAs this notice requirement is met if </w:t>
      </w:r>
      <w:r w:rsidR="00ED36E2">
        <w:rPr>
          <w:rFonts w:ascii="Times New Roman" w:hAnsi="Times New Roman"/>
        </w:rPr>
        <w:t xml:space="preserve">the plan sponsor </w:t>
      </w:r>
      <w:r w:rsidRPr="00F40DA8">
        <w:rPr>
          <w:rFonts w:ascii="Times New Roman" w:hAnsi="Times New Roman"/>
        </w:rPr>
        <w:t>annually</w:t>
      </w:r>
      <w:r w:rsidR="00ED36E2">
        <w:rPr>
          <w:rFonts w:ascii="Times New Roman" w:hAnsi="Times New Roman"/>
        </w:rPr>
        <w:t xml:space="preserve"> includes</w:t>
      </w:r>
      <w:r w:rsidRPr="00F40DA8">
        <w:rPr>
          <w:rFonts w:ascii="Times New Roman" w:hAnsi="Times New Roman"/>
        </w:rPr>
        <w:t xml:space="preserve"> language provided in the rule is include in the Summary Plan Description.  </w:t>
      </w:r>
      <w:r w:rsidR="00ED36E2">
        <w:rPr>
          <w:rFonts w:ascii="Times New Roman" w:hAnsi="Times New Roman"/>
        </w:rPr>
        <w:t>The Department estimates that this burden is de minimis, because the required text is provided by the Department and the required information can be included with other notices</w:t>
      </w:r>
    </w:p>
    <w:p w14:paraId="20331677" w14:textId="77777777" w:rsidR="00F40DA8" w:rsidRDefault="00F40DA8" w:rsidP="00F40DA8">
      <w:pPr>
        <w:ind w:left="720"/>
        <w:rPr>
          <w:rFonts w:ascii="Times New Roman" w:hAnsi="Times New Roman"/>
        </w:rPr>
      </w:pPr>
    </w:p>
    <w:p w14:paraId="62F18EF2" w14:textId="77777777" w:rsidR="000747DC" w:rsidRPr="003C336E" w:rsidRDefault="000747DC" w:rsidP="003C336E">
      <w:pPr>
        <w:pStyle w:val="ListParagraph"/>
        <w:numPr>
          <w:ilvl w:val="0"/>
          <w:numId w:val="13"/>
        </w:numPr>
        <w:rPr>
          <w:rFonts w:ascii="Times New Roman" w:eastAsia="Calibri" w:hAnsi="Times New Roman"/>
          <w:u w:val="single"/>
        </w:rPr>
      </w:pPr>
      <w:r w:rsidRPr="003C336E">
        <w:rPr>
          <w:rFonts w:ascii="Times New Roman" w:eastAsia="Calibri" w:hAnsi="Times New Roman"/>
        </w:rPr>
        <w:t xml:space="preserve"> Participant Notif</w:t>
      </w:r>
      <w:r w:rsidR="0050150E">
        <w:rPr>
          <w:rFonts w:ascii="Times New Roman" w:eastAsia="Calibri" w:hAnsi="Times New Roman"/>
        </w:rPr>
        <w:t xml:space="preserve">ication of </w:t>
      </w:r>
      <w:r w:rsidRPr="003C336E">
        <w:rPr>
          <w:rFonts w:ascii="Times New Roman" w:eastAsia="Calibri" w:hAnsi="Times New Roman"/>
        </w:rPr>
        <w:t xml:space="preserve"> Individual Coverage HRA of Cancelled or Discontinued Coverage</w:t>
      </w:r>
    </w:p>
    <w:p w14:paraId="6805D133" w14:textId="77777777" w:rsidR="000747DC" w:rsidRPr="003C336E" w:rsidRDefault="000747DC" w:rsidP="003C336E">
      <w:pPr>
        <w:rPr>
          <w:rFonts w:ascii="Times New Roman" w:eastAsia="Calibri" w:hAnsi="Times New Roman"/>
        </w:rPr>
      </w:pPr>
    </w:p>
    <w:p w14:paraId="423771F6" w14:textId="77777777" w:rsidR="000747DC" w:rsidRDefault="000747DC" w:rsidP="003C336E">
      <w:pPr>
        <w:ind w:left="720"/>
        <w:rPr>
          <w:rFonts w:ascii="Times New Roman" w:hAnsi="Times New Roman"/>
        </w:rPr>
      </w:pPr>
      <w:r w:rsidRPr="003C336E">
        <w:rPr>
          <w:rFonts w:ascii="Times New Roman" w:hAnsi="Times New Roman"/>
        </w:rPr>
        <w:t>The final rules require that if the covered individual fails to pay the applicable premium(s) by the end of the grace period and the coverage is cancelled or discontinued, including retroactively, or if individual health insurance coverage is cancelled or discontinued retroactively for some other reason (for example, a rescission), the individual coverage HRA must require that the individual notify the HRA that coverage has been cancelled or discontinued and the date on which the coverage cancellation or discontinuance is effective (54.9801-4(c)(1)(iii)).  The Departments assume that the burden associated with this notification requirement is de minimis for participants that cancel coverage, because they can satisfy the requirement by making a phone call or sending an email.</w:t>
      </w:r>
    </w:p>
    <w:p w14:paraId="641BBB70" w14:textId="77777777" w:rsidR="00871DB5" w:rsidRPr="003C336E" w:rsidRDefault="00871DB5" w:rsidP="003C336E">
      <w:pPr>
        <w:ind w:left="720"/>
        <w:rPr>
          <w:rFonts w:ascii="Times New Roman" w:hAnsi="Times New Roman"/>
        </w:rPr>
      </w:pPr>
    </w:p>
    <w:p w14:paraId="16F2A60F" w14:textId="77777777" w:rsidR="000747DC" w:rsidRPr="003C336E" w:rsidRDefault="000747DC" w:rsidP="003C336E">
      <w:pPr>
        <w:pStyle w:val="ListParagraph"/>
        <w:numPr>
          <w:ilvl w:val="0"/>
          <w:numId w:val="13"/>
        </w:numPr>
        <w:rPr>
          <w:rFonts w:ascii="Times New Roman" w:eastAsia="Calibri" w:hAnsi="Times New Roman"/>
        </w:rPr>
      </w:pPr>
      <w:r w:rsidRPr="003C336E">
        <w:rPr>
          <w:rFonts w:ascii="Times New Roman" w:eastAsia="Calibri" w:hAnsi="Times New Roman"/>
          <w:u w:val="single"/>
        </w:rPr>
        <w:t>Notice for Excepted Benefit HRAs</w:t>
      </w:r>
    </w:p>
    <w:p w14:paraId="75D95647" w14:textId="77777777" w:rsidR="000747DC" w:rsidRDefault="000747DC" w:rsidP="003C336E">
      <w:pPr>
        <w:ind w:left="720"/>
        <w:rPr>
          <w:rFonts w:ascii="Times New Roman" w:eastAsia="Calibri" w:hAnsi="Times New Roman"/>
        </w:rPr>
      </w:pPr>
      <w:r w:rsidRPr="003C336E">
        <w:rPr>
          <w:rFonts w:ascii="Times New Roman" w:eastAsia="Calibri" w:hAnsi="Times New Roman"/>
        </w:rPr>
        <w:t>In response to commenters’ concerns, the final rules impose a notice requirement with respect to excepted benefit HRAs sponsored by non-federal governmental plans. Such an excepted benefit HRA must provide a notice that states conditions pertaining to eligibility to receive benefits, annual or lifetime caps or other limits on benefits under the excepted benefit HRA, and a description of or summary of the benefits consistent with the content and timing of DOL’s SPD requirements.</w:t>
      </w:r>
    </w:p>
    <w:p w14:paraId="2DCFD0EA" w14:textId="77777777" w:rsidR="000747DC" w:rsidRDefault="000747DC" w:rsidP="003C336E">
      <w:pPr>
        <w:ind w:left="720"/>
        <w:rPr>
          <w:rFonts w:ascii="Times New Roman" w:eastAsia="Calibri" w:hAnsi="Times New Roman"/>
          <w:u w:val="single"/>
        </w:rPr>
      </w:pPr>
    </w:p>
    <w:p w14:paraId="188E62DF" w14:textId="77777777" w:rsidR="0050150E" w:rsidRDefault="000747DC" w:rsidP="003C336E">
      <w:pPr>
        <w:ind w:left="720"/>
        <w:rPr>
          <w:rFonts w:ascii="Times New Roman" w:eastAsia="Calibri" w:hAnsi="Times New Roman"/>
        </w:rPr>
      </w:pPr>
      <w:r w:rsidRPr="003C336E">
        <w:rPr>
          <w:rFonts w:ascii="Times New Roman" w:eastAsia="Calibri" w:hAnsi="Times New Roman"/>
        </w:rPr>
        <w:t>For private-sector, employment-based plans, other notice requirements under Part 1 of ERISA already apply. For example, excepted benefit HRAs that are ERISA-covered plans must provide a summary plan description (SPD), summaries of material modifications (SMM), and summaries of material reductions in covered services or benefits.</w:t>
      </w:r>
      <w:r w:rsidRPr="003C336E">
        <w:rPr>
          <w:rFonts w:ascii="Times New Roman" w:eastAsia="Calibri" w:hAnsi="Times New Roman"/>
          <w:vertAlign w:val="superscript"/>
        </w:rPr>
        <w:footnoteReference w:id="10"/>
      </w:r>
      <w:r w:rsidRPr="003C336E">
        <w:rPr>
          <w:rFonts w:ascii="Times New Roman" w:eastAsia="Calibri" w:hAnsi="Times New Roman"/>
        </w:rPr>
        <w:t xml:space="preserve"> The excepted benefit HRA’s SPD must include, for example, the conditions pertaining to eligibility to receive benefits; a description or summary of the benefits; the circumstances that may result in disqualification, ineligibility, or denial, loss, forfeiture, suspension, offset, reduction, or recovery (for example, by exercise of subrogation or reimbursement rights) of any benefits; and the procedures governing claims for benefits under the excepted benefit HRA. </w:t>
      </w:r>
    </w:p>
    <w:p w14:paraId="2973D1E4" w14:textId="77777777" w:rsidR="0050150E" w:rsidRDefault="0050150E" w:rsidP="003C336E">
      <w:pPr>
        <w:ind w:left="720"/>
        <w:rPr>
          <w:rFonts w:ascii="Times New Roman" w:eastAsia="Calibri" w:hAnsi="Times New Roman"/>
        </w:rPr>
      </w:pPr>
    </w:p>
    <w:p w14:paraId="5B47D93D" w14:textId="77777777" w:rsidR="000747DC" w:rsidRPr="003C336E" w:rsidRDefault="000747DC" w:rsidP="003C336E">
      <w:pPr>
        <w:ind w:left="720"/>
        <w:rPr>
          <w:rFonts w:ascii="Times New Roman" w:eastAsia="Calibri" w:hAnsi="Times New Roman"/>
        </w:rPr>
      </w:pPr>
      <w:r w:rsidRPr="003C336E">
        <w:rPr>
          <w:rFonts w:ascii="Times New Roman" w:eastAsia="Calibri" w:hAnsi="Times New Roman"/>
        </w:rPr>
        <w:t>Accordingly, for excepted benefit HRAs that are subject to ERISA, the burden for providing information regarding excepted benefit HRAs is captured under the Department’s SPD information collection (OMB Control Number 1210-0039), which includes a growth factor for new SPDs and SMMs provided to participants to notify them regarding coverage under new plans and plan amendments.</w:t>
      </w:r>
    </w:p>
    <w:p w14:paraId="6E65E8F3" w14:textId="77777777" w:rsidR="000747DC" w:rsidRPr="00F40DA8" w:rsidRDefault="000747DC" w:rsidP="00F40DA8">
      <w:pPr>
        <w:ind w:left="720"/>
        <w:rPr>
          <w:rFonts w:ascii="Times New Roman" w:hAnsi="Times New Roman"/>
        </w:rPr>
      </w:pPr>
    </w:p>
    <w:p w14:paraId="56A6B2C7" w14:textId="77777777" w:rsidR="00F40DA8" w:rsidRDefault="00F40DA8" w:rsidP="00F40DA8">
      <w:pPr>
        <w:ind w:left="720"/>
        <w:rPr>
          <w:rFonts w:ascii="Times New Roman" w:hAnsi="Times New Roman"/>
        </w:rPr>
      </w:pPr>
    </w:p>
    <w:p w14:paraId="542569EA" w14:textId="77777777" w:rsidR="0094337C" w:rsidRPr="0050150E" w:rsidRDefault="0094337C" w:rsidP="00F40DA8">
      <w:pPr>
        <w:ind w:left="720"/>
        <w:rPr>
          <w:rFonts w:ascii="Times New Roman" w:hAnsi="Times New Roman"/>
          <w:b/>
        </w:rPr>
      </w:pPr>
      <w:r w:rsidRPr="0050150E">
        <w:rPr>
          <w:rFonts w:ascii="Times New Roman" w:hAnsi="Times New Roman"/>
          <w:b/>
        </w:rPr>
        <w:t xml:space="preserve">The </w:t>
      </w:r>
      <w:r w:rsidR="001013EC" w:rsidRPr="0050150E">
        <w:rPr>
          <w:rFonts w:ascii="Times New Roman" w:hAnsi="Times New Roman"/>
          <w:b/>
        </w:rPr>
        <w:t xml:space="preserve">three year </w:t>
      </w:r>
      <w:r w:rsidR="0035252E" w:rsidRPr="0050150E">
        <w:rPr>
          <w:rFonts w:ascii="Times New Roman" w:hAnsi="Times New Roman"/>
          <w:b/>
        </w:rPr>
        <w:t xml:space="preserve">average annual </w:t>
      </w:r>
      <w:r w:rsidRPr="0050150E">
        <w:rPr>
          <w:rFonts w:ascii="Times New Roman" w:hAnsi="Times New Roman"/>
          <w:b/>
        </w:rPr>
        <w:t>hour burden</w:t>
      </w:r>
      <w:r w:rsidR="00EB5D8F" w:rsidRPr="0050150E">
        <w:rPr>
          <w:rFonts w:ascii="Times New Roman" w:hAnsi="Times New Roman"/>
          <w:b/>
        </w:rPr>
        <w:t xml:space="preserve"> for these ICRs is</w:t>
      </w:r>
      <w:r w:rsidR="001013EC" w:rsidRPr="0050150E">
        <w:rPr>
          <w:rFonts w:ascii="Times New Roman" w:hAnsi="Times New Roman"/>
          <w:b/>
        </w:rPr>
        <w:t xml:space="preserve"> </w:t>
      </w:r>
      <w:r w:rsidR="000C2FB4" w:rsidRPr="0050150E">
        <w:rPr>
          <w:rFonts w:ascii="Times New Roman" w:hAnsi="Times New Roman"/>
          <w:b/>
        </w:rPr>
        <w:t>393,984</w:t>
      </w:r>
      <w:r w:rsidR="001013EC" w:rsidRPr="0050150E">
        <w:rPr>
          <w:rFonts w:ascii="Times New Roman" w:hAnsi="Times New Roman"/>
          <w:b/>
        </w:rPr>
        <w:t xml:space="preserve"> hours with an equivalent cost of $</w:t>
      </w:r>
      <w:r w:rsidR="00F01DD6" w:rsidRPr="0050150E">
        <w:rPr>
          <w:rFonts w:ascii="Times New Roman" w:hAnsi="Times New Roman"/>
          <w:b/>
        </w:rPr>
        <w:t>50,750,360</w:t>
      </w:r>
      <w:r w:rsidR="001013EC" w:rsidRPr="0050150E">
        <w:rPr>
          <w:rFonts w:ascii="Times New Roman" w:hAnsi="Times New Roman"/>
          <w:b/>
        </w:rPr>
        <w:t>.  As the DOL and Treasury share the burden, DO</w:t>
      </w:r>
      <w:r w:rsidRPr="0050150E">
        <w:rPr>
          <w:rFonts w:ascii="Times New Roman" w:hAnsi="Times New Roman"/>
          <w:b/>
        </w:rPr>
        <w:t>L</w:t>
      </w:r>
      <w:r w:rsidR="001013EC" w:rsidRPr="0050150E">
        <w:rPr>
          <w:rFonts w:ascii="Times New Roman" w:hAnsi="Times New Roman"/>
          <w:b/>
        </w:rPr>
        <w:t xml:space="preserve">’s share is </w:t>
      </w:r>
      <w:r w:rsidR="000C2FB4" w:rsidRPr="0050150E">
        <w:rPr>
          <w:rFonts w:ascii="Times New Roman" w:hAnsi="Times New Roman"/>
          <w:b/>
        </w:rPr>
        <w:t>196,</w:t>
      </w:r>
      <w:r w:rsidR="00E4427F" w:rsidRPr="0050150E">
        <w:rPr>
          <w:rFonts w:ascii="Times New Roman" w:hAnsi="Times New Roman"/>
          <w:b/>
        </w:rPr>
        <w:t>99</w:t>
      </w:r>
      <w:r w:rsidR="00E4427F">
        <w:rPr>
          <w:rFonts w:ascii="Times New Roman" w:hAnsi="Times New Roman"/>
          <w:b/>
        </w:rPr>
        <w:t>2</w:t>
      </w:r>
      <w:r w:rsidR="00E4427F" w:rsidRPr="0050150E">
        <w:rPr>
          <w:rFonts w:ascii="Times New Roman" w:hAnsi="Times New Roman"/>
          <w:b/>
        </w:rPr>
        <w:t xml:space="preserve"> </w:t>
      </w:r>
      <w:r w:rsidR="001013EC" w:rsidRPr="0050150E">
        <w:rPr>
          <w:rFonts w:ascii="Times New Roman" w:hAnsi="Times New Roman"/>
          <w:b/>
        </w:rPr>
        <w:t>hours with an equivalent cost of $</w:t>
      </w:r>
      <w:r w:rsidR="0035252E" w:rsidRPr="0050150E">
        <w:rPr>
          <w:rFonts w:ascii="Times New Roman" w:hAnsi="Times New Roman"/>
          <w:b/>
        </w:rPr>
        <w:t>25,375,180</w:t>
      </w:r>
      <w:r w:rsidRPr="0050150E">
        <w:rPr>
          <w:rFonts w:ascii="Times New Roman" w:hAnsi="Times New Roman"/>
          <w:b/>
        </w:rPr>
        <w:t>.</w:t>
      </w:r>
    </w:p>
    <w:p w14:paraId="3A5D05E2" w14:textId="77777777" w:rsidR="00066228" w:rsidRPr="0074706B" w:rsidRDefault="00066228" w:rsidP="004478CB">
      <w:pPr>
        <w:pStyle w:val="BodyTextIndent"/>
        <w:ind w:left="720" w:firstLine="0"/>
      </w:pPr>
    </w:p>
    <w:p w14:paraId="1DB77AB5" w14:textId="77777777" w:rsidR="009169A2" w:rsidRPr="00AF19D0" w:rsidRDefault="009169A2" w:rsidP="00AF19D0">
      <w:pPr>
        <w:pStyle w:val="BodyTextIndent"/>
        <w:ind w:left="720" w:hanging="720"/>
      </w:pPr>
      <w:r w:rsidRPr="00AF19D0">
        <w:t xml:space="preserve">13.  </w:t>
      </w:r>
      <w:r w:rsidRPr="00AF19D0">
        <w:rPr>
          <w:i/>
          <w:iCs/>
          <w:sz w:val="20"/>
        </w:rPr>
        <w:t>Provide an estimate of the total annual cost burden to respondents or record-keepers resulting from the collection of information.  (Do not include the cost of any hour burden shown in Items 12.)</w:t>
      </w:r>
    </w:p>
    <w:p w14:paraId="22EB2FCC" w14:textId="77777777" w:rsidR="009169A2" w:rsidRPr="00AF19D0" w:rsidRDefault="009169A2" w:rsidP="00AF19D0">
      <w:pPr>
        <w:pStyle w:val="Header"/>
        <w:widowControl/>
        <w:tabs>
          <w:tab w:val="clear" w:pos="4320"/>
          <w:tab w:val="clear" w:pos="8640"/>
        </w:tabs>
        <w:ind w:firstLine="720"/>
        <w:rPr>
          <w:rFonts w:ascii="Times New Roman" w:hAnsi="Times New Roman"/>
        </w:rPr>
      </w:pPr>
    </w:p>
    <w:p w14:paraId="339567DF" w14:textId="77777777" w:rsidR="007A5726" w:rsidRDefault="00E0494E" w:rsidP="00F33C0A">
      <w:pPr>
        <w:ind w:left="720"/>
        <w:rPr>
          <w:rFonts w:ascii="Times New Roman" w:hAnsi="Times New Roman"/>
        </w:rPr>
      </w:pPr>
      <w:r w:rsidRPr="00E0494E">
        <w:rPr>
          <w:rFonts w:ascii="Times New Roman" w:hAnsi="Times New Roman"/>
        </w:rPr>
        <w:t xml:space="preserve">The Departments estimates that there would be </w:t>
      </w:r>
      <w:r w:rsidR="00CC2719">
        <w:rPr>
          <w:rFonts w:ascii="Times New Roman" w:hAnsi="Times New Roman"/>
        </w:rPr>
        <w:t>634,155</w:t>
      </w:r>
      <w:r w:rsidR="00EA1EC5">
        <w:rPr>
          <w:rFonts w:ascii="Times New Roman" w:hAnsi="Times New Roman"/>
        </w:rPr>
        <w:t xml:space="preserve"> eligible participants</w:t>
      </w:r>
      <w:r w:rsidR="00EA1EC5" w:rsidRPr="00D07BC4">
        <w:rPr>
          <w:rStyle w:val="FootnoteReference"/>
          <w:rFonts w:ascii="Times New Roman" w:hAnsi="Times New Roman"/>
          <w:vertAlign w:val="superscript"/>
        </w:rPr>
        <w:footnoteReference w:id="11"/>
      </w:r>
      <w:r w:rsidRPr="00E0494E">
        <w:rPr>
          <w:rFonts w:ascii="Times New Roman" w:hAnsi="Times New Roman"/>
        </w:rPr>
        <w:t xml:space="preserve"> at private employers in 2020 that would need to receive the </w:t>
      </w:r>
      <w:r w:rsidR="00EC1AE7">
        <w:rPr>
          <w:rFonts w:ascii="Times New Roman" w:hAnsi="Times New Roman"/>
        </w:rPr>
        <w:t>HRA notice</w:t>
      </w:r>
      <w:r w:rsidRPr="00E0494E">
        <w:rPr>
          <w:rFonts w:ascii="Times New Roman" w:hAnsi="Times New Roman"/>
        </w:rPr>
        <w:t xml:space="preserve">. The Departments assume that approximately 54 percent of notices would be provided electronically and approximately 46 percent will be provided in print along with other benefits information. Therefore, a total of </w:t>
      </w:r>
      <w:r w:rsidR="00CC2719">
        <w:rPr>
          <w:rFonts w:ascii="Times New Roman" w:hAnsi="Times New Roman"/>
        </w:rPr>
        <w:t>291,711</w:t>
      </w:r>
      <w:r w:rsidRPr="00E0494E">
        <w:rPr>
          <w:rFonts w:ascii="Times New Roman" w:hAnsi="Times New Roman"/>
        </w:rPr>
        <w:t xml:space="preserve"> notices will be printed at a cost of $</w:t>
      </w:r>
      <w:r w:rsidR="00846F86">
        <w:rPr>
          <w:rFonts w:ascii="Times New Roman" w:hAnsi="Times New Roman"/>
        </w:rPr>
        <w:t>87,513</w:t>
      </w:r>
      <w:r w:rsidR="00EC1AE7">
        <w:rPr>
          <w:rFonts w:ascii="Times New Roman" w:hAnsi="Times New Roman"/>
        </w:rPr>
        <w:t xml:space="preserve"> in 2020</w:t>
      </w:r>
      <w:r w:rsidR="00D147FA">
        <w:rPr>
          <w:rFonts w:ascii="Times New Roman" w:hAnsi="Times New Roman"/>
        </w:rPr>
        <w:t>.  Table 2 provides estimates for years 2021 and 2022.</w:t>
      </w:r>
    </w:p>
    <w:p w14:paraId="05BEA9C9" w14:textId="77777777" w:rsidR="00EC1AE7" w:rsidRDefault="00EC1AE7" w:rsidP="00F33C0A">
      <w:pPr>
        <w:ind w:left="720"/>
        <w:rPr>
          <w:rFonts w:ascii="Times New Roman" w:hAnsi="Times New Roman"/>
        </w:rPr>
      </w:pPr>
    </w:p>
    <w:tbl>
      <w:tblPr>
        <w:tblW w:w="5960" w:type="dxa"/>
        <w:tblLook w:val="04A0" w:firstRow="1" w:lastRow="0" w:firstColumn="1" w:lastColumn="0" w:noHBand="0" w:noVBand="1"/>
      </w:tblPr>
      <w:tblGrid>
        <w:gridCol w:w="1114"/>
        <w:gridCol w:w="1451"/>
        <w:gridCol w:w="1340"/>
        <w:gridCol w:w="996"/>
        <w:gridCol w:w="1106"/>
      </w:tblGrid>
      <w:tr w:rsidR="00CC2719" w:rsidRPr="00CC2719" w14:paraId="31BF0FE5" w14:textId="77777777" w:rsidTr="00CC2719">
        <w:trPr>
          <w:trHeight w:val="600"/>
        </w:trPr>
        <w:tc>
          <w:tcPr>
            <w:tcW w:w="5960" w:type="dxa"/>
            <w:gridSpan w:val="5"/>
            <w:tcBorders>
              <w:top w:val="nil"/>
              <w:left w:val="nil"/>
              <w:bottom w:val="single" w:sz="4" w:space="0" w:color="auto"/>
              <w:right w:val="nil"/>
            </w:tcBorders>
            <w:shd w:val="clear" w:color="auto" w:fill="auto"/>
            <w:vAlign w:val="bottom"/>
            <w:hideMark/>
          </w:tcPr>
          <w:p w14:paraId="7E843A57" w14:textId="77777777" w:rsidR="00CC2719" w:rsidRPr="00CC2719" w:rsidRDefault="00CC2719" w:rsidP="00CC2719">
            <w:pPr>
              <w:widowControl/>
              <w:autoSpaceDE/>
              <w:autoSpaceDN/>
              <w:adjustRightInd/>
              <w:rPr>
                <w:rFonts w:ascii="Times New Roman" w:hAnsi="Times New Roman"/>
                <w:color w:val="000000"/>
                <w:sz w:val="20"/>
                <w:szCs w:val="20"/>
              </w:rPr>
            </w:pPr>
            <w:r w:rsidRPr="00CC2719">
              <w:rPr>
                <w:rFonts w:ascii="Times New Roman" w:hAnsi="Times New Roman"/>
                <w:color w:val="000000"/>
                <w:sz w:val="20"/>
                <w:szCs w:val="20"/>
              </w:rPr>
              <w:t>TABLE 2.--</w:t>
            </w:r>
            <w:r w:rsidRPr="00CC2719">
              <w:rPr>
                <w:rFonts w:ascii="Times New Roman" w:hAnsi="Times New Roman"/>
                <w:i/>
                <w:iCs/>
                <w:color w:val="000000"/>
                <w:sz w:val="20"/>
                <w:szCs w:val="20"/>
              </w:rPr>
              <w:t>Burden to Provide Notice to All Eligible Private Sector Participants</w:t>
            </w:r>
          </w:p>
        </w:tc>
      </w:tr>
      <w:tr w:rsidR="00CC2719" w:rsidRPr="00CC2719" w14:paraId="42BC96E7" w14:textId="77777777" w:rsidTr="00CC2719">
        <w:trPr>
          <w:trHeight w:val="1200"/>
        </w:trPr>
        <w:tc>
          <w:tcPr>
            <w:tcW w:w="1114" w:type="dxa"/>
            <w:tcBorders>
              <w:top w:val="nil"/>
              <w:left w:val="nil"/>
              <w:bottom w:val="single" w:sz="4" w:space="0" w:color="auto"/>
              <w:right w:val="nil"/>
            </w:tcBorders>
            <w:shd w:val="clear" w:color="auto" w:fill="auto"/>
            <w:vAlign w:val="bottom"/>
            <w:hideMark/>
          </w:tcPr>
          <w:p w14:paraId="09D19A70"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Year</w:t>
            </w:r>
          </w:p>
        </w:tc>
        <w:tc>
          <w:tcPr>
            <w:tcW w:w="1451" w:type="dxa"/>
            <w:tcBorders>
              <w:top w:val="nil"/>
              <w:left w:val="nil"/>
              <w:bottom w:val="single" w:sz="4" w:space="0" w:color="auto"/>
              <w:right w:val="nil"/>
            </w:tcBorders>
            <w:shd w:val="clear" w:color="auto" w:fill="auto"/>
            <w:vAlign w:val="bottom"/>
            <w:hideMark/>
          </w:tcPr>
          <w:p w14:paraId="491E70C9"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Total # of Notices</w:t>
            </w:r>
          </w:p>
        </w:tc>
        <w:tc>
          <w:tcPr>
            <w:tcW w:w="1340" w:type="dxa"/>
            <w:tcBorders>
              <w:top w:val="nil"/>
              <w:left w:val="nil"/>
              <w:bottom w:val="single" w:sz="4" w:space="0" w:color="auto"/>
              <w:right w:val="nil"/>
            </w:tcBorders>
            <w:shd w:val="clear" w:color="auto" w:fill="auto"/>
            <w:vAlign w:val="bottom"/>
            <w:hideMark/>
          </w:tcPr>
          <w:p w14:paraId="2FD9AE68"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 of Notices Sent by Mail</w:t>
            </w:r>
          </w:p>
        </w:tc>
        <w:tc>
          <w:tcPr>
            <w:tcW w:w="996" w:type="dxa"/>
            <w:tcBorders>
              <w:top w:val="nil"/>
              <w:left w:val="nil"/>
              <w:bottom w:val="single" w:sz="4" w:space="0" w:color="auto"/>
              <w:right w:val="nil"/>
            </w:tcBorders>
            <w:shd w:val="clear" w:color="auto" w:fill="auto"/>
            <w:vAlign w:val="bottom"/>
            <w:hideMark/>
          </w:tcPr>
          <w:p w14:paraId="4D048806"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Cost Per Notice</w:t>
            </w:r>
          </w:p>
        </w:tc>
        <w:tc>
          <w:tcPr>
            <w:tcW w:w="1059" w:type="dxa"/>
            <w:tcBorders>
              <w:top w:val="nil"/>
              <w:left w:val="nil"/>
              <w:bottom w:val="single" w:sz="4" w:space="0" w:color="auto"/>
              <w:right w:val="nil"/>
            </w:tcBorders>
            <w:shd w:val="clear" w:color="auto" w:fill="auto"/>
            <w:vAlign w:val="bottom"/>
            <w:hideMark/>
          </w:tcPr>
          <w:p w14:paraId="41E32984"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Total Cost Burden</w:t>
            </w:r>
          </w:p>
        </w:tc>
      </w:tr>
      <w:tr w:rsidR="00CC2719" w:rsidRPr="00CC2719" w14:paraId="07A58348" w14:textId="77777777" w:rsidTr="00CC2719">
        <w:trPr>
          <w:trHeight w:val="600"/>
        </w:trPr>
        <w:tc>
          <w:tcPr>
            <w:tcW w:w="1114" w:type="dxa"/>
            <w:tcBorders>
              <w:top w:val="nil"/>
              <w:left w:val="nil"/>
              <w:bottom w:val="nil"/>
              <w:right w:val="nil"/>
            </w:tcBorders>
            <w:shd w:val="clear" w:color="auto" w:fill="auto"/>
            <w:vAlign w:val="bottom"/>
            <w:hideMark/>
          </w:tcPr>
          <w:p w14:paraId="57F5EF9D"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(a)</w:t>
            </w:r>
          </w:p>
        </w:tc>
        <w:tc>
          <w:tcPr>
            <w:tcW w:w="1451" w:type="dxa"/>
            <w:tcBorders>
              <w:top w:val="nil"/>
              <w:left w:val="nil"/>
              <w:bottom w:val="nil"/>
              <w:right w:val="nil"/>
            </w:tcBorders>
            <w:shd w:val="clear" w:color="auto" w:fill="auto"/>
            <w:vAlign w:val="bottom"/>
            <w:hideMark/>
          </w:tcPr>
          <w:p w14:paraId="10F62FC2"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(b)</w:t>
            </w:r>
          </w:p>
        </w:tc>
        <w:tc>
          <w:tcPr>
            <w:tcW w:w="1340" w:type="dxa"/>
            <w:tcBorders>
              <w:top w:val="nil"/>
              <w:left w:val="nil"/>
              <w:bottom w:val="nil"/>
              <w:right w:val="nil"/>
            </w:tcBorders>
            <w:shd w:val="clear" w:color="auto" w:fill="auto"/>
            <w:vAlign w:val="bottom"/>
            <w:hideMark/>
          </w:tcPr>
          <w:p w14:paraId="4F92D129"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(c)</w:t>
            </w:r>
          </w:p>
        </w:tc>
        <w:tc>
          <w:tcPr>
            <w:tcW w:w="996" w:type="dxa"/>
            <w:tcBorders>
              <w:top w:val="nil"/>
              <w:left w:val="nil"/>
              <w:bottom w:val="nil"/>
              <w:right w:val="nil"/>
            </w:tcBorders>
            <w:shd w:val="clear" w:color="auto" w:fill="auto"/>
            <w:vAlign w:val="bottom"/>
            <w:hideMark/>
          </w:tcPr>
          <w:p w14:paraId="4E6EE7C3"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(d)</w:t>
            </w:r>
          </w:p>
        </w:tc>
        <w:tc>
          <w:tcPr>
            <w:tcW w:w="1059" w:type="dxa"/>
            <w:tcBorders>
              <w:top w:val="nil"/>
              <w:left w:val="nil"/>
              <w:bottom w:val="nil"/>
              <w:right w:val="nil"/>
            </w:tcBorders>
            <w:shd w:val="clear" w:color="auto" w:fill="auto"/>
            <w:vAlign w:val="bottom"/>
            <w:hideMark/>
          </w:tcPr>
          <w:p w14:paraId="0FBE03D4"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(e)=(c)*(d)</w:t>
            </w:r>
          </w:p>
        </w:tc>
      </w:tr>
      <w:tr w:rsidR="00CC2719" w:rsidRPr="00CC2719" w14:paraId="0C6CB2C8" w14:textId="77777777" w:rsidTr="00CC2719">
        <w:trPr>
          <w:trHeight w:val="300"/>
        </w:trPr>
        <w:tc>
          <w:tcPr>
            <w:tcW w:w="1114" w:type="dxa"/>
            <w:tcBorders>
              <w:top w:val="single" w:sz="4" w:space="0" w:color="auto"/>
              <w:left w:val="nil"/>
              <w:bottom w:val="nil"/>
              <w:right w:val="nil"/>
            </w:tcBorders>
            <w:shd w:val="clear" w:color="auto" w:fill="auto"/>
            <w:noWrap/>
            <w:vAlign w:val="bottom"/>
            <w:hideMark/>
          </w:tcPr>
          <w:p w14:paraId="73AA1B86"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2020</w:t>
            </w:r>
          </w:p>
        </w:tc>
        <w:tc>
          <w:tcPr>
            <w:tcW w:w="1451" w:type="dxa"/>
            <w:tcBorders>
              <w:top w:val="single" w:sz="4" w:space="0" w:color="auto"/>
              <w:left w:val="nil"/>
              <w:bottom w:val="nil"/>
              <w:right w:val="nil"/>
            </w:tcBorders>
            <w:shd w:val="clear" w:color="auto" w:fill="auto"/>
            <w:noWrap/>
            <w:vAlign w:val="bottom"/>
            <w:hideMark/>
          </w:tcPr>
          <w:p w14:paraId="5FEED0A0"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 xml:space="preserve">              634,155 </w:t>
            </w:r>
          </w:p>
        </w:tc>
        <w:tc>
          <w:tcPr>
            <w:tcW w:w="1340" w:type="dxa"/>
            <w:tcBorders>
              <w:top w:val="single" w:sz="4" w:space="0" w:color="auto"/>
              <w:left w:val="nil"/>
              <w:bottom w:val="nil"/>
              <w:right w:val="nil"/>
            </w:tcBorders>
            <w:shd w:val="clear" w:color="auto" w:fill="auto"/>
            <w:noWrap/>
            <w:vAlign w:val="bottom"/>
            <w:hideMark/>
          </w:tcPr>
          <w:p w14:paraId="67C66828"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 xml:space="preserve">           291,711 </w:t>
            </w:r>
          </w:p>
        </w:tc>
        <w:tc>
          <w:tcPr>
            <w:tcW w:w="996" w:type="dxa"/>
            <w:tcBorders>
              <w:top w:val="single" w:sz="4" w:space="0" w:color="auto"/>
              <w:left w:val="nil"/>
              <w:bottom w:val="nil"/>
              <w:right w:val="nil"/>
            </w:tcBorders>
            <w:shd w:val="clear" w:color="auto" w:fill="auto"/>
            <w:noWrap/>
            <w:vAlign w:val="bottom"/>
            <w:hideMark/>
          </w:tcPr>
          <w:p w14:paraId="4196C529"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$0.</w:t>
            </w:r>
            <w:r w:rsidR="00FA7E04">
              <w:rPr>
                <w:rFonts w:ascii="Times New Roman" w:hAnsi="Times New Roman"/>
                <w:color w:val="000000"/>
                <w:sz w:val="20"/>
                <w:szCs w:val="20"/>
              </w:rPr>
              <w:t>3</w:t>
            </w:r>
            <w:r w:rsidRPr="00CC2719">
              <w:rPr>
                <w:rFonts w:ascii="Times New Roman" w:hAnsi="Times New Roman"/>
                <w:color w:val="000000"/>
                <w:sz w:val="20"/>
                <w:szCs w:val="20"/>
              </w:rPr>
              <w:t>0</w:t>
            </w:r>
          </w:p>
        </w:tc>
        <w:tc>
          <w:tcPr>
            <w:tcW w:w="1059" w:type="dxa"/>
            <w:tcBorders>
              <w:top w:val="single" w:sz="4" w:space="0" w:color="auto"/>
              <w:left w:val="nil"/>
              <w:bottom w:val="nil"/>
              <w:right w:val="nil"/>
            </w:tcBorders>
            <w:shd w:val="clear" w:color="auto" w:fill="auto"/>
            <w:noWrap/>
            <w:vAlign w:val="bottom"/>
            <w:hideMark/>
          </w:tcPr>
          <w:p w14:paraId="50168EAF" w14:textId="77777777" w:rsidR="00CC2719" w:rsidRPr="00CC2719" w:rsidRDefault="00CC2719" w:rsidP="00FA7E04">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w:t>
            </w:r>
            <w:r w:rsidR="00FA7E04">
              <w:rPr>
                <w:rFonts w:ascii="Times New Roman" w:hAnsi="Times New Roman"/>
                <w:color w:val="000000"/>
                <w:sz w:val="20"/>
                <w:szCs w:val="20"/>
              </w:rPr>
              <w:t>87,513</w:t>
            </w:r>
          </w:p>
        </w:tc>
      </w:tr>
      <w:tr w:rsidR="00CC2719" w:rsidRPr="00CC2719" w14:paraId="414986E8" w14:textId="77777777" w:rsidTr="00CC2719">
        <w:trPr>
          <w:trHeight w:val="300"/>
        </w:trPr>
        <w:tc>
          <w:tcPr>
            <w:tcW w:w="1114" w:type="dxa"/>
            <w:tcBorders>
              <w:top w:val="nil"/>
              <w:left w:val="nil"/>
              <w:bottom w:val="nil"/>
              <w:right w:val="nil"/>
            </w:tcBorders>
            <w:shd w:val="clear" w:color="auto" w:fill="auto"/>
            <w:noWrap/>
            <w:vAlign w:val="bottom"/>
            <w:hideMark/>
          </w:tcPr>
          <w:p w14:paraId="41136904"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2021</w:t>
            </w:r>
          </w:p>
        </w:tc>
        <w:tc>
          <w:tcPr>
            <w:tcW w:w="1451" w:type="dxa"/>
            <w:tcBorders>
              <w:top w:val="nil"/>
              <w:left w:val="nil"/>
              <w:bottom w:val="nil"/>
              <w:right w:val="nil"/>
            </w:tcBorders>
            <w:shd w:val="clear" w:color="auto" w:fill="auto"/>
            <w:noWrap/>
            <w:vAlign w:val="bottom"/>
            <w:hideMark/>
          </w:tcPr>
          <w:p w14:paraId="20B0876F"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 xml:space="preserve">          1,556,562 </w:t>
            </w:r>
          </w:p>
        </w:tc>
        <w:tc>
          <w:tcPr>
            <w:tcW w:w="1340" w:type="dxa"/>
            <w:tcBorders>
              <w:top w:val="nil"/>
              <w:left w:val="nil"/>
              <w:bottom w:val="nil"/>
              <w:right w:val="nil"/>
            </w:tcBorders>
            <w:shd w:val="clear" w:color="auto" w:fill="auto"/>
            <w:noWrap/>
            <w:vAlign w:val="bottom"/>
            <w:hideMark/>
          </w:tcPr>
          <w:p w14:paraId="2F488405"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 xml:space="preserve">           716,019 </w:t>
            </w:r>
          </w:p>
        </w:tc>
        <w:tc>
          <w:tcPr>
            <w:tcW w:w="996" w:type="dxa"/>
            <w:tcBorders>
              <w:top w:val="nil"/>
              <w:left w:val="nil"/>
              <w:bottom w:val="nil"/>
              <w:right w:val="nil"/>
            </w:tcBorders>
            <w:shd w:val="clear" w:color="auto" w:fill="auto"/>
            <w:noWrap/>
            <w:vAlign w:val="bottom"/>
            <w:hideMark/>
          </w:tcPr>
          <w:p w14:paraId="0BFD6D5D"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$0.</w:t>
            </w:r>
            <w:r w:rsidR="00FA7E04">
              <w:rPr>
                <w:rFonts w:ascii="Times New Roman" w:hAnsi="Times New Roman"/>
                <w:color w:val="000000"/>
                <w:sz w:val="20"/>
                <w:szCs w:val="20"/>
              </w:rPr>
              <w:t>3</w:t>
            </w:r>
            <w:r w:rsidRPr="00CC2719">
              <w:rPr>
                <w:rFonts w:ascii="Times New Roman" w:hAnsi="Times New Roman"/>
                <w:color w:val="000000"/>
                <w:sz w:val="20"/>
                <w:szCs w:val="20"/>
              </w:rPr>
              <w:t>0</w:t>
            </w:r>
          </w:p>
        </w:tc>
        <w:tc>
          <w:tcPr>
            <w:tcW w:w="1059" w:type="dxa"/>
            <w:tcBorders>
              <w:top w:val="nil"/>
              <w:left w:val="nil"/>
              <w:bottom w:val="nil"/>
              <w:right w:val="nil"/>
            </w:tcBorders>
            <w:shd w:val="clear" w:color="auto" w:fill="auto"/>
            <w:noWrap/>
            <w:vAlign w:val="bottom"/>
            <w:hideMark/>
          </w:tcPr>
          <w:p w14:paraId="14594F72" w14:textId="77777777" w:rsidR="00CC2719" w:rsidRPr="00CC2719" w:rsidRDefault="00CC2719" w:rsidP="00FA7E04">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w:t>
            </w:r>
            <w:r w:rsidR="00FA7E04">
              <w:rPr>
                <w:rFonts w:ascii="Times New Roman" w:hAnsi="Times New Roman"/>
                <w:color w:val="000000"/>
                <w:sz w:val="20"/>
                <w:szCs w:val="20"/>
              </w:rPr>
              <w:t>214,806</w:t>
            </w:r>
          </w:p>
        </w:tc>
      </w:tr>
      <w:tr w:rsidR="00CC2719" w:rsidRPr="00CC2719" w14:paraId="7B07B837" w14:textId="77777777" w:rsidTr="00CC2719">
        <w:trPr>
          <w:trHeight w:val="330"/>
        </w:trPr>
        <w:tc>
          <w:tcPr>
            <w:tcW w:w="1114" w:type="dxa"/>
            <w:tcBorders>
              <w:top w:val="nil"/>
              <w:left w:val="nil"/>
              <w:bottom w:val="single" w:sz="8" w:space="0" w:color="auto"/>
              <w:right w:val="nil"/>
            </w:tcBorders>
            <w:shd w:val="clear" w:color="auto" w:fill="auto"/>
            <w:noWrap/>
            <w:vAlign w:val="bottom"/>
            <w:hideMark/>
          </w:tcPr>
          <w:p w14:paraId="3CC9387D"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2022</w:t>
            </w:r>
          </w:p>
        </w:tc>
        <w:tc>
          <w:tcPr>
            <w:tcW w:w="1451" w:type="dxa"/>
            <w:tcBorders>
              <w:top w:val="nil"/>
              <w:left w:val="nil"/>
              <w:bottom w:val="single" w:sz="8" w:space="0" w:color="auto"/>
              <w:right w:val="nil"/>
            </w:tcBorders>
            <w:shd w:val="clear" w:color="auto" w:fill="auto"/>
            <w:noWrap/>
            <w:vAlign w:val="bottom"/>
            <w:hideMark/>
          </w:tcPr>
          <w:p w14:paraId="0E88F4D2" w14:textId="77777777" w:rsidR="00CC2719" w:rsidRPr="00CC2719" w:rsidRDefault="00CC2719" w:rsidP="00E4427F">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 xml:space="preserve">          3,</w:t>
            </w:r>
            <w:r w:rsidR="00E4427F">
              <w:rPr>
                <w:rFonts w:ascii="Times New Roman" w:hAnsi="Times New Roman"/>
                <w:color w:val="000000"/>
                <w:sz w:val="20"/>
                <w:szCs w:val="20"/>
              </w:rPr>
              <w:t>055,474</w:t>
            </w:r>
            <w:r w:rsidRPr="00CC2719">
              <w:rPr>
                <w:rFonts w:ascii="Times New Roman" w:hAnsi="Times New Roman"/>
                <w:color w:val="000000"/>
                <w:sz w:val="20"/>
                <w:szCs w:val="20"/>
              </w:rPr>
              <w:t xml:space="preserve"> </w:t>
            </w:r>
          </w:p>
        </w:tc>
        <w:tc>
          <w:tcPr>
            <w:tcW w:w="1340" w:type="dxa"/>
            <w:tcBorders>
              <w:top w:val="nil"/>
              <w:left w:val="nil"/>
              <w:bottom w:val="single" w:sz="8" w:space="0" w:color="auto"/>
              <w:right w:val="nil"/>
            </w:tcBorders>
            <w:shd w:val="clear" w:color="auto" w:fill="auto"/>
            <w:noWrap/>
            <w:vAlign w:val="bottom"/>
            <w:hideMark/>
          </w:tcPr>
          <w:p w14:paraId="3724D4DC" w14:textId="77777777" w:rsidR="00CC2719" w:rsidRPr="00CC2719" w:rsidRDefault="00CC2719" w:rsidP="00E4427F">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 xml:space="preserve">        1,4</w:t>
            </w:r>
            <w:r w:rsidR="00E4427F">
              <w:rPr>
                <w:rFonts w:ascii="Times New Roman" w:hAnsi="Times New Roman"/>
                <w:color w:val="000000"/>
                <w:sz w:val="20"/>
                <w:szCs w:val="20"/>
              </w:rPr>
              <w:t>05,518</w:t>
            </w:r>
          </w:p>
        </w:tc>
        <w:tc>
          <w:tcPr>
            <w:tcW w:w="996" w:type="dxa"/>
            <w:tcBorders>
              <w:top w:val="nil"/>
              <w:left w:val="nil"/>
              <w:bottom w:val="single" w:sz="8" w:space="0" w:color="auto"/>
              <w:right w:val="nil"/>
            </w:tcBorders>
            <w:shd w:val="clear" w:color="auto" w:fill="auto"/>
            <w:noWrap/>
            <w:vAlign w:val="bottom"/>
            <w:hideMark/>
          </w:tcPr>
          <w:p w14:paraId="1B06DB15" w14:textId="77777777" w:rsidR="00CC2719" w:rsidRPr="00CC2719" w:rsidRDefault="00CC2719" w:rsidP="00CC271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$0.</w:t>
            </w:r>
            <w:r w:rsidR="00FA7E04">
              <w:rPr>
                <w:rFonts w:ascii="Times New Roman" w:hAnsi="Times New Roman"/>
                <w:color w:val="000000"/>
                <w:sz w:val="20"/>
                <w:szCs w:val="20"/>
              </w:rPr>
              <w:t>3</w:t>
            </w:r>
            <w:r w:rsidRPr="00CC2719">
              <w:rPr>
                <w:rFonts w:ascii="Times New Roman" w:hAnsi="Times New Roman"/>
                <w:color w:val="000000"/>
                <w:sz w:val="20"/>
                <w:szCs w:val="20"/>
              </w:rPr>
              <w:t>0</w:t>
            </w:r>
          </w:p>
        </w:tc>
        <w:tc>
          <w:tcPr>
            <w:tcW w:w="1059" w:type="dxa"/>
            <w:tcBorders>
              <w:top w:val="nil"/>
              <w:left w:val="nil"/>
              <w:bottom w:val="single" w:sz="8" w:space="0" w:color="auto"/>
              <w:right w:val="nil"/>
            </w:tcBorders>
            <w:shd w:val="clear" w:color="auto" w:fill="auto"/>
            <w:noWrap/>
            <w:vAlign w:val="bottom"/>
            <w:hideMark/>
          </w:tcPr>
          <w:p w14:paraId="710F8254" w14:textId="77777777" w:rsidR="00CC2719" w:rsidRPr="00CC2719" w:rsidRDefault="00CC2719" w:rsidP="00FA7E04">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w:t>
            </w:r>
            <w:r w:rsidR="00FA7E04">
              <w:rPr>
                <w:rFonts w:ascii="Times New Roman" w:hAnsi="Times New Roman"/>
                <w:color w:val="000000"/>
                <w:sz w:val="20"/>
                <w:szCs w:val="20"/>
              </w:rPr>
              <w:t>421,655</w:t>
            </w:r>
          </w:p>
        </w:tc>
      </w:tr>
    </w:tbl>
    <w:p w14:paraId="7232FECD" w14:textId="77777777" w:rsidR="009745AC" w:rsidRDefault="009745AC" w:rsidP="00F33C0A">
      <w:pPr>
        <w:ind w:left="720"/>
        <w:rPr>
          <w:rFonts w:ascii="Times New Roman" w:hAnsi="Times New Roman"/>
        </w:rPr>
      </w:pPr>
    </w:p>
    <w:p w14:paraId="2966032C" w14:textId="77777777" w:rsidR="00EC1AE7" w:rsidRDefault="00EC1AE7" w:rsidP="00F33C0A">
      <w:pPr>
        <w:ind w:left="720"/>
        <w:rPr>
          <w:rFonts w:ascii="Times New Roman" w:hAnsi="Times New Roman"/>
        </w:rPr>
      </w:pPr>
    </w:p>
    <w:p w14:paraId="49947CD6" w14:textId="77777777" w:rsidR="00EC1AE7" w:rsidRDefault="00EC1AE7" w:rsidP="00F33C0A">
      <w:pPr>
        <w:ind w:left="720"/>
        <w:rPr>
          <w:rFonts w:ascii="Times New Roman" w:hAnsi="Times New Roman"/>
        </w:rPr>
      </w:pPr>
    </w:p>
    <w:p w14:paraId="6085ED04" w14:textId="77777777" w:rsidR="00EC1AE7" w:rsidRPr="00E0494E" w:rsidRDefault="00EC1AE7" w:rsidP="00F33C0A">
      <w:pPr>
        <w:ind w:left="720"/>
        <w:rPr>
          <w:rFonts w:ascii="Times New Roman" w:hAnsi="Times New Roman"/>
          <w:b/>
        </w:rPr>
      </w:pPr>
    </w:p>
    <w:p w14:paraId="0CE2930A" w14:textId="77777777" w:rsidR="004656EB" w:rsidRDefault="001013EC" w:rsidP="006316A1">
      <w:pPr>
        <w:pStyle w:val="Header"/>
        <w:widowControl/>
        <w:tabs>
          <w:tab w:val="clear" w:pos="4320"/>
          <w:tab w:val="clear" w:pos="8640"/>
        </w:tabs>
        <w:rPr>
          <w:rFonts w:ascii="Times New Roman" w:hAnsi="Times New Roman"/>
          <w:b/>
        </w:rPr>
      </w:pPr>
      <w:r w:rsidRPr="005D6E67">
        <w:rPr>
          <w:rFonts w:ascii="Times New Roman" w:hAnsi="Times New Roman"/>
          <w:b/>
        </w:rPr>
        <w:t xml:space="preserve">The </w:t>
      </w:r>
      <w:r>
        <w:rPr>
          <w:rFonts w:ascii="Times New Roman" w:hAnsi="Times New Roman"/>
          <w:b/>
        </w:rPr>
        <w:t xml:space="preserve">three year </w:t>
      </w:r>
      <w:r w:rsidR="0035252E">
        <w:rPr>
          <w:rFonts w:ascii="Times New Roman" w:hAnsi="Times New Roman"/>
          <w:b/>
        </w:rPr>
        <w:t xml:space="preserve">average annual </w:t>
      </w:r>
      <w:r>
        <w:rPr>
          <w:rFonts w:ascii="Times New Roman" w:hAnsi="Times New Roman"/>
          <w:b/>
        </w:rPr>
        <w:t>cost</w:t>
      </w:r>
      <w:r w:rsidRPr="005D6E67">
        <w:rPr>
          <w:rFonts w:ascii="Times New Roman" w:hAnsi="Times New Roman"/>
          <w:b/>
        </w:rPr>
        <w:t xml:space="preserve"> burden</w:t>
      </w:r>
      <w:r>
        <w:rPr>
          <w:rFonts w:ascii="Times New Roman" w:hAnsi="Times New Roman"/>
          <w:b/>
        </w:rPr>
        <w:t xml:space="preserve"> for these ICRs is $</w:t>
      </w:r>
      <w:r w:rsidR="00FA7E04">
        <w:rPr>
          <w:rFonts w:ascii="Times New Roman" w:hAnsi="Times New Roman"/>
          <w:b/>
        </w:rPr>
        <w:t>241,325</w:t>
      </w:r>
      <w:r w:rsidR="00CC1701">
        <w:rPr>
          <w:rFonts w:ascii="Times New Roman" w:hAnsi="Times New Roman"/>
          <w:b/>
        </w:rPr>
        <w:t xml:space="preserve"> with an average of 1,442,876 policy holders and employers sending an average of 18,798,855 notice and disclosures</w:t>
      </w:r>
      <w:r>
        <w:rPr>
          <w:rFonts w:ascii="Times New Roman" w:hAnsi="Times New Roman"/>
          <w:b/>
        </w:rPr>
        <w:t>.  As the DOL and Treasury share the burden, DO</w:t>
      </w:r>
      <w:r w:rsidRPr="005D6E67">
        <w:rPr>
          <w:rFonts w:ascii="Times New Roman" w:hAnsi="Times New Roman"/>
          <w:b/>
        </w:rPr>
        <w:t>L</w:t>
      </w:r>
      <w:r>
        <w:rPr>
          <w:rFonts w:ascii="Times New Roman" w:hAnsi="Times New Roman"/>
          <w:b/>
        </w:rPr>
        <w:t>’s share</w:t>
      </w:r>
      <w:r w:rsidR="00B96706">
        <w:rPr>
          <w:rFonts w:ascii="Times New Roman" w:hAnsi="Times New Roman"/>
          <w:b/>
        </w:rPr>
        <w:t xml:space="preserve"> is</w:t>
      </w:r>
      <w:r>
        <w:rPr>
          <w:rFonts w:ascii="Times New Roman" w:hAnsi="Times New Roman"/>
          <w:b/>
        </w:rPr>
        <w:t xml:space="preserve"> $</w:t>
      </w:r>
      <w:r w:rsidR="00FA7E04">
        <w:rPr>
          <w:rFonts w:ascii="Times New Roman" w:hAnsi="Times New Roman"/>
          <w:b/>
        </w:rPr>
        <w:t>120,662</w:t>
      </w:r>
      <w:r w:rsidR="00E14834">
        <w:rPr>
          <w:rFonts w:ascii="Times New Roman" w:hAnsi="Times New Roman"/>
          <w:b/>
        </w:rPr>
        <w:t xml:space="preserve"> with an average of 721,438 policy holders and employers sending an average of 9,399,427 notice and disclosure allocated to each Department for measuring impact</w:t>
      </w:r>
      <w:r w:rsidRPr="005D6E67">
        <w:rPr>
          <w:rFonts w:ascii="Times New Roman" w:hAnsi="Times New Roman"/>
          <w:b/>
        </w:rPr>
        <w:t>.</w:t>
      </w:r>
    </w:p>
    <w:p w14:paraId="6B2F9F47" w14:textId="77777777" w:rsidR="001013EC" w:rsidRPr="00AF19D0" w:rsidRDefault="001013EC" w:rsidP="006316A1">
      <w:pPr>
        <w:pStyle w:val="Header"/>
        <w:widowControl/>
        <w:tabs>
          <w:tab w:val="clear" w:pos="4320"/>
          <w:tab w:val="clear" w:pos="8640"/>
        </w:tabs>
        <w:rPr>
          <w:rFonts w:ascii="Times New Roman" w:hAnsi="Times New Roman"/>
        </w:rPr>
      </w:pPr>
    </w:p>
    <w:p w14:paraId="1CFE4CEC"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14.</w:t>
      </w:r>
      <w:r w:rsidRPr="00AF19D0">
        <w:rPr>
          <w:rFonts w:ascii="Times New Roman" w:hAnsi="Times New Roman"/>
        </w:rPr>
        <w:tab/>
      </w:r>
      <w:r w:rsidRPr="00AF19D0">
        <w:rPr>
          <w:rFonts w:ascii="Times New Roman" w:hAnsi="Times New Roman"/>
          <w:i/>
          <w:iCs/>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2D9C363" w14:textId="77777777" w:rsidR="009169A2" w:rsidRPr="00AF19D0" w:rsidRDefault="009169A2" w:rsidP="00AF19D0">
      <w:pPr>
        <w:widowControl/>
        <w:rPr>
          <w:rFonts w:ascii="Times New Roman" w:hAnsi="Times New Roman"/>
        </w:rPr>
      </w:pPr>
    </w:p>
    <w:p w14:paraId="57299C02" w14:textId="77777777" w:rsidR="009169A2" w:rsidRPr="00EA6170" w:rsidRDefault="007F48B2" w:rsidP="00AF19D0">
      <w:pPr>
        <w:widowControl/>
        <w:ind w:left="720"/>
        <w:rPr>
          <w:rFonts w:ascii="Times New Roman" w:hAnsi="Times New Roman"/>
        </w:rPr>
      </w:pPr>
      <w:r w:rsidRPr="00AF19D0">
        <w:rPr>
          <w:rFonts w:ascii="Times New Roman" w:hAnsi="Times New Roman"/>
        </w:rPr>
        <w:t>None</w:t>
      </w:r>
      <w:r w:rsidR="001C034F" w:rsidRPr="00EA6170">
        <w:rPr>
          <w:rFonts w:ascii="Times New Roman" w:hAnsi="Times New Roman"/>
        </w:rPr>
        <w:t>.  No information is provided to the DOL.</w:t>
      </w:r>
    </w:p>
    <w:p w14:paraId="7252D9E8" w14:textId="77777777" w:rsidR="009169A2" w:rsidRPr="00AF19D0" w:rsidRDefault="009169A2" w:rsidP="00AF19D0">
      <w:pPr>
        <w:widowControl/>
        <w:ind w:firstLine="720"/>
        <w:rPr>
          <w:rFonts w:ascii="Times New Roman" w:hAnsi="Times New Roman"/>
        </w:rPr>
      </w:pPr>
    </w:p>
    <w:p w14:paraId="6F7E89AC"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15.</w:t>
      </w:r>
      <w:r w:rsidRPr="00AF19D0">
        <w:rPr>
          <w:rFonts w:ascii="Times New Roman" w:hAnsi="Times New Roman"/>
        </w:rPr>
        <w:tab/>
      </w:r>
      <w:r w:rsidRPr="00AF19D0">
        <w:rPr>
          <w:rFonts w:ascii="Times New Roman" w:hAnsi="Times New Roman"/>
          <w:i/>
          <w:iCs/>
          <w:sz w:val="20"/>
        </w:rPr>
        <w:t>Explain the reasons for any program changes or adjustments reported in Items 13 or 14.</w:t>
      </w:r>
    </w:p>
    <w:p w14:paraId="64747701" w14:textId="77777777" w:rsidR="009169A2" w:rsidRPr="00AF19D0" w:rsidRDefault="009169A2" w:rsidP="00AF19D0">
      <w:pPr>
        <w:widowControl/>
        <w:tabs>
          <w:tab w:val="left" w:pos="-1440"/>
        </w:tabs>
        <w:ind w:left="720" w:hanging="720"/>
        <w:rPr>
          <w:rFonts w:ascii="Times New Roman" w:hAnsi="Times New Roman"/>
          <w:sz w:val="20"/>
        </w:rPr>
      </w:pPr>
    </w:p>
    <w:p w14:paraId="63065460" w14:textId="77777777" w:rsidR="0011681E" w:rsidRPr="00A84B58" w:rsidRDefault="00B158E0" w:rsidP="006316A1">
      <w:pPr>
        <w:widowControl/>
        <w:tabs>
          <w:tab w:val="left" w:pos="-1440"/>
        </w:tabs>
        <w:ind w:left="720"/>
        <w:rPr>
          <w:rFonts w:ascii="Times New Roman" w:hAnsi="Times New Roman"/>
        </w:rPr>
      </w:pPr>
      <w:r>
        <w:rPr>
          <w:rFonts w:ascii="Times New Roman" w:hAnsi="Times New Roman"/>
        </w:rPr>
        <w:t xml:space="preserve">  </w:t>
      </w:r>
      <w:r w:rsidR="00F01DD6" w:rsidRPr="00F01DD6">
        <w:rPr>
          <w:rFonts w:ascii="Times New Roman" w:hAnsi="Times New Roman"/>
        </w:rPr>
        <w:t xml:space="preserve">This is a new ICR.  The </w:t>
      </w:r>
      <w:r w:rsidR="00CA483B">
        <w:rPr>
          <w:rFonts w:ascii="Times New Roman" w:hAnsi="Times New Roman"/>
        </w:rPr>
        <w:t>final</w:t>
      </w:r>
      <w:r w:rsidR="00CA483B" w:rsidRPr="00F01DD6">
        <w:rPr>
          <w:rFonts w:ascii="Times New Roman" w:hAnsi="Times New Roman"/>
        </w:rPr>
        <w:t xml:space="preserve"> </w:t>
      </w:r>
      <w:r w:rsidR="00DF4BE7">
        <w:rPr>
          <w:rFonts w:ascii="Times New Roman" w:hAnsi="Times New Roman"/>
        </w:rPr>
        <w:t>rules</w:t>
      </w:r>
      <w:r w:rsidR="00F01DD6" w:rsidRPr="00F01DD6">
        <w:rPr>
          <w:rFonts w:ascii="Times New Roman" w:hAnsi="Times New Roman"/>
        </w:rPr>
        <w:t xml:space="preserve"> remove the current prohibition on integrating HRAs with individual health insurance coverage, if certain conditions, including notice requirements, are met.</w:t>
      </w:r>
    </w:p>
    <w:p w14:paraId="04DFE01D" w14:textId="77777777" w:rsidR="00963230" w:rsidRPr="00AF19D0" w:rsidRDefault="00963230" w:rsidP="00D16777">
      <w:pPr>
        <w:widowControl/>
        <w:ind w:left="720"/>
        <w:rPr>
          <w:rFonts w:ascii="Times New Roman" w:hAnsi="Times New Roman"/>
        </w:rPr>
      </w:pPr>
    </w:p>
    <w:p w14:paraId="1BA567F8"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16.</w:t>
      </w:r>
      <w:r w:rsidRPr="00AF19D0">
        <w:rPr>
          <w:rFonts w:ascii="Times New Roman" w:hAnsi="Times New Roman"/>
        </w:rPr>
        <w:tab/>
      </w:r>
      <w:r w:rsidRPr="00AF19D0">
        <w:rPr>
          <w:rFonts w:ascii="Times New Roman" w:hAnsi="Times New Roman"/>
          <w:i/>
          <w:iCs/>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39247BF" w14:textId="77777777" w:rsidR="009169A2" w:rsidRPr="00AF19D0" w:rsidRDefault="009169A2" w:rsidP="00AF19D0">
      <w:pPr>
        <w:widowControl/>
        <w:rPr>
          <w:rFonts w:ascii="Times New Roman" w:hAnsi="Times New Roman"/>
        </w:rPr>
      </w:pPr>
    </w:p>
    <w:p w14:paraId="0DD73C23" w14:textId="77777777" w:rsidR="009169A2" w:rsidRPr="00AF19D0" w:rsidRDefault="009169A2" w:rsidP="00AF19D0">
      <w:pPr>
        <w:widowControl/>
        <w:ind w:firstLine="720"/>
        <w:rPr>
          <w:rFonts w:ascii="Times New Roman" w:hAnsi="Times New Roman"/>
        </w:rPr>
      </w:pPr>
      <w:r w:rsidRPr="00AF19D0">
        <w:rPr>
          <w:rFonts w:ascii="Times New Roman" w:hAnsi="Times New Roman"/>
        </w:rPr>
        <w:t>Not applicable.</w:t>
      </w:r>
    </w:p>
    <w:p w14:paraId="152AC4B6" w14:textId="77777777" w:rsidR="009169A2" w:rsidRPr="00AF19D0" w:rsidRDefault="009169A2" w:rsidP="00AF19D0">
      <w:pPr>
        <w:widowControl/>
        <w:rPr>
          <w:rFonts w:ascii="Times New Roman" w:hAnsi="Times New Roman"/>
        </w:rPr>
      </w:pPr>
    </w:p>
    <w:p w14:paraId="24C94439"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17.</w:t>
      </w:r>
      <w:r w:rsidRPr="00AF19D0">
        <w:rPr>
          <w:rFonts w:ascii="Times New Roman" w:hAnsi="Times New Roman"/>
        </w:rPr>
        <w:tab/>
      </w:r>
      <w:r w:rsidRPr="00AF19D0">
        <w:rPr>
          <w:rFonts w:ascii="Times New Roman" w:hAnsi="Times New Roman"/>
          <w:i/>
          <w:iCs/>
          <w:sz w:val="20"/>
        </w:rPr>
        <w:t>If seeking approval to not display the expiration date for OMB approval of the information collection, explain the reasons that display would be inappropriate.</w:t>
      </w:r>
    </w:p>
    <w:p w14:paraId="584B0AD5" w14:textId="77777777" w:rsidR="009169A2" w:rsidRPr="00AF19D0" w:rsidRDefault="009169A2" w:rsidP="00AF19D0">
      <w:pPr>
        <w:widowControl/>
        <w:ind w:firstLine="720"/>
        <w:rPr>
          <w:rFonts w:ascii="Times New Roman" w:hAnsi="Times New Roman"/>
        </w:rPr>
      </w:pPr>
    </w:p>
    <w:p w14:paraId="51EB7C32" w14:textId="77777777" w:rsidR="005E10CE" w:rsidRPr="00AF19D0" w:rsidRDefault="00C77075" w:rsidP="00AF19D0">
      <w:pPr>
        <w:widowControl/>
        <w:ind w:left="720"/>
        <w:rPr>
          <w:rFonts w:ascii="Times New Roman" w:hAnsi="Times New Roman"/>
        </w:rPr>
      </w:pPr>
      <w:r w:rsidRPr="00AF19D0">
        <w:rPr>
          <w:rFonts w:ascii="Times New Roman" w:hAnsi="Times New Roman"/>
        </w:rPr>
        <w:t>Not applicable.</w:t>
      </w:r>
    </w:p>
    <w:p w14:paraId="52087CCE" w14:textId="77777777" w:rsidR="009169A2" w:rsidRPr="00AF19D0" w:rsidRDefault="009169A2" w:rsidP="00AF19D0">
      <w:pPr>
        <w:pStyle w:val="Header"/>
        <w:widowControl/>
        <w:tabs>
          <w:tab w:val="clear" w:pos="4320"/>
          <w:tab w:val="clear" w:pos="8640"/>
        </w:tabs>
        <w:rPr>
          <w:rFonts w:ascii="Times New Roman" w:hAnsi="Times New Roman"/>
        </w:rPr>
      </w:pPr>
    </w:p>
    <w:p w14:paraId="2AA8C13B"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18.</w:t>
      </w:r>
      <w:r w:rsidRPr="00AF19D0">
        <w:rPr>
          <w:rFonts w:ascii="Times New Roman" w:hAnsi="Times New Roman"/>
        </w:rPr>
        <w:tab/>
      </w:r>
      <w:r w:rsidRPr="00AF19D0">
        <w:rPr>
          <w:rFonts w:ascii="Times New Roman" w:hAnsi="Times New Roman"/>
          <w:i/>
          <w:iCs/>
          <w:sz w:val="20"/>
        </w:rPr>
        <w:t>Explain each exception to the certification statement identified in Item 19, "Certification for Paperwork Reduction Act Submission</w:t>
      </w:r>
      <w:r w:rsidR="00664A7B">
        <w:rPr>
          <w:rFonts w:ascii="Times New Roman" w:hAnsi="Times New Roman"/>
          <w:i/>
          <w:iCs/>
          <w:sz w:val="20"/>
        </w:rPr>
        <w:t>.</w:t>
      </w:r>
      <w:r w:rsidRPr="00AF19D0">
        <w:rPr>
          <w:rFonts w:ascii="Times New Roman" w:hAnsi="Times New Roman"/>
          <w:i/>
          <w:iCs/>
          <w:sz w:val="20"/>
        </w:rPr>
        <w:t>"</w:t>
      </w:r>
    </w:p>
    <w:p w14:paraId="2709B878" w14:textId="77777777" w:rsidR="009169A2" w:rsidRPr="00AF19D0" w:rsidRDefault="009169A2" w:rsidP="00AF19D0">
      <w:pPr>
        <w:widowControl/>
        <w:rPr>
          <w:rFonts w:ascii="Times New Roman" w:hAnsi="Times New Roman"/>
        </w:rPr>
      </w:pPr>
    </w:p>
    <w:p w14:paraId="3AF6AABC" w14:textId="77777777" w:rsidR="003F5515" w:rsidRDefault="009169A2" w:rsidP="00AF19D0">
      <w:pPr>
        <w:widowControl/>
        <w:ind w:firstLine="720"/>
        <w:rPr>
          <w:rFonts w:ascii="Times New Roman" w:hAnsi="Times New Roman"/>
        </w:rPr>
      </w:pPr>
      <w:r w:rsidRPr="00AF19D0">
        <w:rPr>
          <w:rFonts w:ascii="Times New Roman" w:hAnsi="Times New Roman"/>
        </w:rPr>
        <w:t>Not applicable; no exceptions to the certification statement.</w:t>
      </w:r>
    </w:p>
    <w:p w14:paraId="2400D1A7" w14:textId="77777777" w:rsidR="003D6A95" w:rsidRDefault="003D6A95" w:rsidP="00AF19D0">
      <w:pPr>
        <w:widowControl/>
        <w:ind w:firstLine="720"/>
        <w:rPr>
          <w:rFonts w:ascii="Times New Roman" w:hAnsi="Times New Roman"/>
        </w:rPr>
      </w:pPr>
    </w:p>
    <w:p w14:paraId="4E77C7F6" w14:textId="77777777" w:rsidR="003D6A95" w:rsidRPr="00601097" w:rsidRDefault="00694589" w:rsidP="00694589">
      <w:pPr>
        <w:widowControl/>
        <w:rPr>
          <w:rFonts w:ascii="Times New Roman" w:hAnsi="Times New Roman"/>
        </w:rPr>
      </w:pPr>
      <w:r>
        <w:rPr>
          <w:rFonts w:ascii="Times New Roman" w:hAnsi="Times New Roman"/>
          <w:u w:val="single"/>
        </w:rPr>
        <w:t>Part B.  Statistical Methods.</w:t>
      </w:r>
    </w:p>
    <w:p w14:paraId="643F0F77" w14:textId="77777777" w:rsidR="00601097" w:rsidRPr="00601097" w:rsidRDefault="00601097" w:rsidP="00694589">
      <w:pPr>
        <w:widowControl/>
        <w:rPr>
          <w:rFonts w:ascii="Times New Roman" w:hAnsi="Times New Roman"/>
        </w:rPr>
      </w:pPr>
    </w:p>
    <w:p w14:paraId="62414609" w14:textId="77777777" w:rsidR="00601097" w:rsidRPr="00601097" w:rsidRDefault="00601097" w:rsidP="00694589">
      <w:pPr>
        <w:widowControl/>
        <w:rPr>
          <w:rFonts w:ascii="Times New Roman" w:hAnsi="Times New Roman"/>
        </w:rPr>
      </w:pPr>
      <w:r w:rsidRPr="00601097">
        <w:rPr>
          <w:rFonts w:ascii="Times New Roman" w:hAnsi="Times New Roman"/>
        </w:rPr>
        <w:t>This information collection does not employ statistical methods.</w:t>
      </w:r>
    </w:p>
    <w:sectPr w:rsidR="00601097" w:rsidRPr="00601097" w:rsidSect="0008470D">
      <w:headerReference w:type="default"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91753" w14:textId="77777777" w:rsidR="00F80A24" w:rsidRDefault="00F80A24">
      <w:r>
        <w:separator/>
      </w:r>
    </w:p>
  </w:endnote>
  <w:endnote w:type="continuationSeparator" w:id="0">
    <w:p w14:paraId="6940C501" w14:textId="77777777" w:rsidR="00F80A24" w:rsidRDefault="00F8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52832" w14:textId="77777777" w:rsidR="00682F8A" w:rsidRDefault="00682F8A">
    <w:pPr>
      <w:spacing w:line="240" w:lineRule="exact"/>
    </w:pPr>
  </w:p>
  <w:p w14:paraId="6583AEC6" w14:textId="08DFBA0C" w:rsidR="00682F8A" w:rsidRDefault="00682F8A">
    <w:pPr>
      <w:framePr w:w="9361" w:wrap="notBeside" w:vAnchor="text" w:hAnchor="text" w:x="1" w:y="1"/>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737AA7">
      <w:rPr>
        <w:rFonts w:ascii="Times New Roman" w:hAnsi="Times New Roman"/>
        <w:noProof/>
        <w:sz w:val="20"/>
      </w:rPr>
      <w:t>1</w:t>
    </w:r>
    <w:r>
      <w:rPr>
        <w:rFonts w:ascii="Times New Roman" w:hAnsi="Times New Roman"/>
        <w:sz w:val="20"/>
      </w:rPr>
      <w:fldChar w:fldCharType="end"/>
    </w:r>
  </w:p>
  <w:p w14:paraId="07D4CD02" w14:textId="77777777" w:rsidR="00682F8A" w:rsidRDefault="00682F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04964" w14:textId="77777777" w:rsidR="00F80A24" w:rsidRDefault="00F80A24">
      <w:r>
        <w:separator/>
      </w:r>
    </w:p>
  </w:footnote>
  <w:footnote w:type="continuationSeparator" w:id="0">
    <w:p w14:paraId="791F9387" w14:textId="77777777" w:rsidR="00F80A24" w:rsidRDefault="00F80A24">
      <w:r>
        <w:continuationSeparator/>
      </w:r>
    </w:p>
  </w:footnote>
  <w:footnote w:id="1">
    <w:p w14:paraId="25F5DD16" w14:textId="77777777" w:rsidR="00113AA9" w:rsidRPr="00113AA9" w:rsidRDefault="00113AA9" w:rsidP="00113AA9">
      <w:pPr>
        <w:pStyle w:val="FootnoteText"/>
        <w:rPr>
          <w:rFonts w:ascii="Times New Roman" w:hAnsi="Times New Roman"/>
        </w:rPr>
      </w:pPr>
      <w:r w:rsidRPr="00113AA9">
        <w:rPr>
          <w:rStyle w:val="FootnoteReference"/>
          <w:rFonts w:ascii="Times New Roman" w:hAnsi="Times New Roman"/>
        </w:rPr>
        <w:footnoteRef/>
      </w:r>
      <w:r w:rsidRPr="00113AA9">
        <w:rPr>
          <w:rFonts w:ascii="Times New Roman" w:hAnsi="Times New Roman"/>
        </w:rPr>
        <w:t xml:space="preserve"> 82 FR 48385 (Oct. 17, 2017).</w:t>
      </w:r>
    </w:p>
  </w:footnote>
  <w:footnote w:id="2">
    <w:p w14:paraId="642F5C66" w14:textId="77777777" w:rsidR="00113AA9" w:rsidRPr="00113AA9" w:rsidRDefault="00113AA9" w:rsidP="00113AA9">
      <w:pPr>
        <w:pStyle w:val="FootnoteText"/>
        <w:rPr>
          <w:rFonts w:ascii="Times New Roman" w:hAnsi="Times New Roman"/>
        </w:rPr>
      </w:pPr>
      <w:r w:rsidRPr="00113AA9">
        <w:rPr>
          <w:rStyle w:val="FootnoteReference"/>
          <w:rFonts w:ascii="Times New Roman" w:hAnsi="Times New Roman"/>
        </w:rPr>
        <w:footnoteRef/>
      </w:r>
      <w:r w:rsidRPr="00113AA9">
        <w:rPr>
          <w:rFonts w:ascii="Times New Roman" w:hAnsi="Times New Roman"/>
        </w:rPr>
        <w:t xml:space="preserve"> In response to Executive Order 13813, on June 21, 2018, DOL published the Definition of Employer under Section 3(5) of ERISA – Association Health Plans final rule and on August 3, 2018, DOL, HHS and the Treasury Department published the Short-Term, Limited-Duration Insurance final rule. </w:t>
      </w:r>
      <w:r w:rsidRPr="00113AA9">
        <w:rPr>
          <w:rFonts w:ascii="Times New Roman" w:hAnsi="Times New Roman"/>
          <w:u w:val="single"/>
        </w:rPr>
        <w:t>See</w:t>
      </w:r>
      <w:r w:rsidRPr="00113AA9">
        <w:rPr>
          <w:rFonts w:ascii="Times New Roman" w:hAnsi="Times New Roman"/>
        </w:rPr>
        <w:t xml:space="preserve"> the Association Health Plan final rule at 83 FR 28912 and the Short-Term, Limited-Duration Insurance final rule at 83 FR 38212.</w:t>
      </w:r>
    </w:p>
  </w:footnote>
  <w:footnote w:id="3">
    <w:p w14:paraId="07F892DE" w14:textId="77777777" w:rsidR="009A3C0E" w:rsidRDefault="009A3C0E" w:rsidP="009A3C0E">
      <w:pPr>
        <w:pStyle w:val="FootnoteText"/>
      </w:pPr>
      <w:r w:rsidRPr="00AE0F66">
        <w:rPr>
          <w:rStyle w:val="FootnoteReference"/>
          <w:rFonts w:ascii="Times New Roman" w:hAnsi="Times New Roman"/>
        </w:rPr>
        <w:footnoteRef/>
      </w:r>
      <w:r w:rsidRPr="00AE0F66">
        <w:rPr>
          <w:rFonts w:ascii="Times New Roman" w:hAnsi="Times New Roman"/>
        </w:rPr>
        <w:t xml:space="preserve"> </w:t>
      </w:r>
      <w:r w:rsidRPr="009A3C0E">
        <w:rPr>
          <w:rFonts w:ascii="Times New Roman" w:hAnsi="Times New Roman"/>
        </w:rPr>
        <w:t>The Departments note that in order to comply with the notice requirement, the HRA must determine the amounts that will be newly made available for the plan year prior the plan year.  A similar requirement applies under the premium tax credit regulations.</w:t>
      </w:r>
      <w:r>
        <w:t xml:space="preserve"> </w:t>
      </w:r>
    </w:p>
  </w:footnote>
  <w:footnote w:id="4">
    <w:p w14:paraId="66271202" w14:textId="77777777" w:rsidR="007739F6" w:rsidRPr="003C336E" w:rsidRDefault="007739F6" w:rsidP="007739F6">
      <w:pPr>
        <w:rPr>
          <w:rFonts w:ascii="Times New Roman" w:hAnsi="Times New Roman"/>
        </w:rPr>
      </w:pPr>
      <w:r w:rsidRPr="003C336E">
        <w:rPr>
          <w:rStyle w:val="FootnoteReference"/>
          <w:rFonts w:ascii="Times New Roman" w:hAnsi="Times New Roman"/>
          <w:sz w:val="20"/>
          <w:szCs w:val="20"/>
        </w:rPr>
        <w:footnoteRef/>
      </w:r>
      <w:r w:rsidRPr="003C336E">
        <w:rPr>
          <w:rFonts w:ascii="Times New Roman" w:hAnsi="Times New Roman"/>
          <w:sz w:val="20"/>
          <w:szCs w:val="20"/>
        </w:rPr>
        <w:t xml:space="preserve"> </w:t>
      </w:r>
      <w:r w:rsidRPr="003C336E">
        <w:rPr>
          <w:rFonts w:ascii="Times New Roman" w:hAnsi="Times New Roman"/>
          <w:sz w:val="20"/>
          <w:szCs w:val="20"/>
          <w:u w:val="single"/>
        </w:rPr>
        <w:t>See</w:t>
      </w:r>
      <w:r w:rsidRPr="003C336E">
        <w:rPr>
          <w:rFonts w:ascii="Times New Roman" w:hAnsi="Times New Roman"/>
          <w:sz w:val="20"/>
          <w:szCs w:val="20"/>
        </w:rPr>
        <w:t xml:space="preserve"> 29 CFR 2520.104b-2, 2520.104b-3(a) and (d)(3).</w:t>
      </w:r>
    </w:p>
  </w:footnote>
  <w:footnote w:id="5">
    <w:p w14:paraId="03EABBE2" w14:textId="2D4DE6B1" w:rsidR="00323AD8" w:rsidRPr="003C336E" w:rsidRDefault="003C336E" w:rsidP="00323AD8">
      <w:pPr>
        <w:pStyle w:val="FootnoteText"/>
        <w:rPr>
          <w:rFonts w:ascii="Times New Roman" w:hAnsi="Times New Roman"/>
        </w:rPr>
      </w:pPr>
      <w:r>
        <w:rPr>
          <w:rStyle w:val="FootnoteReference"/>
          <w:rFonts w:ascii="Times New Roman" w:hAnsi="Times New Roman"/>
          <w:vertAlign w:val="superscript"/>
        </w:rPr>
        <w:t>F</w:t>
      </w:r>
      <w:r>
        <w:rPr>
          <w:rFonts w:ascii="Times New Roman" w:hAnsi="Times New Roman"/>
          <w:vertAlign w:val="superscript"/>
        </w:rPr>
        <w:t>fr</w:t>
      </w:r>
      <w:r w:rsidR="00323AD8" w:rsidRPr="003C336E">
        <w:rPr>
          <w:rFonts w:ascii="Times New Roman" w:hAnsi="Times New Roman"/>
        </w:rPr>
        <w:t xml:space="preserve"> Specifically, the Departments extracted premiums reported on the population of Forms W-2, and estimated per person annual premiums from this information using coverage data from Forms 1095-B and C.  See </w:t>
      </w:r>
      <w:hyperlink r:id="rId1" w:history="1">
        <w:r w:rsidR="00323AD8" w:rsidRPr="003C336E">
          <w:rPr>
            <w:rStyle w:val="Hyperlink"/>
            <w:rFonts w:ascii="Times New Roman" w:hAnsi="Times New Roman"/>
          </w:rPr>
          <w:t>https://www.treasury.gov/resource-center/tax-policy/tax-analysis/Documents/Treasury%27s-Baseline-Estimates-of-Health-Coverage-FY-2019.pdf</w:t>
        </w:r>
      </w:hyperlink>
      <w:r w:rsidR="00323AD8" w:rsidRPr="003C336E">
        <w:rPr>
          <w:rFonts w:ascii="Times New Roman" w:hAnsi="Times New Roman"/>
        </w:rPr>
        <w:t xml:space="preserve"> for a description of this estimation process.  We then compared this to second-lowest cost silver plan premiums.  We specifically compared single plan premiums for firms including any 30-year old covered employee to SLCSP premiums for a 30 year old, and did the same for firms including any 50-year old covered employee and SLCSP premiums for a 50 year old in the same rating area.  In both cases we estimated that traditional group coverage premiums increase by about 20 cents for every dollar increase in individual market premiums (p&lt;.01).  The commenter provided some evidence of geographic variation in health claims in the individual market relative to claims in the small group insured market.  This analysis is of limited use, because most employees who are expected to be offered an individual coverage HRA are in the large group market.  The Treasury data for this sensitivity analysis includes premiums in firms of all sizes, but is heavily weighted to firms filing more than 250 Forms W-</w:t>
      </w:r>
      <w:r w:rsidR="00903748">
        <w:rPr>
          <w:rFonts w:ascii="Times New Roman" w:hAnsi="Times New Roman"/>
        </w:rPr>
        <w:t>2, as these employers are requi</w:t>
      </w:r>
      <w:r>
        <w:rPr>
          <w:rFonts w:ascii="Times New Roman" w:hAnsi="Times New Roman"/>
        </w:rPr>
        <w:t>r</w:t>
      </w:r>
      <w:r w:rsidR="00323AD8" w:rsidRPr="003C336E">
        <w:rPr>
          <w:rFonts w:ascii="Times New Roman" w:hAnsi="Times New Roman"/>
        </w:rPr>
        <w:t>ed to report premium information.</w:t>
      </w:r>
    </w:p>
  </w:footnote>
  <w:footnote w:id="6">
    <w:p w14:paraId="5F3688D1" w14:textId="77777777" w:rsidR="00226984" w:rsidRPr="003C336E" w:rsidRDefault="00226984" w:rsidP="00226984">
      <w:pPr>
        <w:rPr>
          <w:rFonts w:ascii="Times New Roman" w:hAnsi="Times New Roman"/>
        </w:rPr>
      </w:pPr>
      <w:r w:rsidRPr="003C336E">
        <w:rPr>
          <w:rStyle w:val="FootnoteReference"/>
          <w:rFonts w:ascii="Times New Roman" w:hAnsi="Times New Roman"/>
          <w:sz w:val="20"/>
          <w:szCs w:val="20"/>
          <w:vertAlign w:val="superscript"/>
        </w:rPr>
        <w:footnoteRef/>
      </w:r>
      <w:r w:rsidRPr="003C336E">
        <w:rPr>
          <w:rFonts w:ascii="Times New Roman" w:hAnsi="Times New Roman"/>
          <w:sz w:val="20"/>
          <w:szCs w:val="20"/>
          <w:vertAlign w:val="superscript"/>
        </w:rPr>
        <w:t xml:space="preserve"> </w:t>
      </w:r>
      <w:r w:rsidRPr="003C336E">
        <w:rPr>
          <w:rFonts w:ascii="Times New Roman" w:hAnsi="Times New Roman"/>
          <w:sz w:val="20"/>
          <w:szCs w:val="20"/>
          <w:u w:val="single"/>
        </w:rPr>
        <w:t>See</w:t>
      </w:r>
      <w:r w:rsidRPr="003C336E">
        <w:rPr>
          <w:rFonts w:ascii="Times New Roman" w:hAnsi="Times New Roman"/>
          <w:sz w:val="20"/>
          <w:szCs w:val="20"/>
        </w:rPr>
        <w:t xml:space="preserve"> ERISA sections 102 and 104: </w:t>
      </w:r>
      <w:r w:rsidRPr="003C336E">
        <w:rPr>
          <w:rFonts w:ascii="Times New Roman" w:hAnsi="Times New Roman"/>
          <w:sz w:val="20"/>
          <w:szCs w:val="20"/>
          <w:u w:val="single"/>
        </w:rPr>
        <w:t>see also</w:t>
      </w:r>
      <w:r w:rsidRPr="003C336E">
        <w:rPr>
          <w:rFonts w:ascii="Times New Roman" w:hAnsi="Times New Roman"/>
          <w:sz w:val="20"/>
          <w:szCs w:val="20"/>
        </w:rPr>
        <w:t xml:space="preserve"> 29 CFR 2520.104b-2 and 2520.104b-3(a) and (d)(3).</w:t>
      </w:r>
    </w:p>
  </w:footnote>
  <w:footnote w:id="7">
    <w:p w14:paraId="4A2BB136" w14:textId="77777777" w:rsidR="00226984" w:rsidRPr="003C336E" w:rsidRDefault="00226984" w:rsidP="00226984">
      <w:pPr>
        <w:pStyle w:val="FootnoteText"/>
        <w:rPr>
          <w:rFonts w:ascii="Times New Roman" w:hAnsi="Times New Roman"/>
        </w:rPr>
      </w:pPr>
      <w:r w:rsidRPr="003C336E">
        <w:rPr>
          <w:rStyle w:val="FootnoteReference"/>
          <w:rFonts w:ascii="Times New Roman" w:hAnsi="Times New Roman"/>
          <w:vertAlign w:val="superscript"/>
        </w:rPr>
        <w:footnoteRef/>
      </w:r>
      <w:r w:rsidRPr="003C336E">
        <w:rPr>
          <w:rFonts w:ascii="Times New Roman" w:hAnsi="Times New Roman"/>
          <w:vertAlign w:val="superscript"/>
        </w:rPr>
        <w:t xml:space="preserve"> </w:t>
      </w:r>
      <w:r w:rsidRPr="003C336E">
        <w:rPr>
          <w:rFonts w:ascii="Times New Roman" w:hAnsi="Times New Roman"/>
          <w:u w:val="single"/>
        </w:rPr>
        <w:t>See, e.g.</w:t>
      </w:r>
      <w:r w:rsidRPr="003C336E">
        <w:rPr>
          <w:rFonts w:ascii="Times New Roman" w:hAnsi="Times New Roman"/>
        </w:rPr>
        <w:t xml:space="preserve">, ERISA sections 104(b), 502(c), and 503. </w:t>
      </w:r>
      <w:r w:rsidRPr="003C336E">
        <w:rPr>
          <w:rFonts w:ascii="Times New Roman" w:hAnsi="Times New Roman"/>
          <w:u w:val="single"/>
        </w:rPr>
        <w:t>See also</w:t>
      </w:r>
      <w:r w:rsidRPr="003C336E">
        <w:rPr>
          <w:rFonts w:ascii="Times New Roman" w:hAnsi="Times New Roman"/>
        </w:rPr>
        <w:t xml:space="preserve"> 29 CFR 2520.104b-1, and 2560.503-1.</w:t>
      </w:r>
    </w:p>
  </w:footnote>
  <w:footnote w:id="8">
    <w:p w14:paraId="093A450E" w14:textId="77777777" w:rsidR="00F40DA8" w:rsidRPr="00F40DA8" w:rsidRDefault="00F40DA8" w:rsidP="00F40DA8">
      <w:pPr>
        <w:pStyle w:val="FootnoteText"/>
        <w:rPr>
          <w:rFonts w:ascii="Times New Roman" w:hAnsi="Times New Roman"/>
        </w:rPr>
      </w:pPr>
      <w:r w:rsidRPr="00F40DA8">
        <w:rPr>
          <w:rStyle w:val="FootnoteReference"/>
          <w:rFonts w:ascii="Times New Roman" w:hAnsi="Times New Roman"/>
        </w:rPr>
        <w:footnoteRef/>
      </w:r>
      <w:r w:rsidRPr="00F40DA8">
        <w:rPr>
          <w:rFonts w:ascii="Times New Roman" w:hAnsi="Times New Roman"/>
        </w:rPr>
        <w:t xml:space="preserve"> U.S. Department of the Treasury, Office of Tax Analysis used a simulation model to obtain these estimates.  For 2020 the model estimated that 80,000 employers would newly offer HRAs and one million individuals would enroll in those HRAs.  Based on DOL estimates about </w:t>
      </w:r>
      <w:r w:rsidR="007662D1">
        <w:rPr>
          <w:rFonts w:ascii="Times New Roman" w:hAnsi="Times New Roman"/>
        </w:rPr>
        <w:t>98</w:t>
      </w:r>
      <w:r w:rsidR="007662D1" w:rsidRPr="00F40DA8">
        <w:rPr>
          <w:rFonts w:ascii="Times New Roman" w:hAnsi="Times New Roman"/>
        </w:rPr>
        <w:t xml:space="preserve"> </w:t>
      </w:r>
      <w:r w:rsidRPr="00F40DA8">
        <w:rPr>
          <w:rFonts w:ascii="Times New Roman" w:hAnsi="Times New Roman"/>
        </w:rPr>
        <w:t xml:space="preserve">percent of these will be in the private market, and the rest will be though public employers like state and local governments. There are on average one dependent for every policy holder.  "Health Insurance Coverage Bulletin", Abstract of the Auxiliary Data for the March 2016 Annual Social and Economic Supplement of the Current Population Survey, July 25, 2017.  </w:t>
      </w:r>
      <w:hyperlink r:id="rId2" w:history="1">
        <w:r w:rsidRPr="00F40DA8">
          <w:rPr>
            <w:rStyle w:val="Hyperlink"/>
            <w:rFonts w:ascii="Times New Roman" w:hAnsi="Times New Roman"/>
          </w:rPr>
          <w:t>https://www.dol.gov/sites/default/files/ebsa/researchers/data/health-and-welfare/health-insurance-coverage-bulletin-2016.pdf</w:t>
        </w:r>
      </w:hyperlink>
    </w:p>
  </w:footnote>
  <w:footnote w:id="9">
    <w:p w14:paraId="1B77D4CC" w14:textId="77777777" w:rsidR="00F40DA8" w:rsidRDefault="00F40DA8" w:rsidP="00F40DA8">
      <w:pPr>
        <w:pStyle w:val="FootnoteText"/>
      </w:pPr>
      <w:r w:rsidRPr="00F40DA8">
        <w:rPr>
          <w:rStyle w:val="FootnoteReference"/>
          <w:rFonts w:ascii="Times New Roman" w:hAnsi="Times New Roman"/>
        </w:rPr>
        <w:footnoteRef/>
      </w:r>
      <w:r w:rsidRPr="00F40DA8">
        <w:rPr>
          <w:rFonts w:ascii="Times New Roman" w:hAnsi="Times New Roman"/>
        </w:rPr>
        <w:t xml:space="preserve"> Comparable numbers for 2021 are </w:t>
      </w:r>
      <w:r w:rsidR="007662D1">
        <w:rPr>
          <w:rFonts w:ascii="Times New Roman" w:hAnsi="Times New Roman"/>
        </w:rPr>
        <w:t>118,195</w:t>
      </w:r>
      <w:r w:rsidRPr="00F40DA8">
        <w:rPr>
          <w:rFonts w:ascii="Times New Roman" w:hAnsi="Times New Roman"/>
        </w:rPr>
        <w:t xml:space="preserve"> private employers would create new HRAs </w:t>
      </w:r>
      <w:r w:rsidR="00E576C2">
        <w:rPr>
          <w:rFonts w:ascii="Times New Roman" w:hAnsi="Times New Roman"/>
        </w:rPr>
        <w:t>offering coverage to</w:t>
      </w:r>
      <w:r w:rsidRPr="00F40DA8">
        <w:rPr>
          <w:rFonts w:ascii="Times New Roman" w:hAnsi="Times New Roman"/>
        </w:rPr>
        <w:t xml:space="preserve"> </w:t>
      </w:r>
      <w:r w:rsidR="00E576C2">
        <w:rPr>
          <w:rFonts w:ascii="Times New Roman" w:hAnsi="Times New Roman"/>
        </w:rPr>
        <w:t>1,</w:t>
      </w:r>
      <w:r w:rsidR="004D7DAB">
        <w:rPr>
          <w:rFonts w:ascii="Times New Roman" w:hAnsi="Times New Roman"/>
        </w:rPr>
        <w:t>556,562</w:t>
      </w:r>
      <w:r w:rsidR="007662D1">
        <w:rPr>
          <w:rFonts w:ascii="Times New Roman" w:hAnsi="Times New Roman"/>
        </w:rPr>
        <w:t xml:space="preserve"> </w:t>
      </w:r>
      <w:r w:rsidR="00E576C2">
        <w:rPr>
          <w:rFonts w:ascii="Times New Roman" w:hAnsi="Times New Roman"/>
        </w:rPr>
        <w:t>eligible participants</w:t>
      </w:r>
      <w:r w:rsidRPr="00F40DA8">
        <w:rPr>
          <w:rFonts w:ascii="Times New Roman" w:hAnsi="Times New Roman"/>
        </w:rPr>
        <w:t xml:space="preserve">, and for 2022 </w:t>
      </w:r>
      <w:r w:rsidR="007662D1">
        <w:rPr>
          <w:rFonts w:ascii="Times New Roman" w:hAnsi="Times New Roman"/>
        </w:rPr>
        <w:t>196,992</w:t>
      </w:r>
      <w:r w:rsidRPr="00F40DA8">
        <w:rPr>
          <w:rFonts w:ascii="Times New Roman" w:hAnsi="Times New Roman"/>
        </w:rPr>
        <w:t xml:space="preserve"> private employers would create new HRAs </w:t>
      </w:r>
      <w:r w:rsidR="00E576C2">
        <w:rPr>
          <w:rFonts w:ascii="Times New Roman" w:hAnsi="Times New Roman"/>
        </w:rPr>
        <w:t>offering coverage to</w:t>
      </w:r>
      <w:r w:rsidR="00E576C2" w:rsidRPr="00F40DA8">
        <w:rPr>
          <w:rFonts w:ascii="Times New Roman" w:hAnsi="Times New Roman"/>
        </w:rPr>
        <w:t xml:space="preserve"> </w:t>
      </w:r>
      <w:r w:rsidR="004D7DAB">
        <w:rPr>
          <w:rFonts w:ascii="Times New Roman" w:hAnsi="Times New Roman"/>
        </w:rPr>
        <w:t>3,</w:t>
      </w:r>
      <w:r w:rsidR="00E4427F">
        <w:rPr>
          <w:rFonts w:ascii="Times New Roman" w:hAnsi="Times New Roman"/>
        </w:rPr>
        <w:t>055,474</w:t>
      </w:r>
      <w:r w:rsidRPr="00F40DA8">
        <w:rPr>
          <w:rFonts w:ascii="Times New Roman" w:hAnsi="Times New Roman"/>
        </w:rPr>
        <w:t xml:space="preserve"> </w:t>
      </w:r>
      <w:r w:rsidR="00E576C2">
        <w:rPr>
          <w:rFonts w:ascii="Times New Roman" w:hAnsi="Times New Roman"/>
        </w:rPr>
        <w:t>eligible participants</w:t>
      </w:r>
      <w:r w:rsidRPr="00F40DA8">
        <w:rPr>
          <w:rFonts w:ascii="Times New Roman" w:hAnsi="Times New Roman"/>
        </w:rPr>
        <w:t>.</w:t>
      </w:r>
    </w:p>
  </w:footnote>
  <w:footnote w:id="10">
    <w:p w14:paraId="5F2B5E1D" w14:textId="77777777" w:rsidR="000747DC" w:rsidRPr="003C336E" w:rsidRDefault="000747DC" w:rsidP="000747DC">
      <w:pPr>
        <w:rPr>
          <w:rFonts w:ascii="Times New Roman" w:hAnsi="Times New Roman"/>
        </w:rPr>
      </w:pPr>
      <w:r w:rsidRPr="003C336E">
        <w:rPr>
          <w:rStyle w:val="FootnoteReference"/>
          <w:rFonts w:ascii="Times New Roman" w:hAnsi="Times New Roman"/>
          <w:sz w:val="20"/>
          <w:szCs w:val="20"/>
        </w:rPr>
        <w:footnoteRef/>
      </w:r>
      <w:r w:rsidRPr="003C336E">
        <w:rPr>
          <w:rFonts w:ascii="Times New Roman" w:hAnsi="Times New Roman"/>
          <w:sz w:val="20"/>
          <w:szCs w:val="20"/>
        </w:rPr>
        <w:t xml:space="preserve"> </w:t>
      </w:r>
      <w:r w:rsidRPr="003C336E">
        <w:rPr>
          <w:rFonts w:ascii="Times New Roman" w:hAnsi="Times New Roman"/>
          <w:sz w:val="20"/>
          <w:szCs w:val="20"/>
          <w:u w:val="single"/>
        </w:rPr>
        <w:t>See</w:t>
      </w:r>
      <w:r w:rsidRPr="003C336E">
        <w:rPr>
          <w:rFonts w:ascii="Times New Roman" w:hAnsi="Times New Roman"/>
          <w:sz w:val="20"/>
          <w:szCs w:val="20"/>
        </w:rPr>
        <w:t xml:space="preserve"> 29 CFR 2520.104b-2, 2520.104b-3(a) and (d)(3).</w:t>
      </w:r>
    </w:p>
  </w:footnote>
  <w:footnote w:id="11">
    <w:p w14:paraId="1DC66DBB" w14:textId="77777777" w:rsidR="00EA1EC5" w:rsidRPr="00D07BC4" w:rsidRDefault="00EA1EC5">
      <w:pPr>
        <w:pStyle w:val="FootnoteText"/>
        <w:rPr>
          <w:rFonts w:ascii="Times New Roman" w:hAnsi="Times New Roman"/>
        </w:rPr>
      </w:pPr>
      <w:r w:rsidRPr="00D07BC4">
        <w:rPr>
          <w:rStyle w:val="FootnoteReference"/>
          <w:rFonts w:ascii="Times New Roman" w:hAnsi="Times New Roman"/>
        </w:rPr>
        <w:footnoteRef/>
      </w:r>
      <w:r w:rsidRPr="00D07BC4">
        <w:rPr>
          <w:rFonts w:ascii="Times New Roman" w:hAnsi="Times New Roman"/>
        </w:rPr>
        <w:t xml:space="preserve"> Number of eligible participants is estimated based on the assumption that 75 percent of eligible participants would enroll in their employers’ plans. See Section 3 of the Kaiser “2017 Employer Health Benefits Survey”.  https://www.kff.org/health-costs/report/2017-employer-health-benefits-survey/.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D1C06" w14:textId="77777777" w:rsidR="00BB2EE7" w:rsidRPr="00BA076D" w:rsidRDefault="00BA076D" w:rsidP="006316A1">
    <w:pPr>
      <w:pStyle w:val="Header"/>
      <w:jc w:val="right"/>
      <w:rPr>
        <w:rFonts w:ascii="Times New Roman" w:hAnsi="Times New Roman"/>
        <w:b/>
        <w:sz w:val="20"/>
        <w:szCs w:val="20"/>
      </w:rPr>
    </w:pPr>
    <w:r w:rsidRPr="00BA076D">
      <w:rPr>
        <w:rFonts w:ascii="Times New Roman" w:hAnsi="Times New Roman"/>
        <w:b/>
        <w:sz w:val="20"/>
        <w:szCs w:val="20"/>
      </w:rPr>
      <w:t>Notice for Health Reimbursement Arrangements integrated with Individual Health Insurance Coverage</w:t>
    </w:r>
  </w:p>
  <w:p w14:paraId="6758C175" w14:textId="77777777" w:rsidR="00BB2EE7" w:rsidRPr="002E5E2D" w:rsidRDefault="00BB2EE7" w:rsidP="00BB2EE7">
    <w:pPr>
      <w:pStyle w:val="Header"/>
      <w:ind w:left="3600"/>
      <w:jc w:val="right"/>
      <w:rPr>
        <w:rFonts w:ascii="Times New Roman" w:hAnsi="Times New Roman"/>
        <w:b/>
        <w:sz w:val="20"/>
        <w:szCs w:val="20"/>
      </w:rPr>
    </w:pPr>
    <w:r w:rsidRPr="002E5E2D">
      <w:rPr>
        <w:rFonts w:ascii="Times New Roman" w:hAnsi="Times New Roman"/>
        <w:b/>
        <w:sz w:val="20"/>
        <w:szCs w:val="20"/>
      </w:rPr>
      <w:t>OMB Control Number 1210-</w:t>
    </w:r>
    <w:r w:rsidR="005309A6">
      <w:rPr>
        <w:rFonts w:ascii="Times New Roman" w:hAnsi="Times New Roman"/>
        <w:b/>
        <w:sz w:val="20"/>
        <w:szCs w:val="20"/>
      </w:rPr>
      <w:t>0160</w:t>
    </w:r>
  </w:p>
  <w:p w14:paraId="530296F2" w14:textId="77777777" w:rsidR="00BB2EE7" w:rsidRPr="006316A1" w:rsidRDefault="00DC6C00" w:rsidP="00BB2EE7">
    <w:pPr>
      <w:pStyle w:val="Header"/>
      <w:ind w:left="3600"/>
      <w:jc w:val="right"/>
      <w:rPr>
        <w:rFonts w:ascii="Times New Roman" w:hAnsi="Times New Roman"/>
        <w:b/>
        <w:sz w:val="20"/>
        <w:szCs w:val="20"/>
      </w:rPr>
    </w:pPr>
    <w:r>
      <w:rPr>
        <w:rFonts w:ascii="Times New Roman" w:hAnsi="Times New Roman"/>
        <w:b/>
        <w:sz w:val="20"/>
        <w:szCs w:val="20"/>
      </w:rPr>
      <w:t>June</w:t>
    </w:r>
    <w:r w:rsidR="003C0F20">
      <w:rPr>
        <w:rFonts w:ascii="Times New Roman" w:hAnsi="Times New Roman"/>
        <w:b/>
        <w:sz w:val="20"/>
        <w:szCs w:val="20"/>
      </w:rPr>
      <w:t xml:space="preserve"> 2019</w:t>
    </w:r>
  </w:p>
  <w:p w14:paraId="25659BE8" w14:textId="77777777" w:rsidR="00682F8A" w:rsidRDefault="00682F8A">
    <w:pPr>
      <w:spacing w:line="150"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7C6098"/>
    <w:lvl w:ilvl="0">
      <w:numFmt w:val="decimal"/>
      <w:lvlText w:val="*"/>
      <w:lvlJc w:val="left"/>
    </w:lvl>
  </w:abstractNum>
  <w:abstractNum w:abstractNumId="1">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BE3E51"/>
    <w:multiLevelType w:val="hybridMultilevel"/>
    <w:tmpl w:val="6DC0F2D0"/>
    <w:lvl w:ilvl="0" w:tplc="8062B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CC132F"/>
    <w:multiLevelType w:val="hybridMultilevel"/>
    <w:tmpl w:val="5AA4A46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09164D"/>
    <w:multiLevelType w:val="hybridMultilevel"/>
    <w:tmpl w:val="986262F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6C161F"/>
    <w:multiLevelType w:val="hybridMultilevel"/>
    <w:tmpl w:val="DB8C06BC"/>
    <w:lvl w:ilvl="0" w:tplc="8924BE02">
      <w:start w:val="12"/>
      <w:numFmt w:val="decimal"/>
      <w:lvlText w:val="%1."/>
      <w:lvlJc w:val="left"/>
      <w:pPr>
        <w:tabs>
          <w:tab w:val="num" w:pos="1080"/>
        </w:tabs>
        <w:ind w:left="1080" w:hanging="720"/>
      </w:pPr>
      <w:rPr>
        <w:rFonts w:hint="default"/>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145919"/>
    <w:multiLevelType w:val="hybridMultilevel"/>
    <w:tmpl w:val="09C4E9F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D5479D"/>
    <w:multiLevelType w:val="hybridMultilevel"/>
    <w:tmpl w:val="9AC4D280"/>
    <w:lvl w:ilvl="0" w:tplc="B19C5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047DEC"/>
    <w:multiLevelType w:val="hybridMultilevel"/>
    <w:tmpl w:val="3A74EA5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72317A"/>
    <w:multiLevelType w:val="hybridMultilevel"/>
    <w:tmpl w:val="AA3C51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5811D91"/>
    <w:multiLevelType w:val="hybridMultilevel"/>
    <w:tmpl w:val="1588722E"/>
    <w:lvl w:ilvl="0" w:tplc="360275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9935C2E"/>
    <w:multiLevelType w:val="hybridMultilevel"/>
    <w:tmpl w:val="D91A4134"/>
    <w:lvl w:ilvl="0" w:tplc="6FE661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6"/>
  </w:num>
  <w:num w:numId="4">
    <w:abstractNumId w:val="5"/>
  </w:num>
  <w:num w:numId="5">
    <w:abstractNumId w:val="7"/>
  </w:num>
  <w:num w:numId="6">
    <w:abstractNumId w:val="4"/>
  </w:num>
  <w:num w:numId="7">
    <w:abstractNumId w:val="11"/>
  </w:num>
  <w:num w:numId="8">
    <w:abstractNumId w:val="10"/>
  </w:num>
  <w:num w:numId="9">
    <w:abstractNumId w:val="12"/>
  </w:num>
  <w:num w:numId="10">
    <w:abstractNumId w:val="2"/>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76"/>
    <w:rsid w:val="00002E45"/>
    <w:rsid w:val="00003E02"/>
    <w:rsid w:val="000118B5"/>
    <w:rsid w:val="000126A2"/>
    <w:rsid w:val="00014647"/>
    <w:rsid w:val="00016304"/>
    <w:rsid w:val="00023BF5"/>
    <w:rsid w:val="000246E6"/>
    <w:rsid w:val="00024822"/>
    <w:rsid w:val="00026978"/>
    <w:rsid w:val="00027B4B"/>
    <w:rsid w:val="00035435"/>
    <w:rsid w:val="000362A4"/>
    <w:rsid w:val="000362A6"/>
    <w:rsid w:val="000376FF"/>
    <w:rsid w:val="00040921"/>
    <w:rsid w:val="00047475"/>
    <w:rsid w:val="00047A84"/>
    <w:rsid w:val="0005271F"/>
    <w:rsid w:val="00052929"/>
    <w:rsid w:val="000550E5"/>
    <w:rsid w:val="00055BEC"/>
    <w:rsid w:val="00056AE8"/>
    <w:rsid w:val="00056B79"/>
    <w:rsid w:val="00056F67"/>
    <w:rsid w:val="00066228"/>
    <w:rsid w:val="00067CA9"/>
    <w:rsid w:val="000747DC"/>
    <w:rsid w:val="000800F3"/>
    <w:rsid w:val="00080484"/>
    <w:rsid w:val="0008470D"/>
    <w:rsid w:val="000848B3"/>
    <w:rsid w:val="00086E24"/>
    <w:rsid w:val="000915E6"/>
    <w:rsid w:val="0009783A"/>
    <w:rsid w:val="000A3C38"/>
    <w:rsid w:val="000A75E8"/>
    <w:rsid w:val="000B5F62"/>
    <w:rsid w:val="000B7638"/>
    <w:rsid w:val="000C0F9F"/>
    <w:rsid w:val="000C2645"/>
    <w:rsid w:val="000C2FB4"/>
    <w:rsid w:val="000C6C93"/>
    <w:rsid w:val="000D27C6"/>
    <w:rsid w:val="000D6E7F"/>
    <w:rsid w:val="000E2723"/>
    <w:rsid w:val="000E58ED"/>
    <w:rsid w:val="000E73AA"/>
    <w:rsid w:val="000F0883"/>
    <w:rsid w:val="000F6FDF"/>
    <w:rsid w:val="0010027F"/>
    <w:rsid w:val="001005E5"/>
    <w:rsid w:val="001009C3"/>
    <w:rsid w:val="00100A5D"/>
    <w:rsid w:val="001013EC"/>
    <w:rsid w:val="00102627"/>
    <w:rsid w:val="00106489"/>
    <w:rsid w:val="00107F1B"/>
    <w:rsid w:val="001100A9"/>
    <w:rsid w:val="00111D00"/>
    <w:rsid w:val="00113AA9"/>
    <w:rsid w:val="0011681E"/>
    <w:rsid w:val="0011745B"/>
    <w:rsid w:val="00117541"/>
    <w:rsid w:val="001235BF"/>
    <w:rsid w:val="0012409C"/>
    <w:rsid w:val="00126F81"/>
    <w:rsid w:val="001357B9"/>
    <w:rsid w:val="001415E5"/>
    <w:rsid w:val="001426F2"/>
    <w:rsid w:val="00143CA0"/>
    <w:rsid w:val="001526D1"/>
    <w:rsid w:val="00166611"/>
    <w:rsid w:val="00170663"/>
    <w:rsid w:val="00175E8D"/>
    <w:rsid w:val="001773AD"/>
    <w:rsid w:val="00181CEF"/>
    <w:rsid w:val="00190485"/>
    <w:rsid w:val="00193240"/>
    <w:rsid w:val="00194B23"/>
    <w:rsid w:val="00195242"/>
    <w:rsid w:val="00197115"/>
    <w:rsid w:val="001A0595"/>
    <w:rsid w:val="001A2B19"/>
    <w:rsid w:val="001A42DD"/>
    <w:rsid w:val="001A6B49"/>
    <w:rsid w:val="001C034F"/>
    <w:rsid w:val="001C6283"/>
    <w:rsid w:val="001D14D7"/>
    <w:rsid w:val="001D1AEE"/>
    <w:rsid w:val="001D2724"/>
    <w:rsid w:val="001D5073"/>
    <w:rsid w:val="001E1F43"/>
    <w:rsid w:val="001E7A9D"/>
    <w:rsid w:val="001E7D24"/>
    <w:rsid w:val="001F437C"/>
    <w:rsid w:val="001F66D7"/>
    <w:rsid w:val="00200F86"/>
    <w:rsid w:val="0020221B"/>
    <w:rsid w:val="002025B0"/>
    <w:rsid w:val="002045FF"/>
    <w:rsid w:val="00204A2C"/>
    <w:rsid w:val="00204D2B"/>
    <w:rsid w:val="00205B17"/>
    <w:rsid w:val="00207D78"/>
    <w:rsid w:val="00210CDE"/>
    <w:rsid w:val="002161F1"/>
    <w:rsid w:val="002204B3"/>
    <w:rsid w:val="00222027"/>
    <w:rsid w:val="002224A4"/>
    <w:rsid w:val="00223A58"/>
    <w:rsid w:val="00226984"/>
    <w:rsid w:val="002301D2"/>
    <w:rsid w:val="00232F79"/>
    <w:rsid w:val="0023437B"/>
    <w:rsid w:val="00237420"/>
    <w:rsid w:val="00240E46"/>
    <w:rsid w:val="00242182"/>
    <w:rsid w:val="0024713C"/>
    <w:rsid w:val="0025011D"/>
    <w:rsid w:val="00252478"/>
    <w:rsid w:val="00253B85"/>
    <w:rsid w:val="00257FAD"/>
    <w:rsid w:val="00267A49"/>
    <w:rsid w:val="00273568"/>
    <w:rsid w:val="00277E56"/>
    <w:rsid w:val="0028340E"/>
    <w:rsid w:val="00291606"/>
    <w:rsid w:val="00292BAE"/>
    <w:rsid w:val="002A1012"/>
    <w:rsid w:val="002A1DF6"/>
    <w:rsid w:val="002A33AF"/>
    <w:rsid w:val="002A7D86"/>
    <w:rsid w:val="002B0727"/>
    <w:rsid w:val="002B30A4"/>
    <w:rsid w:val="002B6D60"/>
    <w:rsid w:val="002C0F1C"/>
    <w:rsid w:val="002C5267"/>
    <w:rsid w:val="002C60CD"/>
    <w:rsid w:val="002C6E61"/>
    <w:rsid w:val="002C7816"/>
    <w:rsid w:val="002D2E52"/>
    <w:rsid w:val="002D397E"/>
    <w:rsid w:val="002D45F8"/>
    <w:rsid w:val="002D47EC"/>
    <w:rsid w:val="002D6C2A"/>
    <w:rsid w:val="002D6D12"/>
    <w:rsid w:val="002E213C"/>
    <w:rsid w:val="002E3CE6"/>
    <w:rsid w:val="002E4A49"/>
    <w:rsid w:val="002E5E2D"/>
    <w:rsid w:val="002F3577"/>
    <w:rsid w:val="002F4B4B"/>
    <w:rsid w:val="002F5CE8"/>
    <w:rsid w:val="003076EB"/>
    <w:rsid w:val="00310CBA"/>
    <w:rsid w:val="00313020"/>
    <w:rsid w:val="003158B3"/>
    <w:rsid w:val="003164DF"/>
    <w:rsid w:val="00317225"/>
    <w:rsid w:val="003211B9"/>
    <w:rsid w:val="003212E1"/>
    <w:rsid w:val="0032365D"/>
    <w:rsid w:val="00323AD8"/>
    <w:rsid w:val="00324EAE"/>
    <w:rsid w:val="00326722"/>
    <w:rsid w:val="00346075"/>
    <w:rsid w:val="00347521"/>
    <w:rsid w:val="00351448"/>
    <w:rsid w:val="0035252E"/>
    <w:rsid w:val="00352CA3"/>
    <w:rsid w:val="00357593"/>
    <w:rsid w:val="00361423"/>
    <w:rsid w:val="00363BE1"/>
    <w:rsid w:val="00371305"/>
    <w:rsid w:val="00371E58"/>
    <w:rsid w:val="00382340"/>
    <w:rsid w:val="00390604"/>
    <w:rsid w:val="00391222"/>
    <w:rsid w:val="00391F87"/>
    <w:rsid w:val="0039394E"/>
    <w:rsid w:val="003940B8"/>
    <w:rsid w:val="00395AFA"/>
    <w:rsid w:val="00396132"/>
    <w:rsid w:val="00396398"/>
    <w:rsid w:val="00396993"/>
    <w:rsid w:val="003A06B4"/>
    <w:rsid w:val="003A2D09"/>
    <w:rsid w:val="003A3070"/>
    <w:rsid w:val="003A38D4"/>
    <w:rsid w:val="003A6350"/>
    <w:rsid w:val="003A7B02"/>
    <w:rsid w:val="003B265B"/>
    <w:rsid w:val="003B31E8"/>
    <w:rsid w:val="003B73D3"/>
    <w:rsid w:val="003C0686"/>
    <w:rsid w:val="003C0F20"/>
    <w:rsid w:val="003C26E3"/>
    <w:rsid w:val="003C293A"/>
    <w:rsid w:val="003C336E"/>
    <w:rsid w:val="003C45F6"/>
    <w:rsid w:val="003C49C9"/>
    <w:rsid w:val="003C7458"/>
    <w:rsid w:val="003D1D1C"/>
    <w:rsid w:val="003D31A7"/>
    <w:rsid w:val="003D38A9"/>
    <w:rsid w:val="003D6A95"/>
    <w:rsid w:val="003D7D6E"/>
    <w:rsid w:val="003E35F2"/>
    <w:rsid w:val="003E6B96"/>
    <w:rsid w:val="003F0738"/>
    <w:rsid w:val="003F08E6"/>
    <w:rsid w:val="003F0B1E"/>
    <w:rsid w:val="003F102B"/>
    <w:rsid w:val="003F397A"/>
    <w:rsid w:val="003F5515"/>
    <w:rsid w:val="003F668C"/>
    <w:rsid w:val="00402ECB"/>
    <w:rsid w:val="00404A66"/>
    <w:rsid w:val="00410C84"/>
    <w:rsid w:val="00411435"/>
    <w:rsid w:val="00413A54"/>
    <w:rsid w:val="00413F25"/>
    <w:rsid w:val="00417D85"/>
    <w:rsid w:val="004200DC"/>
    <w:rsid w:val="00421FEF"/>
    <w:rsid w:val="00423565"/>
    <w:rsid w:val="00424BC7"/>
    <w:rsid w:val="00426B0E"/>
    <w:rsid w:val="00427614"/>
    <w:rsid w:val="00427CBF"/>
    <w:rsid w:val="0043425C"/>
    <w:rsid w:val="004342C9"/>
    <w:rsid w:val="0043744A"/>
    <w:rsid w:val="0044069F"/>
    <w:rsid w:val="0044430E"/>
    <w:rsid w:val="004478CB"/>
    <w:rsid w:val="00450E0E"/>
    <w:rsid w:val="00453F32"/>
    <w:rsid w:val="00457A03"/>
    <w:rsid w:val="0046045C"/>
    <w:rsid w:val="0046295F"/>
    <w:rsid w:val="004656EB"/>
    <w:rsid w:val="004707B9"/>
    <w:rsid w:val="0047498F"/>
    <w:rsid w:val="004753BE"/>
    <w:rsid w:val="004759DC"/>
    <w:rsid w:val="00477134"/>
    <w:rsid w:val="00483936"/>
    <w:rsid w:val="00487151"/>
    <w:rsid w:val="00490059"/>
    <w:rsid w:val="00490979"/>
    <w:rsid w:val="004954FD"/>
    <w:rsid w:val="00496217"/>
    <w:rsid w:val="00497CC5"/>
    <w:rsid w:val="004A0875"/>
    <w:rsid w:val="004A22E0"/>
    <w:rsid w:val="004A4423"/>
    <w:rsid w:val="004A5E4C"/>
    <w:rsid w:val="004B0CD7"/>
    <w:rsid w:val="004B0D8E"/>
    <w:rsid w:val="004B5465"/>
    <w:rsid w:val="004B6DD1"/>
    <w:rsid w:val="004C43BB"/>
    <w:rsid w:val="004C545E"/>
    <w:rsid w:val="004C60CD"/>
    <w:rsid w:val="004D1030"/>
    <w:rsid w:val="004D2173"/>
    <w:rsid w:val="004D50F3"/>
    <w:rsid w:val="004D7DAB"/>
    <w:rsid w:val="004E3CB7"/>
    <w:rsid w:val="004E4436"/>
    <w:rsid w:val="004E48A9"/>
    <w:rsid w:val="004E4F5D"/>
    <w:rsid w:val="004F1526"/>
    <w:rsid w:val="004F31A8"/>
    <w:rsid w:val="004F4F0A"/>
    <w:rsid w:val="004F7706"/>
    <w:rsid w:val="0050093B"/>
    <w:rsid w:val="0050150E"/>
    <w:rsid w:val="00502A0E"/>
    <w:rsid w:val="00504DB7"/>
    <w:rsid w:val="00505A4E"/>
    <w:rsid w:val="00505AE6"/>
    <w:rsid w:val="00510736"/>
    <w:rsid w:val="005119E0"/>
    <w:rsid w:val="00512ACE"/>
    <w:rsid w:val="005176A7"/>
    <w:rsid w:val="0052153A"/>
    <w:rsid w:val="00521BCE"/>
    <w:rsid w:val="00523AAF"/>
    <w:rsid w:val="00523CB2"/>
    <w:rsid w:val="005263AD"/>
    <w:rsid w:val="00526D74"/>
    <w:rsid w:val="00527074"/>
    <w:rsid w:val="005309A6"/>
    <w:rsid w:val="00533D59"/>
    <w:rsid w:val="005363BA"/>
    <w:rsid w:val="005434F3"/>
    <w:rsid w:val="00546AAB"/>
    <w:rsid w:val="00547E90"/>
    <w:rsid w:val="00550D96"/>
    <w:rsid w:val="005518B5"/>
    <w:rsid w:val="00553E6F"/>
    <w:rsid w:val="00555A30"/>
    <w:rsid w:val="005568EE"/>
    <w:rsid w:val="00562448"/>
    <w:rsid w:val="00562593"/>
    <w:rsid w:val="00563936"/>
    <w:rsid w:val="0056455B"/>
    <w:rsid w:val="0056539B"/>
    <w:rsid w:val="005662ED"/>
    <w:rsid w:val="00566861"/>
    <w:rsid w:val="00570B04"/>
    <w:rsid w:val="00571092"/>
    <w:rsid w:val="00572E77"/>
    <w:rsid w:val="0057543C"/>
    <w:rsid w:val="00580F8F"/>
    <w:rsid w:val="00582A17"/>
    <w:rsid w:val="00587A0A"/>
    <w:rsid w:val="00594D02"/>
    <w:rsid w:val="005976CB"/>
    <w:rsid w:val="005A3D76"/>
    <w:rsid w:val="005A5CAB"/>
    <w:rsid w:val="005A6FBD"/>
    <w:rsid w:val="005B4A3B"/>
    <w:rsid w:val="005B675F"/>
    <w:rsid w:val="005C08C7"/>
    <w:rsid w:val="005C269B"/>
    <w:rsid w:val="005C3EFA"/>
    <w:rsid w:val="005D486C"/>
    <w:rsid w:val="005D4D63"/>
    <w:rsid w:val="005D6E67"/>
    <w:rsid w:val="005E10CE"/>
    <w:rsid w:val="005E2BD6"/>
    <w:rsid w:val="005E591F"/>
    <w:rsid w:val="005E66D8"/>
    <w:rsid w:val="005E72C4"/>
    <w:rsid w:val="005E7BF0"/>
    <w:rsid w:val="005F3DBB"/>
    <w:rsid w:val="00601097"/>
    <w:rsid w:val="006019C6"/>
    <w:rsid w:val="006068B9"/>
    <w:rsid w:val="006072CC"/>
    <w:rsid w:val="00607468"/>
    <w:rsid w:val="00607E22"/>
    <w:rsid w:val="00611802"/>
    <w:rsid w:val="00615C53"/>
    <w:rsid w:val="00623C46"/>
    <w:rsid w:val="00623EE1"/>
    <w:rsid w:val="00623F71"/>
    <w:rsid w:val="00624BF9"/>
    <w:rsid w:val="006309AD"/>
    <w:rsid w:val="006316A1"/>
    <w:rsid w:val="00632EF9"/>
    <w:rsid w:val="00634422"/>
    <w:rsid w:val="006359AD"/>
    <w:rsid w:val="00643A31"/>
    <w:rsid w:val="00643B30"/>
    <w:rsid w:val="006459E6"/>
    <w:rsid w:val="006516A8"/>
    <w:rsid w:val="006519DF"/>
    <w:rsid w:val="00656113"/>
    <w:rsid w:val="00656839"/>
    <w:rsid w:val="00661E6D"/>
    <w:rsid w:val="006620E2"/>
    <w:rsid w:val="00664A7B"/>
    <w:rsid w:val="0066640B"/>
    <w:rsid w:val="00670256"/>
    <w:rsid w:val="006773B0"/>
    <w:rsid w:val="00682F8A"/>
    <w:rsid w:val="00683AE5"/>
    <w:rsid w:val="00686746"/>
    <w:rsid w:val="00687EF0"/>
    <w:rsid w:val="00690B9A"/>
    <w:rsid w:val="00690CCF"/>
    <w:rsid w:val="00694589"/>
    <w:rsid w:val="00695121"/>
    <w:rsid w:val="00696D66"/>
    <w:rsid w:val="00697ED8"/>
    <w:rsid w:val="006A0F0C"/>
    <w:rsid w:val="006A169F"/>
    <w:rsid w:val="006B00BE"/>
    <w:rsid w:val="006B2897"/>
    <w:rsid w:val="006B317B"/>
    <w:rsid w:val="006B77CA"/>
    <w:rsid w:val="006C009A"/>
    <w:rsid w:val="006C2138"/>
    <w:rsid w:val="006C6A2D"/>
    <w:rsid w:val="006D0739"/>
    <w:rsid w:val="006E36B3"/>
    <w:rsid w:val="006F013A"/>
    <w:rsid w:val="006F1855"/>
    <w:rsid w:val="006F3F3E"/>
    <w:rsid w:val="006F42A6"/>
    <w:rsid w:val="006F6539"/>
    <w:rsid w:val="006F67A9"/>
    <w:rsid w:val="0070174E"/>
    <w:rsid w:val="00701E2B"/>
    <w:rsid w:val="00702BD1"/>
    <w:rsid w:val="00703DB0"/>
    <w:rsid w:val="00712F04"/>
    <w:rsid w:val="007149DF"/>
    <w:rsid w:val="00715D10"/>
    <w:rsid w:val="00717C0D"/>
    <w:rsid w:val="00721777"/>
    <w:rsid w:val="00723BC9"/>
    <w:rsid w:val="007243B0"/>
    <w:rsid w:val="007269C2"/>
    <w:rsid w:val="007367DE"/>
    <w:rsid w:val="00736D3A"/>
    <w:rsid w:val="00737AA7"/>
    <w:rsid w:val="0074706B"/>
    <w:rsid w:val="007473B4"/>
    <w:rsid w:val="00752D6A"/>
    <w:rsid w:val="00752E7B"/>
    <w:rsid w:val="007530FA"/>
    <w:rsid w:val="0075487A"/>
    <w:rsid w:val="0075580F"/>
    <w:rsid w:val="0075586B"/>
    <w:rsid w:val="00761052"/>
    <w:rsid w:val="007614E3"/>
    <w:rsid w:val="0076166A"/>
    <w:rsid w:val="00762AD5"/>
    <w:rsid w:val="0076503B"/>
    <w:rsid w:val="007657E2"/>
    <w:rsid w:val="00765849"/>
    <w:rsid w:val="007662D1"/>
    <w:rsid w:val="00770032"/>
    <w:rsid w:val="007727EC"/>
    <w:rsid w:val="00773181"/>
    <w:rsid w:val="007739F6"/>
    <w:rsid w:val="00774462"/>
    <w:rsid w:val="007758FB"/>
    <w:rsid w:val="00777263"/>
    <w:rsid w:val="007778FC"/>
    <w:rsid w:val="00781DB4"/>
    <w:rsid w:val="00782FFF"/>
    <w:rsid w:val="0078418A"/>
    <w:rsid w:val="00784C1E"/>
    <w:rsid w:val="007862F5"/>
    <w:rsid w:val="0078667A"/>
    <w:rsid w:val="00786997"/>
    <w:rsid w:val="00790276"/>
    <w:rsid w:val="00791BB5"/>
    <w:rsid w:val="007A1DE2"/>
    <w:rsid w:val="007A406F"/>
    <w:rsid w:val="007A5726"/>
    <w:rsid w:val="007A600D"/>
    <w:rsid w:val="007B01C2"/>
    <w:rsid w:val="007B4AE3"/>
    <w:rsid w:val="007C321E"/>
    <w:rsid w:val="007C63D1"/>
    <w:rsid w:val="007C64A3"/>
    <w:rsid w:val="007C720A"/>
    <w:rsid w:val="007D2610"/>
    <w:rsid w:val="007D31D5"/>
    <w:rsid w:val="007D3337"/>
    <w:rsid w:val="007E0685"/>
    <w:rsid w:val="007E1BEA"/>
    <w:rsid w:val="007E1C63"/>
    <w:rsid w:val="007F48B2"/>
    <w:rsid w:val="00805104"/>
    <w:rsid w:val="0080605E"/>
    <w:rsid w:val="00807076"/>
    <w:rsid w:val="008106F4"/>
    <w:rsid w:val="0081107B"/>
    <w:rsid w:val="00815414"/>
    <w:rsid w:val="00821026"/>
    <w:rsid w:val="008231DD"/>
    <w:rsid w:val="00826508"/>
    <w:rsid w:val="008271B7"/>
    <w:rsid w:val="00831AEF"/>
    <w:rsid w:val="00835271"/>
    <w:rsid w:val="00846969"/>
    <w:rsid w:val="00846F86"/>
    <w:rsid w:val="008512CA"/>
    <w:rsid w:val="008548B4"/>
    <w:rsid w:val="00856CC7"/>
    <w:rsid w:val="00856EA9"/>
    <w:rsid w:val="00862338"/>
    <w:rsid w:val="00867C90"/>
    <w:rsid w:val="00870DC6"/>
    <w:rsid w:val="00871DB5"/>
    <w:rsid w:val="008721B3"/>
    <w:rsid w:val="0087581B"/>
    <w:rsid w:val="008852A3"/>
    <w:rsid w:val="00886BAF"/>
    <w:rsid w:val="0089177B"/>
    <w:rsid w:val="008950B2"/>
    <w:rsid w:val="008963A3"/>
    <w:rsid w:val="008A06C8"/>
    <w:rsid w:val="008A166F"/>
    <w:rsid w:val="008A18F6"/>
    <w:rsid w:val="008A3510"/>
    <w:rsid w:val="008A45C0"/>
    <w:rsid w:val="008A7C13"/>
    <w:rsid w:val="008B027D"/>
    <w:rsid w:val="008B1B78"/>
    <w:rsid w:val="008B6A76"/>
    <w:rsid w:val="008C7163"/>
    <w:rsid w:val="008C75AB"/>
    <w:rsid w:val="008D1549"/>
    <w:rsid w:val="008D17B2"/>
    <w:rsid w:val="008D5EB2"/>
    <w:rsid w:val="008D60DB"/>
    <w:rsid w:val="008E2446"/>
    <w:rsid w:val="008E26EB"/>
    <w:rsid w:val="008E29B1"/>
    <w:rsid w:val="008E4E96"/>
    <w:rsid w:val="008F0A06"/>
    <w:rsid w:val="008F106D"/>
    <w:rsid w:val="008F1E26"/>
    <w:rsid w:val="008F503B"/>
    <w:rsid w:val="008F69A0"/>
    <w:rsid w:val="0090330F"/>
    <w:rsid w:val="00903748"/>
    <w:rsid w:val="0090482B"/>
    <w:rsid w:val="0090612A"/>
    <w:rsid w:val="009163D3"/>
    <w:rsid w:val="009169A2"/>
    <w:rsid w:val="00921969"/>
    <w:rsid w:val="0092409B"/>
    <w:rsid w:val="00924D78"/>
    <w:rsid w:val="00926658"/>
    <w:rsid w:val="009319E6"/>
    <w:rsid w:val="00936B23"/>
    <w:rsid w:val="00940BAE"/>
    <w:rsid w:val="0094273C"/>
    <w:rsid w:val="0094337C"/>
    <w:rsid w:val="00953F37"/>
    <w:rsid w:val="009553E5"/>
    <w:rsid w:val="009553EE"/>
    <w:rsid w:val="00961775"/>
    <w:rsid w:val="00963230"/>
    <w:rsid w:val="00970C21"/>
    <w:rsid w:val="00973EB8"/>
    <w:rsid w:val="009745AC"/>
    <w:rsid w:val="00974CB3"/>
    <w:rsid w:val="0097553C"/>
    <w:rsid w:val="00977552"/>
    <w:rsid w:val="009806A6"/>
    <w:rsid w:val="00983DC4"/>
    <w:rsid w:val="009872A4"/>
    <w:rsid w:val="00987384"/>
    <w:rsid w:val="00992BE1"/>
    <w:rsid w:val="00993ABF"/>
    <w:rsid w:val="00993C94"/>
    <w:rsid w:val="00994256"/>
    <w:rsid w:val="009A0618"/>
    <w:rsid w:val="009A0B8F"/>
    <w:rsid w:val="009A3560"/>
    <w:rsid w:val="009A3C0E"/>
    <w:rsid w:val="009A733F"/>
    <w:rsid w:val="009B1F88"/>
    <w:rsid w:val="009B2BCD"/>
    <w:rsid w:val="009B3A39"/>
    <w:rsid w:val="009B4FCD"/>
    <w:rsid w:val="009B58CF"/>
    <w:rsid w:val="009B7253"/>
    <w:rsid w:val="009B7432"/>
    <w:rsid w:val="009B7E30"/>
    <w:rsid w:val="009C3339"/>
    <w:rsid w:val="009C41AC"/>
    <w:rsid w:val="009C7DA8"/>
    <w:rsid w:val="009D26C4"/>
    <w:rsid w:val="009E1A72"/>
    <w:rsid w:val="009E4921"/>
    <w:rsid w:val="009F0018"/>
    <w:rsid w:val="009F5EE8"/>
    <w:rsid w:val="009F62C9"/>
    <w:rsid w:val="00A031BF"/>
    <w:rsid w:val="00A06333"/>
    <w:rsid w:val="00A11CBB"/>
    <w:rsid w:val="00A14AAB"/>
    <w:rsid w:val="00A15897"/>
    <w:rsid w:val="00A20CB8"/>
    <w:rsid w:val="00A21916"/>
    <w:rsid w:val="00A21CC0"/>
    <w:rsid w:val="00A23F0B"/>
    <w:rsid w:val="00A249DC"/>
    <w:rsid w:val="00A25636"/>
    <w:rsid w:val="00A26910"/>
    <w:rsid w:val="00A314A5"/>
    <w:rsid w:val="00A331CC"/>
    <w:rsid w:val="00A33EB7"/>
    <w:rsid w:val="00A348D1"/>
    <w:rsid w:val="00A40515"/>
    <w:rsid w:val="00A40C3A"/>
    <w:rsid w:val="00A4236A"/>
    <w:rsid w:val="00A47F32"/>
    <w:rsid w:val="00A52311"/>
    <w:rsid w:val="00A545C2"/>
    <w:rsid w:val="00A56C21"/>
    <w:rsid w:val="00A61AF2"/>
    <w:rsid w:val="00A70885"/>
    <w:rsid w:val="00A7173E"/>
    <w:rsid w:val="00A758A9"/>
    <w:rsid w:val="00A763E8"/>
    <w:rsid w:val="00A77777"/>
    <w:rsid w:val="00A779AF"/>
    <w:rsid w:val="00A77D45"/>
    <w:rsid w:val="00A81EFA"/>
    <w:rsid w:val="00A8200F"/>
    <w:rsid w:val="00A84B6E"/>
    <w:rsid w:val="00A84C12"/>
    <w:rsid w:val="00A8637B"/>
    <w:rsid w:val="00A87888"/>
    <w:rsid w:val="00A87FA2"/>
    <w:rsid w:val="00A90656"/>
    <w:rsid w:val="00A94124"/>
    <w:rsid w:val="00AA1294"/>
    <w:rsid w:val="00AA1430"/>
    <w:rsid w:val="00AA1C64"/>
    <w:rsid w:val="00AA3BC0"/>
    <w:rsid w:val="00AA42BC"/>
    <w:rsid w:val="00AA6A36"/>
    <w:rsid w:val="00AA798B"/>
    <w:rsid w:val="00AB306C"/>
    <w:rsid w:val="00AB53B6"/>
    <w:rsid w:val="00AC3F5D"/>
    <w:rsid w:val="00AC428A"/>
    <w:rsid w:val="00AC4B7E"/>
    <w:rsid w:val="00AC52A2"/>
    <w:rsid w:val="00AC6A2F"/>
    <w:rsid w:val="00AD1150"/>
    <w:rsid w:val="00AD1FFB"/>
    <w:rsid w:val="00AD418C"/>
    <w:rsid w:val="00AD57F1"/>
    <w:rsid w:val="00AD5E37"/>
    <w:rsid w:val="00AE0F66"/>
    <w:rsid w:val="00AE17CE"/>
    <w:rsid w:val="00AE3B79"/>
    <w:rsid w:val="00AE3CED"/>
    <w:rsid w:val="00AE7FEA"/>
    <w:rsid w:val="00AF19D0"/>
    <w:rsid w:val="00AF1D8A"/>
    <w:rsid w:val="00AF39C0"/>
    <w:rsid w:val="00B00039"/>
    <w:rsid w:val="00B01617"/>
    <w:rsid w:val="00B019EF"/>
    <w:rsid w:val="00B02797"/>
    <w:rsid w:val="00B04114"/>
    <w:rsid w:val="00B042BF"/>
    <w:rsid w:val="00B051B2"/>
    <w:rsid w:val="00B05CE8"/>
    <w:rsid w:val="00B061C3"/>
    <w:rsid w:val="00B06506"/>
    <w:rsid w:val="00B1024F"/>
    <w:rsid w:val="00B1509A"/>
    <w:rsid w:val="00B1581A"/>
    <w:rsid w:val="00B158E0"/>
    <w:rsid w:val="00B17289"/>
    <w:rsid w:val="00B21C85"/>
    <w:rsid w:val="00B22F5B"/>
    <w:rsid w:val="00B3033E"/>
    <w:rsid w:val="00B35380"/>
    <w:rsid w:val="00B36995"/>
    <w:rsid w:val="00B36ECF"/>
    <w:rsid w:val="00B41D07"/>
    <w:rsid w:val="00B42C4E"/>
    <w:rsid w:val="00B53003"/>
    <w:rsid w:val="00B54DF6"/>
    <w:rsid w:val="00B550BC"/>
    <w:rsid w:val="00B63621"/>
    <w:rsid w:val="00B65D14"/>
    <w:rsid w:val="00B701CE"/>
    <w:rsid w:val="00B74057"/>
    <w:rsid w:val="00B748A8"/>
    <w:rsid w:val="00B74FC6"/>
    <w:rsid w:val="00B76CCA"/>
    <w:rsid w:val="00B837A7"/>
    <w:rsid w:val="00B85B56"/>
    <w:rsid w:val="00B87CA5"/>
    <w:rsid w:val="00B9244E"/>
    <w:rsid w:val="00B93CAF"/>
    <w:rsid w:val="00B96706"/>
    <w:rsid w:val="00B96E16"/>
    <w:rsid w:val="00B97171"/>
    <w:rsid w:val="00BA076D"/>
    <w:rsid w:val="00BA3158"/>
    <w:rsid w:val="00BA3348"/>
    <w:rsid w:val="00BA3642"/>
    <w:rsid w:val="00BB211F"/>
    <w:rsid w:val="00BB21EA"/>
    <w:rsid w:val="00BB2EE7"/>
    <w:rsid w:val="00BB60B7"/>
    <w:rsid w:val="00BC19BC"/>
    <w:rsid w:val="00BC1EC0"/>
    <w:rsid w:val="00BC5BF5"/>
    <w:rsid w:val="00BC6D55"/>
    <w:rsid w:val="00BC7ECA"/>
    <w:rsid w:val="00BD0387"/>
    <w:rsid w:val="00BD0F0B"/>
    <w:rsid w:val="00BD1C9B"/>
    <w:rsid w:val="00BD36D5"/>
    <w:rsid w:val="00BD3FAB"/>
    <w:rsid w:val="00BD51F6"/>
    <w:rsid w:val="00BD7BE9"/>
    <w:rsid w:val="00BE01F3"/>
    <w:rsid w:val="00BE32E6"/>
    <w:rsid w:val="00BE3FEE"/>
    <w:rsid w:val="00BE4000"/>
    <w:rsid w:val="00BF22A8"/>
    <w:rsid w:val="00BF4A38"/>
    <w:rsid w:val="00BF78D6"/>
    <w:rsid w:val="00BF79E7"/>
    <w:rsid w:val="00C01F08"/>
    <w:rsid w:val="00C02EC0"/>
    <w:rsid w:val="00C047A4"/>
    <w:rsid w:val="00C076D6"/>
    <w:rsid w:val="00C0785C"/>
    <w:rsid w:val="00C07FE1"/>
    <w:rsid w:val="00C126A4"/>
    <w:rsid w:val="00C14E91"/>
    <w:rsid w:val="00C15FE1"/>
    <w:rsid w:val="00C165C0"/>
    <w:rsid w:val="00C17EAD"/>
    <w:rsid w:val="00C30422"/>
    <w:rsid w:val="00C31EA5"/>
    <w:rsid w:val="00C33335"/>
    <w:rsid w:val="00C37ED7"/>
    <w:rsid w:val="00C427B7"/>
    <w:rsid w:val="00C44C55"/>
    <w:rsid w:val="00C45F7D"/>
    <w:rsid w:val="00C53CE5"/>
    <w:rsid w:val="00C5402D"/>
    <w:rsid w:val="00C5606F"/>
    <w:rsid w:val="00C60FC2"/>
    <w:rsid w:val="00C6700B"/>
    <w:rsid w:val="00C67710"/>
    <w:rsid w:val="00C6777A"/>
    <w:rsid w:val="00C67816"/>
    <w:rsid w:val="00C739E3"/>
    <w:rsid w:val="00C77075"/>
    <w:rsid w:val="00C812FC"/>
    <w:rsid w:val="00C9287B"/>
    <w:rsid w:val="00C9757A"/>
    <w:rsid w:val="00C97AAD"/>
    <w:rsid w:val="00CA4454"/>
    <w:rsid w:val="00CA483B"/>
    <w:rsid w:val="00CA4A01"/>
    <w:rsid w:val="00CA6E0B"/>
    <w:rsid w:val="00CA7E63"/>
    <w:rsid w:val="00CB73D9"/>
    <w:rsid w:val="00CC1701"/>
    <w:rsid w:val="00CC2133"/>
    <w:rsid w:val="00CC2719"/>
    <w:rsid w:val="00CC42EF"/>
    <w:rsid w:val="00CD6AFD"/>
    <w:rsid w:val="00CE177A"/>
    <w:rsid w:val="00CE20CA"/>
    <w:rsid w:val="00CE43A0"/>
    <w:rsid w:val="00CE44F4"/>
    <w:rsid w:val="00CE59AF"/>
    <w:rsid w:val="00CE726B"/>
    <w:rsid w:val="00CF0C2B"/>
    <w:rsid w:val="00CF1536"/>
    <w:rsid w:val="00CF1750"/>
    <w:rsid w:val="00CF1C76"/>
    <w:rsid w:val="00CF7351"/>
    <w:rsid w:val="00D0074C"/>
    <w:rsid w:val="00D00A54"/>
    <w:rsid w:val="00D03320"/>
    <w:rsid w:val="00D0736E"/>
    <w:rsid w:val="00D07BC4"/>
    <w:rsid w:val="00D10FAE"/>
    <w:rsid w:val="00D117CC"/>
    <w:rsid w:val="00D14426"/>
    <w:rsid w:val="00D147FA"/>
    <w:rsid w:val="00D14FA9"/>
    <w:rsid w:val="00D154D4"/>
    <w:rsid w:val="00D16777"/>
    <w:rsid w:val="00D24BBD"/>
    <w:rsid w:val="00D25D9F"/>
    <w:rsid w:val="00D35187"/>
    <w:rsid w:val="00D351FB"/>
    <w:rsid w:val="00D41452"/>
    <w:rsid w:val="00D41C32"/>
    <w:rsid w:val="00D43054"/>
    <w:rsid w:val="00D43A1E"/>
    <w:rsid w:val="00D4580F"/>
    <w:rsid w:val="00D5200A"/>
    <w:rsid w:val="00D53537"/>
    <w:rsid w:val="00D54547"/>
    <w:rsid w:val="00D552E5"/>
    <w:rsid w:val="00D6577B"/>
    <w:rsid w:val="00D660F6"/>
    <w:rsid w:val="00D674E7"/>
    <w:rsid w:val="00D72588"/>
    <w:rsid w:val="00D8026B"/>
    <w:rsid w:val="00D834A7"/>
    <w:rsid w:val="00D92099"/>
    <w:rsid w:val="00D9465C"/>
    <w:rsid w:val="00D955EA"/>
    <w:rsid w:val="00D95F7F"/>
    <w:rsid w:val="00D97C34"/>
    <w:rsid w:val="00DA1D44"/>
    <w:rsid w:val="00DA375D"/>
    <w:rsid w:val="00DA6C05"/>
    <w:rsid w:val="00DB10D7"/>
    <w:rsid w:val="00DB14BB"/>
    <w:rsid w:val="00DB1F2E"/>
    <w:rsid w:val="00DB27A1"/>
    <w:rsid w:val="00DB3567"/>
    <w:rsid w:val="00DC0735"/>
    <w:rsid w:val="00DC1F94"/>
    <w:rsid w:val="00DC50DC"/>
    <w:rsid w:val="00DC6028"/>
    <w:rsid w:val="00DC6C00"/>
    <w:rsid w:val="00DD3538"/>
    <w:rsid w:val="00DD521C"/>
    <w:rsid w:val="00DE194E"/>
    <w:rsid w:val="00DE1B05"/>
    <w:rsid w:val="00DE4C93"/>
    <w:rsid w:val="00DE4D2C"/>
    <w:rsid w:val="00DE5778"/>
    <w:rsid w:val="00DF1519"/>
    <w:rsid w:val="00DF3B44"/>
    <w:rsid w:val="00DF4BE7"/>
    <w:rsid w:val="00DF5151"/>
    <w:rsid w:val="00DF6B21"/>
    <w:rsid w:val="00DF6B52"/>
    <w:rsid w:val="00E014C8"/>
    <w:rsid w:val="00E0494E"/>
    <w:rsid w:val="00E05441"/>
    <w:rsid w:val="00E1171C"/>
    <w:rsid w:val="00E14834"/>
    <w:rsid w:val="00E16B41"/>
    <w:rsid w:val="00E16C7C"/>
    <w:rsid w:val="00E17997"/>
    <w:rsid w:val="00E214E5"/>
    <w:rsid w:val="00E216F5"/>
    <w:rsid w:val="00E21CFE"/>
    <w:rsid w:val="00E22A5E"/>
    <w:rsid w:val="00E30CA2"/>
    <w:rsid w:val="00E30FA7"/>
    <w:rsid w:val="00E32B7F"/>
    <w:rsid w:val="00E3667F"/>
    <w:rsid w:val="00E3734D"/>
    <w:rsid w:val="00E37D65"/>
    <w:rsid w:val="00E4427F"/>
    <w:rsid w:val="00E444F5"/>
    <w:rsid w:val="00E44900"/>
    <w:rsid w:val="00E469F2"/>
    <w:rsid w:val="00E504CA"/>
    <w:rsid w:val="00E5191E"/>
    <w:rsid w:val="00E53E37"/>
    <w:rsid w:val="00E55036"/>
    <w:rsid w:val="00E576C2"/>
    <w:rsid w:val="00E62F5F"/>
    <w:rsid w:val="00E653C2"/>
    <w:rsid w:val="00E67033"/>
    <w:rsid w:val="00E70AE6"/>
    <w:rsid w:val="00E70D5B"/>
    <w:rsid w:val="00E71A94"/>
    <w:rsid w:val="00E7337E"/>
    <w:rsid w:val="00E73535"/>
    <w:rsid w:val="00E75475"/>
    <w:rsid w:val="00E8086C"/>
    <w:rsid w:val="00E80CE4"/>
    <w:rsid w:val="00E81891"/>
    <w:rsid w:val="00E842BA"/>
    <w:rsid w:val="00E8627A"/>
    <w:rsid w:val="00E95FA9"/>
    <w:rsid w:val="00E973EF"/>
    <w:rsid w:val="00EA17C4"/>
    <w:rsid w:val="00EA1EC5"/>
    <w:rsid w:val="00EA230B"/>
    <w:rsid w:val="00EA49BE"/>
    <w:rsid w:val="00EA6170"/>
    <w:rsid w:val="00EB4A74"/>
    <w:rsid w:val="00EB5D8F"/>
    <w:rsid w:val="00EB7099"/>
    <w:rsid w:val="00EB79E6"/>
    <w:rsid w:val="00EB7A9F"/>
    <w:rsid w:val="00EC11EC"/>
    <w:rsid w:val="00EC1543"/>
    <w:rsid w:val="00EC1AE7"/>
    <w:rsid w:val="00EC2C2E"/>
    <w:rsid w:val="00EC4CB0"/>
    <w:rsid w:val="00EC4EA1"/>
    <w:rsid w:val="00ED2EDE"/>
    <w:rsid w:val="00ED3095"/>
    <w:rsid w:val="00ED36E2"/>
    <w:rsid w:val="00ED3A8C"/>
    <w:rsid w:val="00ED4E5E"/>
    <w:rsid w:val="00ED5EC2"/>
    <w:rsid w:val="00ED6440"/>
    <w:rsid w:val="00EE311B"/>
    <w:rsid w:val="00EE5955"/>
    <w:rsid w:val="00EE70DE"/>
    <w:rsid w:val="00EE7F34"/>
    <w:rsid w:val="00EF2118"/>
    <w:rsid w:val="00EF498B"/>
    <w:rsid w:val="00EF652A"/>
    <w:rsid w:val="00F00629"/>
    <w:rsid w:val="00F01DD6"/>
    <w:rsid w:val="00F068C2"/>
    <w:rsid w:val="00F13512"/>
    <w:rsid w:val="00F143C7"/>
    <w:rsid w:val="00F1579A"/>
    <w:rsid w:val="00F21A8A"/>
    <w:rsid w:val="00F26881"/>
    <w:rsid w:val="00F27DCA"/>
    <w:rsid w:val="00F30406"/>
    <w:rsid w:val="00F30FDC"/>
    <w:rsid w:val="00F33C0A"/>
    <w:rsid w:val="00F3462F"/>
    <w:rsid w:val="00F35660"/>
    <w:rsid w:val="00F366FA"/>
    <w:rsid w:val="00F40DA8"/>
    <w:rsid w:val="00F434C3"/>
    <w:rsid w:val="00F445E7"/>
    <w:rsid w:val="00F44C88"/>
    <w:rsid w:val="00F5108C"/>
    <w:rsid w:val="00F534AB"/>
    <w:rsid w:val="00F53DED"/>
    <w:rsid w:val="00F646F8"/>
    <w:rsid w:val="00F64C7F"/>
    <w:rsid w:val="00F668FB"/>
    <w:rsid w:val="00F67616"/>
    <w:rsid w:val="00F7228E"/>
    <w:rsid w:val="00F73236"/>
    <w:rsid w:val="00F80A24"/>
    <w:rsid w:val="00F81631"/>
    <w:rsid w:val="00F84684"/>
    <w:rsid w:val="00F85842"/>
    <w:rsid w:val="00F9266F"/>
    <w:rsid w:val="00F92D81"/>
    <w:rsid w:val="00F9391C"/>
    <w:rsid w:val="00F94222"/>
    <w:rsid w:val="00F972B2"/>
    <w:rsid w:val="00FA1B4A"/>
    <w:rsid w:val="00FA2218"/>
    <w:rsid w:val="00FA67DE"/>
    <w:rsid w:val="00FA7E04"/>
    <w:rsid w:val="00FB4D20"/>
    <w:rsid w:val="00FB569A"/>
    <w:rsid w:val="00FB7B7C"/>
    <w:rsid w:val="00FD03CC"/>
    <w:rsid w:val="00FD27B3"/>
    <w:rsid w:val="00FD5D9B"/>
    <w:rsid w:val="00FE0936"/>
    <w:rsid w:val="00FE0E95"/>
    <w:rsid w:val="00FE269C"/>
    <w:rsid w:val="00FE4666"/>
    <w:rsid w:val="00FE4713"/>
    <w:rsid w:val="00FE5D14"/>
    <w:rsid w:val="00FE7C80"/>
    <w:rsid w:val="00FF30D1"/>
    <w:rsid w:val="00FF42D0"/>
    <w:rsid w:val="00FF5C73"/>
    <w:rsid w:val="00FF5F12"/>
    <w:rsid w:val="00FF64C2"/>
    <w:rsid w:val="00FF7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32D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qFormat/>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paragraph" w:styleId="EndnoteText">
    <w:name w:val="endnote text"/>
    <w:basedOn w:val="Normal"/>
    <w:link w:val="EndnoteTextChar"/>
    <w:rsid w:val="00DD3538"/>
    <w:rPr>
      <w:sz w:val="20"/>
      <w:szCs w:val="20"/>
    </w:rPr>
  </w:style>
  <w:style w:type="character" w:customStyle="1" w:styleId="EndnoteTextChar">
    <w:name w:val="Endnote Text Char"/>
    <w:basedOn w:val="DefaultParagraphFont"/>
    <w:link w:val="EndnoteText"/>
    <w:rsid w:val="00DD3538"/>
    <w:rPr>
      <w:rFonts w:ascii="Courier" w:hAnsi="Courier"/>
    </w:rPr>
  </w:style>
  <w:style w:type="character" w:styleId="EndnoteReference">
    <w:name w:val="endnote reference"/>
    <w:basedOn w:val="DefaultParagraphFont"/>
    <w:rsid w:val="00DD3538"/>
    <w:rPr>
      <w:vertAlign w:val="superscript"/>
    </w:rPr>
  </w:style>
  <w:style w:type="paragraph" w:styleId="Revision">
    <w:name w:val="Revision"/>
    <w:hidden/>
    <w:uiPriority w:val="99"/>
    <w:semiHidden/>
    <w:rsid w:val="0032365D"/>
    <w:rPr>
      <w:rFonts w:ascii="Courier" w:hAnsi="Courier"/>
      <w:sz w:val="24"/>
      <w:szCs w:val="24"/>
    </w:rPr>
  </w:style>
  <w:style w:type="table" w:styleId="TableGrid">
    <w:name w:val="Table Grid"/>
    <w:basedOn w:val="TableNormal"/>
    <w:rsid w:val="0087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B2EE7"/>
    <w:rPr>
      <w:rFonts w:ascii="Courier" w:hAnsi="Courier"/>
      <w:sz w:val="24"/>
      <w:szCs w:val="24"/>
    </w:rPr>
  </w:style>
  <w:style w:type="paragraph" w:styleId="ListParagraph">
    <w:name w:val="List Paragraph"/>
    <w:basedOn w:val="Normal"/>
    <w:uiPriority w:val="34"/>
    <w:qFormat/>
    <w:rsid w:val="0094337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FootnoteTextChar2">
    <w:name w:val="Footnote Text Char2"/>
    <w:uiPriority w:val="99"/>
    <w:locked/>
    <w:rsid w:val="00113AA9"/>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qFormat/>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paragraph" w:styleId="EndnoteText">
    <w:name w:val="endnote text"/>
    <w:basedOn w:val="Normal"/>
    <w:link w:val="EndnoteTextChar"/>
    <w:rsid w:val="00DD3538"/>
    <w:rPr>
      <w:sz w:val="20"/>
      <w:szCs w:val="20"/>
    </w:rPr>
  </w:style>
  <w:style w:type="character" w:customStyle="1" w:styleId="EndnoteTextChar">
    <w:name w:val="Endnote Text Char"/>
    <w:basedOn w:val="DefaultParagraphFont"/>
    <w:link w:val="EndnoteText"/>
    <w:rsid w:val="00DD3538"/>
    <w:rPr>
      <w:rFonts w:ascii="Courier" w:hAnsi="Courier"/>
    </w:rPr>
  </w:style>
  <w:style w:type="character" w:styleId="EndnoteReference">
    <w:name w:val="endnote reference"/>
    <w:basedOn w:val="DefaultParagraphFont"/>
    <w:rsid w:val="00DD3538"/>
    <w:rPr>
      <w:vertAlign w:val="superscript"/>
    </w:rPr>
  </w:style>
  <w:style w:type="paragraph" w:styleId="Revision">
    <w:name w:val="Revision"/>
    <w:hidden/>
    <w:uiPriority w:val="99"/>
    <w:semiHidden/>
    <w:rsid w:val="0032365D"/>
    <w:rPr>
      <w:rFonts w:ascii="Courier" w:hAnsi="Courier"/>
      <w:sz w:val="24"/>
      <w:szCs w:val="24"/>
    </w:rPr>
  </w:style>
  <w:style w:type="table" w:styleId="TableGrid">
    <w:name w:val="Table Grid"/>
    <w:basedOn w:val="TableNormal"/>
    <w:rsid w:val="0087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B2EE7"/>
    <w:rPr>
      <w:rFonts w:ascii="Courier" w:hAnsi="Courier"/>
      <w:sz w:val="24"/>
      <w:szCs w:val="24"/>
    </w:rPr>
  </w:style>
  <w:style w:type="paragraph" w:styleId="ListParagraph">
    <w:name w:val="List Paragraph"/>
    <w:basedOn w:val="Normal"/>
    <w:uiPriority w:val="34"/>
    <w:qFormat/>
    <w:rsid w:val="0094337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FootnoteTextChar2">
    <w:name w:val="Footnote Text Char2"/>
    <w:uiPriority w:val="99"/>
    <w:locked/>
    <w:rsid w:val="00113AA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908">
      <w:bodyDiv w:val="1"/>
      <w:marLeft w:val="0"/>
      <w:marRight w:val="0"/>
      <w:marTop w:val="0"/>
      <w:marBottom w:val="0"/>
      <w:divBdr>
        <w:top w:val="none" w:sz="0" w:space="0" w:color="auto"/>
        <w:left w:val="none" w:sz="0" w:space="0" w:color="auto"/>
        <w:bottom w:val="none" w:sz="0" w:space="0" w:color="auto"/>
        <w:right w:val="none" w:sz="0" w:space="0" w:color="auto"/>
      </w:divBdr>
    </w:div>
    <w:div w:id="421875918">
      <w:bodyDiv w:val="1"/>
      <w:marLeft w:val="0"/>
      <w:marRight w:val="0"/>
      <w:marTop w:val="0"/>
      <w:marBottom w:val="0"/>
      <w:divBdr>
        <w:top w:val="none" w:sz="0" w:space="0" w:color="auto"/>
        <w:left w:val="none" w:sz="0" w:space="0" w:color="auto"/>
        <w:bottom w:val="none" w:sz="0" w:space="0" w:color="auto"/>
        <w:right w:val="none" w:sz="0" w:space="0" w:color="auto"/>
      </w:divBdr>
    </w:div>
    <w:div w:id="474878706">
      <w:bodyDiv w:val="1"/>
      <w:marLeft w:val="0"/>
      <w:marRight w:val="0"/>
      <w:marTop w:val="0"/>
      <w:marBottom w:val="0"/>
      <w:divBdr>
        <w:top w:val="none" w:sz="0" w:space="0" w:color="auto"/>
        <w:left w:val="none" w:sz="0" w:space="0" w:color="auto"/>
        <w:bottom w:val="none" w:sz="0" w:space="0" w:color="auto"/>
        <w:right w:val="none" w:sz="0" w:space="0" w:color="auto"/>
      </w:divBdr>
    </w:div>
    <w:div w:id="477696239">
      <w:bodyDiv w:val="1"/>
      <w:marLeft w:val="0"/>
      <w:marRight w:val="0"/>
      <w:marTop w:val="0"/>
      <w:marBottom w:val="0"/>
      <w:divBdr>
        <w:top w:val="none" w:sz="0" w:space="0" w:color="auto"/>
        <w:left w:val="none" w:sz="0" w:space="0" w:color="auto"/>
        <w:bottom w:val="none" w:sz="0" w:space="0" w:color="auto"/>
        <w:right w:val="none" w:sz="0" w:space="0" w:color="auto"/>
      </w:divBdr>
    </w:div>
    <w:div w:id="716053652">
      <w:bodyDiv w:val="1"/>
      <w:marLeft w:val="0"/>
      <w:marRight w:val="0"/>
      <w:marTop w:val="0"/>
      <w:marBottom w:val="0"/>
      <w:divBdr>
        <w:top w:val="none" w:sz="0" w:space="0" w:color="auto"/>
        <w:left w:val="none" w:sz="0" w:space="0" w:color="auto"/>
        <w:bottom w:val="none" w:sz="0" w:space="0" w:color="auto"/>
        <w:right w:val="none" w:sz="0" w:space="0" w:color="auto"/>
      </w:divBdr>
    </w:div>
    <w:div w:id="720903158">
      <w:bodyDiv w:val="1"/>
      <w:marLeft w:val="0"/>
      <w:marRight w:val="0"/>
      <w:marTop w:val="0"/>
      <w:marBottom w:val="0"/>
      <w:divBdr>
        <w:top w:val="none" w:sz="0" w:space="0" w:color="auto"/>
        <w:left w:val="none" w:sz="0" w:space="0" w:color="auto"/>
        <w:bottom w:val="none" w:sz="0" w:space="0" w:color="auto"/>
        <w:right w:val="none" w:sz="0" w:space="0" w:color="auto"/>
      </w:divBdr>
    </w:div>
    <w:div w:id="829323902">
      <w:bodyDiv w:val="1"/>
      <w:marLeft w:val="0"/>
      <w:marRight w:val="0"/>
      <w:marTop w:val="0"/>
      <w:marBottom w:val="0"/>
      <w:divBdr>
        <w:top w:val="none" w:sz="0" w:space="0" w:color="auto"/>
        <w:left w:val="none" w:sz="0" w:space="0" w:color="auto"/>
        <w:bottom w:val="none" w:sz="0" w:space="0" w:color="auto"/>
        <w:right w:val="none" w:sz="0" w:space="0" w:color="auto"/>
      </w:divBdr>
    </w:div>
    <w:div w:id="834537380">
      <w:bodyDiv w:val="1"/>
      <w:marLeft w:val="0"/>
      <w:marRight w:val="0"/>
      <w:marTop w:val="0"/>
      <w:marBottom w:val="0"/>
      <w:divBdr>
        <w:top w:val="none" w:sz="0" w:space="0" w:color="auto"/>
        <w:left w:val="none" w:sz="0" w:space="0" w:color="auto"/>
        <w:bottom w:val="none" w:sz="0" w:space="0" w:color="auto"/>
        <w:right w:val="none" w:sz="0" w:space="0" w:color="auto"/>
      </w:divBdr>
    </w:div>
    <w:div w:id="909079540">
      <w:bodyDiv w:val="1"/>
      <w:marLeft w:val="0"/>
      <w:marRight w:val="0"/>
      <w:marTop w:val="0"/>
      <w:marBottom w:val="0"/>
      <w:divBdr>
        <w:top w:val="none" w:sz="0" w:space="0" w:color="auto"/>
        <w:left w:val="none" w:sz="0" w:space="0" w:color="auto"/>
        <w:bottom w:val="none" w:sz="0" w:space="0" w:color="auto"/>
        <w:right w:val="none" w:sz="0" w:space="0" w:color="auto"/>
      </w:divBdr>
    </w:div>
    <w:div w:id="956373162">
      <w:bodyDiv w:val="1"/>
      <w:marLeft w:val="0"/>
      <w:marRight w:val="0"/>
      <w:marTop w:val="0"/>
      <w:marBottom w:val="0"/>
      <w:divBdr>
        <w:top w:val="none" w:sz="0" w:space="0" w:color="auto"/>
        <w:left w:val="none" w:sz="0" w:space="0" w:color="auto"/>
        <w:bottom w:val="none" w:sz="0" w:space="0" w:color="auto"/>
        <w:right w:val="none" w:sz="0" w:space="0" w:color="auto"/>
      </w:divBdr>
    </w:div>
    <w:div w:id="989752699">
      <w:bodyDiv w:val="1"/>
      <w:marLeft w:val="0"/>
      <w:marRight w:val="0"/>
      <w:marTop w:val="0"/>
      <w:marBottom w:val="0"/>
      <w:divBdr>
        <w:top w:val="none" w:sz="0" w:space="0" w:color="auto"/>
        <w:left w:val="none" w:sz="0" w:space="0" w:color="auto"/>
        <w:bottom w:val="none" w:sz="0" w:space="0" w:color="auto"/>
        <w:right w:val="none" w:sz="0" w:space="0" w:color="auto"/>
      </w:divBdr>
    </w:div>
    <w:div w:id="1003237735">
      <w:bodyDiv w:val="1"/>
      <w:marLeft w:val="0"/>
      <w:marRight w:val="0"/>
      <w:marTop w:val="0"/>
      <w:marBottom w:val="0"/>
      <w:divBdr>
        <w:top w:val="none" w:sz="0" w:space="0" w:color="auto"/>
        <w:left w:val="none" w:sz="0" w:space="0" w:color="auto"/>
        <w:bottom w:val="none" w:sz="0" w:space="0" w:color="auto"/>
        <w:right w:val="none" w:sz="0" w:space="0" w:color="auto"/>
      </w:divBdr>
    </w:div>
    <w:div w:id="1109667187">
      <w:bodyDiv w:val="1"/>
      <w:marLeft w:val="0"/>
      <w:marRight w:val="0"/>
      <w:marTop w:val="0"/>
      <w:marBottom w:val="0"/>
      <w:divBdr>
        <w:top w:val="none" w:sz="0" w:space="0" w:color="auto"/>
        <w:left w:val="none" w:sz="0" w:space="0" w:color="auto"/>
        <w:bottom w:val="none" w:sz="0" w:space="0" w:color="auto"/>
        <w:right w:val="none" w:sz="0" w:space="0" w:color="auto"/>
      </w:divBdr>
    </w:div>
    <w:div w:id="1295910294">
      <w:bodyDiv w:val="1"/>
      <w:marLeft w:val="0"/>
      <w:marRight w:val="0"/>
      <w:marTop w:val="0"/>
      <w:marBottom w:val="0"/>
      <w:divBdr>
        <w:top w:val="none" w:sz="0" w:space="0" w:color="auto"/>
        <w:left w:val="none" w:sz="0" w:space="0" w:color="auto"/>
        <w:bottom w:val="none" w:sz="0" w:space="0" w:color="auto"/>
        <w:right w:val="none" w:sz="0" w:space="0" w:color="auto"/>
      </w:divBdr>
    </w:div>
    <w:div w:id="1386640825">
      <w:bodyDiv w:val="1"/>
      <w:marLeft w:val="0"/>
      <w:marRight w:val="0"/>
      <w:marTop w:val="0"/>
      <w:marBottom w:val="0"/>
      <w:divBdr>
        <w:top w:val="none" w:sz="0" w:space="0" w:color="auto"/>
        <w:left w:val="none" w:sz="0" w:space="0" w:color="auto"/>
        <w:bottom w:val="none" w:sz="0" w:space="0" w:color="auto"/>
        <w:right w:val="none" w:sz="0" w:space="0" w:color="auto"/>
      </w:divBdr>
    </w:div>
    <w:div w:id="1415125900">
      <w:bodyDiv w:val="1"/>
      <w:marLeft w:val="0"/>
      <w:marRight w:val="0"/>
      <w:marTop w:val="0"/>
      <w:marBottom w:val="0"/>
      <w:divBdr>
        <w:top w:val="none" w:sz="0" w:space="0" w:color="auto"/>
        <w:left w:val="none" w:sz="0" w:space="0" w:color="auto"/>
        <w:bottom w:val="none" w:sz="0" w:space="0" w:color="auto"/>
        <w:right w:val="none" w:sz="0" w:space="0" w:color="auto"/>
      </w:divBdr>
    </w:div>
    <w:div w:id="1456488946">
      <w:bodyDiv w:val="1"/>
      <w:marLeft w:val="0"/>
      <w:marRight w:val="0"/>
      <w:marTop w:val="0"/>
      <w:marBottom w:val="0"/>
      <w:divBdr>
        <w:top w:val="none" w:sz="0" w:space="0" w:color="auto"/>
        <w:left w:val="none" w:sz="0" w:space="0" w:color="auto"/>
        <w:bottom w:val="none" w:sz="0" w:space="0" w:color="auto"/>
        <w:right w:val="none" w:sz="0" w:space="0" w:color="auto"/>
      </w:divBdr>
    </w:div>
    <w:div w:id="1634553121">
      <w:bodyDiv w:val="1"/>
      <w:marLeft w:val="0"/>
      <w:marRight w:val="0"/>
      <w:marTop w:val="0"/>
      <w:marBottom w:val="0"/>
      <w:divBdr>
        <w:top w:val="none" w:sz="0" w:space="0" w:color="auto"/>
        <w:left w:val="none" w:sz="0" w:space="0" w:color="auto"/>
        <w:bottom w:val="none" w:sz="0" w:space="0" w:color="auto"/>
        <w:right w:val="none" w:sz="0" w:space="0" w:color="auto"/>
      </w:divBdr>
    </w:div>
    <w:div w:id="1651133120">
      <w:bodyDiv w:val="1"/>
      <w:marLeft w:val="0"/>
      <w:marRight w:val="0"/>
      <w:marTop w:val="0"/>
      <w:marBottom w:val="0"/>
      <w:divBdr>
        <w:top w:val="none" w:sz="0" w:space="0" w:color="auto"/>
        <w:left w:val="none" w:sz="0" w:space="0" w:color="auto"/>
        <w:bottom w:val="none" w:sz="0" w:space="0" w:color="auto"/>
        <w:right w:val="none" w:sz="0" w:space="0" w:color="auto"/>
      </w:divBdr>
    </w:div>
    <w:div w:id="1715616268">
      <w:bodyDiv w:val="1"/>
      <w:marLeft w:val="0"/>
      <w:marRight w:val="0"/>
      <w:marTop w:val="0"/>
      <w:marBottom w:val="0"/>
      <w:divBdr>
        <w:top w:val="none" w:sz="0" w:space="0" w:color="auto"/>
        <w:left w:val="none" w:sz="0" w:space="0" w:color="auto"/>
        <w:bottom w:val="none" w:sz="0" w:space="0" w:color="auto"/>
        <w:right w:val="none" w:sz="0" w:space="0" w:color="auto"/>
      </w:divBdr>
    </w:div>
    <w:div w:id="2019119908">
      <w:bodyDiv w:val="1"/>
      <w:marLeft w:val="0"/>
      <w:marRight w:val="0"/>
      <w:marTop w:val="0"/>
      <w:marBottom w:val="0"/>
      <w:divBdr>
        <w:top w:val="none" w:sz="0" w:space="0" w:color="auto"/>
        <w:left w:val="none" w:sz="0" w:space="0" w:color="auto"/>
        <w:bottom w:val="none" w:sz="0" w:space="0" w:color="auto"/>
        <w:right w:val="none" w:sz="0" w:space="0" w:color="auto"/>
      </w:divBdr>
    </w:div>
    <w:div w:id="2054235009">
      <w:bodyDiv w:val="1"/>
      <w:marLeft w:val="0"/>
      <w:marRight w:val="0"/>
      <w:marTop w:val="0"/>
      <w:marBottom w:val="0"/>
      <w:divBdr>
        <w:top w:val="none" w:sz="0" w:space="0" w:color="auto"/>
        <w:left w:val="none" w:sz="0" w:space="0" w:color="auto"/>
        <w:bottom w:val="none" w:sz="0" w:space="0" w:color="auto"/>
        <w:right w:val="none" w:sz="0" w:space="0" w:color="auto"/>
      </w:divBdr>
    </w:div>
    <w:div w:id="2121753759">
      <w:bodyDiv w:val="1"/>
      <w:marLeft w:val="0"/>
      <w:marRight w:val="0"/>
      <w:marTop w:val="0"/>
      <w:marBottom w:val="0"/>
      <w:divBdr>
        <w:top w:val="none" w:sz="0" w:space="0" w:color="auto"/>
        <w:left w:val="none" w:sz="0" w:space="0" w:color="auto"/>
        <w:bottom w:val="none" w:sz="0" w:space="0" w:color="auto"/>
        <w:right w:val="none" w:sz="0" w:space="0" w:color="auto"/>
      </w:divBdr>
    </w:div>
    <w:div w:id="21266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regulations.gov/docketBrowser?rpp=25&amp;so=DESC&amp;sb=commentDueDate&amp;po=0&amp;dct=PS&amp;D=IRS-2018-002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dol.gov/sites/default/files/ebsa/researchers/data/health-and-welfare/health-insurance-coverage-bulletin-2016.pdf" TargetMode="External"/><Relationship Id="rId1" Type="http://schemas.openxmlformats.org/officeDocument/2006/relationships/hyperlink" Target="https://www.treasury.gov/resource-center/tax-policy/tax-analysis/Documents/Treasury%27s-Baseline-Estimates-of-Health-Coverage-FY-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B3EF-1B02-436E-95FC-B1826C9E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5048</Words>
  <Characters>28775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33756</CharactersWithSpaces>
  <SharedDoc>false</SharedDoc>
  <HLinks>
    <vt:vector size="6" baseType="variant">
      <vt:variant>
        <vt:i4>720968</vt:i4>
      </vt:variant>
      <vt:variant>
        <vt:i4>0</vt:i4>
      </vt:variant>
      <vt:variant>
        <vt:i4>0</vt:i4>
      </vt:variant>
      <vt:variant>
        <vt:i4>5</vt:i4>
      </vt:variant>
      <vt:variant>
        <vt:lpwstr>http://www.cms.gov/Regulations-and-Guidance/Legislation/PaperworkReductionActof1995/PRA-Listing.html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 Allan - EBSA</dc:creator>
  <cp:lastModifiedBy>SYSTEM</cp:lastModifiedBy>
  <cp:revision>2</cp:revision>
  <cp:lastPrinted>2019-06-05T18:29:00Z</cp:lastPrinted>
  <dcterms:created xsi:type="dcterms:W3CDTF">2019-06-11T17:12:00Z</dcterms:created>
  <dcterms:modified xsi:type="dcterms:W3CDTF">2019-06-11T17:12:00Z</dcterms:modified>
</cp:coreProperties>
</file>