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333" w:rsidRPr="00C87333" w:rsidRDefault="00C87333" w:rsidP="00C87333">
      <w:pPr>
        <w:spacing w:after="0" w:line="240" w:lineRule="auto"/>
        <w:rPr>
          <w:rFonts w:ascii="Helvetica" w:eastAsia="Times New Roman" w:hAnsi="Helvetica" w:cs="Helvetica"/>
          <w:color w:val="333333"/>
          <w:sz w:val="21"/>
          <w:szCs w:val="21"/>
          <w:lang w:val="en"/>
        </w:rPr>
      </w:pPr>
      <w:bookmarkStart w:id="0" w:name="_GoBack"/>
      <w:r>
        <w:rPr>
          <w:rFonts w:ascii="Helvetica" w:eastAsia="Times New Roman" w:hAnsi="Helvetica" w:cs="Helvetica"/>
          <w:color w:val="333333"/>
          <w:sz w:val="21"/>
          <w:szCs w:val="21"/>
          <w:lang w:val="en"/>
        </w:rPr>
        <w:t xml:space="preserve">20 CFR </w:t>
      </w:r>
      <w:r w:rsidRPr="00C87333">
        <w:rPr>
          <w:rFonts w:ascii="Helvetica" w:eastAsia="Times New Roman" w:hAnsi="Helvetica" w:cs="Helvetica"/>
          <w:color w:val="333333"/>
          <w:sz w:val="21"/>
          <w:szCs w:val="21"/>
          <w:lang w:val="en"/>
        </w:rPr>
        <w:t xml:space="preserve">§ 200.205 </w:t>
      </w:r>
      <w:bookmarkEnd w:id="0"/>
      <w:r w:rsidRPr="00C87333">
        <w:rPr>
          <w:rFonts w:ascii="Helvetica" w:eastAsia="Times New Roman" w:hAnsi="Helvetica" w:cs="Helvetica"/>
          <w:color w:val="333333"/>
          <w:sz w:val="21"/>
          <w:szCs w:val="21"/>
          <w:lang w:val="en"/>
        </w:rPr>
        <w:t xml:space="preserve">Federal awarding agency review of risk posed by applicants. </w:t>
      </w:r>
    </w:p>
    <w:p w:rsidR="00C87333" w:rsidRPr="00C87333" w:rsidRDefault="00C87333" w:rsidP="00C87333">
      <w:pPr>
        <w:spacing w:after="0" w:line="240" w:lineRule="auto"/>
        <w:rPr>
          <w:rFonts w:ascii="Times New Roman" w:eastAsia="Times New Roman" w:hAnsi="Times New Roman" w:cs="Times New Roman"/>
          <w:sz w:val="24"/>
          <w:szCs w:val="24"/>
        </w:rPr>
      </w:pPr>
      <w:bookmarkStart w:id="1" w:name="a"/>
      <w:bookmarkEnd w:id="1"/>
      <w:r w:rsidRPr="00C87333">
        <w:rPr>
          <w:rFonts w:ascii="Helvetica" w:eastAsia="Times New Roman" w:hAnsi="Helvetica" w:cs="Helvetica"/>
          <w:b/>
          <w:bCs/>
          <w:color w:val="333333"/>
          <w:sz w:val="21"/>
          <w:szCs w:val="21"/>
          <w:lang w:val="en"/>
        </w:rPr>
        <w:t>(a)</w:t>
      </w:r>
      <w:r w:rsidRPr="00C87333">
        <w:rPr>
          <w:rFonts w:ascii="Helvetica" w:eastAsia="Times New Roman" w:hAnsi="Helvetica" w:cs="Helvetica"/>
          <w:color w:val="333333"/>
          <w:sz w:val="21"/>
          <w:szCs w:val="21"/>
          <w:lang w:val="en"/>
        </w:rPr>
        <w:t xml:space="preserve"> Prior to making a Federal award, the Federal awarding agency is required by</w:t>
      </w:r>
      <w:hyperlink r:id="rId5" w:tooltip="31 U.S.C. 3321" w:history="1">
        <w:r w:rsidRPr="00C87333">
          <w:rPr>
            <w:rFonts w:ascii="Helvetica" w:eastAsia="Times New Roman" w:hAnsi="Helvetica" w:cs="Helvetica"/>
            <w:color w:val="428BCA"/>
            <w:sz w:val="21"/>
            <w:szCs w:val="21"/>
            <w:lang w:val="en"/>
          </w:rPr>
          <w:t>31 U.S.C. 3321</w:t>
        </w:r>
      </w:hyperlink>
      <w:r w:rsidRPr="00C87333">
        <w:rPr>
          <w:rFonts w:ascii="Helvetica" w:eastAsia="Times New Roman" w:hAnsi="Helvetica" w:cs="Helvetica"/>
          <w:color w:val="333333"/>
          <w:sz w:val="21"/>
          <w:szCs w:val="21"/>
          <w:lang w:val="en"/>
        </w:rPr>
        <w:t xml:space="preserve"> and </w:t>
      </w:r>
      <w:hyperlink r:id="rId6" w:tooltip="41" w:history="1">
        <w:r w:rsidRPr="00C87333">
          <w:rPr>
            <w:rFonts w:ascii="Helvetica" w:eastAsia="Times New Roman" w:hAnsi="Helvetica" w:cs="Helvetica"/>
            <w:color w:val="428BCA"/>
            <w:sz w:val="21"/>
            <w:szCs w:val="21"/>
            <w:lang w:val="en"/>
          </w:rPr>
          <w:t>41</w:t>
        </w:r>
      </w:hyperlink>
      <w:r w:rsidRPr="00C87333">
        <w:rPr>
          <w:rFonts w:ascii="Helvetica" w:eastAsia="Times New Roman" w:hAnsi="Helvetica" w:cs="Helvetica"/>
          <w:color w:val="333333"/>
          <w:sz w:val="21"/>
          <w:szCs w:val="21"/>
          <w:lang w:val="en"/>
        </w:rPr>
        <w:t xml:space="preserve"> U.S.C. 2313 note to review information available through any OMB-designated repositories of </w:t>
      </w:r>
      <w:proofErr w:type="spellStart"/>
      <w:r w:rsidRPr="00C87333">
        <w:rPr>
          <w:rFonts w:ascii="Helvetica" w:eastAsia="Times New Roman" w:hAnsi="Helvetica" w:cs="Helvetica"/>
          <w:color w:val="333333"/>
          <w:sz w:val="21"/>
          <w:szCs w:val="21"/>
          <w:lang w:val="en"/>
        </w:rPr>
        <w:t>governmentwide</w:t>
      </w:r>
      <w:proofErr w:type="spellEnd"/>
      <w:r w:rsidRPr="00C87333">
        <w:rPr>
          <w:rFonts w:ascii="Helvetica" w:eastAsia="Times New Roman" w:hAnsi="Helvetica" w:cs="Helvetica"/>
          <w:color w:val="333333"/>
          <w:sz w:val="21"/>
          <w:szCs w:val="21"/>
          <w:lang w:val="en"/>
        </w:rPr>
        <w:t xml:space="preserve"> eligibility qualification or financial integrity information, such as SAM Exclusions and “Do Not Pay”. See also suspension and debarment requirements at 2 CFR part </w:t>
      </w:r>
      <w:hyperlink r:id="rId7" w:tooltip="180" w:history="1">
        <w:r w:rsidRPr="00C87333">
          <w:rPr>
            <w:rFonts w:ascii="Helvetica" w:eastAsia="Times New Roman" w:hAnsi="Helvetica" w:cs="Helvetica"/>
            <w:color w:val="428BCA"/>
            <w:sz w:val="21"/>
            <w:szCs w:val="21"/>
            <w:lang w:val="en"/>
          </w:rPr>
          <w:t>180</w:t>
        </w:r>
      </w:hyperlink>
      <w:r w:rsidRPr="00C87333">
        <w:rPr>
          <w:rFonts w:ascii="Helvetica" w:eastAsia="Times New Roman" w:hAnsi="Helvetica" w:cs="Helvetica"/>
          <w:color w:val="333333"/>
          <w:sz w:val="21"/>
          <w:szCs w:val="21"/>
          <w:lang w:val="en"/>
        </w:rPr>
        <w:t xml:space="preserve"> as well as individual Federal agency suspension and debarment regulations in title 2 of the Code of Federal Regulations. </w:t>
      </w:r>
    </w:p>
    <w:p w:rsidR="00C87333" w:rsidRPr="00C87333" w:rsidRDefault="00C87333" w:rsidP="00C87333">
      <w:pPr>
        <w:spacing w:after="0" w:line="240" w:lineRule="auto"/>
        <w:rPr>
          <w:rFonts w:ascii="Helvetica" w:eastAsia="Times New Roman" w:hAnsi="Helvetica" w:cs="Helvetica"/>
          <w:color w:val="333333"/>
          <w:sz w:val="21"/>
          <w:szCs w:val="21"/>
          <w:lang w:val="en"/>
        </w:rPr>
      </w:pPr>
      <w:bookmarkStart w:id="2" w:name="b"/>
      <w:bookmarkEnd w:id="2"/>
      <w:r w:rsidRPr="00C87333">
        <w:rPr>
          <w:rFonts w:ascii="Helvetica" w:eastAsia="Times New Roman" w:hAnsi="Helvetica" w:cs="Helvetica"/>
          <w:b/>
          <w:bCs/>
          <w:color w:val="333333"/>
          <w:sz w:val="21"/>
          <w:szCs w:val="21"/>
          <w:lang w:val="en"/>
        </w:rPr>
        <w:t>(b)</w:t>
      </w:r>
      <w:r w:rsidRPr="00C87333">
        <w:rPr>
          <w:rFonts w:ascii="Helvetica" w:eastAsia="Times New Roman" w:hAnsi="Helvetica" w:cs="Helvetica"/>
          <w:color w:val="333333"/>
          <w:sz w:val="21"/>
          <w:szCs w:val="21"/>
          <w:lang w:val="en"/>
        </w:rPr>
        <w:t xml:space="preserve"> In addition, for competitive grants or cooperative agreements, the Federal awarding agency must have in place a framework for evaluating the risks posed by applicants before they receive Federal awards. This evaluation may incorporate results of the evaluation of the applicant's eligibility or the quality of its application. If the Federal awarding agency determines that a Federal award will be made, special conditions that correspond to the degree of risk assessed may be applied to the Federal award. Criteria to be evaluated must be described in the announcement of funding opportunity described in§ </w:t>
      </w:r>
      <w:hyperlink r:id="rId8" w:tooltip="200.203" w:history="1">
        <w:r w:rsidRPr="00C87333">
          <w:rPr>
            <w:rFonts w:ascii="Helvetica" w:eastAsia="Times New Roman" w:hAnsi="Helvetica" w:cs="Helvetica"/>
            <w:color w:val="428BCA"/>
            <w:sz w:val="21"/>
            <w:szCs w:val="21"/>
            <w:lang w:val="en"/>
          </w:rPr>
          <w:t>200.203</w:t>
        </w:r>
      </w:hyperlink>
      <w:r w:rsidRPr="00C87333">
        <w:rPr>
          <w:rFonts w:ascii="Helvetica" w:eastAsia="Times New Roman" w:hAnsi="Helvetica" w:cs="Helvetica"/>
          <w:color w:val="333333"/>
          <w:sz w:val="21"/>
          <w:szCs w:val="21"/>
          <w:lang w:val="en"/>
        </w:rPr>
        <w:t xml:space="preserve"> Notices of funding opportunities. </w:t>
      </w:r>
    </w:p>
    <w:p w:rsidR="00C87333" w:rsidRPr="00C87333" w:rsidRDefault="00C87333" w:rsidP="00C87333">
      <w:pPr>
        <w:spacing w:after="0" w:line="240" w:lineRule="auto"/>
        <w:rPr>
          <w:rFonts w:ascii="Helvetica" w:eastAsia="Times New Roman" w:hAnsi="Helvetica" w:cs="Helvetica"/>
          <w:color w:val="333333"/>
          <w:sz w:val="21"/>
          <w:szCs w:val="21"/>
          <w:lang w:val="en"/>
        </w:rPr>
      </w:pPr>
      <w:bookmarkStart w:id="3" w:name="c"/>
      <w:bookmarkEnd w:id="3"/>
      <w:r w:rsidRPr="00C87333">
        <w:rPr>
          <w:rFonts w:ascii="Helvetica" w:eastAsia="Times New Roman" w:hAnsi="Helvetica" w:cs="Helvetica"/>
          <w:b/>
          <w:bCs/>
          <w:color w:val="333333"/>
          <w:sz w:val="21"/>
          <w:szCs w:val="21"/>
          <w:lang w:val="en"/>
        </w:rPr>
        <w:t>(c)</w:t>
      </w:r>
      <w:r w:rsidRPr="00C87333">
        <w:rPr>
          <w:rFonts w:ascii="Helvetica" w:eastAsia="Times New Roman" w:hAnsi="Helvetica" w:cs="Helvetica"/>
          <w:color w:val="333333"/>
          <w:sz w:val="21"/>
          <w:szCs w:val="21"/>
          <w:lang w:val="en"/>
        </w:rPr>
        <w:t xml:space="preserve"> In evaluating risks posed by applicants, the Federal awarding agency may use a risk-based approach and may consider any items such as the following: </w:t>
      </w:r>
    </w:p>
    <w:p w:rsidR="00C87333" w:rsidRPr="00C87333" w:rsidRDefault="00C87333" w:rsidP="00C87333">
      <w:pPr>
        <w:spacing w:after="0" w:line="240" w:lineRule="auto"/>
        <w:rPr>
          <w:rFonts w:ascii="Helvetica" w:eastAsia="Times New Roman" w:hAnsi="Helvetica" w:cs="Helvetica"/>
          <w:color w:val="333333"/>
          <w:sz w:val="21"/>
          <w:szCs w:val="21"/>
          <w:lang w:val="en"/>
        </w:rPr>
      </w:pPr>
      <w:bookmarkStart w:id="4" w:name="c_1"/>
      <w:bookmarkEnd w:id="4"/>
      <w:r w:rsidRPr="00C87333">
        <w:rPr>
          <w:rFonts w:ascii="Helvetica" w:eastAsia="Times New Roman" w:hAnsi="Helvetica" w:cs="Helvetica"/>
          <w:b/>
          <w:bCs/>
          <w:color w:val="333333"/>
          <w:sz w:val="21"/>
          <w:szCs w:val="21"/>
          <w:lang w:val="en"/>
        </w:rPr>
        <w:t>(1)</w:t>
      </w:r>
      <w:r w:rsidRPr="00C87333">
        <w:rPr>
          <w:rFonts w:ascii="Helvetica" w:eastAsia="Times New Roman" w:hAnsi="Helvetica" w:cs="Helvetica"/>
          <w:color w:val="333333"/>
          <w:sz w:val="21"/>
          <w:szCs w:val="21"/>
          <w:lang w:val="en"/>
        </w:rPr>
        <w:t xml:space="preserve"> Financial stability; </w:t>
      </w:r>
    </w:p>
    <w:p w:rsidR="00C87333" w:rsidRPr="00C87333" w:rsidRDefault="00C87333" w:rsidP="00C87333">
      <w:pPr>
        <w:spacing w:after="0" w:line="240" w:lineRule="auto"/>
        <w:rPr>
          <w:rFonts w:ascii="Helvetica" w:eastAsia="Times New Roman" w:hAnsi="Helvetica" w:cs="Helvetica"/>
          <w:color w:val="333333"/>
          <w:sz w:val="21"/>
          <w:szCs w:val="21"/>
          <w:lang w:val="en"/>
        </w:rPr>
      </w:pPr>
      <w:bookmarkStart w:id="5" w:name="c_2"/>
      <w:bookmarkEnd w:id="5"/>
      <w:r w:rsidRPr="00C87333">
        <w:rPr>
          <w:rFonts w:ascii="Helvetica" w:eastAsia="Times New Roman" w:hAnsi="Helvetica" w:cs="Helvetica"/>
          <w:b/>
          <w:bCs/>
          <w:color w:val="333333"/>
          <w:sz w:val="21"/>
          <w:szCs w:val="21"/>
          <w:lang w:val="en"/>
        </w:rPr>
        <w:t>(2)</w:t>
      </w:r>
      <w:r w:rsidRPr="00C87333">
        <w:rPr>
          <w:rFonts w:ascii="Helvetica" w:eastAsia="Times New Roman" w:hAnsi="Helvetica" w:cs="Helvetica"/>
          <w:color w:val="333333"/>
          <w:sz w:val="21"/>
          <w:szCs w:val="21"/>
          <w:lang w:val="en"/>
        </w:rPr>
        <w:t xml:space="preserve"> Quality of management systems and ability to meet the management standards prescribed in this part; </w:t>
      </w:r>
    </w:p>
    <w:p w:rsidR="00C87333" w:rsidRPr="00C87333" w:rsidRDefault="00C87333" w:rsidP="00C87333">
      <w:pPr>
        <w:spacing w:after="0" w:line="240" w:lineRule="auto"/>
        <w:rPr>
          <w:rFonts w:ascii="Helvetica" w:eastAsia="Times New Roman" w:hAnsi="Helvetica" w:cs="Helvetica"/>
          <w:color w:val="333333"/>
          <w:sz w:val="21"/>
          <w:szCs w:val="21"/>
          <w:lang w:val="en"/>
        </w:rPr>
      </w:pPr>
      <w:bookmarkStart w:id="6" w:name="c_3"/>
      <w:bookmarkEnd w:id="6"/>
      <w:r w:rsidRPr="00C87333">
        <w:rPr>
          <w:rFonts w:ascii="Helvetica" w:eastAsia="Times New Roman" w:hAnsi="Helvetica" w:cs="Helvetica"/>
          <w:b/>
          <w:bCs/>
          <w:color w:val="333333"/>
          <w:sz w:val="21"/>
          <w:szCs w:val="21"/>
          <w:lang w:val="en"/>
        </w:rPr>
        <w:t>(3)</w:t>
      </w:r>
      <w:r w:rsidRPr="00C87333">
        <w:rPr>
          <w:rFonts w:ascii="Helvetica" w:eastAsia="Times New Roman" w:hAnsi="Helvetica" w:cs="Helvetica"/>
          <w:color w:val="333333"/>
          <w:sz w:val="21"/>
          <w:szCs w:val="21"/>
          <w:lang w:val="en"/>
        </w:rPr>
        <w:t xml:space="preserve"> History of performance. The applicant's record in managing Federal awards, if it is a prior recipient of Federal awards, including timeliness of compliance with applicable reporting requirements, conformance to the terms and conditions of previous Federal awards, and if applicable, the extent to which any previously awarded amounts will be expended prior to future awards; </w:t>
      </w:r>
    </w:p>
    <w:p w:rsidR="00C87333" w:rsidRPr="00C87333" w:rsidRDefault="00C87333" w:rsidP="00C87333">
      <w:pPr>
        <w:spacing w:after="0" w:line="240" w:lineRule="auto"/>
        <w:rPr>
          <w:rFonts w:ascii="Helvetica" w:eastAsia="Times New Roman" w:hAnsi="Helvetica" w:cs="Helvetica"/>
          <w:color w:val="333333"/>
          <w:sz w:val="21"/>
          <w:szCs w:val="21"/>
          <w:lang w:val="en"/>
        </w:rPr>
      </w:pPr>
      <w:bookmarkStart w:id="7" w:name="c_4"/>
      <w:bookmarkEnd w:id="7"/>
      <w:r w:rsidRPr="00C87333">
        <w:rPr>
          <w:rFonts w:ascii="Helvetica" w:eastAsia="Times New Roman" w:hAnsi="Helvetica" w:cs="Helvetica"/>
          <w:b/>
          <w:bCs/>
          <w:color w:val="333333"/>
          <w:sz w:val="21"/>
          <w:szCs w:val="21"/>
          <w:lang w:val="en"/>
        </w:rPr>
        <w:t>(4)</w:t>
      </w:r>
      <w:r w:rsidRPr="00C87333">
        <w:rPr>
          <w:rFonts w:ascii="Helvetica" w:eastAsia="Times New Roman" w:hAnsi="Helvetica" w:cs="Helvetica"/>
          <w:color w:val="333333"/>
          <w:sz w:val="21"/>
          <w:szCs w:val="21"/>
          <w:lang w:val="en"/>
        </w:rPr>
        <w:t xml:space="preserve"> Reports and findings from audits performed under Subpart F—Audit Requirements of this part or the reports and findings of any other available audits; and </w:t>
      </w:r>
    </w:p>
    <w:p w:rsidR="00C87333" w:rsidRPr="00C87333" w:rsidRDefault="00C87333" w:rsidP="00C87333">
      <w:pPr>
        <w:spacing w:after="0" w:line="240" w:lineRule="auto"/>
        <w:rPr>
          <w:rFonts w:ascii="Helvetica" w:eastAsia="Times New Roman" w:hAnsi="Helvetica" w:cs="Helvetica"/>
          <w:color w:val="333333"/>
          <w:sz w:val="21"/>
          <w:szCs w:val="21"/>
          <w:lang w:val="en"/>
        </w:rPr>
      </w:pPr>
      <w:bookmarkStart w:id="8" w:name="c_5"/>
      <w:bookmarkEnd w:id="8"/>
      <w:r w:rsidRPr="00C87333">
        <w:rPr>
          <w:rFonts w:ascii="Helvetica" w:eastAsia="Times New Roman" w:hAnsi="Helvetica" w:cs="Helvetica"/>
          <w:b/>
          <w:bCs/>
          <w:color w:val="333333"/>
          <w:sz w:val="21"/>
          <w:szCs w:val="21"/>
          <w:lang w:val="en"/>
        </w:rPr>
        <w:t>(5)</w:t>
      </w:r>
      <w:r w:rsidRPr="00C87333">
        <w:rPr>
          <w:rFonts w:ascii="Helvetica" w:eastAsia="Times New Roman" w:hAnsi="Helvetica" w:cs="Helvetica"/>
          <w:color w:val="333333"/>
          <w:sz w:val="21"/>
          <w:szCs w:val="21"/>
          <w:lang w:val="en"/>
        </w:rPr>
        <w:t xml:space="preserve"> The applicant's ability to effectively implement statutory, regulatory, or other requirements imposed on </w:t>
      </w:r>
      <w:proofErr w:type="spellStart"/>
      <w:r w:rsidRPr="00C87333">
        <w:rPr>
          <w:rFonts w:ascii="Helvetica" w:eastAsia="Times New Roman" w:hAnsi="Helvetica" w:cs="Helvetica"/>
          <w:color w:val="333333"/>
          <w:sz w:val="21"/>
          <w:szCs w:val="21"/>
          <w:lang w:val="en"/>
        </w:rPr>
        <w:t>non-Federal</w:t>
      </w:r>
      <w:proofErr w:type="spellEnd"/>
      <w:r w:rsidRPr="00C87333">
        <w:rPr>
          <w:rFonts w:ascii="Helvetica" w:eastAsia="Times New Roman" w:hAnsi="Helvetica" w:cs="Helvetica"/>
          <w:color w:val="333333"/>
          <w:sz w:val="21"/>
          <w:szCs w:val="21"/>
          <w:lang w:val="en"/>
        </w:rPr>
        <w:t xml:space="preserve"> entities. </w:t>
      </w:r>
    </w:p>
    <w:p w:rsidR="00C87333" w:rsidRPr="00C87333" w:rsidRDefault="00C87333" w:rsidP="00C87333">
      <w:pPr>
        <w:spacing w:after="0" w:line="240" w:lineRule="auto"/>
        <w:rPr>
          <w:rFonts w:ascii="Helvetica" w:eastAsia="Times New Roman" w:hAnsi="Helvetica" w:cs="Helvetica"/>
          <w:color w:val="333333"/>
          <w:sz w:val="21"/>
          <w:szCs w:val="21"/>
          <w:lang w:val="en"/>
        </w:rPr>
      </w:pPr>
      <w:bookmarkStart w:id="9" w:name="d"/>
      <w:bookmarkEnd w:id="9"/>
      <w:r w:rsidRPr="00C87333">
        <w:rPr>
          <w:rFonts w:ascii="Helvetica" w:eastAsia="Times New Roman" w:hAnsi="Helvetica" w:cs="Helvetica"/>
          <w:b/>
          <w:bCs/>
          <w:color w:val="333333"/>
          <w:sz w:val="21"/>
          <w:szCs w:val="21"/>
          <w:lang w:val="en"/>
        </w:rPr>
        <w:t>(d)</w:t>
      </w:r>
      <w:r w:rsidRPr="00C87333">
        <w:rPr>
          <w:rFonts w:ascii="Helvetica" w:eastAsia="Times New Roman" w:hAnsi="Helvetica" w:cs="Helvetica"/>
          <w:color w:val="333333"/>
          <w:sz w:val="21"/>
          <w:szCs w:val="21"/>
          <w:lang w:val="en"/>
        </w:rPr>
        <w:t xml:space="preserve"> In addition to this review, the Federal awarding agency must comply with the guidelines on </w:t>
      </w:r>
      <w:proofErr w:type="spellStart"/>
      <w:r w:rsidRPr="00C87333">
        <w:rPr>
          <w:rFonts w:ascii="Helvetica" w:eastAsia="Times New Roman" w:hAnsi="Helvetica" w:cs="Helvetica"/>
          <w:color w:val="333333"/>
          <w:sz w:val="21"/>
          <w:szCs w:val="21"/>
          <w:lang w:val="en"/>
        </w:rPr>
        <w:t>governmentwide</w:t>
      </w:r>
      <w:proofErr w:type="spellEnd"/>
      <w:r w:rsidRPr="00C87333">
        <w:rPr>
          <w:rFonts w:ascii="Helvetica" w:eastAsia="Times New Roman" w:hAnsi="Helvetica" w:cs="Helvetica"/>
          <w:color w:val="333333"/>
          <w:sz w:val="21"/>
          <w:szCs w:val="21"/>
          <w:lang w:val="en"/>
        </w:rPr>
        <w:t xml:space="preserve"> suspension and debarment in2 CFR part </w:t>
      </w:r>
      <w:hyperlink r:id="rId9" w:tooltip="180" w:history="1">
        <w:r w:rsidRPr="00C87333">
          <w:rPr>
            <w:rFonts w:ascii="Helvetica" w:eastAsia="Times New Roman" w:hAnsi="Helvetica" w:cs="Helvetica"/>
            <w:color w:val="428BCA"/>
            <w:sz w:val="21"/>
            <w:szCs w:val="21"/>
            <w:lang w:val="en"/>
          </w:rPr>
          <w:t>180</w:t>
        </w:r>
      </w:hyperlink>
      <w:r w:rsidRPr="00C87333">
        <w:rPr>
          <w:rFonts w:ascii="Helvetica" w:eastAsia="Times New Roman" w:hAnsi="Helvetica" w:cs="Helvetica"/>
          <w:color w:val="333333"/>
          <w:sz w:val="21"/>
          <w:szCs w:val="21"/>
          <w:lang w:val="en"/>
        </w:rPr>
        <w:t xml:space="preserve">, and must require </w:t>
      </w:r>
      <w:proofErr w:type="spellStart"/>
      <w:r w:rsidRPr="00C87333">
        <w:rPr>
          <w:rFonts w:ascii="Helvetica" w:eastAsia="Times New Roman" w:hAnsi="Helvetica" w:cs="Helvetica"/>
          <w:color w:val="333333"/>
          <w:sz w:val="21"/>
          <w:szCs w:val="21"/>
          <w:lang w:val="en"/>
        </w:rPr>
        <w:t>non-Federal</w:t>
      </w:r>
      <w:proofErr w:type="spellEnd"/>
      <w:r w:rsidRPr="00C87333">
        <w:rPr>
          <w:rFonts w:ascii="Helvetica" w:eastAsia="Times New Roman" w:hAnsi="Helvetica" w:cs="Helvetica"/>
          <w:color w:val="333333"/>
          <w:sz w:val="21"/>
          <w:szCs w:val="21"/>
          <w:lang w:val="en"/>
        </w:rPr>
        <w:t xml:space="preserve"> entities to comply with these provisions. These provisions restrict Federal awards, </w:t>
      </w:r>
      <w:proofErr w:type="spellStart"/>
      <w:r w:rsidRPr="00C87333">
        <w:rPr>
          <w:rFonts w:ascii="Helvetica" w:eastAsia="Times New Roman" w:hAnsi="Helvetica" w:cs="Helvetica"/>
          <w:color w:val="333333"/>
          <w:sz w:val="21"/>
          <w:szCs w:val="21"/>
          <w:lang w:val="en"/>
        </w:rPr>
        <w:t>subawards</w:t>
      </w:r>
      <w:proofErr w:type="spellEnd"/>
      <w:r w:rsidRPr="00C87333">
        <w:rPr>
          <w:rFonts w:ascii="Helvetica" w:eastAsia="Times New Roman" w:hAnsi="Helvetica" w:cs="Helvetica"/>
          <w:color w:val="333333"/>
          <w:sz w:val="21"/>
          <w:szCs w:val="21"/>
          <w:lang w:val="en"/>
        </w:rPr>
        <w:t xml:space="preserve"> and contracts with certain parties that are debarred, suspended or otherwise excluded from or ineligible for participation in Federal programs or activities. </w:t>
      </w:r>
    </w:p>
    <w:p w:rsidR="00C87333" w:rsidRPr="00C87333" w:rsidRDefault="00C87333" w:rsidP="00C87333">
      <w:pPr>
        <w:spacing w:after="0" w:line="240" w:lineRule="auto"/>
        <w:rPr>
          <w:rFonts w:ascii="Helvetica" w:eastAsia="Times New Roman" w:hAnsi="Helvetica" w:cs="Helvetica"/>
          <w:color w:val="333333"/>
          <w:sz w:val="21"/>
          <w:szCs w:val="21"/>
          <w:lang w:val="en"/>
        </w:rPr>
      </w:pPr>
      <w:r w:rsidRPr="00C87333">
        <w:rPr>
          <w:rFonts w:ascii="Helvetica" w:eastAsia="Times New Roman" w:hAnsi="Helvetica" w:cs="Helvetica"/>
          <w:color w:val="333333"/>
          <w:sz w:val="21"/>
          <w:szCs w:val="21"/>
          <w:lang w:val="en"/>
        </w:rPr>
        <w:t>[</w:t>
      </w:r>
      <w:hyperlink r:id="rId10" w:tooltip="78 FR 78608" w:history="1">
        <w:r w:rsidRPr="00C87333">
          <w:rPr>
            <w:rFonts w:ascii="Helvetica" w:eastAsia="Times New Roman" w:hAnsi="Helvetica" w:cs="Helvetica"/>
            <w:color w:val="428BCA"/>
            <w:sz w:val="21"/>
            <w:szCs w:val="21"/>
            <w:lang w:val="en"/>
          </w:rPr>
          <w:t>78 FR 78608</w:t>
        </w:r>
      </w:hyperlink>
      <w:r w:rsidRPr="00C87333">
        <w:rPr>
          <w:rFonts w:ascii="Helvetica" w:eastAsia="Times New Roman" w:hAnsi="Helvetica" w:cs="Helvetica"/>
          <w:color w:val="333333"/>
          <w:sz w:val="21"/>
          <w:szCs w:val="21"/>
          <w:lang w:val="en"/>
        </w:rPr>
        <w:t xml:space="preserve">, Dec. 26, 2013, as amended at </w:t>
      </w:r>
      <w:hyperlink r:id="rId11" w:tooltip="79 FR 75882" w:history="1">
        <w:r w:rsidRPr="00C87333">
          <w:rPr>
            <w:rFonts w:ascii="Helvetica" w:eastAsia="Times New Roman" w:hAnsi="Helvetica" w:cs="Helvetica"/>
            <w:color w:val="428BCA"/>
            <w:sz w:val="21"/>
            <w:szCs w:val="21"/>
            <w:lang w:val="en"/>
          </w:rPr>
          <w:t>79 FR 75882</w:t>
        </w:r>
      </w:hyperlink>
      <w:r w:rsidRPr="00C87333">
        <w:rPr>
          <w:rFonts w:ascii="Helvetica" w:eastAsia="Times New Roman" w:hAnsi="Helvetica" w:cs="Helvetica"/>
          <w:color w:val="333333"/>
          <w:sz w:val="21"/>
          <w:szCs w:val="21"/>
          <w:lang w:val="en"/>
        </w:rPr>
        <w:t>, Dec. 19, 2014]</w:t>
      </w:r>
    </w:p>
    <w:p w:rsidR="00C513CD" w:rsidRDefault="00C513CD"/>
    <w:sectPr w:rsidR="00C51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333"/>
    <w:rsid w:val="00913373"/>
    <w:rsid w:val="00C513CD"/>
    <w:rsid w:val="00C8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7333"/>
    <w:rPr>
      <w:strike w:val="0"/>
      <w:dstrike w:val="0"/>
      <w:color w:val="428BCA"/>
      <w:u w:val="none"/>
      <w:effect w:val="none"/>
    </w:rPr>
  </w:style>
  <w:style w:type="character" w:customStyle="1" w:styleId="contents">
    <w:name w:val="contents"/>
    <w:basedOn w:val="DefaultParagraphFont"/>
    <w:rsid w:val="00C87333"/>
  </w:style>
  <w:style w:type="character" w:customStyle="1" w:styleId="sectno">
    <w:name w:val="sectno"/>
    <w:basedOn w:val="DefaultParagraphFont"/>
    <w:rsid w:val="00C87333"/>
  </w:style>
  <w:style w:type="character" w:customStyle="1" w:styleId="subject">
    <w:name w:val="subject"/>
    <w:basedOn w:val="DefaultParagraphFont"/>
    <w:rsid w:val="00C87333"/>
  </w:style>
  <w:style w:type="character" w:customStyle="1" w:styleId="enumxml1">
    <w:name w:val="enumxml1"/>
    <w:basedOn w:val="DefaultParagraphFont"/>
    <w:rsid w:val="00C87333"/>
    <w:rPr>
      <w:b/>
      <w:bCs/>
    </w:rPr>
  </w:style>
  <w:style w:type="character" w:customStyle="1" w:styleId="ptext-14">
    <w:name w:val="ptext-14"/>
    <w:basedOn w:val="DefaultParagraphFont"/>
    <w:rsid w:val="00C87333"/>
  </w:style>
  <w:style w:type="character" w:customStyle="1" w:styleId="ptext-25">
    <w:name w:val="ptext-25"/>
    <w:basedOn w:val="DefaultParagraphFont"/>
    <w:rsid w:val="00C87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7333"/>
    <w:rPr>
      <w:strike w:val="0"/>
      <w:dstrike w:val="0"/>
      <w:color w:val="428BCA"/>
      <w:u w:val="none"/>
      <w:effect w:val="none"/>
    </w:rPr>
  </w:style>
  <w:style w:type="character" w:customStyle="1" w:styleId="contents">
    <w:name w:val="contents"/>
    <w:basedOn w:val="DefaultParagraphFont"/>
    <w:rsid w:val="00C87333"/>
  </w:style>
  <w:style w:type="character" w:customStyle="1" w:styleId="sectno">
    <w:name w:val="sectno"/>
    <w:basedOn w:val="DefaultParagraphFont"/>
    <w:rsid w:val="00C87333"/>
  </w:style>
  <w:style w:type="character" w:customStyle="1" w:styleId="subject">
    <w:name w:val="subject"/>
    <w:basedOn w:val="DefaultParagraphFont"/>
    <w:rsid w:val="00C87333"/>
  </w:style>
  <w:style w:type="character" w:customStyle="1" w:styleId="enumxml1">
    <w:name w:val="enumxml1"/>
    <w:basedOn w:val="DefaultParagraphFont"/>
    <w:rsid w:val="00C87333"/>
    <w:rPr>
      <w:b/>
      <w:bCs/>
    </w:rPr>
  </w:style>
  <w:style w:type="character" w:customStyle="1" w:styleId="ptext-14">
    <w:name w:val="ptext-14"/>
    <w:basedOn w:val="DefaultParagraphFont"/>
    <w:rsid w:val="00C87333"/>
  </w:style>
  <w:style w:type="character" w:customStyle="1" w:styleId="ptext-25">
    <w:name w:val="ptext-25"/>
    <w:basedOn w:val="DefaultParagraphFont"/>
    <w:rsid w:val="00C87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467823">
      <w:bodyDiv w:val="1"/>
      <w:marLeft w:val="0"/>
      <w:marRight w:val="0"/>
      <w:marTop w:val="0"/>
      <w:marBottom w:val="0"/>
      <w:divBdr>
        <w:top w:val="none" w:sz="0" w:space="0" w:color="auto"/>
        <w:left w:val="none" w:sz="0" w:space="0" w:color="auto"/>
        <w:bottom w:val="none" w:sz="0" w:space="0" w:color="auto"/>
        <w:right w:val="none" w:sz="0" w:space="0" w:color="auto"/>
      </w:divBdr>
      <w:divsChild>
        <w:div w:id="930284866">
          <w:marLeft w:val="0"/>
          <w:marRight w:val="0"/>
          <w:marTop w:val="0"/>
          <w:marBottom w:val="0"/>
          <w:divBdr>
            <w:top w:val="none" w:sz="0" w:space="0" w:color="auto"/>
            <w:left w:val="none" w:sz="0" w:space="0" w:color="auto"/>
            <w:bottom w:val="none" w:sz="0" w:space="0" w:color="auto"/>
            <w:right w:val="none" w:sz="0" w:space="0" w:color="auto"/>
          </w:divBdr>
          <w:divsChild>
            <w:div w:id="1150706680">
              <w:marLeft w:val="0"/>
              <w:marRight w:val="0"/>
              <w:marTop w:val="0"/>
              <w:marBottom w:val="0"/>
              <w:divBdr>
                <w:top w:val="none" w:sz="0" w:space="0" w:color="auto"/>
                <w:left w:val="none" w:sz="0" w:space="0" w:color="auto"/>
                <w:bottom w:val="none" w:sz="0" w:space="0" w:color="auto"/>
                <w:right w:val="none" w:sz="0" w:space="0" w:color="auto"/>
              </w:divBdr>
              <w:divsChild>
                <w:div w:id="245698162">
                  <w:marLeft w:val="0"/>
                  <w:marRight w:val="0"/>
                  <w:marTop w:val="0"/>
                  <w:marBottom w:val="0"/>
                  <w:divBdr>
                    <w:top w:val="none" w:sz="0" w:space="0" w:color="auto"/>
                    <w:left w:val="none" w:sz="0" w:space="0" w:color="auto"/>
                    <w:bottom w:val="none" w:sz="0" w:space="0" w:color="auto"/>
                    <w:right w:val="none" w:sz="0" w:space="0" w:color="auto"/>
                  </w:divBdr>
                  <w:divsChild>
                    <w:div w:id="675038293">
                      <w:marLeft w:val="0"/>
                      <w:marRight w:val="0"/>
                      <w:marTop w:val="0"/>
                      <w:marBottom w:val="0"/>
                      <w:divBdr>
                        <w:top w:val="none" w:sz="0" w:space="0" w:color="auto"/>
                        <w:left w:val="none" w:sz="0" w:space="0" w:color="auto"/>
                        <w:bottom w:val="none" w:sz="0" w:space="0" w:color="auto"/>
                        <w:right w:val="none" w:sz="0" w:space="0" w:color="auto"/>
                      </w:divBdr>
                      <w:divsChild>
                        <w:div w:id="1758869475">
                          <w:marLeft w:val="0"/>
                          <w:marRight w:val="0"/>
                          <w:marTop w:val="0"/>
                          <w:marBottom w:val="0"/>
                          <w:divBdr>
                            <w:top w:val="none" w:sz="0" w:space="0" w:color="auto"/>
                            <w:left w:val="none" w:sz="0" w:space="0" w:color="auto"/>
                            <w:bottom w:val="none" w:sz="0" w:space="0" w:color="auto"/>
                            <w:right w:val="none" w:sz="0" w:space="0" w:color="auto"/>
                          </w:divBdr>
                          <w:divsChild>
                            <w:div w:id="597755166">
                              <w:marLeft w:val="0"/>
                              <w:marRight w:val="0"/>
                              <w:marTop w:val="0"/>
                              <w:marBottom w:val="0"/>
                              <w:divBdr>
                                <w:top w:val="none" w:sz="0" w:space="0" w:color="auto"/>
                                <w:left w:val="none" w:sz="0" w:space="0" w:color="auto"/>
                                <w:bottom w:val="none" w:sz="0" w:space="0" w:color="auto"/>
                                <w:right w:val="none" w:sz="0" w:space="0" w:color="auto"/>
                              </w:divBdr>
                              <w:divsChild>
                                <w:div w:id="101266907">
                                  <w:marLeft w:val="0"/>
                                  <w:marRight w:val="0"/>
                                  <w:marTop w:val="0"/>
                                  <w:marBottom w:val="0"/>
                                  <w:divBdr>
                                    <w:top w:val="none" w:sz="0" w:space="0" w:color="auto"/>
                                    <w:left w:val="none" w:sz="0" w:space="0" w:color="auto"/>
                                    <w:bottom w:val="none" w:sz="0" w:space="0" w:color="auto"/>
                                    <w:right w:val="none" w:sz="0" w:space="0" w:color="auto"/>
                                  </w:divBdr>
                                  <w:divsChild>
                                    <w:div w:id="888034664">
                                      <w:marLeft w:val="0"/>
                                      <w:marRight w:val="0"/>
                                      <w:marTop w:val="0"/>
                                      <w:marBottom w:val="0"/>
                                      <w:divBdr>
                                        <w:top w:val="none" w:sz="0" w:space="0" w:color="auto"/>
                                        <w:left w:val="none" w:sz="0" w:space="0" w:color="auto"/>
                                        <w:bottom w:val="none" w:sz="0" w:space="0" w:color="auto"/>
                                        <w:right w:val="none" w:sz="0" w:space="0" w:color="auto"/>
                                      </w:divBdr>
                                      <w:divsChild>
                                        <w:div w:id="1485312863">
                                          <w:marLeft w:val="0"/>
                                          <w:marRight w:val="0"/>
                                          <w:marTop w:val="0"/>
                                          <w:marBottom w:val="0"/>
                                          <w:divBdr>
                                            <w:top w:val="none" w:sz="0" w:space="0" w:color="auto"/>
                                            <w:left w:val="none" w:sz="0" w:space="0" w:color="auto"/>
                                            <w:bottom w:val="none" w:sz="0" w:space="0" w:color="auto"/>
                                            <w:right w:val="none" w:sz="0" w:space="0" w:color="auto"/>
                                          </w:divBdr>
                                          <w:divsChild>
                                            <w:div w:id="545028568">
                                              <w:marLeft w:val="0"/>
                                              <w:marRight w:val="0"/>
                                              <w:marTop w:val="150"/>
                                              <w:marBottom w:val="0"/>
                                              <w:divBdr>
                                                <w:top w:val="none" w:sz="0" w:space="0" w:color="auto"/>
                                                <w:left w:val="none" w:sz="0" w:space="0" w:color="auto"/>
                                                <w:bottom w:val="none" w:sz="0" w:space="0" w:color="auto"/>
                                                <w:right w:val="none" w:sz="0" w:space="0" w:color="auto"/>
                                              </w:divBdr>
                                            </w:div>
                                            <w:div w:id="2080708732">
                                              <w:marLeft w:val="0"/>
                                              <w:marRight w:val="0"/>
                                              <w:marTop w:val="150"/>
                                              <w:marBottom w:val="0"/>
                                              <w:divBdr>
                                                <w:top w:val="none" w:sz="0" w:space="0" w:color="auto"/>
                                                <w:left w:val="none" w:sz="0" w:space="0" w:color="auto"/>
                                                <w:bottom w:val="none" w:sz="0" w:space="0" w:color="auto"/>
                                                <w:right w:val="none" w:sz="0" w:space="0" w:color="auto"/>
                                              </w:divBdr>
                                            </w:div>
                                            <w:div w:id="1724400010">
                                              <w:marLeft w:val="0"/>
                                              <w:marRight w:val="0"/>
                                              <w:marTop w:val="150"/>
                                              <w:marBottom w:val="0"/>
                                              <w:divBdr>
                                                <w:top w:val="none" w:sz="0" w:space="0" w:color="auto"/>
                                                <w:left w:val="none" w:sz="0" w:space="0" w:color="auto"/>
                                                <w:bottom w:val="none" w:sz="0" w:space="0" w:color="auto"/>
                                                <w:right w:val="none" w:sz="0" w:space="0" w:color="auto"/>
                                              </w:divBdr>
                                            </w:div>
                                            <w:div w:id="1772968635">
                                              <w:marLeft w:val="0"/>
                                              <w:marRight w:val="0"/>
                                              <w:marTop w:val="0"/>
                                              <w:marBottom w:val="0"/>
                                              <w:divBdr>
                                                <w:top w:val="none" w:sz="0" w:space="0" w:color="auto"/>
                                                <w:left w:val="none" w:sz="0" w:space="0" w:color="auto"/>
                                                <w:bottom w:val="none" w:sz="0" w:space="0" w:color="auto"/>
                                                <w:right w:val="none" w:sz="0" w:space="0" w:color="auto"/>
                                              </w:divBdr>
                                            </w:div>
                                            <w:div w:id="1721052479">
                                              <w:marLeft w:val="0"/>
                                              <w:marRight w:val="0"/>
                                              <w:marTop w:val="0"/>
                                              <w:marBottom w:val="0"/>
                                              <w:divBdr>
                                                <w:top w:val="none" w:sz="0" w:space="0" w:color="auto"/>
                                                <w:left w:val="none" w:sz="0" w:space="0" w:color="auto"/>
                                                <w:bottom w:val="none" w:sz="0" w:space="0" w:color="auto"/>
                                                <w:right w:val="none" w:sz="0" w:space="0" w:color="auto"/>
                                              </w:divBdr>
                                            </w:div>
                                            <w:div w:id="1617365480">
                                              <w:marLeft w:val="0"/>
                                              <w:marRight w:val="0"/>
                                              <w:marTop w:val="0"/>
                                              <w:marBottom w:val="0"/>
                                              <w:divBdr>
                                                <w:top w:val="none" w:sz="0" w:space="0" w:color="auto"/>
                                                <w:left w:val="none" w:sz="0" w:space="0" w:color="auto"/>
                                                <w:bottom w:val="none" w:sz="0" w:space="0" w:color="auto"/>
                                                <w:right w:val="none" w:sz="0" w:space="0" w:color="auto"/>
                                              </w:divBdr>
                                            </w:div>
                                            <w:div w:id="338625335">
                                              <w:marLeft w:val="0"/>
                                              <w:marRight w:val="0"/>
                                              <w:marTop w:val="0"/>
                                              <w:marBottom w:val="0"/>
                                              <w:divBdr>
                                                <w:top w:val="none" w:sz="0" w:space="0" w:color="auto"/>
                                                <w:left w:val="none" w:sz="0" w:space="0" w:color="auto"/>
                                                <w:bottom w:val="none" w:sz="0" w:space="0" w:color="auto"/>
                                                <w:right w:val="none" w:sz="0" w:space="0" w:color="auto"/>
                                              </w:divBdr>
                                            </w:div>
                                            <w:div w:id="1878661999">
                                              <w:marLeft w:val="0"/>
                                              <w:marRight w:val="0"/>
                                              <w:marTop w:val="0"/>
                                              <w:marBottom w:val="0"/>
                                              <w:divBdr>
                                                <w:top w:val="none" w:sz="0" w:space="0" w:color="auto"/>
                                                <w:left w:val="none" w:sz="0" w:space="0" w:color="auto"/>
                                                <w:bottom w:val="none" w:sz="0" w:space="0" w:color="auto"/>
                                                <w:right w:val="none" w:sz="0" w:space="0" w:color="auto"/>
                                              </w:divBdr>
                                            </w:div>
                                            <w:div w:id="1918712241">
                                              <w:marLeft w:val="0"/>
                                              <w:marRight w:val="0"/>
                                              <w:marTop w:val="150"/>
                                              <w:marBottom w:val="0"/>
                                              <w:divBdr>
                                                <w:top w:val="none" w:sz="0" w:space="0" w:color="auto"/>
                                                <w:left w:val="none" w:sz="0" w:space="0" w:color="auto"/>
                                                <w:bottom w:val="none" w:sz="0" w:space="0" w:color="auto"/>
                                                <w:right w:val="none" w:sz="0" w:space="0" w:color="auto"/>
                                              </w:divBdr>
                                            </w:div>
                                            <w:div w:id="17175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2/200.2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w.cornell.edu/cfr/text/2/18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aw.cornell.edu/uscode/text/31/41" TargetMode="External"/><Relationship Id="rId11" Type="http://schemas.openxmlformats.org/officeDocument/2006/relationships/hyperlink" Target="http://frwebgate.access.gpo.gov/cgi-bin/getpage.cgi?dbname=2014_register&amp;position=all&amp;page=75882" TargetMode="External"/><Relationship Id="rId5" Type="http://schemas.openxmlformats.org/officeDocument/2006/relationships/hyperlink" Target="https://www.law.cornell.edu/uscode/text/31/3321" TargetMode="External"/><Relationship Id="rId10" Type="http://schemas.openxmlformats.org/officeDocument/2006/relationships/hyperlink" Target="http://frwebgate.access.gpo.gov/cgi-bin/getpage.cgi?dbname=2013_register&amp;position=all&amp;page=78608" TargetMode="External"/><Relationship Id="rId4" Type="http://schemas.openxmlformats.org/officeDocument/2006/relationships/webSettings" Target="webSettings.xml"/><Relationship Id="rId9" Type="http://schemas.openxmlformats.org/officeDocument/2006/relationships/hyperlink" Target="https://www.law.cornell.edu/cfr/text/2/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1</cp:revision>
  <dcterms:created xsi:type="dcterms:W3CDTF">2016-05-31T16:14:00Z</dcterms:created>
  <dcterms:modified xsi:type="dcterms:W3CDTF">2016-05-31T16:37:00Z</dcterms:modified>
</cp:coreProperties>
</file>