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7B8" w:rsidRPr="005E78D0" w:rsidRDefault="00B167B8" w:rsidP="00192707">
      <w:pPr>
        <w:jc w:val="center"/>
        <w:rPr>
          <w:b/>
        </w:rPr>
      </w:pPr>
      <w:bookmarkStart w:id="0" w:name="_GoBack"/>
      <w:bookmarkEnd w:id="0"/>
      <w:r w:rsidRPr="005E78D0">
        <w:rPr>
          <w:b/>
        </w:rPr>
        <w:t>Supporting Statement for Paperwork Reduction Act Submissions</w:t>
      </w:r>
    </w:p>
    <w:p w:rsidR="00BF0738" w:rsidRDefault="00BF0738" w:rsidP="0014087C">
      <w:pPr>
        <w:jc w:val="center"/>
        <w:rPr>
          <w:b/>
        </w:rPr>
      </w:pPr>
      <w:r w:rsidRPr="00BF0738">
        <w:rPr>
          <w:b/>
        </w:rPr>
        <w:t>Report of Mail Order Transaction</w:t>
      </w:r>
      <w:r w:rsidR="00057006">
        <w:rPr>
          <w:b/>
        </w:rPr>
        <w:t>s</w:t>
      </w:r>
    </w:p>
    <w:p w:rsidR="00BF0738" w:rsidRDefault="00BF0738" w:rsidP="0014087C">
      <w:pPr>
        <w:jc w:val="center"/>
        <w:rPr>
          <w:b/>
        </w:rPr>
      </w:pPr>
      <w:r>
        <w:rPr>
          <w:b/>
        </w:rPr>
        <w:t>OMB</w:t>
      </w:r>
      <w:r w:rsidRPr="00BF0738">
        <w:rPr>
          <w:b/>
        </w:rPr>
        <w:t xml:space="preserve"> </w:t>
      </w:r>
      <w:r w:rsidR="005E78D0">
        <w:rPr>
          <w:b/>
        </w:rPr>
        <w:t>Approval</w:t>
      </w:r>
      <w:r w:rsidRPr="00BF0738">
        <w:rPr>
          <w:b/>
        </w:rPr>
        <w:t xml:space="preserve"> </w:t>
      </w:r>
      <w:r w:rsidR="005E78D0">
        <w:rPr>
          <w:b/>
        </w:rPr>
        <w:t>#</w:t>
      </w:r>
      <w:r w:rsidRPr="00BF0738">
        <w:rPr>
          <w:b/>
        </w:rPr>
        <w:t>1117-0033</w:t>
      </w:r>
    </w:p>
    <w:p w:rsidR="00B167B8" w:rsidRDefault="00B167B8" w:rsidP="0014087C"/>
    <w:p w:rsidR="005E78D0" w:rsidRDefault="005E78D0" w:rsidP="005E78D0">
      <w:r>
        <w:t xml:space="preserve">The Drug Enforcement Administration (DEA) seeks approval by the Office of Management and Budget (OMB) for an existing collection of information that was previously approved by OMB </w:t>
      </w:r>
      <w:r w:rsidRPr="0086545A">
        <w:t xml:space="preserve">– </w:t>
      </w:r>
      <w:r>
        <w:t>OMB Approval #1117-0033, Report of  Mail Order Transactions.</w:t>
      </w:r>
    </w:p>
    <w:p w:rsidR="005E78D0" w:rsidRDefault="005E78D0" w:rsidP="0014087C"/>
    <w:p w:rsidR="00B167B8" w:rsidRPr="005E78D0" w:rsidRDefault="00B51333" w:rsidP="0014087C">
      <w:pPr>
        <w:rPr>
          <w:b/>
        </w:rPr>
      </w:pPr>
      <w:r w:rsidRPr="005E78D0">
        <w:rPr>
          <w:b/>
        </w:rPr>
        <w:t xml:space="preserve">Part </w:t>
      </w:r>
      <w:r w:rsidR="005E78D0" w:rsidRPr="005E78D0">
        <w:rPr>
          <w:b/>
        </w:rPr>
        <w:t xml:space="preserve">A.  </w:t>
      </w:r>
      <w:r w:rsidR="00B167B8" w:rsidRPr="005E78D0">
        <w:rPr>
          <w:b/>
        </w:rPr>
        <w:t>Justification</w:t>
      </w:r>
    </w:p>
    <w:p w:rsidR="000F671E" w:rsidRDefault="000F671E" w:rsidP="0014087C"/>
    <w:p w:rsidR="005E78D0" w:rsidRDefault="00B167B8" w:rsidP="0014087C">
      <w:r>
        <w:t xml:space="preserve">1. </w:t>
      </w:r>
      <w:r w:rsidR="00473437">
        <w:t xml:space="preserve"> </w:t>
      </w:r>
      <w:r w:rsidR="001334E1" w:rsidRPr="005E78D0">
        <w:rPr>
          <w:u w:val="single"/>
        </w:rPr>
        <w:t>Necessity of information:</w:t>
      </w:r>
    </w:p>
    <w:p w:rsidR="005E78D0" w:rsidRDefault="005E78D0" w:rsidP="0014087C"/>
    <w:p w:rsidR="00B167B8" w:rsidRDefault="00B167B8" w:rsidP="0014087C">
      <w:r>
        <w:t>The</w:t>
      </w:r>
      <w:r w:rsidR="002142D3">
        <w:t xml:space="preserve"> </w:t>
      </w:r>
      <w:r>
        <w:t xml:space="preserve">Drug Enforcement Administration </w:t>
      </w:r>
      <w:r w:rsidR="002142D3">
        <w:t xml:space="preserve">(DEA) </w:t>
      </w:r>
      <w:r>
        <w:t xml:space="preserve">collects information regarding mail order transactions conducted between a person regulated by the agency and a nonregulated person (that is, someone who does not further distribute the product) involving the chemicals ephedrine, pseudoephedrine, and phenylpropanolamine.  Transactions must use, or attempt to use, the United States Postal Service or any private or commercial carrier.  This collection of information is </w:t>
      </w:r>
      <w:r w:rsidR="00E62D5C">
        <w:t xml:space="preserve">mandated </w:t>
      </w:r>
      <w:r>
        <w:t xml:space="preserve">by </w:t>
      </w:r>
      <w:r w:rsidRPr="00670104">
        <w:t>21 U.S.C. 830(b)(3),</w:t>
      </w:r>
      <w:r>
        <w:t xml:space="preserve"> and permits the agency to monitor the distribution of ephedrine, pseudoephedrine and phenylpropanolamine, chemicals which are subject to diversion for the illicit manufacture of methamphetamine.</w:t>
      </w:r>
    </w:p>
    <w:p w:rsidR="00D205F4" w:rsidRDefault="00D205F4" w:rsidP="0014087C"/>
    <w:p w:rsidR="005E78D0" w:rsidRDefault="00B167B8" w:rsidP="0014087C">
      <w:r>
        <w:t xml:space="preserve">2. </w:t>
      </w:r>
      <w:r w:rsidR="005E78D0">
        <w:t xml:space="preserve"> </w:t>
      </w:r>
      <w:r w:rsidR="00523D1C" w:rsidRPr="005E78D0">
        <w:rPr>
          <w:u w:val="single"/>
        </w:rPr>
        <w:t>Needs and Uses:</w:t>
      </w:r>
    </w:p>
    <w:p w:rsidR="005E78D0" w:rsidRDefault="005E78D0" w:rsidP="0014087C"/>
    <w:p w:rsidR="00B167B8" w:rsidRDefault="00B167B8" w:rsidP="0014087C">
      <w:r>
        <w:t xml:space="preserve">The </w:t>
      </w:r>
      <w:r w:rsidR="00300F3B">
        <w:t>DEA</w:t>
      </w:r>
      <w:r>
        <w:t xml:space="preserve"> uses this information collection to monitor the distribution of the chemicals ephedrine, pseudoephedrine</w:t>
      </w:r>
      <w:r w:rsidR="00F2797D">
        <w:t>,</w:t>
      </w:r>
      <w:r>
        <w:t xml:space="preserve"> and phenylpropanolamine in their varying forms.  These chemicals are subject to diversion for the illicit production of methamphetamine.</w:t>
      </w:r>
    </w:p>
    <w:p w:rsidR="00B167B8" w:rsidRDefault="00B167B8" w:rsidP="0014087C"/>
    <w:p w:rsidR="005E78D0" w:rsidRDefault="005E78D0" w:rsidP="0014087C">
      <w:r>
        <w:t xml:space="preserve">3.  </w:t>
      </w:r>
      <w:r w:rsidR="00B86DE5" w:rsidRPr="00057094">
        <w:rPr>
          <w:u w:val="single"/>
        </w:rPr>
        <w:t xml:space="preserve">Use of </w:t>
      </w:r>
      <w:r w:rsidR="00766BEE" w:rsidRPr="00057094">
        <w:rPr>
          <w:u w:val="single"/>
        </w:rPr>
        <w:t xml:space="preserve">Information </w:t>
      </w:r>
      <w:r w:rsidR="00523D1C" w:rsidRPr="00057094">
        <w:rPr>
          <w:u w:val="single"/>
        </w:rPr>
        <w:t>Technology:</w:t>
      </w:r>
    </w:p>
    <w:p w:rsidR="005E78D0" w:rsidRDefault="005E78D0" w:rsidP="0014087C"/>
    <w:p w:rsidR="00E5600F" w:rsidRDefault="00573980" w:rsidP="0014087C">
      <w:r>
        <w:t xml:space="preserve">The </w:t>
      </w:r>
      <w:r w:rsidR="002142D3">
        <w:t xml:space="preserve">DEA permits electronic submissions of information for this collection.  </w:t>
      </w:r>
      <w:r w:rsidR="000A521F">
        <w:t xml:space="preserve">Respondents create accounts </w:t>
      </w:r>
      <w:r w:rsidR="00A10DE8">
        <w:t xml:space="preserve">on the </w:t>
      </w:r>
      <w:r w:rsidR="008A1879">
        <w:t>DEA</w:t>
      </w:r>
      <w:r w:rsidR="00A10DE8">
        <w:t xml:space="preserve"> Office of Diversion Control Web site </w:t>
      </w:r>
      <w:r w:rsidR="00A10DE8" w:rsidRPr="00991B94">
        <w:rPr>
          <w:noProof/>
        </w:rPr>
        <w:t>(</w:t>
      </w:r>
      <w:r w:rsidR="00A10DE8" w:rsidRPr="007A6476">
        <w:rPr>
          <w:noProof/>
        </w:rPr>
        <w:t>http://www.deadiversion.usdoj.gov</w:t>
      </w:r>
      <w:r w:rsidR="00A10DE8" w:rsidRPr="00991B94">
        <w:rPr>
          <w:noProof/>
        </w:rPr>
        <w:t>)</w:t>
      </w:r>
      <w:r w:rsidR="00A10DE8">
        <w:rPr>
          <w:noProof/>
        </w:rPr>
        <w:t>.  The accounts are used to submit reports and update contact information.</w:t>
      </w:r>
      <w:r w:rsidR="008A1879" w:rsidRPr="008525FC">
        <w:t xml:space="preserve"> </w:t>
      </w:r>
      <w:r w:rsidR="00B86DE5">
        <w:t xml:space="preserve"> </w:t>
      </w:r>
      <w:r w:rsidR="008F3671" w:rsidRPr="005E0846">
        <w:t>Approximately</w:t>
      </w:r>
      <w:r w:rsidR="00AC0A1C" w:rsidRPr="005E0846">
        <w:t xml:space="preserve"> </w:t>
      </w:r>
      <w:r w:rsidR="008F3671" w:rsidRPr="005E0846">
        <w:t>90%</w:t>
      </w:r>
      <w:r w:rsidR="00300F3B" w:rsidRPr="005E0846">
        <w:t xml:space="preserve"> of </w:t>
      </w:r>
      <w:r w:rsidR="008A1879" w:rsidRPr="005E0846">
        <w:t>reports</w:t>
      </w:r>
      <w:r w:rsidR="00300F3B" w:rsidRPr="005E0846">
        <w:t xml:space="preserve"> are submitted</w:t>
      </w:r>
      <w:r w:rsidR="008A1879" w:rsidRPr="005E0846">
        <w:t xml:space="preserve"> electronically</w:t>
      </w:r>
      <w:r w:rsidR="008525FC" w:rsidRPr="005E0846">
        <w:t>.</w:t>
      </w:r>
    </w:p>
    <w:p w:rsidR="008525FC" w:rsidRDefault="008525FC" w:rsidP="0014087C"/>
    <w:p w:rsidR="005E78D0" w:rsidRDefault="005E78D0" w:rsidP="0014087C">
      <w:r>
        <w:t xml:space="preserve">4.  </w:t>
      </w:r>
      <w:r w:rsidR="00523D1C" w:rsidRPr="005E78D0">
        <w:rPr>
          <w:u w:val="single"/>
        </w:rPr>
        <w:t>Efforts to Identify Duplication:</w:t>
      </w:r>
    </w:p>
    <w:p w:rsidR="005E78D0" w:rsidRDefault="005E78D0" w:rsidP="0014087C"/>
    <w:p w:rsidR="00B167B8" w:rsidRDefault="00AC0A1C" w:rsidP="0014087C">
      <w:r>
        <w:t xml:space="preserve">The DEA has made efforts to identify and prevent duplication of the collection of information.  The </w:t>
      </w:r>
      <w:r w:rsidR="00B167B8">
        <w:t>collection</w:t>
      </w:r>
      <w:r>
        <w:t xml:space="preserve"> of this information</w:t>
      </w:r>
      <w:r w:rsidR="00B167B8">
        <w:t xml:space="preserve"> is unique to the </w:t>
      </w:r>
      <w:r w:rsidR="00300F3B">
        <w:t>DEA</w:t>
      </w:r>
      <w:r w:rsidR="00B167B8">
        <w:t>.</w:t>
      </w:r>
    </w:p>
    <w:p w:rsidR="00B167B8" w:rsidRDefault="00B167B8" w:rsidP="0014087C"/>
    <w:p w:rsidR="005E78D0" w:rsidRDefault="005E78D0" w:rsidP="0014087C">
      <w:r>
        <w:t xml:space="preserve">5.  </w:t>
      </w:r>
      <w:r w:rsidR="00300F3B">
        <w:rPr>
          <w:u w:val="single"/>
        </w:rPr>
        <w:t xml:space="preserve">Impact </w:t>
      </w:r>
      <w:r w:rsidR="00523D1C" w:rsidRPr="005E78D0">
        <w:rPr>
          <w:u w:val="single"/>
        </w:rPr>
        <w:t>on Small Businesses</w:t>
      </w:r>
      <w:r w:rsidR="00300F3B">
        <w:rPr>
          <w:u w:val="single"/>
        </w:rPr>
        <w:t xml:space="preserve"> or Entities</w:t>
      </w:r>
      <w:r w:rsidR="00523D1C" w:rsidRPr="005E78D0">
        <w:rPr>
          <w:u w:val="single"/>
        </w:rPr>
        <w:t>:</w:t>
      </w:r>
    </w:p>
    <w:p w:rsidR="005E78D0" w:rsidRDefault="005E78D0" w:rsidP="0014087C"/>
    <w:p w:rsidR="00B167B8" w:rsidRDefault="00E5600F" w:rsidP="0014087C">
      <w:r>
        <w:t xml:space="preserve">This information </w:t>
      </w:r>
      <w:r w:rsidR="00300F3B">
        <w:t>collection will not have a significant economic impact on small businesses or other small entities within the meaning and intent of the Regulatory Flexibility Act, 5 U.S.C</w:t>
      </w:r>
      <w:r>
        <w:t>.</w:t>
      </w:r>
      <w:r w:rsidR="00300F3B">
        <w:t xml:space="preserve"> 601-612.</w:t>
      </w:r>
    </w:p>
    <w:p w:rsidR="00120EDA" w:rsidRDefault="005E78D0" w:rsidP="0014087C">
      <w:r>
        <w:lastRenderedPageBreak/>
        <w:t xml:space="preserve">6.  </w:t>
      </w:r>
      <w:r w:rsidR="00523D1C" w:rsidRPr="005E78D0">
        <w:rPr>
          <w:u w:val="single"/>
        </w:rPr>
        <w:t>Consequences of Less Frequent Collection:</w:t>
      </w:r>
    </w:p>
    <w:p w:rsidR="005E78D0" w:rsidRDefault="005E78D0" w:rsidP="0014087C"/>
    <w:p w:rsidR="00B167B8" w:rsidRDefault="00B167B8" w:rsidP="0014087C">
      <w:r>
        <w:t xml:space="preserve">This monthly collection of information is authorized </w:t>
      </w:r>
      <w:r w:rsidR="00E5600F">
        <w:t xml:space="preserve">and required </w:t>
      </w:r>
      <w:r>
        <w:t>by the Controlled Substan</w:t>
      </w:r>
      <w:r w:rsidR="00AC0A1C">
        <w:t xml:space="preserve">ces Act (21 U.S.C. 830(b)(3)).  </w:t>
      </w:r>
      <w:r w:rsidR="00573980">
        <w:t xml:space="preserve">The </w:t>
      </w:r>
      <w:r w:rsidR="00E5600F">
        <w:t xml:space="preserve">DEA has no discretion in this matter.  </w:t>
      </w:r>
      <w:r>
        <w:t xml:space="preserve">This monthly reporting requirement permits the </w:t>
      </w:r>
      <w:r w:rsidR="00397B6A">
        <w:t>DEA</w:t>
      </w:r>
      <w:r>
        <w:t xml:space="preserve"> to carry out its policies and programs as they relate to the diversion of listed chemicals for the illicit manufacture of methamphetamine.  Businesses and other for-profit entities conducting mail order transactions maintain the requested data as part of usual a</w:t>
      </w:r>
      <w:r w:rsidR="00A12E6A">
        <w:t>nd customary business practice.</w:t>
      </w:r>
    </w:p>
    <w:p w:rsidR="00B167B8" w:rsidRDefault="00B167B8" w:rsidP="0014087C"/>
    <w:p w:rsidR="00AD05C6" w:rsidRDefault="005E78D0" w:rsidP="0014087C">
      <w:r>
        <w:t xml:space="preserve">7.  </w:t>
      </w:r>
      <w:r w:rsidR="00523D1C" w:rsidRPr="00AD05C6">
        <w:rPr>
          <w:u w:val="single"/>
        </w:rPr>
        <w:t>Special Circumstances Influencing Collection:</w:t>
      </w:r>
    </w:p>
    <w:p w:rsidR="00AD05C6" w:rsidRDefault="00AD05C6" w:rsidP="0014087C"/>
    <w:p w:rsidR="00573980" w:rsidRPr="00573980" w:rsidRDefault="00573980" w:rsidP="00573980">
      <w:r w:rsidRPr="00573980">
        <w:t>There are no special circumstances applicable t</w:t>
      </w:r>
      <w:r w:rsidR="00A12E6A">
        <w:t>o this information collection.</w:t>
      </w:r>
    </w:p>
    <w:p w:rsidR="002C4A62" w:rsidRDefault="002C4A62" w:rsidP="0014087C"/>
    <w:p w:rsidR="00AD05C6" w:rsidRDefault="00AD05C6" w:rsidP="0014087C">
      <w:r>
        <w:t xml:space="preserve">8.  </w:t>
      </w:r>
      <w:r w:rsidR="00605BD8">
        <w:rPr>
          <w:u w:val="single"/>
        </w:rPr>
        <w:t>Consultation with persons outside the Agency</w:t>
      </w:r>
      <w:r w:rsidR="00523D1C" w:rsidRPr="00AD05C6">
        <w:rPr>
          <w:u w:val="single"/>
        </w:rPr>
        <w:t>:</w:t>
      </w:r>
    </w:p>
    <w:p w:rsidR="00AD05C6" w:rsidRDefault="00AD05C6" w:rsidP="0014087C"/>
    <w:p w:rsidR="00605BD8" w:rsidRDefault="00605BD8" w:rsidP="00605BD8">
      <w:r>
        <w:t>Public comment was solicited in the 60-day Federal Register Noti</w:t>
      </w:r>
      <w:r w:rsidR="00057094">
        <w:t>ce of Information Collection, 8</w:t>
      </w:r>
      <w:r w:rsidR="00A12E6A">
        <w:t>4</w:t>
      </w:r>
      <w:r>
        <w:t xml:space="preserve"> FR </w:t>
      </w:r>
      <w:r w:rsidR="00A12E6A">
        <w:t>9137</w:t>
      </w:r>
      <w:r>
        <w:t xml:space="preserve">, published </w:t>
      </w:r>
      <w:r w:rsidR="00A12E6A">
        <w:t>March 13</w:t>
      </w:r>
      <w:r w:rsidRPr="00B86DE5">
        <w:t>,</w:t>
      </w:r>
      <w:r>
        <w:t xml:space="preserve"> </w:t>
      </w:r>
      <w:r w:rsidR="00A12E6A">
        <w:t xml:space="preserve">2019 </w:t>
      </w:r>
      <w:r>
        <w:t>and the 30-day Federal Register Noti</w:t>
      </w:r>
      <w:r w:rsidR="00057094">
        <w:t xml:space="preserve">ce of Information Collection, </w:t>
      </w:r>
      <w:r w:rsidR="00105235">
        <w:t>84</w:t>
      </w:r>
      <w:r w:rsidRPr="00105235">
        <w:t xml:space="preserve"> FR </w:t>
      </w:r>
      <w:r w:rsidR="00105235">
        <w:t>23069</w:t>
      </w:r>
      <w:r w:rsidRPr="00B86DE5">
        <w:t>,</w:t>
      </w:r>
      <w:r>
        <w:t xml:space="preserve"> published </w:t>
      </w:r>
      <w:r w:rsidR="00105235" w:rsidRPr="00105235">
        <w:t>May 21</w:t>
      </w:r>
      <w:r w:rsidRPr="00105235">
        <w:t>, 20</w:t>
      </w:r>
      <w:r w:rsidR="00955F46" w:rsidRPr="00105235">
        <w:t>19</w:t>
      </w:r>
      <w:r>
        <w:t xml:space="preserve">.  </w:t>
      </w:r>
      <w:r w:rsidRPr="00105235">
        <w:t>The DEA did not receive any comments concerning this collection</w:t>
      </w:r>
      <w:r>
        <w:t>.</w:t>
      </w:r>
    </w:p>
    <w:p w:rsidR="00605BD8" w:rsidRDefault="00605BD8" w:rsidP="00605BD8"/>
    <w:p w:rsidR="00B167B8" w:rsidRDefault="00605BD8" w:rsidP="00605BD8">
      <w:r>
        <w:t>The DEA meets regularly with the affected industry to discuss policies, programs, and regulations.  These meetings provide an open forum to discuss matters of mutual concern with representatives of those entities from who</w:t>
      </w:r>
      <w:r w:rsidR="00A12E6A">
        <w:t>m the information is obtained.</w:t>
      </w:r>
    </w:p>
    <w:p w:rsidR="00605BD8" w:rsidRDefault="00605BD8" w:rsidP="00605BD8"/>
    <w:p w:rsidR="00AD05C6" w:rsidRDefault="00AD05C6" w:rsidP="0014087C">
      <w:r>
        <w:t xml:space="preserve">9.  </w:t>
      </w:r>
      <w:r w:rsidR="00523D1C" w:rsidRPr="00AD05C6">
        <w:rPr>
          <w:u w:val="single"/>
        </w:rPr>
        <w:t>Payment or Gift to Claimants:</w:t>
      </w:r>
    </w:p>
    <w:p w:rsidR="00AD05C6" w:rsidRDefault="00AD05C6" w:rsidP="0014087C"/>
    <w:p w:rsidR="00B167B8" w:rsidRDefault="00120EDA" w:rsidP="000C0CB4">
      <w:r>
        <w:t>This information collection does not propose to provide any payment or gift t</w:t>
      </w:r>
      <w:r w:rsidR="000C0CB4">
        <w:t xml:space="preserve">o </w:t>
      </w:r>
      <w:r>
        <w:t>respondents</w:t>
      </w:r>
      <w:r w:rsidR="00B167B8">
        <w:t>.</w:t>
      </w:r>
    </w:p>
    <w:p w:rsidR="00523D1C" w:rsidRDefault="00523D1C" w:rsidP="0014087C"/>
    <w:p w:rsidR="00AD05C6" w:rsidRDefault="00AD05C6" w:rsidP="0014087C">
      <w:r>
        <w:t xml:space="preserve">10.  </w:t>
      </w:r>
      <w:r w:rsidR="00523D1C" w:rsidRPr="00AD05C6">
        <w:rPr>
          <w:u w:val="single"/>
        </w:rPr>
        <w:t>Assurance of Confidentiality:</w:t>
      </w:r>
    </w:p>
    <w:p w:rsidR="00AD05C6" w:rsidRDefault="00AD05C6" w:rsidP="0014087C"/>
    <w:p w:rsidR="00E5600F" w:rsidRDefault="000A521F" w:rsidP="0014087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0A521F" w:rsidRDefault="000A521F" w:rsidP="0014087C"/>
    <w:p w:rsidR="00AD05C6" w:rsidRDefault="00B167B8" w:rsidP="0014087C">
      <w:r>
        <w:t xml:space="preserve">11. </w:t>
      </w:r>
      <w:r w:rsidR="00565FC5">
        <w:t xml:space="preserve"> </w:t>
      </w:r>
      <w:r w:rsidR="00523D1C" w:rsidRPr="00AD05C6">
        <w:rPr>
          <w:u w:val="single"/>
        </w:rPr>
        <w:t>Justification for Sensitive Questions:</w:t>
      </w:r>
    </w:p>
    <w:p w:rsidR="00AD05C6" w:rsidRDefault="00AD05C6" w:rsidP="0014087C"/>
    <w:p w:rsidR="00B167B8" w:rsidRDefault="00B167B8" w:rsidP="0014087C">
      <w:r>
        <w:t xml:space="preserve">This information collection does not </w:t>
      </w:r>
      <w:r w:rsidR="00120EDA">
        <w:t xml:space="preserve">ask any questions </w:t>
      </w:r>
      <w:r>
        <w:t>of a sensitive nature.</w:t>
      </w:r>
    </w:p>
    <w:p w:rsidR="00B167B8" w:rsidRDefault="00B167B8" w:rsidP="0014087C"/>
    <w:p w:rsidR="00B167B8" w:rsidRDefault="00AD05C6" w:rsidP="0014087C">
      <w:pPr>
        <w:rPr>
          <w:u w:val="single"/>
        </w:rPr>
      </w:pPr>
      <w:r>
        <w:lastRenderedPageBreak/>
        <w:t>12</w:t>
      </w:r>
      <w:r w:rsidRPr="00057094">
        <w:t xml:space="preserve">.  </w:t>
      </w:r>
      <w:r w:rsidR="00523D1C" w:rsidRPr="005E0846">
        <w:rPr>
          <w:u w:val="single"/>
        </w:rPr>
        <w:t>Estimate of Hour Burden:</w:t>
      </w:r>
    </w:p>
    <w:p w:rsidR="00AD05C6" w:rsidRDefault="00AD05C6" w:rsidP="0014087C"/>
    <w:p w:rsidR="00AC6784" w:rsidRDefault="00AC6784" w:rsidP="0014087C">
      <w:r>
        <w:t xml:space="preserve">There are </w:t>
      </w:r>
      <w:r w:rsidR="005D51CB">
        <w:t>9</w:t>
      </w:r>
      <w:r>
        <w:t xml:space="preserve"> respondents affected by this information collection request.  The report is made monthly.  However, subject transactions may not occur each month.</w:t>
      </w:r>
    </w:p>
    <w:p w:rsidR="003406DF" w:rsidRDefault="003406DF" w:rsidP="0014087C"/>
    <w:p w:rsidR="00AC6784" w:rsidRDefault="00AC6784" w:rsidP="0014087C"/>
    <w:tbl>
      <w:tblPr>
        <w:tblW w:w="0" w:type="dxa"/>
        <w:tblInd w:w="103" w:type="dxa"/>
        <w:tblCellMar>
          <w:left w:w="0" w:type="dxa"/>
          <w:right w:w="0" w:type="dxa"/>
        </w:tblCellMar>
        <w:tblLook w:val="04A0" w:firstRow="1" w:lastRow="0" w:firstColumn="1" w:lastColumn="0" w:noHBand="0" w:noVBand="1"/>
      </w:tblPr>
      <w:tblGrid>
        <w:gridCol w:w="1085"/>
        <w:gridCol w:w="1306"/>
        <w:gridCol w:w="1094"/>
        <w:gridCol w:w="1107"/>
        <w:gridCol w:w="1017"/>
        <w:gridCol w:w="1126"/>
      </w:tblGrid>
      <w:tr w:rsidR="003406DF" w:rsidTr="003406DF">
        <w:trPr>
          <w:trHeight w:val="705"/>
        </w:trPr>
        <w:tc>
          <w:tcPr>
            <w:tcW w:w="1085" w:type="dxa"/>
            <w:tcBorders>
              <w:top w:val="single" w:sz="8" w:space="0" w:color="auto"/>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3406DF">
            <w:pPr>
              <w:rPr>
                <w:color w:val="000000"/>
                <w:sz w:val="20"/>
              </w:rPr>
            </w:pPr>
            <w:r>
              <w:rPr>
                <w:color w:val="000000"/>
                <w:sz w:val="20"/>
              </w:rPr>
              <w:t> </w:t>
            </w:r>
          </w:p>
        </w:tc>
        <w:tc>
          <w:tcPr>
            <w:tcW w:w="1171"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3406DF">
            <w:pPr>
              <w:jc w:val="center"/>
              <w:rPr>
                <w:rFonts w:ascii="Calibri" w:hAnsi="Calibri"/>
                <w:b/>
                <w:bCs/>
                <w:color w:val="000000"/>
                <w:sz w:val="20"/>
              </w:rPr>
            </w:pPr>
            <w:r>
              <w:rPr>
                <w:b/>
                <w:bCs/>
                <w:color w:val="000000"/>
                <w:sz w:val="20"/>
              </w:rPr>
              <w:t>Number of Annual Respondents</w:t>
            </w:r>
          </w:p>
        </w:tc>
        <w:tc>
          <w:tcPr>
            <w:tcW w:w="1094"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3406DF">
            <w:pPr>
              <w:jc w:val="center"/>
              <w:rPr>
                <w:b/>
                <w:bCs/>
                <w:color w:val="000000"/>
                <w:sz w:val="20"/>
              </w:rPr>
            </w:pPr>
            <w:r>
              <w:rPr>
                <w:b/>
                <w:bCs/>
                <w:color w:val="000000"/>
                <w:sz w:val="20"/>
              </w:rPr>
              <w:t>Number of Responses per Year</w:t>
            </w:r>
          </w:p>
        </w:tc>
        <w:tc>
          <w:tcPr>
            <w:tcW w:w="1107"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3406DF">
            <w:pPr>
              <w:jc w:val="center"/>
              <w:rPr>
                <w:b/>
                <w:bCs/>
                <w:color w:val="000000"/>
                <w:sz w:val="20"/>
              </w:rPr>
            </w:pPr>
            <w:r>
              <w:rPr>
                <w:b/>
                <w:bCs/>
                <w:color w:val="000000"/>
                <w:sz w:val="20"/>
              </w:rPr>
              <w:t>Number of Annual responses</w:t>
            </w:r>
          </w:p>
        </w:tc>
        <w:tc>
          <w:tcPr>
            <w:tcW w:w="1017"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3406DF">
            <w:pPr>
              <w:jc w:val="center"/>
              <w:rPr>
                <w:b/>
                <w:bCs/>
                <w:color w:val="000000"/>
                <w:sz w:val="20"/>
              </w:rPr>
            </w:pPr>
            <w:r>
              <w:rPr>
                <w:b/>
                <w:bCs/>
                <w:color w:val="000000"/>
                <w:sz w:val="20"/>
              </w:rPr>
              <w:t>Average Time per Response (Hours)</w:t>
            </w:r>
          </w:p>
        </w:tc>
        <w:tc>
          <w:tcPr>
            <w:tcW w:w="1126"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3406DF">
            <w:pPr>
              <w:jc w:val="center"/>
              <w:rPr>
                <w:b/>
                <w:bCs/>
                <w:color w:val="000000"/>
                <w:sz w:val="20"/>
              </w:rPr>
            </w:pPr>
            <w:r>
              <w:rPr>
                <w:b/>
                <w:bCs/>
                <w:color w:val="000000"/>
                <w:sz w:val="20"/>
              </w:rPr>
              <w:t>Total Annual Hours</w:t>
            </w:r>
          </w:p>
        </w:tc>
      </w:tr>
      <w:tr w:rsidR="003406DF" w:rsidTr="003406DF">
        <w:trPr>
          <w:trHeight w:val="300"/>
        </w:trPr>
        <w:tc>
          <w:tcPr>
            <w:tcW w:w="10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406DF" w:rsidRDefault="003406DF" w:rsidP="003406DF">
            <w:pPr>
              <w:rPr>
                <w:color w:val="000000"/>
                <w:sz w:val="20"/>
              </w:rPr>
            </w:pPr>
            <w:r>
              <w:rPr>
                <w:color w:val="000000"/>
                <w:sz w:val="20"/>
              </w:rPr>
              <w:t xml:space="preserve">Mail Order Reports </w:t>
            </w:r>
          </w:p>
        </w:tc>
        <w:tc>
          <w:tcPr>
            <w:tcW w:w="1171" w:type="dxa"/>
            <w:tcBorders>
              <w:top w:val="nil"/>
              <w:left w:val="nil"/>
              <w:bottom w:val="nil"/>
              <w:right w:val="single" w:sz="8" w:space="0" w:color="auto"/>
            </w:tcBorders>
            <w:tcMar>
              <w:top w:w="0" w:type="dxa"/>
              <w:left w:w="108" w:type="dxa"/>
              <w:bottom w:w="0" w:type="dxa"/>
              <w:right w:w="108" w:type="dxa"/>
            </w:tcMar>
            <w:vAlign w:val="center"/>
            <w:hideMark/>
          </w:tcPr>
          <w:p w:rsidR="003406DF" w:rsidRDefault="002A19C4">
            <w:pPr>
              <w:jc w:val="center"/>
              <w:rPr>
                <w:color w:val="000000"/>
                <w:sz w:val="20"/>
              </w:rPr>
            </w:pPr>
            <w:r>
              <w:rPr>
                <w:color w:val="000000"/>
                <w:sz w:val="20"/>
              </w:rPr>
              <w:t>9</w:t>
            </w:r>
          </w:p>
        </w:tc>
        <w:tc>
          <w:tcPr>
            <w:tcW w:w="1094" w:type="dxa"/>
            <w:tcBorders>
              <w:top w:val="nil"/>
              <w:left w:val="nil"/>
              <w:bottom w:val="nil"/>
              <w:right w:val="single" w:sz="8" w:space="0" w:color="auto"/>
            </w:tcBorders>
            <w:tcMar>
              <w:top w:w="0" w:type="dxa"/>
              <w:left w:w="108" w:type="dxa"/>
              <w:bottom w:w="0" w:type="dxa"/>
              <w:right w:w="108" w:type="dxa"/>
            </w:tcMar>
            <w:vAlign w:val="center"/>
            <w:hideMark/>
          </w:tcPr>
          <w:p w:rsidR="003406DF" w:rsidRDefault="003406DF">
            <w:pPr>
              <w:jc w:val="center"/>
              <w:rPr>
                <w:color w:val="000000"/>
                <w:sz w:val="20"/>
              </w:rPr>
            </w:pPr>
            <w:r>
              <w:rPr>
                <w:color w:val="000000"/>
                <w:sz w:val="20"/>
              </w:rPr>
              <w:t>12</w:t>
            </w:r>
          </w:p>
        </w:tc>
        <w:tc>
          <w:tcPr>
            <w:tcW w:w="11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6DF" w:rsidRDefault="002A19C4">
            <w:pPr>
              <w:jc w:val="center"/>
              <w:rPr>
                <w:color w:val="000000"/>
                <w:sz w:val="20"/>
              </w:rPr>
            </w:pPr>
            <w:r>
              <w:rPr>
                <w:color w:val="000000"/>
                <w:sz w:val="20"/>
              </w:rPr>
              <w:t>108</w:t>
            </w:r>
          </w:p>
        </w:tc>
        <w:tc>
          <w:tcPr>
            <w:tcW w:w="10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6DF" w:rsidRDefault="002A19C4">
            <w:pPr>
              <w:jc w:val="center"/>
              <w:rPr>
                <w:color w:val="000000"/>
                <w:sz w:val="20"/>
              </w:rPr>
            </w:pPr>
            <w:r>
              <w:rPr>
                <w:color w:val="000000"/>
                <w:sz w:val="20"/>
              </w:rPr>
              <w:t>1</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6DF" w:rsidRDefault="002A19C4">
            <w:pPr>
              <w:jc w:val="center"/>
              <w:rPr>
                <w:color w:val="000000"/>
                <w:sz w:val="20"/>
              </w:rPr>
            </w:pPr>
            <w:r>
              <w:rPr>
                <w:color w:val="000000"/>
                <w:sz w:val="20"/>
              </w:rPr>
              <w:t>108</w:t>
            </w:r>
          </w:p>
        </w:tc>
      </w:tr>
      <w:tr w:rsidR="003406DF" w:rsidTr="003406DF">
        <w:trPr>
          <w:trHeight w:val="300"/>
        </w:trPr>
        <w:tc>
          <w:tcPr>
            <w:tcW w:w="1085" w:type="dxa"/>
            <w:tcBorders>
              <w:top w:val="nil"/>
              <w:left w:val="single" w:sz="8" w:space="0" w:color="auto"/>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3406DF">
            <w:pPr>
              <w:rPr>
                <w:b/>
                <w:bCs/>
                <w:color w:val="000000"/>
                <w:sz w:val="20"/>
              </w:rPr>
            </w:pPr>
            <w:r>
              <w:rPr>
                <w:b/>
                <w:bCs/>
                <w:color w:val="000000"/>
                <w:sz w:val="20"/>
              </w:rPr>
              <w:t>Total</w:t>
            </w:r>
          </w:p>
        </w:tc>
        <w:tc>
          <w:tcPr>
            <w:tcW w:w="1171"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2A19C4">
            <w:pPr>
              <w:jc w:val="center"/>
              <w:rPr>
                <w:b/>
                <w:bCs/>
                <w:color w:val="000000"/>
                <w:sz w:val="20"/>
              </w:rPr>
            </w:pPr>
            <w:r>
              <w:rPr>
                <w:b/>
                <w:bCs/>
                <w:color w:val="000000"/>
                <w:sz w:val="20"/>
              </w:rPr>
              <w:t>9</w:t>
            </w:r>
          </w:p>
        </w:tc>
        <w:tc>
          <w:tcPr>
            <w:tcW w:w="1094" w:type="dxa"/>
            <w:tcBorders>
              <w:top w:val="single" w:sz="8" w:space="0" w:color="auto"/>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3406DF">
            <w:pPr>
              <w:jc w:val="center"/>
              <w:rPr>
                <w:b/>
                <w:bCs/>
                <w:color w:val="000000"/>
                <w:sz w:val="20"/>
              </w:rPr>
            </w:pPr>
            <w:r>
              <w:rPr>
                <w:b/>
                <w:bCs/>
                <w:color w:val="000000"/>
                <w:sz w:val="20"/>
              </w:rPr>
              <w:t>N/A</w:t>
            </w:r>
          </w:p>
        </w:tc>
        <w:tc>
          <w:tcPr>
            <w:tcW w:w="110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2A19C4">
            <w:pPr>
              <w:jc w:val="center"/>
              <w:rPr>
                <w:b/>
                <w:bCs/>
                <w:color w:val="000000"/>
                <w:sz w:val="20"/>
              </w:rPr>
            </w:pPr>
            <w:r>
              <w:rPr>
                <w:b/>
                <w:bCs/>
                <w:color w:val="000000"/>
                <w:sz w:val="20"/>
              </w:rPr>
              <w:t>108</w:t>
            </w:r>
          </w:p>
        </w:tc>
        <w:tc>
          <w:tcPr>
            <w:tcW w:w="1017" w:type="dxa"/>
            <w:tcBorders>
              <w:top w:val="nil"/>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3406DF">
            <w:pPr>
              <w:jc w:val="center"/>
              <w:rPr>
                <w:b/>
                <w:bCs/>
                <w:color w:val="000000"/>
                <w:sz w:val="20"/>
              </w:rPr>
            </w:pPr>
            <w:r>
              <w:rPr>
                <w:b/>
                <w:bCs/>
                <w:color w:val="000000"/>
                <w:sz w:val="20"/>
              </w:rPr>
              <w:t>N/A</w:t>
            </w:r>
          </w:p>
        </w:tc>
        <w:tc>
          <w:tcPr>
            <w:tcW w:w="1126" w:type="dxa"/>
            <w:tcBorders>
              <w:top w:val="nil"/>
              <w:left w:val="nil"/>
              <w:bottom w:val="single" w:sz="8" w:space="0" w:color="auto"/>
              <w:right w:val="single" w:sz="8" w:space="0" w:color="auto"/>
            </w:tcBorders>
            <w:shd w:val="clear" w:color="auto" w:fill="B8CCE4"/>
            <w:tcMar>
              <w:top w:w="0" w:type="dxa"/>
              <w:left w:w="108" w:type="dxa"/>
              <w:bottom w:w="0" w:type="dxa"/>
              <w:right w:w="108" w:type="dxa"/>
            </w:tcMar>
            <w:vAlign w:val="center"/>
            <w:hideMark/>
          </w:tcPr>
          <w:p w:rsidR="003406DF" w:rsidRDefault="002A19C4">
            <w:pPr>
              <w:jc w:val="center"/>
              <w:rPr>
                <w:b/>
                <w:bCs/>
                <w:color w:val="000000"/>
                <w:sz w:val="20"/>
              </w:rPr>
            </w:pPr>
            <w:r>
              <w:rPr>
                <w:b/>
                <w:bCs/>
                <w:color w:val="000000"/>
                <w:sz w:val="20"/>
              </w:rPr>
              <w:t>108</w:t>
            </w:r>
          </w:p>
        </w:tc>
      </w:tr>
    </w:tbl>
    <w:p w:rsidR="002A19C4" w:rsidRDefault="002A19C4" w:rsidP="0014087C"/>
    <w:p w:rsidR="002A19C4" w:rsidRDefault="002A19C4" w:rsidP="002A19C4">
      <w:r>
        <w:t>Total number of respondents:  9</w:t>
      </w:r>
    </w:p>
    <w:p w:rsidR="002A19C4" w:rsidRDefault="002A19C4" w:rsidP="002A19C4">
      <w:r>
        <w:t>Total number of responses per respondent per year:  12</w:t>
      </w:r>
    </w:p>
    <w:p w:rsidR="002A19C4" w:rsidRDefault="002A19C4" w:rsidP="002A19C4">
      <w:r>
        <w:t>Total annual responses:  108</w:t>
      </w:r>
    </w:p>
    <w:p w:rsidR="002A19C4" w:rsidRDefault="002A19C4" w:rsidP="002A19C4">
      <w:r>
        <w:t>Total annual burden hours:  108 hours</w:t>
      </w:r>
    </w:p>
    <w:p w:rsidR="002A19C4" w:rsidRDefault="002A19C4" w:rsidP="002A19C4">
      <w:r>
        <w:t>Average burden per response:  1 hour</w:t>
      </w:r>
    </w:p>
    <w:p w:rsidR="002A19C4" w:rsidRDefault="002A19C4" w:rsidP="002A19C4"/>
    <w:p w:rsidR="002A19C4" w:rsidRDefault="002A19C4" w:rsidP="002A19C4">
      <w:pPr>
        <w:rPr>
          <w:szCs w:val="24"/>
        </w:rPr>
      </w:pPr>
      <w:r>
        <w:rPr>
          <w:szCs w:val="24"/>
        </w:rPr>
        <w:t>Percent of responses received electronically:</w:t>
      </w:r>
      <w:r>
        <w:rPr>
          <w:szCs w:val="24"/>
        </w:rPr>
        <w:tab/>
        <w:t xml:space="preserve"> 90%</w:t>
      </w:r>
    </w:p>
    <w:p w:rsidR="00387A0D" w:rsidRDefault="00387A0D" w:rsidP="0014087C"/>
    <w:p w:rsidR="002A19C4" w:rsidRDefault="002A19C4" w:rsidP="00A10F5D">
      <w:pPr>
        <w:rPr>
          <w:noProof/>
        </w:rPr>
      </w:pPr>
      <w:r>
        <w:rPr>
          <w:noProof/>
        </w:rPr>
        <w:t>Hour burden cost</w:t>
      </w:r>
      <w:r w:rsidR="00A10F5D">
        <w:rPr>
          <w:noProof/>
        </w:rPr>
        <w:t>:</w:t>
      </w:r>
    </w:p>
    <w:tbl>
      <w:tblPr>
        <w:tblW w:w="0" w:type="auto"/>
        <w:tblInd w:w="720" w:type="dxa"/>
        <w:tblLook w:val="04A0" w:firstRow="1" w:lastRow="0" w:firstColumn="1" w:lastColumn="0" w:noHBand="0" w:noVBand="1"/>
      </w:tblPr>
      <w:tblGrid>
        <w:gridCol w:w="4428"/>
        <w:gridCol w:w="1080"/>
      </w:tblGrid>
      <w:tr w:rsidR="002A19C4" w:rsidTr="00F31A18">
        <w:tc>
          <w:tcPr>
            <w:tcW w:w="4428" w:type="dxa"/>
            <w:shd w:val="clear" w:color="auto" w:fill="auto"/>
          </w:tcPr>
          <w:p w:rsidR="002A19C4" w:rsidRPr="00DE19AE" w:rsidRDefault="002A19C4" w:rsidP="00F34011">
            <w:pPr>
              <w:rPr>
                <w:rFonts w:eastAsia="SimSun"/>
                <w:noProof/>
              </w:rPr>
            </w:pPr>
            <w:r w:rsidRPr="00DE19AE">
              <w:rPr>
                <w:rFonts w:eastAsia="SimSun"/>
                <w:noProof/>
              </w:rPr>
              <w:t>Estimate hourly wage ($/hour):</w:t>
            </w:r>
            <w:r w:rsidRPr="00DE19AE">
              <w:rPr>
                <w:rStyle w:val="FootnoteReference"/>
                <w:rFonts w:eastAsia="SimSun"/>
                <w:noProof/>
                <w:vertAlign w:val="superscript"/>
              </w:rPr>
              <w:footnoteReference w:id="1"/>
            </w:r>
          </w:p>
        </w:tc>
        <w:tc>
          <w:tcPr>
            <w:tcW w:w="1080" w:type="dxa"/>
            <w:shd w:val="clear" w:color="auto" w:fill="auto"/>
          </w:tcPr>
          <w:p w:rsidR="002A19C4" w:rsidRPr="00DE19AE" w:rsidRDefault="00F31A18" w:rsidP="00F34011">
            <w:pPr>
              <w:jc w:val="right"/>
              <w:rPr>
                <w:rFonts w:eastAsia="SimSun"/>
                <w:noProof/>
              </w:rPr>
            </w:pPr>
            <w:r>
              <w:rPr>
                <w:rFonts w:eastAsia="SimSun"/>
                <w:noProof/>
              </w:rPr>
              <w:t>$43.63</w:t>
            </w:r>
          </w:p>
        </w:tc>
      </w:tr>
      <w:tr w:rsidR="002A19C4" w:rsidRPr="0005421C" w:rsidTr="00F31A18">
        <w:tc>
          <w:tcPr>
            <w:tcW w:w="4428" w:type="dxa"/>
            <w:shd w:val="clear" w:color="auto" w:fill="auto"/>
          </w:tcPr>
          <w:p w:rsidR="002A19C4" w:rsidRPr="00DE19AE" w:rsidRDefault="002A19C4" w:rsidP="00F34011">
            <w:pPr>
              <w:rPr>
                <w:rFonts w:eastAsia="SimSun"/>
                <w:noProof/>
              </w:rPr>
            </w:pPr>
            <w:r w:rsidRPr="00DE19AE">
              <w:rPr>
                <w:rFonts w:eastAsia="SimSun"/>
                <w:noProof/>
              </w:rPr>
              <w:t>Load for benefits (percent of labor rate):</w:t>
            </w:r>
            <w:r w:rsidRPr="00DE19AE">
              <w:rPr>
                <w:rStyle w:val="FootnoteReference"/>
                <w:rFonts w:eastAsia="SimSun"/>
                <w:noProof/>
                <w:vertAlign w:val="superscript"/>
              </w:rPr>
              <w:footnoteReference w:id="2"/>
            </w:r>
          </w:p>
        </w:tc>
        <w:tc>
          <w:tcPr>
            <w:tcW w:w="1080" w:type="dxa"/>
            <w:tcBorders>
              <w:bottom w:val="single" w:sz="4" w:space="0" w:color="auto"/>
            </w:tcBorders>
            <w:shd w:val="clear" w:color="auto" w:fill="auto"/>
          </w:tcPr>
          <w:p w:rsidR="002A19C4" w:rsidRPr="00DE19AE" w:rsidRDefault="002A19C4" w:rsidP="00F31A18">
            <w:pPr>
              <w:jc w:val="right"/>
              <w:rPr>
                <w:rFonts w:eastAsia="SimSun"/>
                <w:noProof/>
              </w:rPr>
            </w:pPr>
            <w:r w:rsidRPr="00DE19AE">
              <w:rPr>
                <w:rFonts w:eastAsia="SimSun"/>
                <w:noProof/>
              </w:rPr>
              <w:t>43.</w:t>
            </w:r>
            <w:r w:rsidR="00F31A18">
              <w:rPr>
                <w:rFonts w:eastAsia="SimSun"/>
                <w:noProof/>
              </w:rPr>
              <w:t>7</w:t>
            </w:r>
            <w:r w:rsidRPr="00DE19AE">
              <w:rPr>
                <w:rFonts w:eastAsia="SimSun"/>
                <w:noProof/>
              </w:rPr>
              <w:t>%</w:t>
            </w:r>
          </w:p>
        </w:tc>
      </w:tr>
      <w:tr w:rsidR="002A19C4" w:rsidRPr="0005421C" w:rsidTr="00F31A18">
        <w:tc>
          <w:tcPr>
            <w:tcW w:w="4428" w:type="dxa"/>
            <w:shd w:val="clear" w:color="auto" w:fill="auto"/>
          </w:tcPr>
          <w:p w:rsidR="002A19C4" w:rsidRPr="00DE19AE" w:rsidRDefault="002A19C4" w:rsidP="00F34011">
            <w:pPr>
              <w:rPr>
                <w:rFonts w:eastAsia="SimSun"/>
                <w:noProof/>
              </w:rPr>
            </w:pPr>
            <w:r w:rsidRPr="00DE19AE">
              <w:rPr>
                <w:rFonts w:eastAsia="SimSun"/>
                <w:noProof/>
              </w:rPr>
              <w:t>Loaded labor rate ($/hour):</w:t>
            </w:r>
            <w:r w:rsidRPr="00DE19AE">
              <w:rPr>
                <w:rStyle w:val="FootnoteReference"/>
                <w:rFonts w:eastAsia="SimSun"/>
                <w:noProof/>
                <w:vertAlign w:val="superscript"/>
              </w:rPr>
              <w:footnoteReference w:id="3"/>
            </w:r>
          </w:p>
        </w:tc>
        <w:tc>
          <w:tcPr>
            <w:tcW w:w="1080" w:type="dxa"/>
            <w:tcBorders>
              <w:top w:val="single" w:sz="4" w:space="0" w:color="auto"/>
            </w:tcBorders>
            <w:shd w:val="clear" w:color="auto" w:fill="auto"/>
          </w:tcPr>
          <w:p w:rsidR="002A19C4" w:rsidRPr="00DE19AE" w:rsidRDefault="002A19C4" w:rsidP="00F34011">
            <w:pPr>
              <w:jc w:val="right"/>
              <w:rPr>
                <w:rFonts w:eastAsia="SimSun"/>
                <w:noProof/>
              </w:rPr>
            </w:pPr>
            <w:r w:rsidRPr="00DE19AE">
              <w:rPr>
                <w:rFonts w:eastAsia="SimSun"/>
                <w:noProof/>
              </w:rPr>
              <w:t>$</w:t>
            </w:r>
            <w:r w:rsidR="00F31A18">
              <w:rPr>
                <w:rFonts w:eastAsia="SimSun"/>
                <w:noProof/>
              </w:rPr>
              <w:t>62.70</w:t>
            </w:r>
          </w:p>
        </w:tc>
      </w:tr>
      <w:tr w:rsidR="00F31A18" w:rsidTr="00F31A18">
        <w:tc>
          <w:tcPr>
            <w:tcW w:w="4428" w:type="dxa"/>
            <w:shd w:val="clear" w:color="auto" w:fill="auto"/>
          </w:tcPr>
          <w:p w:rsidR="00F31A18" w:rsidRPr="00DE19AE" w:rsidRDefault="00F31A18" w:rsidP="00F34011">
            <w:pPr>
              <w:rPr>
                <w:rFonts w:eastAsia="SimSun"/>
                <w:noProof/>
              </w:rPr>
            </w:pPr>
            <w:r>
              <w:rPr>
                <w:rFonts w:eastAsia="SimSun"/>
                <w:noProof/>
              </w:rPr>
              <w:t>Average burden per response (hour):</w:t>
            </w:r>
          </w:p>
        </w:tc>
        <w:tc>
          <w:tcPr>
            <w:tcW w:w="1080" w:type="dxa"/>
            <w:tcBorders>
              <w:bottom w:val="single" w:sz="4" w:space="0" w:color="auto"/>
            </w:tcBorders>
            <w:shd w:val="clear" w:color="auto" w:fill="auto"/>
          </w:tcPr>
          <w:p w:rsidR="00F31A18" w:rsidRPr="00DE19AE" w:rsidRDefault="00F31A18" w:rsidP="00F34011">
            <w:pPr>
              <w:jc w:val="right"/>
              <w:rPr>
                <w:rFonts w:eastAsia="SimSun"/>
                <w:noProof/>
              </w:rPr>
            </w:pPr>
            <w:r>
              <w:rPr>
                <w:rFonts w:eastAsia="SimSun"/>
                <w:noProof/>
              </w:rPr>
              <w:t>1</w:t>
            </w:r>
          </w:p>
        </w:tc>
      </w:tr>
      <w:tr w:rsidR="00F31A18" w:rsidTr="00F31A18">
        <w:tc>
          <w:tcPr>
            <w:tcW w:w="4428" w:type="dxa"/>
            <w:shd w:val="clear" w:color="auto" w:fill="auto"/>
          </w:tcPr>
          <w:p w:rsidR="00F31A18" w:rsidRPr="00DE19AE" w:rsidRDefault="00F31A18" w:rsidP="00F34011">
            <w:pPr>
              <w:rPr>
                <w:rFonts w:eastAsia="SimSun"/>
                <w:noProof/>
              </w:rPr>
            </w:pPr>
            <w:r>
              <w:rPr>
                <w:rFonts w:eastAsia="SimSun"/>
                <w:noProof/>
              </w:rPr>
              <w:t>Burden cost per response:</w:t>
            </w:r>
          </w:p>
        </w:tc>
        <w:tc>
          <w:tcPr>
            <w:tcW w:w="1080" w:type="dxa"/>
            <w:tcBorders>
              <w:top w:val="single" w:sz="4" w:space="0" w:color="auto"/>
            </w:tcBorders>
            <w:shd w:val="clear" w:color="auto" w:fill="auto"/>
          </w:tcPr>
          <w:p w:rsidR="00F31A18" w:rsidRPr="00DE19AE" w:rsidRDefault="00F31A18" w:rsidP="00F34011">
            <w:pPr>
              <w:jc w:val="right"/>
              <w:rPr>
                <w:rFonts w:eastAsia="SimSun"/>
                <w:noProof/>
              </w:rPr>
            </w:pPr>
            <w:r>
              <w:rPr>
                <w:rFonts w:eastAsia="SimSun"/>
                <w:noProof/>
              </w:rPr>
              <w:t>$62.70</w:t>
            </w:r>
          </w:p>
        </w:tc>
      </w:tr>
      <w:tr w:rsidR="00F31A18" w:rsidTr="00F31A18">
        <w:tc>
          <w:tcPr>
            <w:tcW w:w="4428" w:type="dxa"/>
            <w:shd w:val="clear" w:color="auto" w:fill="auto"/>
          </w:tcPr>
          <w:p w:rsidR="00F31A18" w:rsidRPr="00DE19AE" w:rsidRDefault="00F31A18" w:rsidP="00F34011">
            <w:pPr>
              <w:rPr>
                <w:rFonts w:eastAsia="SimSun"/>
                <w:noProof/>
              </w:rPr>
            </w:pPr>
            <w:r>
              <w:rPr>
                <w:rFonts w:eastAsia="SimSun"/>
                <w:noProof/>
              </w:rPr>
              <w:t>Number of annual responses:</w:t>
            </w:r>
          </w:p>
        </w:tc>
        <w:tc>
          <w:tcPr>
            <w:tcW w:w="1080" w:type="dxa"/>
            <w:shd w:val="clear" w:color="auto" w:fill="auto"/>
          </w:tcPr>
          <w:p w:rsidR="00F31A18" w:rsidRPr="00DE19AE" w:rsidRDefault="00F31A18" w:rsidP="00F34011">
            <w:pPr>
              <w:jc w:val="right"/>
              <w:rPr>
                <w:rFonts w:eastAsia="SimSun"/>
                <w:noProof/>
              </w:rPr>
            </w:pPr>
            <w:r>
              <w:rPr>
                <w:rFonts w:eastAsia="SimSun"/>
                <w:noProof/>
              </w:rPr>
              <w:t>108</w:t>
            </w:r>
          </w:p>
        </w:tc>
      </w:tr>
      <w:tr w:rsidR="002A19C4" w:rsidTr="00F31A18">
        <w:tc>
          <w:tcPr>
            <w:tcW w:w="4428" w:type="dxa"/>
            <w:shd w:val="clear" w:color="auto" w:fill="auto"/>
          </w:tcPr>
          <w:p w:rsidR="002A19C4" w:rsidRPr="00DE19AE" w:rsidRDefault="002A19C4" w:rsidP="00F34011">
            <w:pPr>
              <w:rPr>
                <w:rFonts w:eastAsia="SimSun"/>
                <w:noProof/>
              </w:rPr>
            </w:pPr>
            <w:r w:rsidRPr="00DE19AE">
              <w:rPr>
                <w:rFonts w:eastAsia="SimSun"/>
                <w:noProof/>
              </w:rPr>
              <w:t>Total annual burden dollar:</w:t>
            </w:r>
          </w:p>
        </w:tc>
        <w:tc>
          <w:tcPr>
            <w:tcW w:w="1080" w:type="dxa"/>
            <w:tcBorders>
              <w:top w:val="single" w:sz="4" w:space="0" w:color="auto"/>
            </w:tcBorders>
            <w:shd w:val="clear" w:color="auto" w:fill="auto"/>
          </w:tcPr>
          <w:p w:rsidR="002A19C4" w:rsidRPr="00DE19AE" w:rsidRDefault="002A19C4" w:rsidP="00F34011">
            <w:pPr>
              <w:jc w:val="right"/>
              <w:rPr>
                <w:rFonts w:eastAsia="SimSun"/>
                <w:noProof/>
              </w:rPr>
            </w:pPr>
            <w:r w:rsidRPr="00DE19AE">
              <w:rPr>
                <w:rFonts w:eastAsia="SimSun"/>
                <w:noProof/>
              </w:rPr>
              <w:t>$</w:t>
            </w:r>
            <w:r w:rsidR="00D15421">
              <w:rPr>
                <w:rFonts w:eastAsia="SimSun"/>
                <w:noProof/>
              </w:rPr>
              <w:t>6,772</w:t>
            </w:r>
          </w:p>
        </w:tc>
      </w:tr>
    </w:tbl>
    <w:p w:rsidR="00A10F5D" w:rsidRDefault="00A10F5D" w:rsidP="00A10F5D">
      <w:pPr>
        <w:rPr>
          <w:noProof/>
        </w:rPr>
      </w:pPr>
    </w:p>
    <w:p w:rsidR="00FA64EA" w:rsidRDefault="00AD05C6" w:rsidP="0014087C">
      <w:r>
        <w:t>13</w:t>
      </w:r>
      <w:r w:rsidRPr="00057094">
        <w:t xml:space="preserve">.  </w:t>
      </w:r>
      <w:r w:rsidR="004A5143" w:rsidRPr="005E0846">
        <w:rPr>
          <w:u w:val="single"/>
        </w:rPr>
        <w:t>Estimate of Cost Burden</w:t>
      </w:r>
      <w:r w:rsidR="004A5143" w:rsidRPr="00057094">
        <w:rPr>
          <w:u w:val="single"/>
        </w:rPr>
        <w:t>:</w:t>
      </w:r>
      <w:r w:rsidR="004A5143" w:rsidRPr="0074630A">
        <w:t xml:space="preserve"> </w:t>
      </w:r>
    </w:p>
    <w:p w:rsidR="00AD05C6" w:rsidRPr="0074630A" w:rsidRDefault="00AD05C6" w:rsidP="0014087C"/>
    <w:p w:rsidR="00E4628B" w:rsidRPr="00590CCC" w:rsidRDefault="00E4628B" w:rsidP="00E4628B">
      <w:pPr>
        <w:widowControl w:val="0"/>
        <w:rPr>
          <w:snapToGrid w:val="0"/>
        </w:rPr>
      </w:pPr>
      <w:r>
        <w:t>The estimated annual cost burden is zero.  Respondents are not estimated to incur any    a) additional start-up cost or capital expenditure, or b) additional operation and maintenance costs or purchase services as a result of this information collection.</w:t>
      </w:r>
    </w:p>
    <w:p w:rsidR="00B167B8" w:rsidRDefault="00B167B8" w:rsidP="0014087C"/>
    <w:p w:rsidR="000E18C6" w:rsidRDefault="000E18C6" w:rsidP="0014087C"/>
    <w:p w:rsidR="000E18C6" w:rsidRPr="0074630A" w:rsidRDefault="000E18C6" w:rsidP="0014087C"/>
    <w:p w:rsidR="00B167B8" w:rsidRDefault="00B167B8" w:rsidP="0014087C">
      <w:pPr>
        <w:rPr>
          <w:u w:val="single"/>
        </w:rPr>
      </w:pPr>
      <w:r w:rsidRPr="0074630A">
        <w:t xml:space="preserve">14. </w:t>
      </w:r>
      <w:r w:rsidR="00AD05C6">
        <w:t xml:space="preserve"> </w:t>
      </w:r>
      <w:r w:rsidR="004A5143" w:rsidRPr="005E0846">
        <w:rPr>
          <w:u w:val="single"/>
        </w:rPr>
        <w:t>Estimated Annualized Cost to Federal Government:</w:t>
      </w:r>
    </w:p>
    <w:p w:rsidR="00AD05C6" w:rsidRPr="0074630A" w:rsidRDefault="00AD05C6" w:rsidP="0014087C"/>
    <w:p w:rsidR="006F5149" w:rsidRDefault="006F5149" w:rsidP="006F5149">
      <w:pPr>
        <w:rPr>
          <w:color w:val="000000"/>
        </w:rPr>
      </w:pPr>
      <w:r w:rsidRPr="008929A7">
        <w:rPr>
          <w:color w:val="000000"/>
        </w:rPr>
        <w:t>Estimated Annual Labor Cost to Government:</w:t>
      </w:r>
    </w:p>
    <w:p w:rsidR="00D15421" w:rsidRDefault="00D15421" w:rsidP="006F5149">
      <w:pPr>
        <w:rPr>
          <w:color w:val="000000"/>
        </w:rPr>
      </w:pPr>
    </w:p>
    <w:tbl>
      <w:tblPr>
        <w:tblW w:w="8073" w:type="dxa"/>
        <w:tblInd w:w="113" w:type="dxa"/>
        <w:tblLook w:val="04A0" w:firstRow="1" w:lastRow="0" w:firstColumn="1" w:lastColumn="0" w:noHBand="0" w:noVBand="1"/>
      </w:tblPr>
      <w:tblGrid>
        <w:gridCol w:w="2633"/>
        <w:gridCol w:w="928"/>
        <w:gridCol w:w="1566"/>
        <w:gridCol w:w="726"/>
        <w:gridCol w:w="980"/>
        <w:gridCol w:w="1266"/>
      </w:tblGrid>
      <w:tr w:rsidR="00D15421" w:rsidRPr="00D15421" w:rsidTr="00D15421">
        <w:trPr>
          <w:trHeight w:val="345"/>
        </w:trPr>
        <w:tc>
          <w:tcPr>
            <w:tcW w:w="263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rsidR="00D15421" w:rsidRPr="00D15421" w:rsidRDefault="00D15421" w:rsidP="00D15421">
            <w:pPr>
              <w:rPr>
                <w:b/>
                <w:bCs/>
                <w:color w:val="000000"/>
                <w:sz w:val="20"/>
              </w:rPr>
            </w:pPr>
            <w:r w:rsidRPr="00D15421">
              <w:rPr>
                <w:b/>
                <w:bCs/>
                <w:color w:val="000000"/>
                <w:sz w:val="20"/>
              </w:rPr>
              <w:t>Labor Category</w:t>
            </w:r>
          </w:p>
        </w:tc>
        <w:tc>
          <w:tcPr>
            <w:tcW w:w="928" w:type="dxa"/>
            <w:tcBorders>
              <w:top w:val="single" w:sz="4" w:space="0" w:color="auto"/>
              <w:left w:val="nil"/>
              <w:bottom w:val="single" w:sz="4" w:space="0" w:color="auto"/>
              <w:right w:val="single" w:sz="4" w:space="0" w:color="auto"/>
            </w:tcBorders>
            <w:shd w:val="clear" w:color="000000" w:fill="C5D9F1"/>
            <w:noWrap/>
            <w:vAlign w:val="bottom"/>
            <w:hideMark/>
          </w:tcPr>
          <w:p w:rsidR="00D15421" w:rsidRPr="00D15421" w:rsidRDefault="00D15421" w:rsidP="00D15421">
            <w:pPr>
              <w:jc w:val="center"/>
              <w:rPr>
                <w:b/>
                <w:bCs/>
                <w:color w:val="000000"/>
                <w:sz w:val="20"/>
              </w:rPr>
            </w:pPr>
            <w:r w:rsidRPr="00D15421">
              <w:rPr>
                <w:b/>
                <w:bCs/>
                <w:color w:val="000000"/>
                <w:sz w:val="20"/>
              </w:rPr>
              <w:t>Number</w:t>
            </w:r>
          </w:p>
        </w:tc>
        <w:tc>
          <w:tcPr>
            <w:tcW w:w="1566" w:type="dxa"/>
            <w:tcBorders>
              <w:top w:val="single" w:sz="4" w:space="0" w:color="auto"/>
              <w:left w:val="nil"/>
              <w:bottom w:val="single" w:sz="4" w:space="0" w:color="auto"/>
              <w:right w:val="single" w:sz="4" w:space="0" w:color="auto"/>
            </w:tcBorders>
            <w:shd w:val="clear" w:color="000000" w:fill="C5D9F1"/>
            <w:noWrap/>
            <w:vAlign w:val="bottom"/>
            <w:hideMark/>
          </w:tcPr>
          <w:p w:rsidR="00D15421" w:rsidRPr="00D15421" w:rsidRDefault="00D15421" w:rsidP="00D15421">
            <w:pPr>
              <w:jc w:val="center"/>
              <w:rPr>
                <w:b/>
                <w:bCs/>
                <w:color w:val="000000"/>
                <w:sz w:val="20"/>
              </w:rPr>
            </w:pPr>
            <w:r w:rsidRPr="00D15421">
              <w:rPr>
                <w:b/>
                <w:bCs/>
                <w:color w:val="000000"/>
                <w:sz w:val="20"/>
              </w:rPr>
              <w:t xml:space="preserve"> Annual rate </w:t>
            </w:r>
          </w:p>
        </w:tc>
        <w:tc>
          <w:tcPr>
            <w:tcW w:w="700" w:type="dxa"/>
            <w:tcBorders>
              <w:top w:val="single" w:sz="4" w:space="0" w:color="auto"/>
              <w:left w:val="nil"/>
              <w:bottom w:val="single" w:sz="4" w:space="0" w:color="auto"/>
              <w:right w:val="single" w:sz="4" w:space="0" w:color="auto"/>
            </w:tcBorders>
            <w:shd w:val="clear" w:color="000000" w:fill="C5D9F1"/>
            <w:noWrap/>
            <w:vAlign w:val="bottom"/>
            <w:hideMark/>
          </w:tcPr>
          <w:p w:rsidR="00D15421" w:rsidRPr="00D15421" w:rsidRDefault="00D15421" w:rsidP="00D15421">
            <w:pPr>
              <w:jc w:val="center"/>
              <w:rPr>
                <w:b/>
                <w:bCs/>
                <w:color w:val="000000"/>
                <w:sz w:val="20"/>
              </w:rPr>
            </w:pPr>
            <w:r w:rsidRPr="00D15421">
              <w:rPr>
                <w:b/>
                <w:bCs/>
                <w:color w:val="000000"/>
                <w:sz w:val="20"/>
              </w:rPr>
              <w:t>Load</w:t>
            </w:r>
            <w:r w:rsidRPr="00FC4E5D">
              <w:rPr>
                <w:rStyle w:val="FootnoteReference"/>
                <w:b/>
                <w:bCs/>
                <w:color w:val="000000"/>
                <w:sz w:val="20"/>
                <w:vertAlign w:val="superscript"/>
              </w:rPr>
              <w:footnoteReference w:id="4"/>
            </w:r>
          </w:p>
        </w:tc>
        <w:tc>
          <w:tcPr>
            <w:tcW w:w="980" w:type="dxa"/>
            <w:tcBorders>
              <w:top w:val="single" w:sz="4" w:space="0" w:color="auto"/>
              <w:left w:val="nil"/>
              <w:bottom w:val="single" w:sz="4" w:space="0" w:color="auto"/>
              <w:right w:val="single" w:sz="4" w:space="0" w:color="auto"/>
            </w:tcBorders>
            <w:shd w:val="clear" w:color="000000" w:fill="C5D9F1"/>
            <w:noWrap/>
            <w:vAlign w:val="bottom"/>
            <w:hideMark/>
          </w:tcPr>
          <w:p w:rsidR="00D15421" w:rsidRPr="00D15421" w:rsidRDefault="00D15421" w:rsidP="00D15421">
            <w:pPr>
              <w:jc w:val="center"/>
              <w:rPr>
                <w:b/>
                <w:bCs/>
                <w:color w:val="000000"/>
                <w:sz w:val="20"/>
              </w:rPr>
            </w:pPr>
            <w:r w:rsidRPr="00D15421">
              <w:rPr>
                <w:b/>
                <w:bCs/>
                <w:color w:val="000000"/>
                <w:sz w:val="20"/>
              </w:rPr>
              <w:t>% of time</w:t>
            </w:r>
          </w:p>
        </w:tc>
        <w:tc>
          <w:tcPr>
            <w:tcW w:w="1266" w:type="dxa"/>
            <w:tcBorders>
              <w:top w:val="single" w:sz="4" w:space="0" w:color="auto"/>
              <w:left w:val="nil"/>
              <w:bottom w:val="single" w:sz="4" w:space="0" w:color="auto"/>
              <w:right w:val="single" w:sz="4" w:space="0" w:color="auto"/>
            </w:tcBorders>
            <w:shd w:val="clear" w:color="000000" w:fill="C5D9F1"/>
            <w:noWrap/>
            <w:vAlign w:val="bottom"/>
            <w:hideMark/>
          </w:tcPr>
          <w:p w:rsidR="00D15421" w:rsidRPr="00D15421" w:rsidRDefault="00D15421" w:rsidP="00D15421">
            <w:pPr>
              <w:jc w:val="center"/>
              <w:rPr>
                <w:b/>
                <w:bCs/>
                <w:color w:val="000000"/>
                <w:sz w:val="20"/>
              </w:rPr>
            </w:pPr>
            <w:r w:rsidRPr="00D15421">
              <w:rPr>
                <w:b/>
                <w:bCs/>
                <w:color w:val="000000"/>
                <w:sz w:val="20"/>
              </w:rPr>
              <w:t>Cost</w:t>
            </w:r>
          </w:p>
        </w:tc>
      </w:tr>
      <w:tr w:rsidR="00D15421" w:rsidRPr="00D15421" w:rsidTr="00D15421">
        <w:trPr>
          <w:trHeight w:val="300"/>
        </w:trPr>
        <w:tc>
          <w:tcPr>
            <w:tcW w:w="2633" w:type="dxa"/>
            <w:tcBorders>
              <w:top w:val="nil"/>
              <w:left w:val="single" w:sz="4" w:space="0" w:color="auto"/>
              <w:bottom w:val="single" w:sz="4" w:space="0" w:color="auto"/>
              <w:right w:val="single" w:sz="4" w:space="0" w:color="auto"/>
            </w:tcBorders>
            <w:shd w:val="clear" w:color="auto" w:fill="auto"/>
            <w:noWrap/>
            <w:vAlign w:val="bottom"/>
            <w:hideMark/>
          </w:tcPr>
          <w:p w:rsidR="00D15421" w:rsidRPr="00D15421" w:rsidRDefault="00D15421" w:rsidP="00D15421">
            <w:pPr>
              <w:rPr>
                <w:color w:val="000000"/>
                <w:sz w:val="20"/>
              </w:rPr>
            </w:pPr>
            <w:r w:rsidRPr="00D15421">
              <w:rPr>
                <w:color w:val="000000"/>
                <w:sz w:val="20"/>
              </w:rPr>
              <w:t>Program Analysts – GS-13/5</w:t>
            </w:r>
          </w:p>
        </w:tc>
        <w:tc>
          <w:tcPr>
            <w:tcW w:w="928" w:type="dxa"/>
            <w:tcBorders>
              <w:top w:val="nil"/>
              <w:left w:val="nil"/>
              <w:bottom w:val="single" w:sz="4" w:space="0" w:color="auto"/>
              <w:right w:val="single" w:sz="4" w:space="0" w:color="auto"/>
            </w:tcBorders>
            <w:shd w:val="clear" w:color="auto" w:fill="auto"/>
            <w:noWrap/>
            <w:vAlign w:val="bottom"/>
            <w:hideMark/>
          </w:tcPr>
          <w:p w:rsidR="00D15421" w:rsidRPr="00D15421" w:rsidRDefault="00D15421" w:rsidP="00D15421">
            <w:pPr>
              <w:jc w:val="right"/>
              <w:rPr>
                <w:color w:val="000000"/>
                <w:sz w:val="20"/>
              </w:rPr>
            </w:pPr>
            <w:r w:rsidRPr="00D15421">
              <w:rPr>
                <w:color w:val="000000"/>
                <w:sz w:val="20"/>
              </w:rPr>
              <w:t>1</w:t>
            </w:r>
          </w:p>
        </w:tc>
        <w:tc>
          <w:tcPr>
            <w:tcW w:w="1566" w:type="dxa"/>
            <w:tcBorders>
              <w:top w:val="nil"/>
              <w:left w:val="nil"/>
              <w:bottom w:val="single" w:sz="4" w:space="0" w:color="auto"/>
              <w:right w:val="single" w:sz="4" w:space="0" w:color="auto"/>
            </w:tcBorders>
            <w:shd w:val="clear" w:color="auto" w:fill="auto"/>
            <w:noWrap/>
            <w:vAlign w:val="bottom"/>
            <w:hideMark/>
          </w:tcPr>
          <w:p w:rsidR="00D15421" w:rsidRPr="00D15421" w:rsidRDefault="00D15421" w:rsidP="00D15421">
            <w:pPr>
              <w:rPr>
                <w:color w:val="000000"/>
                <w:sz w:val="20"/>
              </w:rPr>
            </w:pPr>
            <w:r w:rsidRPr="00D15421">
              <w:rPr>
                <w:color w:val="000000"/>
                <w:sz w:val="20"/>
              </w:rPr>
              <w:t xml:space="preserve"> $        109,900 </w:t>
            </w:r>
          </w:p>
        </w:tc>
        <w:tc>
          <w:tcPr>
            <w:tcW w:w="700" w:type="dxa"/>
            <w:tcBorders>
              <w:top w:val="nil"/>
              <w:left w:val="nil"/>
              <w:bottom w:val="single" w:sz="4" w:space="0" w:color="auto"/>
              <w:right w:val="single" w:sz="4" w:space="0" w:color="auto"/>
            </w:tcBorders>
            <w:shd w:val="clear" w:color="auto" w:fill="auto"/>
            <w:noWrap/>
            <w:vAlign w:val="bottom"/>
            <w:hideMark/>
          </w:tcPr>
          <w:p w:rsidR="00D15421" w:rsidRPr="00D15421" w:rsidRDefault="00D15421" w:rsidP="00D15421">
            <w:pPr>
              <w:jc w:val="right"/>
              <w:rPr>
                <w:color w:val="000000"/>
                <w:sz w:val="20"/>
              </w:rPr>
            </w:pPr>
            <w:r w:rsidRPr="00D15421">
              <w:rPr>
                <w:color w:val="000000"/>
                <w:sz w:val="20"/>
              </w:rPr>
              <w:t>1.603</w:t>
            </w:r>
          </w:p>
        </w:tc>
        <w:tc>
          <w:tcPr>
            <w:tcW w:w="980" w:type="dxa"/>
            <w:tcBorders>
              <w:top w:val="nil"/>
              <w:left w:val="nil"/>
              <w:bottom w:val="single" w:sz="4" w:space="0" w:color="auto"/>
              <w:right w:val="single" w:sz="4" w:space="0" w:color="auto"/>
            </w:tcBorders>
            <w:shd w:val="clear" w:color="auto" w:fill="auto"/>
            <w:noWrap/>
            <w:vAlign w:val="bottom"/>
            <w:hideMark/>
          </w:tcPr>
          <w:p w:rsidR="00D15421" w:rsidRPr="00D15421" w:rsidRDefault="00D15421" w:rsidP="00D15421">
            <w:pPr>
              <w:jc w:val="right"/>
              <w:rPr>
                <w:color w:val="000000"/>
                <w:sz w:val="20"/>
              </w:rPr>
            </w:pPr>
            <w:r w:rsidRPr="00D15421">
              <w:rPr>
                <w:color w:val="000000"/>
                <w:sz w:val="20"/>
              </w:rPr>
              <w:t>5%</w:t>
            </w:r>
          </w:p>
        </w:tc>
        <w:tc>
          <w:tcPr>
            <w:tcW w:w="1266" w:type="dxa"/>
            <w:tcBorders>
              <w:top w:val="nil"/>
              <w:left w:val="nil"/>
              <w:bottom w:val="single" w:sz="4" w:space="0" w:color="auto"/>
              <w:right w:val="single" w:sz="4" w:space="0" w:color="auto"/>
            </w:tcBorders>
            <w:shd w:val="clear" w:color="auto" w:fill="auto"/>
            <w:noWrap/>
            <w:vAlign w:val="bottom"/>
            <w:hideMark/>
          </w:tcPr>
          <w:p w:rsidR="00D15421" w:rsidRPr="00D15421" w:rsidRDefault="00D15421" w:rsidP="00D15421">
            <w:pPr>
              <w:rPr>
                <w:color w:val="000000"/>
                <w:sz w:val="20"/>
              </w:rPr>
            </w:pPr>
            <w:r w:rsidRPr="00D15421">
              <w:rPr>
                <w:color w:val="000000"/>
                <w:sz w:val="20"/>
              </w:rPr>
              <w:t xml:space="preserve"> $      8,808 </w:t>
            </w:r>
          </w:p>
        </w:tc>
      </w:tr>
      <w:tr w:rsidR="00D15421" w:rsidRPr="00D15421" w:rsidTr="00D15421">
        <w:trPr>
          <w:trHeight w:val="300"/>
        </w:trPr>
        <w:tc>
          <w:tcPr>
            <w:tcW w:w="2633" w:type="dxa"/>
            <w:tcBorders>
              <w:top w:val="nil"/>
              <w:left w:val="single" w:sz="4" w:space="0" w:color="auto"/>
              <w:bottom w:val="single" w:sz="4" w:space="0" w:color="auto"/>
              <w:right w:val="single" w:sz="4" w:space="0" w:color="auto"/>
            </w:tcBorders>
            <w:shd w:val="clear" w:color="000000" w:fill="C5D9F1"/>
            <w:noWrap/>
            <w:vAlign w:val="bottom"/>
            <w:hideMark/>
          </w:tcPr>
          <w:p w:rsidR="00D15421" w:rsidRPr="00D15421" w:rsidRDefault="00D15421" w:rsidP="00D15421">
            <w:pPr>
              <w:rPr>
                <w:color w:val="000000"/>
                <w:sz w:val="20"/>
              </w:rPr>
            </w:pPr>
            <w:r w:rsidRPr="00D15421">
              <w:rPr>
                <w:color w:val="000000"/>
                <w:sz w:val="20"/>
              </w:rPr>
              <w:t>Total</w:t>
            </w:r>
          </w:p>
        </w:tc>
        <w:tc>
          <w:tcPr>
            <w:tcW w:w="928" w:type="dxa"/>
            <w:tcBorders>
              <w:top w:val="nil"/>
              <w:left w:val="nil"/>
              <w:bottom w:val="single" w:sz="4" w:space="0" w:color="auto"/>
              <w:right w:val="single" w:sz="4" w:space="0" w:color="auto"/>
            </w:tcBorders>
            <w:shd w:val="clear" w:color="000000" w:fill="C5D9F1"/>
            <w:noWrap/>
            <w:vAlign w:val="bottom"/>
            <w:hideMark/>
          </w:tcPr>
          <w:p w:rsidR="00D15421" w:rsidRPr="00D15421" w:rsidRDefault="00D15421" w:rsidP="00D15421">
            <w:pPr>
              <w:rPr>
                <w:color w:val="000000"/>
                <w:sz w:val="20"/>
              </w:rPr>
            </w:pPr>
            <w:r w:rsidRPr="00D15421">
              <w:rPr>
                <w:color w:val="000000"/>
                <w:sz w:val="20"/>
              </w:rPr>
              <w:t> </w:t>
            </w:r>
          </w:p>
        </w:tc>
        <w:tc>
          <w:tcPr>
            <w:tcW w:w="1566" w:type="dxa"/>
            <w:tcBorders>
              <w:top w:val="nil"/>
              <w:left w:val="nil"/>
              <w:bottom w:val="single" w:sz="4" w:space="0" w:color="auto"/>
              <w:right w:val="single" w:sz="4" w:space="0" w:color="auto"/>
            </w:tcBorders>
            <w:shd w:val="clear" w:color="000000" w:fill="C5D9F1"/>
            <w:noWrap/>
            <w:vAlign w:val="bottom"/>
            <w:hideMark/>
          </w:tcPr>
          <w:p w:rsidR="00D15421" w:rsidRPr="00D15421" w:rsidRDefault="00D15421" w:rsidP="00D15421">
            <w:pPr>
              <w:rPr>
                <w:color w:val="000000"/>
                <w:sz w:val="20"/>
              </w:rPr>
            </w:pPr>
            <w:r w:rsidRPr="00D15421">
              <w:rPr>
                <w:color w:val="000000"/>
                <w:sz w:val="20"/>
              </w:rPr>
              <w:t> </w:t>
            </w:r>
          </w:p>
        </w:tc>
        <w:tc>
          <w:tcPr>
            <w:tcW w:w="700" w:type="dxa"/>
            <w:tcBorders>
              <w:top w:val="nil"/>
              <w:left w:val="nil"/>
              <w:bottom w:val="single" w:sz="4" w:space="0" w:color="auto"/>
              <w:right w:val="single" w:sz="4" w:space="0" w:color="auto"/>
            </w:tcBorders>
            <w:shd w:val="clear" w:color="000000" w:fill="C5D9F1"/>
            <w:noWrap/>
            <w:vAlign w:val="bottom"/>
            <w:hideMark/>
          </w:tcPr>
          <w:p w:rsidR="00D15421" w:rsidRPr="00D15421" w:rsidRDefault="00D15421" w:rsidP="00D15421">
            <w:pPr>
              <w:rPr>
                <w:color w:val="000000"/>
                <w:sz w:val="20"/>
              </w:rPr>
            </w:pPr>
            <w:r w:rsidRPr="00D15421">
              <w:rPr>
                <w:color w:val="000000"/>
                <w:sz w:val="20"/>
              </w:rPr>
              <w:t> </w:t>
            </w:r>
          </w:p>
        </w:tc>
        <w:tc>
          <w:tcPr>
            <w:tcW w:w="980" w:type="dxa"/>
            <w:tcBorders>
              <w:top w:val="nil"/>
              <w:left w:val="nil"/>
              <w:bottom w:val="single" w:sz="4" w:space="0" w:color="auto"/>
              <w:right w:val="single" w:sz="4" w:space="0" w:color="auto"/>
            </w:tcBorders>
            <w:shd w:val="clear" w:color="000000" w:fill="C5D9F1"/>
            <w:noWrap/>
            <w:vAlign w:val="bottom"/>
            <w:hideMark/>
          </w:tcPr>
          <w:p w:rsidR="00D15421" w:rsidRPr="00D15421" w:rsidRDefault="00D15421" w:rsidP="00D15421">
            <w:pPr>
              <w:rPr>
                <w:color w:val="000000"/>
                <w:sz w:val="20"/>
              </w:rPr>
            </w:pPr>
            <w:r w:rsidRPr="00D15421">
              <w:rPr>
                <w:color w:val="000000"/>
                <w:sz w:val="20"/>
              </w:rPr>
              <w:t> </w:t>
            </w:r>
          </w:p>
        </w:tc>
        <w:tc>
          <w:tcPr>
            <w:tcW w:w="1266" w:type="dxa"/>
            <w:tcBorders>
              <w:top w:val="nil"/>
              <w:left w:val="nil"/>
              <w:bottom w:val="single" w:sz="4" w:space="0" w:color="auto"/>
              <w:right w:val="single" w:sz="4" w:space="0" w:color="auto"/>
            </w:tcBorders>
            <w:shd w:val="clear" w:color="000000" w:fill="C5D9F1"/>
            <w:noWrap/>
            <w:vAlign w:val="bottom"/>
            <w:hideMark/>
          </w:tcPr>
          <w:p w:rsidR="00D15421" w:rsidRPr="00D15421" w:rsidRDefault="00D15421" w:rsidP="00D15421">
            <w:pPr>
              <w:rPr>
                <w:color w:val="000000"/>
                <w:sz w:val="20"/>
              </w:rPr>
            </w:pPr>
            <w:r w:rsidRPr="00D15421">
              <w:rPr>
                <w:color w:val="000000"/>
                <w:sz w:val="20"/>
              </w:rPr>
              <w:t xml:space="preserve"> $      8,808 </w:t>
            </w:r>
          </w:p>
        </w:tc>
      </w:tr>
    </w:tbl>
    <w:p w:rsidR="006F5149" w:rsidRDefault="006F5149" w:rsidP="006F5149">
      <w:pPr>
        <w:rPr>
          <w:color w:val="000000"/>
          <w:sz w:val="20"/>
        </w:rPr>
      </w:pPr>
      <w:r w:rsidRPr="003238C7">
        <w:rPr>
          <w:color w:val="000000"/>
          <w:sz w:val="20"/>
        </w:rPr>
        <w:t>Figures are rounded.</w:t>
      </w:r>
    </w:p>
    <w:p w:rsidR="006F5149" w:rsidRDefault="006F5149" w:rsidP="006F5149"/>
    <w:p w:rsidR="006F5149" w:rsidRDefault="006F5149" w:rsidP="006F5149">
      <w:r>
        <w:t>Total costs to Government:  $</w:t>
      </w:r>
      <w:r w:rsidR="00D15421">
        <w:t>8,808</w:t>
      </w:r>
    </w:p>
    <w:p w:rsidR="006F5149" w:rsidRPr="00577441" w:rsidRDefault="006F5149" w:rsidP="006F5149">
      <w:pPr>
        <w:rPr>
          <w:noProof/>
        </w:rPr>
      </w:pPr>
    </w:p>
    <w:p w:rsidR="006F5149" w:rsidRPr="00F117FD" w:rsidRDefault="006F5149" w:rsidP="006F5149">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B167B8" w:rsidRPr="0074630A" w:rsidRDefault="00B167B8" w:rsidP="0014087C"/>
    <w:p w:rsidR="00AD05C6" w:rsidRDefault="00AD05C6" w:rsidP="0014087C">
      <w:r>
        <w:t xml:space="preserve">15.  </w:t>
      </w:r>
      <w:r w:rsidR="004A5143" w:rsidRPr="005E0846">
        <w:rPr>
          <w:u w:val="single"/>
        </w:rPr>
        <w:t>Reasons for Change in Burden:</w:t>
      </w:r>
      <w:r w:rsidR="00E67B3E">
        <w:t xml:space="preserve"> </w:t>
      </w:r>
    </w:p>
    <w:p w:rsidR="00AD05C6" w:rsidRDefault="00AD05C6" w:rsidP="0014087C"/>
    <w:p w:rsidR="00343A8D" w:rsidRDefault="00343A8D" w:rsidP="00343A8D">
      <w:r>
        <w:t xml:space="preserve">Changes to the </w:t>
      </w:r>
      <w:r w:rsidR="00DA23D0">
        <w:t xml:space="preserve">annual responses reflect normal changes in registrant population and activity.  </w:t>
      </w:r>
      <w:r w:rsidR="000C0CB4">
        <w:t>The l</w:t>
      </w:r>
      <w:r w:rsidR="00DA23D0">
        <w:t>arger change</w:t>
      </w:r>
      <w:r w:rsidR="000C0CB4">
        <w:t>s</w:t>
      </w:r>
      <w:r w:rsidR="00DA23D0">
        <w:t xml:space="preserve"> in </w:t>
      </w:r>
      <w:r>
        <w:t xml:space="preserve">annual burden hours </w:t>
      </w:r>
      <w:r w:rsidR="00DA23D0">
        <w:t xml:space="preserve">and burden dollars </w:t>
      </w:r>
      <w:r>
        <w:t>reflect</w:t>
      </w:r>
      <w:r w:rsidR="0029124F">
        <w:t xml:space="preserve"> </w:t>
      </w:r>
      <w:r w:rsidR="000C0CB4">
        <w:t xml:space="preserve">an </w:t>
      </w:r>
      <w:r w:rsidR="00DA23D0">
        <w:t xml:space="preserve">adjustment </w:t>
      </w:r>
      <w:r w:rsidR="009C1E5A">
        <w:t>to</w:t>
      </w:r>
      <w:r w:rsidR="000C0CB4">
        <w:t xml:space="preserve"> the </w:t>
      </w:r>
      <w:r w:rsidR="00DA23D0">
        <w:t>estimated burden per response</w:t>
      </w:r>
      <w:r>
        <w:t>.  There have been no statutory or regulatory changes affecting this information collection.  The table below summarizes the changes since the last renewal of this information collection.</w:t>
      </w:r>
    </w:p>
    <w:p w:rsidR="00343A8D" w:rsidRDefault="00343A8D" w:rsidP="00343A8D"/>
    <w:tbl>
      <w:tblPr>
        <w:tblW w:w="6040" w:type="dxa"/>
        <w:tblCellMar>
          <w:left w:w="0" w:type="dxa"/>
          <w:right w:w="0" w:type="dxa"/>
        </w:tblCellMar>
        <w:tblLook w:val="04A0" w:firstRow="1" w:lastRow="0" w:firstColumn="1" w:lastColumn="0" w:noHBand="0" w:noVBand="1"/>
      </w:tblPr>
      <w:tblGrid>
        <w:gridCol w:w="2380"/>
        <w:gridCol w:w="1235"/>
        <w:gridCol w:w="1365"/>
        <w:gridCol w:w="1060"/>
      </w:tblGrid>
      <w:tr w:rsidR="00343A8D" w:rsidRPr="00DA23D0" w:rsidTr="00F34011">
        <w:trPr>
          <w:trHeight w:val="960"/>
        </w:trPr>
        <w:tc>
          <w:tcPr>
            <w:tcW w:w="2380" w:type="dxa"/>
            <w:tcBorders>
              <w:top w:val="single" w:sz="8" w:space="0" w:color="auto"/>
              <w:left w:val="single" w:sz="8" w:space="0" w:color="auto"/>
              <w:bottom w:val="single" w:sz="8" w:space="0" w:color="auto"/>
              <w:right w:val="single" w:sz="8" w:space="0" w:color="auto"/>
            </w:tcBorders>
            <w:shd w:val="clear" w:color="auto" w:fill="D9E2F3"/>
            <w:tcMar>
              <w:top w:w="15" w:type="dxa"/>
              <w:left w:w="15" w:type="dxa"/>
              <w:bottom w:w="0" w:type="dxa"/>
              <w:right w:w="15" w:type="dxa"/>
            </w:tcMar>
            <w:vAlign w:val="center"/>
            <w:hideMark/>
          </w:tcPr>
          <w:p w:rsidR="00343A8D" w:rsidRPr="00DA23D0" w:rsidRDefault="00343A8D">
            <w:pPr>
              <w:rPr>
                <w:color w:val="000000"/>
                <w:sz w:val="20"/>
              </w:rPr>
            </w:pPr>
          </w:p>
        </w:tc>
        <w:tc>
          <w:tcPr>
            <w:tcW w:w="1235" w:type="dxa"/>
            <w:tcBorders>
              <w:top w:val="single" w:sz="8" w:space="0" w:color="auto"/>
              <w:left w:val="nil"/>
              <w:bottom w:val="single" w:sz="8" w:space="0" w:color="auto"/>
              <w:right w:val="single" w:sz="8" w:space="0" w:color="auto"/>
            </w:tcBorders>
            <w:shd w:val="clear" w:color="auto" w:fill="D9E2F3"/>
            <w:tcMar>
              <w:top w:w="15" w:type="dxa"/>
              <w:left w:w="15" w:type="dxa"/>
              <w:bottom w:w="0" w:type="dxa"/>
              <w:right w:w="15" w:type="dxa"/>
            </w:tcMar>
            <w:vAlign w:val="center"/>
            <w:hideMark/>
          </w:tcPr>
          <w:p w:rsidR="00343A8D" w:rsidRPr="00DA23D0" w:rsidRDefault="00343A8D" w:rsidP="00DA23D0">
            <w:pPr>
              <w:jc w:val="center"/>
              <w:rPr>
                <w:b/>
                <w:bCs/>
                <w:color w:val="000000"/>
                <w:sz w:val="20"/>
              </w:rPr>
            </w:pPr>
            <w:r w:rsidRPr="00DA23D0">
              <w:rPr>
                <w:b/>
                <w:bCs/>
                <w:color w:val="000000"/>
                <w:sz w:val="20"/>
              </w:rPr>
              <w:t>201</w:t>
            </w:r>
            <w:r w:rsidR="00DA23D0">
              <w:rPr>
                <w:b/>
                <w:bCs/>
                <w:color w:val="000000"/>
                <w:sz w:val="20"/>
              </w:rPr>
              <w:t>6</w:t>
            </w:r>
            <w:r w:rsidRPr="00DA23D0">
              <w:rPr>
                <w:b/>
                <w:bCs/>
                <w:color w:val="000000"/>
                <w:sz w:val="20"/>
              </w:rPr>
              <w:t xml:space="preserve"> Approved Burden</w:t>
            </w:r>
          </w:p>
        </w:tc>
        <w:tc>
          <w:tcPr>
            <w:tcW w:w="1365" w:type="dxa"/>
            <w:tcBorders>
              <w:top w:val="single" w:sz="8" w:space="0" w:color="auto"/>
              <w:left w:val="nil"/>
              <w:bottom w:val="single" w:sz="8" w:space="0" w:color="auto"/>
              <w:right w:val="single" w:sz="8" w:space="0" w:color="auto"/>
            </w:tcBorders>
            <w:shd w:val="clear" w:color="auto" w:fill="D9E2F3"/>
            <w:tcMar>
              <w:top w:w="15" w:type="dxa"/>
              <w:left w:w="15" w:type="dxa"/>
              <w:bottom w:w="0" w:type="dxa"/>
              <w:right w:w="15" w:type="dxa"/>
            </w:tcMar>
            <w:vAlign w:val="center"/>
            <w:hideMark/>
          </w:tcPr>
          <w:p w:rsidR="00343A8D" w:rsidRPr="00DA23D0" w:rsidRDefault="00343A8D" w:rsidP="00DA23D0">
            <w:pPr>
              <w:jc w:val="center"/>
              <w:rPr>
                <w:b/>
                <w:bCs/>
                <w:color w:val="000000"/>
                <w:sz w:val="20"/>
              </w:rPr>
            </w:pPr>
            <w:r w:rsidRPr="00DA23D0">
              <w:rPr>
                <w:b/>
                <w:bCs/>
                <w:color w:val="000000"/>
                <w:sz w:val="20"/>
              </w:rPr>
              <w:t>201</w:t>
            </w:r>
            <w:r w:rsidR="00DA23D0">
              <w:rPr>
                <w:b/>
                <w:bCs/>
                <w:color w:val="000000"/>
                <w:sz w:val="20"/>
              </w:rPr>
              <w:t>9</w:t>
            </w:r>
            <w:r w:rsidRPr="00DA23D0">
              <w:rPr>
                <w:b/>
                <w:bCs/>
                <w:color w:val="000000"/>
                <w:sz w:val="20"/>
              </w:rPr>
              <w:t xml:space="preserve"> Requested Burden</w:t>
            </w:r>
          </w:p>
        </w:tc>
        <w:tc>
          <w:tcPr>
            <w:tcW w:w="1060" w:type="dxa"/>
            <w:tcBorders>
              <w:top w:val="single" w:sz="8" w:space="0" w:color="auto"/>
              <w:left w:val="nil"/>
              <w:bottom w:val="single" w:sz="8" w:space="0" w:color="auto"/>
              <w:right w:val="single" w:sz="8" w:space="0" w:color="auto"/>
            </w:tcBorders>
            <w:shd w:val="clear" w:color="auto" w:fill="D9E2F3"/>
            <w:tcMar>
              <w:top w:w="15" w:type="dxa"/>
              <w:left w:w="15" w:type="dxa"/>
              <w:bottom w:w="0" w:type="dxa"/>
              <w:right w:w="15" w:type="dxa"/>
            </w:tcMar>
            <w:vAlign w:val="center"/>
            <w:hideMark/>
          </w:tcPr>
          <w:p w:rsidR="00343A8D" w:rsidRPr="00DA23D0" w:rsidRDefault="00343A8D">
            <w:pPr>
              <w:jc w:val="center"/>
              <w:rPr>
                <w:b/>
                <w:bCs/>
                <w:color w:val="000000"/>
                <w:sz w:val="20"/>
              </w:rPr>
            </w:pPr>
            <w:r w:rsidRPr="00DA23D0">
              <w:rPr>
                <w:b/>
                <w:bCs/>
                <w:color w:val="000000"/>
                <w:sz w:val="20"/>
              </w:rPr>
              <w:t>Difference</w:t>
            </w:r>
          </w:p>
        </w:tc>
      </w:tr>
      <w:tr w:rsidR="00DA23D0" w:rsidRPr="00DA23D0" w:rsidTr="00DA23D0">
        <w:trPr>
          <w:trHeight w:val="330"/>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A23D0" w:rsidRPr="00DA23D0" w:rsidRDefault="00DA23D0" w:rsidP="00DA23D0">
            <w:pPr>
              <w:rPr>
                <w:color w:val="000000"/>
                <w:sz w:val="20"/>
              </w:rPr>
            </w:pPr>
            <w:r w:rsidRPr="00DA23D0">
              <w:rPr>
                <w:color w:val="000000"/>
                <w:sz w:val="20"/>
              </w:rPr>
              <w:t>Annual responses</w:t>
            </w:r>
          </w:p>
        </w:tc>
        <w:tc>
          <w:tcPr>
            <w:tcW w:w="123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A23D0" w:rsidRPr="00DA23D0" w:rsidRDefault="00DA23D0" w:rsidP="000E18C6">
            <w:pPr>
              <w:jc w:val="right"/>
              <w:rPr>
                <w:color w:val="000000"/>
                <w:sz w:val="20"/>
              </w:rPr>
            </w:pPr>
            <w:r w:rsidRPr="00DA23D0">
              <w:rPr>
                <w:color w:val="000000"/>
                <w:sz w:val="20"/>
              </w:rPr>
              <w:t>98</w:t>
            </w:r>
          </w:p>
        </w:tc>
        <w:tc>
          <w:tcPr>
            <w:tcW w:w="136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rsidR="00DA23D0" w:rsidRPr="00DA23D0" w:rsidRDefault="00DA23D0" w:rsidP="00DA23D0">
            <w:pPr>
              <w:jc w:val="right"/>
              <w:rPr>
                <w:color w:val="000000"/>
                <w:sz w:val="20"/>
              </w:rPr>
            </w:pPr>
            <w:r w:rsidRPr="00DA23D0">
              <w:rPr>
                <w:color w:val="000000"/>
                <w:sz w:val="20"/>
              </w:rPr>
              <w:t>108</w:t>
            </w:r>
          </w:p>
        </w:tc>
        <w:tc>
          <w:tcPr>
            <w:tcW w:w="10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A23D0" w:rsidRPr="00DA23D0" w:rsidRDefault="00DA23D0" w:rsidP="00DA23D0">
            <w:pPr>
              <w:jc w:val="right"/>
              <w:rPr>
                <w:color w:val="000000"/>
                <w:sz w:val="20"/>
              </w:rPr>
            </w:pPr>
            <w:r w:rsidRPr="00DA23D0">
              <w:rPr>
                <w:color w:val="000000"/>
                <w:sz w:val="20"/>
              </w:rPr>
              <w:t xml:space="preserve">             10 </w:t>
            </w:r>
          </w:p>
        </w:tc>
      </w:tr>
      <w:tr w:rsidR="00DA23D0" w:rsidRPr="00DA23D0" w:rsidTr="000E18C6">
        <w:trPr>
          <w:trHeight w:val="330"/>
        </w:trPr>
        <w:tc>
          <w:tcPr>
            <w:tcW w:w="2380"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DA23D0" w:rsidRPr="00DA23D0" w:rsidRDefault="00DA23D0" w:rsidP="00DA23D0">
            <w:pPr>
              <w:rPr>
                <w:color w:val="000000"/>
                <w:sz w:val="20"/>
              </w:rPr>
            </w:pPr>
            <w:r w:rsidRPr="00DA23D0">
              <w:rPr>
                <w:color w:val="000000"/>
                <w:sz w:val="20"/>
              </w:rPr>
              <w:t>Annual burden hours</w:t>
            </w:r>
          </w:p>
        </w:tc>
        <w:tc>
          <w:tcPr>
            <w:tcW w:w="123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A23D0" w:rsidRPr="00DA23D0" w:rsidRDefault="00DA23D0" w:rsidP="00DA23D0">
            <w:pPr>
              <w:jc w:val="right"/>
              <w:rPr>
                <w:color w:val="000000"/>
                <w:sz w:val="20"/>
              </w:rPr>
            </w:pPr>
            <w:r w:rsidRPr="00DA23D0">
              <w:rPr>
                <w:color w:val="000000"/>
                <w:sz w:val="20"/>
              </w:rPr>
              <w:t>32</w:t>
            </w:r>
          </w:p>
        </w:tc>
        <w:tc>
          <w:tcPr>
            <w:tcW w:w="1365"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A23D0" w:rsidRPr="00DA23D0" w:rsidRDefault="00DA23D0" w:rsidP="00DA23D0">
            <w:pPr>
              <w:jc w:val="right"/>
              <w:rPr>
                <w:color w:val="000000"/>
                <w:sz w:val="20"/>
              </w:rPr>
            </w:pPr>
            <w:r w:rsidRPr="00DA23D0">
              <w:rPr>
                <w:color w:val="000000"/>
                <w:sz w:val="20"/>
              </w:rPr>
              <w:t>108</w:t>
            </w:r>
          </w:p>
        </w:tc>
        <w:tc>
          <w:tcPr>
            <w:tcW w:w="1060"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DA23D0" w:rsidRPr="00DA23D0" w:rsidRDefault="00DA23D0" w:rsidP="00DA23D0">
            <w:pPr>
              <w:jc w:val="right"/>
              <w:rPr>
                <w:color w:val="000000"/>
                <w:sz w:val="20"/>
              </w:rPr>
            </w:pPr>
            <w:r w:rsidRPr="00DA23D0">
              <w:rPr>
                <w:color w:val="000000"/>
                <w:sz w:val="20"/>
              </w:rPr>
              <w:t xml:space="preserve">             76 </w:t>
            </w:r>
          </w:p>
        </w:tc>
      </w:tr>
      <w:tr w:rsidR="00DA23D0" w:rsidRPr="00DA23D0" w:rsidTr="000E18C6">
        <w:trPr>
          <w:trHeight w:val="330"/>
        </w:trPr>
        <w:tc>
          <w:tcPr>
            <w:tcW w:w="2380" w:type="dxa"/>
            <w:tcBorders>
              <w:top w:val="single" w:sz="8"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rsidR="00DA23D0" w:rsidRPr="00DA23D0" w:rsidRDefault="00DA23D0" w:rsidP="00DA23D0">
            <w:pPr>
              <w:rPr>
                <w:color w:val="000000"/>
                <w:sz w:val="20"/>
              </w:rPr>
            </w:pPr>
            <w:r w:rsidRPr="00DA23D0">
              <w:rPr>
                <w:color w:val="000000"/>
                <w:sz w:val="20"/>
              </w:rPr>
              <w:t>Annual burden dollars</w:t>
            </w:r>
          </w:p>
        </w:tc>
        <w:tc>
          <w:tcPr>
            <w:tcW w:w="1235"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A23D0" w:rsidRPr="00DA23D0" w:rsidRDefault="00DA23D0" w:rsidP="00DA23D0">
            <w:pPr>
              <w:jc w:val="right"/>
              <w:rPr>
                <w:color w:val="000000"/>
                <w:sz w:val="20"/>
              </w:rPr>
            </w:pPr>
            <w:r w:rsidRPr="00DA23D0">
              <w:rPr>
                <w:color w:val="000000"/>
                <w:sz w:val="20"/>
              </w:rPr>
              <w:t>2,596</w:t>
            </w:r>
          </w:p>
        </w:tc>
        <w:tc>
          <w:tcPr>
            <w:tcW w:w="1365"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A23D0" w:rsidRPr="00DA23D0" w:rsidRDefault="00DA23D0" w:rsidP="00DA23D0">
            <w:pPr>
              <w:jc w:val="right"/>
              <w:rPr>
                <w:color w:val="000000"/>
                <w:sz w:val="20"/>
              </w:rPr>
            </w:pPr>
            <w:r w:rsidRPr="00DA23D0">
              <w:rPr>
                <w:color w:val="000000"/>
                <w:sz w:val="20"/>
              </w:rPr>
              <w:t>6,772</w:t>
            </w:r>
          </w:p>
        </w:tc>
        <w:tc>
          <w:tcPr>
            <w:tcW w:w="1060"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rsidR="00DA23D0" w:rsidRPr="00DA23D0" w:rsidRDefault="00DA23D0" w:rsidP="00DA23D0">
            <w:pPr>
              <w:jc w:val="right"/>
              <w:rPr>
                <w:color w:val="000000"/>
                <w:sz w:val="20"/>
              </w:rPr>
            </w:pPr>
            <w:r w:rsidRPr="00DA23D0">
              <w:rPr>
                <w:color w:val="000000"/>
                <w:sz w:val="20"/>
              </w:rPr>
              <w:t>4,176</w:t>
            </w:r>
          </w:p>
        </w:tc>
      </w:tr>
    </w:tbl>
    <w:p w:rsidR="0030712D" w:rsidRPr="0074630A" w:rsidRDefault="0030712D" w:rsidP="0014087C"/>
    <w:p w:rsidR="00AD05C6" w:rsidRDefault="00AD05C6" w:rsidP="0014087C">
      <w:r>
        <w:t xml:space="preserve">16.  </w:t>
      </w:r>
      <w:r w:rsidR="004A5143" w:rsidRPr="00AD05C6">
        <w:rPr>
          <w:u w:val="single"/>
        </w:rPr>
        <w:t>Plans for Publication:</w:t>
      </w:r>
      <w:r w:rsidR="00E67B3E">
        <w:t xml:space="preserve">  </w:t>
      </w:r>
    </w:p>
    <w:p w:rsidR="00AD05C6" w:rsidRDefault="00AD05C6" w:rsidP="0014087C"/>
    <w:p w:rsidR="00B167B8" w:rsidRPr="0074630A" w:rsidRDefault="00B167B8" w:rsidP="0014087C">
      <w:r w:rsidRPr="0074630A">
        <w:t xml:space="preserve">The </w:t>
      </w:r>
      <w:r w:rsidR="00B86DE5">
        <w:t>DEA will not publish the results of the information collected</w:t>
      </w:r>
      <w:r w:rsidRPr="0074630A">
        <w:t>.</w:t>
      </w:r>
    </w:p>
    <w:p w:rsidR="00B167B8" w:rsidRPr="0074630A" w:rsidRDefault="00B167B8" w:rsidP="0014087C"/>
    <w:p w:rsidR="00AD05C6" w:rsidRDefault="00B167B8" w:rsidP="0014087C">
      <w:r w:rsidRPr="0074630A">
        <w:t xml:space="preserve">17. </w:t>
      </w:r>
      <w:r w:rsidR="00AD05C6">
        <w:t xml:space="preserve"> </w:t>
      </w:r>
      <w:r w:rsidR="004A5143" w:rsidRPr="00AD05C6">
        <w:rPr>
          <w:u w:val="single"/>
        </w:rPr>
        <w:t>Expiration Date Approval:</w:t>
      </w:r>
      <w:r w:rsidR="00E67B3E">
        <w:t xml:space="preserve"> </w:t>
      </w:r>
      <w:r w:rsidR="004A5143" w:rsidRPr="0074630A">
        <w:t xml:space="preserve"> </w:t>
      </w:r>
    </w:p>
    <w:p w:rsidR="00AD05C6" w:rsidRDefault="00AD05C6" w:rsidP="0014087C"/>
    <w:p w:rsidR="00B51333" w:rsidRPr="0074630A" w:rsidRDefault="00120EDA" w:rsidP="0014087C">
      <w:r>
        <w:t>The DEA does not use a form for this information collection</w:t>
      </w:r>
      <w:r w:rsidR="00B51333" w:rsidRPr="0074630A">
        <w:t>.</w:t>
      </w:r>
      <w:r>
        <w:t xml:space="preserve">  Therefore, this question is not applicable.</w:t>
      </w:r>
    </w:p>
    <w:p w:rsidR="00B167B8" w:rsidRDefault="00B167B8" w:rsidP="0014087C"/>
    <w:p w:rsidR="00A367D5" w:rsidRDefault="00A367D5" w:rsidP="0014087C"/>
    <w:p w:rsidR="00A367D5" w:rsidRDefault="00A367D5" w:rsidP="0014087C"/>
    <w:p w:rsidR="00A367D5" w:rsidRDefault="00A367D5" w:rsidP="0014087C"/>
    <w:p w:rsidR="00AD05C6" w:rsidRDefault="00B167B8" w:rsidP="0014087C">
      <w:r w:rsidRPr="0074630A">
        <w:t xml:space="preserve">18. </w:t>
      </w:r>
      <w:r w:rsidR="00AD05C6">
        <w:t xml:space="preserve"> </w:t>
      </w:r>
      <w:r w:rsidR="00085B2F" w:rsidRPr="00AD05C6">
        <w:rPr>
          <w:u w:val="single"/>
        </w:rPr>
        <w:t>Exceptions to the Certification Statement:</w:t>
      </w:r>
      <w:r w:rsidR="00E67B3E">
        <w:t xml:space="preserve"> </w:t>
      </w:r>
      <w:r w:rsidR="00085B2F" w:rsidRPr="0074630A">
        <w:t xml:space="preserve"> </w:t>
      </w:r>
    </w:p>
    <w:p w:rsidR="00AD05C6" w:rsidRDefault="00AD05C6" w:rsidP="0014087C"/>
    <w:p w:rsidR="0030712D" w:rsidRPr="0074630A" w:rsidRDefault="00120EDA" w:rsidP="0014087C">
      <w:r>
        <w:t>The DEA is not seeking an exception to the certification statement “Certification for Paperwork Reduction Act Submissions” for this collection of information</w:t>
      </w:r>
      <w:r w:rsidR="00B167B8" w:rsidRPr="0074630A">
        <w:t>.</w:t>
      </w:r>
    </w:p>
    <w:p w:rsidR="005E0846" w:rsidRPr="0074630A" w:rsidRDefault="005E0846" w:rsidP="0014087C"/>
    <w:p w:rsidR="00B86DE5" w:rsidRPr="00B86DE5" w:rsidRDefault="0030712D" w:rsidP="0014087C">
      <w:pPr>
        <w:rPr>
          <w:b/>
        </w:rPr>
      </w:pPr>
      <w:r w:rsidRPr="00B86DE5">
        <w:rPr>
          <w:b/>
        </w:rPr>
        <w:t>P</w:t>
      </w:r>
      <w:r w:rsidR="00B86DE5" w:rsidRPr="00B86DE5">
        <w:rPr>
          <w:b/>
        </w:rPr>
        <w:t xml:space="preserve">art B. </w:t>
      </w:r>
      <w:r w:rsidR="008B3F36" w:rsidRPr="00B86DE5">
        <w:rPr>
          <w:b/>
        </w:rPr>
        <w:t xml:space="preserve">Statistical </w:t>
      </w:r>
      <w:r w:rsidR="0096571E" w:rsidRPr="00B86DE5">
        <w:rPr>
          <w:b/>
        </w:rPr>
        <w:t>Methods:</w:t>
      </w:r>
      <w:r w:rsidR="00E67B3E" w:rsidRPr="00B86DE5">
        <w:rPr>
          <w:b/>
        </w:rPr>
        <w:t xml:space="preserve"> </w:t>
      </w:r>
      <w:r w:rsidR="0096571E" w:rsidRPr="00B86DE5">
        <w:rPr>
          <w:b/>
        </w:rPr>
        <w:t xml:space="preserve"> </w:t>
      </w:r>
    </w:p>
    <w:p w:rsidR="00B86DE5" w:rsidRDefault="00B86DE5" w:rsidP="0014087C"/>
    <w:p w:rsidR="0030712D" w:rsidRDefault="0096571E" w:rsidP="0014087C">
      <w:r w:rsidRPr="0074630A">
        <w:t>The</w:t>
      </w:r>
      <w:r w:rsidR="0030712D" w:rsidRPr="0074630A">
        <w:t xml:space="preserve"> </w:t>
      </w:r>
      <w:r w:rsidR="00B86DE5">
        <w:t>DEA</w:t>
      </w:r>
      <w:r w:rsidR="0030712D" w:rsidRPr="0074630A">
        <w:t xml:space="preserve"> does not employ statistical methods in this information collection.</w:t>
      </w:r>
    </w:p>
    <w:sectPr w:rsidR="0030712D">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C40" w:rsidRDefault="00FE2C40" w:rsidP="00A10F5D">
      <w:r>
        <w:separator/>
      </w:r>
    </w:p>
  </w:endnote>
  <w:endnote w:type="continuationSeparator" w:id="0">
    <w:p w:rsidR="00FE2C40" w:rsidRDefault="00FE2C40" w:rsidP="00A1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C40" w:rsidRDefault="00FE2C40" w:rsidP="00A10F5D">
      <w:r>
        <w:separator/>
      </w:r>
    </w:p>
  </w:footnote>
  <w:footnote w:type="continuationSeparator" w:id="0">
    <w:p w:rsidR="00FE2C40" w:rsidRDefault="00FE2C40" w:rsidP="00A10F5D">
      <w:r>
        <w:continuationSeparator/>
      </w:r>
    </w:p>
  </w:footnote>
  <w:footnote w:id="1">
    <w:p w:rsidR="002A19C4" w:rsidRPr="00D34495" w:rsidRDefault="002A19C4" w:rsidP="002A19C4">
      <w:pPr>
        <w:pStyle w:val="FootnoteText"/>
        <w:rPr>
          <w:rFonts w:ascii="Times New Roman" w:hAnsi="Times New Roman"/>
        </w:rPr>
      </w:pPr>
      <w:r w:rsidRPr="00D34495">
        <w:rPr>
          <w:rStyle w:val="FootnoteReference"/>
          <w:rFonts w:ascii="Times New Roman" w:hAnsi="Times New Roman"/>
          <w:vertAlign w:val="superscript"/>
        </w:rPr>
        <w:footnoteRef/>
      </w:r>
      <w:r w:rsidRPr="00D34495">
        <w:rPr>
          <w:rFonts w:ascii="Times New Roman" w:hAnsi="Times New Roman"/>
        </w:rPr>
        <w:t xml:space="preserve"> </w:t>
      </w:r>
      <w:r>
        <w:rPr>
          <w:rFonts w:ascii="Times New Roman" w:hAnsi="Times New Roman"/>
        </w:rPr>
        <w:t xml:space="preserve">Hourly median wage, </w:t>
      </w:r>
      <w:r w:rsidRPr="00D34495">
        <w:rPr>
          <w:rFonts w:ascii="Times New Roman" w:hAnsi="Times New Roman"/>
        </w:rPr>
        <w:t>Bureau of Labor Statistics, Occupational an</w:t>
      </w:r>
      <w:r w:rsidR="00F31A18">
        <w:rPr>
          <w:rFonts w:ascii="Times New Roman" w:hAnsi="Times New Roman"/>
        </w:rPr>
        <w:t>d Employment and Wages, May 2017</w:t>
      </w:r>
      <w:r w:rsidRPr="00D34495">
        <w:rPr>
          <w:rFonts w:ascii="Times New Roman" w:hAnsi="Times New Roman"/>
        </w:rPr>
        <w:t xml:space="preserve">, </w:t>
      </w:r>
      <w:r>
        <w:rPr>
          <w:rFonts w:ascii="Times New Roman" w:hAnsi="Times New Roman"/>
        </w:rPr>
        <w:t>11</w:t>
      </w:r>
      <w:r w:rsidRPr="00D34495">
        <w:rPr>
          <w:rFonts w:ascii="Times New Roman" w:hAnsi="Times New Roman"/>
        </w:rPr>
        <w:t>-</w:t>
      </w:r>
      <w:r>
        <w:rPr>
          <w:rFonts w:ascii="Times New Roman" w:hAnsi="Times New Roman"/>
        </w:rPr>
        <w:t>2022 Sales Managers for North American Industry Classification System code</w:t>
      </w:r>
      <w:r w:rsidRPr="00D34495">
        <w:rPr>
          <w:rFonts w:ascii="Times New Roman" w:hAnsi="Times New Roman"/>
        </w:rPr>
        <w:t xml:space="preserve"> </w:t>
      </w:r>
      <w:r>
        <w:rPr>
          <w:rFonts w:ascii="Times New Roman" w:hAnsi="Times New Roman"/>
        </w:rPr>
        <w:t>446110</w:t>
      </w:r>
      <w:r w:rsidRPr="00D34495">
        <w:rPr>
          <w:rFonts w:ascii="Times New Roman" w:hAnsi="Times New Roman"/>
        </w:rPr>
        <w:t xml:space="preserve"> – </w:t>
      </w:r>
      <w:r>
        <w:rPr>
          <w:rFonts w:ascii="Times New Roman" w:hAnsi="Times New Roman"/>
        </w:rPr>
        <w:t xml:space="preserve">Pharmacies and Drug Stores </w:t>
      </w:r>
      <w:r w:rsidRPr="00D34495">
        <w:rPr>
          <w:rFonts w:ascii="Times New Roman" w:hAnsi="Times New Roman"/>
        </w:rPr>
        <w:t>(http://www.bls.gov/oes/current/oes).</w:t>
      </w:r>
    </w:p>
  </w:footnote>
  <w:footnote w:id="2">
    <w:p w:rsidR="002A19C4" w:rsidRPr="007B3740" w:rsidRDefault="002A19C4" w:rsidP="002A19C4">
      <w:pPr>
        <w:pStyle w:val="FootnoteText"/>
        <w:rPr>
          <w:rFonts w:ascii="Times New Roman" w:hAnsi="Times New Roman"/>
        </w:rPr>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sidR="00D15421">
        <w:rPr>
          <w:rFonts w:ascii="Times New Roman" w:hAnsi="Times New Roman"/>
        </w:rPr>
        <w:t>June</w:t>
      </w:r>
      <w:r w:rsidRPr="007B3740">
        <w:rPr>
          <w:rFonts w:ascii="Times New Roman" w:hAnsi="Times New Roman"/>
        </w:rPr>
        <w:t xml:space="preserve"> 201</w:t>
      </w:r>
      <w:r w:rsidR="00D15421">
        <w:rPr>
          <w:rFonts w:ascii="Times New Roman" w:hAnsi="Times New Roman"/>
        </w:rPr>
        <w:t>8</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sidR="00D15421">
        <w:rPr>
          <w:rFonts w:ascii="Times New Roman" w:hAnsi="Times New Roman"/>
        </w:rPr>
        <w:t>its for private industry is 30.4</w:t>
      </w:r>
      <w:r w:rsidRPr="007B3740">
        <w:rPr>
          <w:rFonts w:ascii="Times New Roman" w:hAnsi="Times New Roman"/>
        </w:rPr>
        <w:t xml:space="preserve">% </w:t>
      </w:r>
      <w:r w:rsidR="00D15421">
        <w:rPr>
          <w:rFonts w:ascii="Times New Roman" w:hAnsi="Times New Roman"/>
        </w:rPr>
        <w:t>of total compensation.  The 30.4</w:t>
      </w:r>
      <w:r w:rsidRPr="007B3740">
        <w:rPr>
          <w:rFonts w:ascii="Times New Roman" w:hAnsi="Times New Roman"/>
        </w:rPr>
        <w:t>% of total com</w:t>
      </w:r>
      <w:r w:rsidR="00D15421">
        <w:rPr>
          <w:rFonts w:ascii="Times New Roman" w:hAnsi="Times New Roman"/>
        </w:rPr>
        <w:t>pensation equates to 43.7% (30.4% / 69.6</w:t>
      </w:r>
      <w:r w:rsidRPr="007B3740">
        <w:rPr>
          <w:rFonts w:ascii="Times New Roman" w:hAnsi="Times New Roman"/>
        </w:rPr>
        <w:t>%) load on wages and salaries.</w:t>
      </w:r>
    </w:p>
  </w:footnote>
  <w:footnote w:id="3">
    <w:p w:rsidR="002A19C4" w:rsidRPr="007B3740" w:rsidRDefault="002A19C4" w:rsidP="002A19C4">
      <w:pPr>
        <w:pStyle w:val="FootnoteText"/>
        <w:rPr>
          <w:rFonts w:ascii="Times New Roman" w:hAnsi="Times New Roman"/>
        </w:rPr>
      </w:pPr>
      <w:r w:rsidRPr="007B3740">
        <w:rPr>
          <w:rStyle w:val="FootnoteReference"/>
          <w:rFonts w:ascii="Times New Roman" w:hAnsi="Times New Roman"/>
          <w:vertAlign w:val="superscript"/>
        </w:rPr>
        <w:footnoteRef/>
      </w:r>
      <w:r w:rsidR="00D15421">
        <w:rPr>
          <w:rFonts w:ascii="Times New Roman" w:hAnsi="Times New Roman"/>
        </w:rPr>
        <w:t xml:space="preserve"> $43.63 x (1 + 0.437) = $67.70</w:t>
      </w:r>
      <w:r>
        <w:rPr>
          <w:rFonts w:ascii="Times New Roman" w:hAnsi="Times New Roman"/>
        </w:rPr>
        <w:t>.</w:t>
      </w:r>
    </w:p>
  </w:footnote>
  <w:footnote w:id="4">
    <w:p w:rsidR="00D15421" w:rsidRPr="00FC4E5D" w:rsidRDefault="00D15421" w:rsidP="00D15421">
      <w:pPr>
        <w:pStyle w:val="FootnoteText"/>
        <w:rPr>
          <w:rFonts w:ascii="Times New Roman" w:hAnsi="Times New Roman"/>
        </w:rPr>
      </w:pPr>
      <w:r w:rsidRPr="00FC4E5D">
        <w:rPr>
          <w:rStyle w:val="FootnoteReference"/>
          <w:rFonts w:ascii="Times New Roman" w:hAnsi="Times New Roman"/>
          <w:vertAlign w:val="superscript"/>
        </w:rPr>
        <w:footnoteRef/>
      </w:r>
      <w:r w:rsidRPr="00FC4E5D">
        <w:rPr>
          <w:rFonts w:ascii="Times New Roman" w:hAnsi="Times New Roman"/>
        </w:rPr>
        <w:t xml:space="preserve"> Government salary figures include </w:t>
      </w:r>
      <w:r w:rsidR="00BE12D3">
        <w:rPr>
          <w:rFonts w:ascii="Times New Roman" w:hAnsi="Times New Roman"/>
        </w:rPr>
        <w:t>60.3</w:t>
      </w:r>
      <w:r w:rsidRPr="00FC4E5D">
        <w:rPr>
          <w:rFonts w:ascii="Times New Roman" w:hAnsi="Times New Roman"/>
        </w:rPr>
        <w:t>% load for benefits based on the ECEC for “State and local government.”  The ECEC does not include figures for the Federal Government.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9D253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21567CF"/>
    <w:multiLevelType w:val="hybridMultilevel"/>
    <w:tmpl w:val="EC7047F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A45440B"/>
    <w:multiLevelType w:val="hybridMultilevel"/>
    <w:tmpl w:val="E1A2B3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1F7792"/>
    <w:multiLevelType w:val="hybridMultilevel"/>
    <w:tmpl w:val="BC408B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5"/>
  </w:num>
  <w:num w:numId="4">
    <w:abstractNumId w:val="7"/>
  </w:num>
  <w:num w:numId="5">
    <w:abstractNumId w:val="6"/>
  </w:num>
  <w:num w:numId="6">
    <w:abstractNumId w:val="8"/>
  </w:num>
  <w:num w:numId="7">
    <w:abstractNumId w:val="3"/>
  </w:num>
  <w:num w:numId="8">
    <w:abstractNumId w:val="2"/>
  </w:num>
  <w:num w:numId="9">
    <w:abstractNumId w:val="11"/>
  </w:num>
  <w:num w:numId="10">
    <w:abstractNumId w:val="15"/>
  </w:num>
  <w:num w:numId="11">
    <w:abstractNumId w:val="4"/>
  </w:num>
  <w:num w:numId="12">
    <w:abstractNumId w:val="16"/>
  </w:num>
  <w:num w:numId="13">
    <w:abstractNumId w:val="13"/>
  </w:num>
  <w:num w:numId="14">
    <w:abstractNumId w:val="1"/>
  </w:num>
  <w:num w:numId="15">
    <w:abstractNumId w:val="12"/>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D3"/>
    <w:rsid w:val="00057006"/>
    <w:rsid w:val="00057094"/>
    <w:rsid w:val="000628D7"/>
    <w:rsid w:val="00085B2F"/>
    <w:rsid w:val="00091CE7"/>
    <w:rsid w:val="000A521F"/>
    <w:rsid w:val="000C0CB4"/>
    <w:rsid w:val="000E18C6"/>
    <w:rsid w:val="000F671E"/>
    <w:rsid w:val="00105235"/>
    <w:rsid w:val="00107884"/>
    <w:rsid w:val="00115441"/>
    <w:rsid w:val="00120217"/>
    <w:rsid w:val="00120EDA"/>
    <w:rsid w:val="0012263F"/>
    <w:rsid w:val="001334E1"/>
    <w:rsid w:val="0014087C"/>
    <w:rsid w:val="00192707"/>
    <w:rsid w:val="001C1A37"/>
    <w:rsid w:val="001D309B"/>
    <w:rsid w:val="001E4F74"/>
    <w:rsid w:val="00210664"/>
    <w:rsid w:val="00210B2E"/>
    <w:rsid w:val="002142D3"/>
    <w:rsid w:val="002379D3"/>
    <w:rsid w:val="00247E47"/>
    <w:rsid w:val="0029124F"/>
    <w:rsid w:val="002A0973"/>
    <w:rsid w:val="002A19C4"/>
    <w:rsid w:val="002C1827"/>
    <w:rsid w:val="002C4A62"/>
    <w:rsid w:val="002D3361"/>
    <w:rsid w:val="00300F3B"/>
    <w:rsid w:val="00301EBF"/>
    <w:rsid w:val="0030712D"/>
    <w:rsid w:val="003406DF"/>
    <w:rsid w:val="00343A8D"/>
    <w:rsid w:val="00380773"/>
    <w:rsid w:val="00387A0D"/>
    <w:rsid w:val="003930A3"/>
    <w:rsid w:val="00397B6A"/>
    <w:rsid w:val="003E7ADE"/>
    <w:rsid w:val="00473437"/>
    <w:rsid w:val="004A4DDC"/>
    <w:rsid w:val="004A5143"/>
    <w:rsid w:val="004B7499"/>
    <w:rsid w:val="004C469E"/>
    <w:rsid w:val="004C5510"/>
    <w:rsid w:val="00523D1C"/>
    <w:rsid w:val="00531833"/>
    <w:rsid w:val="00531B36"/>
    <w:rsid w:val="00565FC5"/>
    <w:rsid w:val="00573980"/>
    <w:rsid w:val="00583877"/>
    <w:rsid w:val="005D51CB"/>
    <w:rsid w:val="005E0846"/>
    <w:rsid w:val="005E78D0"/>
    <w:rsid w:val="00605BD8"/>
    <w:rsid w:val="00633E13"/>
    <w:rsid w:val="00670104"/>
    <w:rsid w:val="006769BA"/>
    <w:rsid w:val="00683C9B"/>
    <w:rsid w:val="006F5149"/>
    <w:rsid w:val="006F57B0"/>
    <w:rsid w:val="00713367"/>
    <w:rsid w:val="007320BE"/>
    <w:rsid w:val="0074630A"/>
    <w:rsid w:val="0076551B"/>
    <w:rsid w:val="00766BEE"/>
    <w:rsid w:val="0077668D"/>
    <w:rsid w:val="007A634B"/>
    <w:rsid w:val="007A6476"/>
    <w:rsid w:val="007F49C7"/>
    <w:rsid w:val="00804052"/>
    <w:rsid w:val="008525FC"/>
    <w:rsid w:val="008A10AF"/>
    <w:rsid w:val="008A1879"/>
    <w:rsid w:val="008A5675"/>
    <w:rsid w:val="008B3F36"/>
    <w:rsid w:val="008C5453"/>
    <w:rsid w:val="008D49F9"/>
    <w:rsid w:val="008F3671"/>
    <w:rsid w:val="008F5DBF"/>
    <w:rsid w:val="0093156D"/>
    <w:rsid w:val="00955F46"/>
    <w:rsid w:val="0096571E"/>
    <w:rsid w:val="0096755D"/>
    <w:rsid w:val="009734BE"/>
    <w:rsid w:val="00992926"/>
    <w:rsid w:val="009B6EB5"/>
    <w:rsid w:val="009C1E5A"/>
    <w:rsid w:val="00A10DE8"/>
    <w:rsid w:val="00A10F5D"/>
    <w:rsid w:val="00A12E6A"/>
    <w:rsid w:val="00A25EB5"/>
    <w:rsid w:val="00A367D5"/>
    <w:rsid w:val="00A445E3"/>
    <w:rsid w:val="00A874CE"/>
    <w:rsid w:val="00A92017"/>
    <w:rsid w:val="00AB2667"/>
    <w:rsid w:val="00AC0A1C"/>
    <w:rsid w:val="00AC6784"/>
    <w:rsid w:val="00AD05C6"/>
    <w:rsid w:val="00AE2626"/>
    <w:rsid w:val="00B167B8"/>
    <w:rsid w:val="00B300D0"/>
    <w:rsid w:val="00B51333"/>
    <w:rsid w:val="00B86DE5"/>
    <w:rsid w:val="00BD0767"/>
    <w:rsid w:val="00BD2E8C"/>
    <w:rsid w:val="00BD4992"/>
    <w:rsid w:val="00BE12D3"/>
    <w:rsid w:val="00BE3CFA"/>
    <w:rsid w:val="00BF0738"/>
    <w:rsid w:val="00CA0004"/>
    <w:rsid w:val="00CC5A5A"/>
    <w:rsid w:val="00D034DC"/>
    <w:rsid w:val="00D15421"/>
    <w:rsid w:val="00D205F4"/>
    <w:rsid w:val="00D50E6E"/>
    <w:rsid w:val="00D52488"/>
    <w:rsid w:val="00D66AC5"/>
    <w:rsid w:val="00D97CDA"/>
    <w:rsid w:val="00DA23D0"/>
    <w:rsid w:val="00DD2C49"/>
    <w:rsid w:val="00DE19AE"/>
    <w:rsid w:val="00E20CC7"/>
    <w:rsid w:val="00E2391A"/>
    <w:rsid w:val="00E45099"/>
    <w:rsid w:val="00E4628B"/>
    <w:rsid w:val="00E5600F"/>
    <w:rsid w:val="00E62D5C"/>
    <w:rsid w:val="00E67B3E"/>
    <w:rsid w:val="00E83CBE"/>
    <w:rsid w:val="00EC2BED"/>
    <w:rsid w:val="00F2797D"/>
    <w:rsid w:val="00F31A18"/>
    <w:rsid w:val="00F34011"/>
    <w:rsid w:val="00F64E37"/>
    <w:rsid w:val="00FA64EA"/>
    <w:rsid w:val="00FB0D25"/>
    <w:rsid w:val="00FB13B3"/>
    <w:rsid w:val="00FE2C40"/>
    <w:rsid w:val="00FE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20BE"/>
    <w:rPr>
      <w:rFonts w:ascii="Tahoma" w:hAnsi="Tahoma"/>
      <w:sz w:val="16"/>
      <w:szCs w:val="16"/>
    </w:rPr>
  </w:style>
  <w:style w:type="character" w:styleId="CommentReference">
    <w:name w:val="annotation reference"/>
    <w:uiPriority w:val="99"/>
    <w:semiHidden/>
    <w:unhideWhenUsed/>
    <w:rsid w:val="00AB2667"/>
    <w:rPr>
      <w:sz w:val="16"/>
      <w:szCs w:val="16"/>
    </w:rPr>
  </w:style>
  <w:style w:type="paragraph" w:styleId="CommentText">
    <w:name w:val="annotation text"/>
    <w:basedOn w:val="Normal"/>
    <w:link w:val="CommentTextChar"/>
    <w:uiPriority w:val="99"/>
    <w:semiHidden/>
    <w:unhideWhenUsed/>
    <w:rsid w:val="00AB2667"/>
    <w:rPr>
      <w:sz w:val="20"/>
    </w:rPr>
  </w:style>
  <w:style w:type="character" w:customStyle="1" w:styleId="CommentTextChar">
    <w:name w:val="Comment Text Char"/>
    <w:basedOn w:val="DefaultParagraphFont"/>
    <w:link w:val="CommentText"/>
    <w:uiPriority w:val="99"/>
    <w:semiHidden/>
    <w:rsid w:val="00AB2667"/>
  </w:style>
  <w:style w:type="paragraph" w:styleId="CommentSubject">
    <w:name w:val="annotation subject"/>
    <w:basedOn w:val="CommentText"/>
    <w:next w:val="CommentText"/>
    <w:link w:val="CommentSubjectChar"/>
    <w:uiPriority w:val="99"/>
    <w:semiHidden/>
    <w:unhideWhenUsed/>
    <w:rsid w:val="00AB2667"/>
    <w:rPr>
      <w:b/>
      <w:bCs/>
    </w:rPr>
  </w:style>
  <w:style w:type="character" w:customStyle="1" w:styleId="CommentSubjectChar">
    <w:name w:val="Comment Subject Char"/>
    <w:link w:val="CommentSubject"/>
    <w:uiPriority w:val="99"/>
    <w:semiHidden/>
    <w:rsid w:val="00AB2667"/>
    <w:rPr>
      <w:b/>
      <w:bCs/>
    </w:rPr>
  </w:style>
  <w:style w:type="table" w:styleId="TableGrid">
    <w:name w:val="Table Grid"/>
    <w:basedOn w:val="TableNormal"/>
    <w:rsid w:val="00A10F5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0F5D"/>
    <w:rPr>
      <w:rFonts w:ascii="Cambria" w:eastAsia="Calibri" w:hAnsi="Cambria"/>
      <w:sz w:val="20"/>
    </w:rPr>
  </w:style>
  <w:style w:type="character" w:customStyle="1" w:styleId="FootnoteTextChar">
    <w:name w:val="Footnote Text Char"/>
    <w:link w:val="FootnoteText"/>
    <w:uiPriority w:val="99"/>
    <w:semiHidden/>
    <w:rsid w:val="00A10F5D"/>
    <w:rPr>
      <w:rFonts w:ascii="Cambria" w:eastAsia="Calibri" w:hAnsi="Cambria"/>
    </w:rPr>
  </w:style>
  <w:style w:type="character" w:styleId="FootnoteReference">
    <w:name w:val="footnote reference"/>
    <w:semiHidden/>
    <w:unhideWhenUsed/>
    <w:rsid w:val="00A10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20BE"/>
    <w:rPr>
      <w:rFonts w:ascii="Tahoma" w:hAnsi="Tahoma"/>
      <w:sz w:val="16"/>
      <w:szCs w:val="16"/>
    </w:rPr>
  </w:style>
  <w:style w:type="character" w:styleId="CommentReference">
    <w:name w:val="annotation reference"/>
    <w:uiPriority w:val="99"/>
    <w:semiHidden/>
    <w:unhideWhenUsed/>
    <w:rsid w:val="00AB2667"/>
    <w:rPr>
      <w:sz w:val="16"/>
      <w:szCs w:val="16"/>
    </w:rPr>
  </w:style>
  <w:style w:type="paragraph" w:styleId="CommentText">
    <w:name w:val="annotation text"/>
    <w:basedOn w:val="Normal"/>
    <w:link w:val="CommentTextChar"/>
    <w:uiPriority w:val="99"/>
    <w:semiHidden/>
    <w:unhideWhenUsed/>
    <w:rsid w:val="00AB2667"/>
    <w:rPr>
      <w:sz w:val="20"/>
    </w:rPr>
  </w:style>
  <w:style w:type="character" w:customStyle="1" w:styleId="CommentTextChar">
    <w:name w:val="Comment Text Char"/>
    <w:basedOn w:val="DefaultParagraphFont"/>
    <w:link w:val="CommentText"/>
    <w:uiPriority w:val="99"/>
    <w:semiHidden/>
    <w:rsid w:val="00AB2667"/>
  </w:style>
  <w:style w:type="paragraph" w:styleId="CommentSubject">
    <w:name w:val="annotation subject"/>
    <w:basedOn w:val="CommentText"/>
    <w:next w:val="CommentText"/>
    <w:link w:val="CommentSubjectChar"/>
    <w:uiPriority w:val="99"/>
    <w:semiHidden/>
    <w:unhideWhenUsed/>
    <w:rsid w:val="00AB2667"/>
    <w:rPr>
      <w:b/>
      <w:bCs/>
    </w:rPr>
  </w:style>
  <w:style w:type="character" w:customStyle="1" w:styleId="CommentSubjectChar">
    <w:name w:val="Comment Subject Char"/>
    <w:link w:val="CommentSubject"/>
    <w:uiPriority w:val="99"/>
    <w:semiHidden/>
    <w:rsid w:val="00AB2667"/>
    <w:rPr>
      <w:b/>
      <w:bCs/>
    </w:rPr>
  </w:style>
  <w:style w:type="table" w:styleId="TableGrid">
    <w:name w:val="Table Grid"/>
    <w:basedOn w:val="TableNormal"/>
    <w:rsid w:val="00A10F5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0F5D"/>
    <w:rPr>
      <w:rFonts w:ascii="Cambria" w:eastAsia="Calibri" w:hAnsi="Cambria"/>
      <w:sz w:val="20"/>
    </w:rPr>
  </w:style>
  <w:style w:type="character" w:customStyle="1" w:styleId="FootnoteTextChar">
    <w:name w:val="Footnote Text Char"/>
    <w:link w:val="FootnoteText"/>
    <w:uiPriority w:val="99"/>
    <w:semiHidden/>
    <w:rsid w:val="00A10F5D"/>
    <w:rPr>
      <w:rFonts w:ascii="Cambria" w:eastAsia="Calibri" w:hAnsi="Cambria"/>
    </w:rPr>
  </w:style>
  <w:style w:type="character" w:styleId="FootnoteReference">
    <w:name w:val="footnote reference"/>
    <w:semiHidden/>
    <w:unhideWhenUsed/>
    <w:rsid w:val="00A1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43368">
      <w:bodyDiv w:val="1"/>
      <w:marLeft w:val="0"/>
      <w:marRight w:val="0"/>
      <w:marTop w:val="0"/>
      <w:marBottom w:val="0"/>
      <w:divBdr>
        <w:top w:val="none" w:sz="0" w:space="0" w:color="auto"/>
        <w:left w:val="none" w:sz="0" w:space="0" w:color="auto"/>
        <w:bottom w:val="none" w:sz="0" w:space="0" w:color="auto"/>
        <w:right w:val="none" w:sz="0" w:space="0" w:color="auto"/>
      </w:divBdr>
    </w:div>
    <w:div w:id="853766335">
      <w:bodyDiv w:val="1"/>
      <w:marLeft w:val="0"/>
      <w:marRight w:val="0"/>
      <w:marTop w:val="0"/>
      <w:marBottom w:val="0"/>
      <w:divBdr>
        <w:top w:val="none" w:sz="0" w:space="0" w:color="auto"/>
        <w:left w:val="none" w:sz="0" w:space="0" w:color="auto"/>
        <w:bottom w:val="none" w:sz="0" w:space="0" w:color="auto"/>
        <w:right w:val="none" w:sz="0" w:space="0" w:color="auto"/>
      </w:divBdr>
    </w:div>
    <w:div w:id="1811164451">
      <w:bodyDiv w:val="1"/>
      <w:marLeft w:val="0"/>
      <w:marRight w:val="0"/>
      <w:marTop w:val="0"/>
      <w:marBottom w:val="0"/>
      <w:divBdr>
        <w:top w:val="none" w:sz="0" w:space="0" w:color="auto"/>
        <w:left w:val="none" w:sz="0" w:space="0" w:color="auto"/>
        <w:bottom w:val="none" w:sz="0" w:space="0" w:color="auto"/>
        <w:right w:val="none" w:sz="0" w:space="0" w:color="auto"/>
      </w:divBdr>
    </w:div>
    <w:div w:id="1896315952">
      <w:bodyDiv w:val="1"/>
      <w:marLeft w:val="0"/>
      <w:marRight w:val="0"/>
      <w:marTop w:val="0"/>
      <w:marBottom w:val="0"/>
      <w:divBdr>
        <w:top w:val="none" w:sz="0" w:space="0" w:color="auto"/>
        <w:left w:val="none" w:sz="0" w:space="0" w:color="auto"/>
        <w:bottom w:val="none" w:sz="0" w:space="0" w:color="auto"/>
        <w:right w:val="none" w:sz="0" w:space="0" w:color="auto"/>
      </w:divBdr>
    </w:div>
    <w:div w:id="191164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CD012-7C31-413C-8703-BC4247A7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Firebird User</dc:creator>
  <cp:lastModifiedBy>SYSTEM</cp:lastModifiedBy>
  <cp:revision>2</cp:revision>
  <cp:lastPrinted>2015-12-28T13:21:00Z</cp:lastPrinted>
  <dcterms:created xsi:type="dcterms:W3CDTF">2019-05-21T13:12:00Z</dcterms:created>
  <dcterms:modified xsi:type="dcterms:W3CDTF">2019-05-21T13:12:00Z</dcterms:modified>
</cp:coreProperties>
</file>