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B8B2B74" w14:textId="77777777" w:rsidR="008F3E3A" w:rsidRPr="00194D5A" w:rsidRDefault="008F3E3A" w:rsidP="00683926">
      <w:pPr>
        <w:tabs>
          <w:tab w:val="left" w:pos="720"/>
          <w:tab w:val="left" w:pos="1080"/>
          <w:tab w:val="left" w:pos="1440"/>
        </w:tabs>
        <w:spacing w:line="276" w:lineRule="auto"/>
        <w:jc w:val="center"/>
        <w:rPr>
          <w:rFonts w:asciiTheme="minorHAnsi" w:hAnsiTheme="minorHAnsi" w:cstheme="minorHAnsi"/>
          <w:b/>
          <w:bCs/>
          <w:caps/>
          <w:sz w:val="22"/>
          <w:szCs w:val="22"/>
        </w:rPr>
      </w:pPr>
      <w:r w:rsidRPr="00194D5A">
        <w:rPr>
          <w:rFonts w:asciiTheme="minorHAnsi" w:hAnsiTheme="minorHAnsi" w:cstheme="minorHAnsi"/>
          <w:caps/>
          <w:sz w:val="22"/>
          <w:szCs w:val="22"/>
          <w:lang w:val="en-CA"/>
        </w:rPr>
        <w:fldChar w:fldCharType="begin"/>
      </w:r>
      <w:r w:rsidRPr="00194D5A">
        <w:rPr>
          <w:rFonts w:asciiTheme="minorHAnsi" w:hAnsiTheme="minorHAnsi" w:cstheme="minorHAnsi"/>
          <w:caps/>
          <w:sz w:val="22"/>
          <w:szCs w:val="22"/>
          <w:lang w:val="en-CA"/>
        </w:rPr>
        <w:instrText xml:space="preserve"> SEQ CHAPTER \h \r 1</w:instrText>
      </w:r>
      <w:r w:rsidRPr="00194D5A">
        <w:rPr>
          <w:rFonts w:asciiTheme="minorHAnsi" w:hAnsiTheme="minorHAnsi" w:cstheme="minorHAnsi"/>
          <w:caps/>
          <w:sz w:val="22"/>
          <w:szCs w:val="22"/>
          <w:lang w:val="en-CA"/>
        </w:rPr>
        <w:fldChar w:fldCharType="end"/>
      </w:r>
      <w:r w:rsidRPr="00194D5A">
        <w:rPr>
          <w:rFonts w:asciiTheme="minorHAnsi" w:hAnsiTheme="minorHAnsi" w:cstheme="minorHAnsi"/>
          <w:b/>
          <w:bCs/>
          <w:caps/>
          <w:sz w:val="22"/>
          <w:szCs w:val="22"/>
        </w:rPr>
        <w:t>Supporting Statement A for</w:t>
      </w:r>
    </w:p>
    <w:p w14:paraId="050EFA27" w14:textId="77777777" w:rsidR="008F3E3A" w:rsidRPr="00194D5A" w:rsidRDefault="008F3E3A" w:rsidP="00683926">
      <w:pPr>
        <w:tabs>
          <w:tab w:val="left" w:pos="720"/>
          <w:tab w:val="left" w:pos="1080"/>
          <w:tab w:val="left" w:pos="1440"/>
        </w:tabs>
        <w:spacing w:line="276" w:lineRule="auto"/>
        <w:jc w:val="center"/>
        <w:rPr>
          <w:rFonts w:asciiTheme="minorHAnsi" w:hAnsiTheme="minorHAnsi" w:cstheme="minorHAnsi"/>
          <w:b/>
          <w:bCs/>
          <w:caps/>
          <w:sz w:val="22"/>
          <w:szCs w:val="22"/>
        </w:rPr>
      </w:pPr>
      <w:r w:rsidRPr="00194D5A">
        <w:rPr>
          <w:rFonts w:asciiTheme="minorHAnsi" w:hAnsiTheme="minorHAnsi" w:cstheme="minorHAnsi"/>
          <w:b/>
          <w:bCs/>
          <w:caps/>
          <w:sz w:val="22"/>
          <w:szCs w:val="22"/>
        </w:rPr>
        <w:t>Paperwork Reduction Act Submission</w:t>
      </w:r>
    </w:p>
    <w:p w14:paraId="6251DA7E" w14:textId="77777777" w:rsidR="00303F5F" w:rsidRPr="00194D5A" w:rsidRDefault="00303F5F" w:rsidP="00683926">
      <w:pPr>
        <w:tabs>
          <w:tab w:val="center" w:pos="4680"/>
        </w:tabs>
        <w:suppressAutoHyphens/>
        <w:spacing w:line="276" w:lineRule="auto"/>
        <w:jc w:val="center"/>
        <w:rPr>
          <w:rFonts w:asciiTheme="minorHAnsi" w:hAnsiTheme="minorHAnsi" w:cstheme="minorHAnsi"/>
          <w:b/>
          <w:sz w:val="22"/>
          <w:szCs w:val="22"/>
        </w:rPr>
      </w:pPr>
    </w:p>
    <w:p w14:paraId="74F64B6C" w14:textId="2D6EE636" w:rsidR="00303F5F" w:rsidRPr="00194D5A" w:rsidRDefault="00F54D1A" w:rsidP="00683926">
      <w:pPr>
        <w:tabs>
          <w:tab w:val="center" w:pos="4680"/>
        </w:tabs>
        <w:suppressAutoHyphens/>
        <w:spacing w:line="276" w:lineRule="auto"/>
        <w:jc w:val="center"/>
        <w:rPr>
          <w:rFonts w:asciiTheme="minorHAnsi" w:hAnsiTheme="minorHAnsi" w:cstheme="minorHAnsi"/>
          <w:b/>
          <w:sz w:val="22"/>
          <w:szCs w:val="22"/>
        </w:rPr>
      </w:pPr>
      <w:r w:rsidRPr="00194D5A">
        <w:rPr>
          <w:rFonts w:asciiTheme="minorHAnsi" w:hAnsiTheme="minorHAnsi" w:cstheme="minorHAnsi"/>
          <w:b/>
          <w:sz w:val="22"/>
          <w:szCs w:val="22"/>
        </w:rPr>
        <w:t xml:space="preserve">Mining and </w:t>
      </w:r>
      <w:r w:rsidR="00303F5F" w:rsidRPr="00194D5A">
        <w:rPr>
          <w:rFonts w:asciiTheme="minorHAnsi" w:hAnsiTheme="minorHAnsi" w:cstheme="minorHAnsi"/>
          <w:b/>
          <w:sz w:val="22"/>
          <w:szCs w:val="22"/>
        </w:rPr>
        <w:t>Mining Claims and Non-Federal Oil and Gas Rights</w:t>
      </w:r>
    </w:p>
    <w:p w14:paraId="27B875EE" w14:textId="77777777" w:rsidR="00303F5F" w:rsidRPr="00194D5A" w:rsidRDefault="00303F5F" w:rsidP="00683926">
      <w:pPr>
        <w:tabs>
          <w:tab w:val="center" w:pos="4680"/>
        </w:tabs>
        <w:suppressAutoHyphens/>
        <w:spacing w:line="276" w:lineRule="auto"/>
        <w:jc w:val="center"/>
        <w:rPr>
          <w:rFonts w:asciiTheme="minorHAnsi" w:hAnsiTheme="minorHAnsi" w:cstheme="minorHAnsi"/>
          <w:b/>
          <w:sz w:val="22"/>
          <w:szCs w:val="22"/>
        </w:rPr>
      </w:pPr>
      <w:r w:rsidRPr="00194D5A">
        <w:rPr>
          <w:rFonts w:asciiTheme="minorHAnsi" w:hAnsiTheme="minorHAnsi" w:cstheme="minorHAnsi"/>
          <w:b/>
          <w:sz w:val="22"/>
          <w:szCs w:val="22"/>
        </w:rPr>
        <w:t>36 CFR Part 9, Subparts A and B</w:t>
      </w:r>
    </w:p>
    <w:p w14:paraId="6A910380" w14:textId="77777777" w:rsidR="00303F5F" w:rsidRPr="00194D5A" w:rsidRDefault="00303F5F" w:rsidP="00683926">
      <w:pPr>
        <w:tabs>
          <w:tab w:val="center" w:pos="4680"/>
        </w:tabs>
        <w:suppressAutoHyphens/>
        <w:spacing w:line="276" w:lineRule="auto"/>
        <w:jc w:val="center"/>
        <w:rPr>
          <w:rFonts w:asciiTheme="minorHAnsi" w:hAnsiTheme="minorHAnsi" w:cstheme="minorHAnsi"/>
          <w:b/>
          <w:sz w:val="22"/>
          <w:szCs w:val="22"/>
        </w:rPr>
      </w:pPr>
    </w:p>
    <w:p w14:paraId="58402FBF" w14:textId="77777777" w:rsidR="00303F5F" w:rsidRPr="00194D5A" w:rsidRDefault="00303F5F" w:rsidP="006839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asciiTheme="minorHAnsi" w:hAnsiTheme="minorHAnsi" w:cstheme="minorHAnsi"/>
          <w:b/>
          <w:sz w:val="22"/>
          <w:szCs w:val="22"/>
        </w:rPr>
      </w:pPr>
      <w:r w:rsidRPr="00194D5A">
        <w:rPr>
          <w:rFonts w:asciiTheme="minorHAnsi" w:hAnsiTheme="minorHAnsi" w:cstheme="minorHAnsi"/>
          <w:b/>
          <w:bCs/>
          <w:sz w:val="22"/>
          <w:szCs w:val="22"/>
        </w:rPr>
        <w:t>OMB Control Number 1024-0064</w:t>
      </w:r>
    </w:p>
    <w:p w14:paraId="3174A1F5" w14:textId="77777777" w:rsidR="00303F5F" w:rsidRPr="00194D5A" w:rsidRDefault="00303F5F" w:rsidP="006839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asciiTheme="minorHAnsi" w:hAnsiTheme="minorHAnsi" w:cstheme="minorHAnsi"/>
          <w:sz w:val="22"/>
          <w:szCs w:val="22"/>
        </w:rPr>
      </w:pPr>
    </w:p>
    <w:p w14:paraId="29B386B6" w14:textId="7F824F68" w:rsidR="00694CC2" w:rsidRPr="00194D5A" w:rsidRDefault="00303F5F" w:rsidP="00683926">
      <w:pPr>
        <w:pStyle w:val="BodyText"/>
        <w:spacing w:after="0" w:line="276" w:lineRule="auto"/>
        <w:ind w:left="0"/>
        <w:rPr>
          <w:rFonts w:asciiTheme="minorHAnsi" w:hAnsiTheme="minorHAnsi" w:cstheme="minorHAnsi"/>
          <w:sz w:val="22"/>
          <w:szCs w:val="22"/>
        </w:rPr>
      </w:pPr>
      <w:r w:rsidRPr="00194D5A">
        <w:rPr>
          <w:rFonts w:asciiTheme="minorHAnsi" w:hAnsiTheme="minorHAnsi" w:cstheme="minorHAnsi"/>
          <w:b/>
          <w:sz w:val="22"/>
          <w:szCs w:val="22"/>
        </w:rPr>
        <w:t>Terms of Clearance:</w:t>
      </w:r>
      <w:r w:rsidRPr="00194D5A">
        <w:rPr>
          <w:rFonts w:asciiTheme="minorHAnsi" w:hAnsiTheme="minorHAnsi" w:cstheme="minorHAnsi"/>
          <w:sz w:val="22"/>
          <w:szCs w:val="22"/>
        </w:rPr>
        <w:t xml:space="preserve">  </w:t>
      </w:r>
      <w:r w:rsidR="00281A51" w:rsidRPr="00194D5A">
        <w:rPr>
          <w:rFonts w:asciiTheme="minorHAnsi" w:hAnsiTheme="minorHAnsi" w:cstheme="minorHAnsi"/>
          <w:sz w:val="22"/>
          <w:szCs w:val="22"/>
        </w:rPr>
        <w:t>None</w:t>
      </w:r>
    </w:p>
    <w:p w14:paraId="6EB9D02C" w14:textId="77777777" w:rsidR="006A65AB" w:rsidRPr="00194D5A" w:rsidRDefault="006A65AB" w:rsidP="00683926">
      <w:pPr>
        <w:widowControl w:val="0"/>
        <w:pBdr>
          <w:bottom w:val="single" w:sz="4" w:space="1" w:color="auto"/>
        </w:pBdr>
        <w:autoSpaceDE w:val="0"/>
        <w:autoSpaceDN w:val="0"/>
        <w:spacing w:line="276" w:lineRule="auto"/>
        <w:rPr>
          <w:rFonts w:asciiTheme="minorHAnsi" w:hAnsiTheme="minorHAnsi" w:cstheme="minorHAnsi"/>
          <w:sz w:val="22"/>
          <w:szCs w:val="22"/>
        </w:rPr>
      </w:pPr>
    </w:p>
    <w:p w14:paraId="6743C0D7" w14:textId="77777777" w:rsidR="00694CC2" w:rsidRPr="00194D5A" w:rsidRDefault="00694CC2" w:rsidP="00683926">
      <w:pPr>
        <w:widowControl w:val="0"/>
        <w:autoSpaceDE w:val="0"/>
        <w:autoSpaceDN w:val="0"/>
        <w:spacing w:line="276" w:lineRule="auto"/>
        <w:rPr>
          <w:rFonts w:asciiTheme="minorHAnsi" w:hAnsiTheme="minorHAnsi" w:cstheme="minorHAnsi"/>
          <w:b/>
          <w:sz w:val="22"/>
          <w:szCs w:val="22"/>
        </w:rPr>
      </w:pPr>
    </w:p>
    <w:p w14:paraId="4A802991" w14:textId="77777777" w:rsidR="00303F5F" w:rsidRPr="00194D5A" w:rsidRDefault="00303F5F" w:rsidP="00683926">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194D5A">
        <w:rPr>
          <w:rFonts w:asciiTheme="minorHAnsi" w:hAnsiTheme="minorHAnsi" w:cstheme="minorHAnsi"/>
          <w:b/>
          <w:sz w:val="22"/>
          <w:szCs w:val="22"/>
        </w:rPr>
        <w:t>1.</w:t>
      </w:r>
      <w:r w:rsidRPr="00194D5A">
        <w:rPr>
          <w:rFonts w:asciiTheme="minorHAnsi" w:hAnsiTheme="minorHAnsi" w:cstheme="minorHAnsi"/>
          <w:b/>
          <w:sz w:val="22"/>
          <w:szCs w:val="22"/>
        </w:rPr>
        <w:tab/>
        <w:t>Explain the circumstances that make the collection of information necessary.  Identify any legal or administrative requirements that necessitate the collection.</w:t>
      </w:r>
    </w:p>
    <w:p w14:paraId="0F971C78" w14:textId="2BE83988" w:rsidR="006F7B22" w:rsidRPr="00194D5A" w:rsidRDefault="006F7B22" w:rsidP="00683926">
      <w:pPr>
        <w:tabs>
          <w:tab w:val="left" w:pos="1590"/>
        </w:tabs>
        <w:spacing w:line="276" w:lineRule="auto"/>
        <w:rPr>
          <w:rFonts w:asciiTheme="minorHAnsi" w:hAnsiTheme="minorHAnsi" w:cstheme="minorHAnsi"/>
          <w:sz w:val="22"/>
          <w:szCs w:val="22"/>
        </w:rPr>
      </w:pPr>
    </w:p>
    <w:p w14:paraId="4E8777DD" w14:textId="1F7967FD" w:rsidR="00303F5F" w:rsidRPr="00194D5A" w:rsidRDefault="00303F5F" w:rsidP="00683926">
      <w:pPr>
        <w:tabs>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194D5A">
        <w:rPr>
          <w:rFonts w:asciiTheme="minorHAnsi" w:hAnsiTheme="minorHAnsi" w:cstheme="minorHAnsi"/>
          <w:sz w:val="22"/>
          <w:szCs w:val="22"/>
        </w:rPr>
        <w:t>The Organic Act of 1916 (NPS Organic Act) (</w:t>
      </w:r>
      <w:r w:rsidR="009E463E" w:rsidRPr="00194D5A">
        <w:rPr>
          <w:rFonts w:asciiTheme="minorHAnsi" w:hAnsiTheme="minorHAnsi" w:cstheme="minorHAnsi"/>
          <w:sz w:val="22"/>
          <w:szCs w:val="22"/>
        </w:rPr>
        <w:t>54</w:t>
      </w:r>
      <w:r w:rsidRPr="00194D5A">
        <w:rPr>
          <w:rFonts w:asciiTheme="minorHAnsi" w:hAnsiTheme="minorHAnsi" w:cstheme="minorHAnsi"/>
          <w:sz w:val="22"/>
          <w:szCs w:val="22"/>
        </w:rPr>
        <w:t xml:space="preserve"> U.S.C. §</w:t>
      </w:r>
      <w:r w:rsidR="009E463E" w:rsidRPr="00194D5A">
        <w:rPr>
          <w:rFonts w:asciiTheme="minorHAnsi" w:hAnsiTheme="minorHAnsi" w:cstheme="minorHAnsi"/>
          <w:sz w:val="22"/>
          <w:szCs w:val="22"/>
        </w:rPr>
        <w:t xml:space="preserve"> 100</w:t>
      </w:r>
      <w:r w:rsidRPr="00194D5A">
        <w:rPr>
          <w:rFonts w:asciiTheme="minorHAnsi" w:hAnsiTheme="minorHAnsi" w:cstheme="minorHAnsi"/>
          <w:sz w:val="22"/>
          <w:szCs w:val="22"/>
        </w:rPr>
        <w:t>1</w:t>
      </w:r>
      <w:r w:rsidR="009E463E" w:rsidRPr="00194D5A">
        <w:rPr>
          <w:rFonts w:asciiTheme="minorHAnsi" w:hAnsiTheme="minorHAnsi" w:cstheme="minorHAnsi"/>
          <w:sz w:val="22"/>
          <w:szCs w:val="22"/>
        </w:rPr>
        <w:t>01</w:t>
      </w:r>
      <w:r w:rsidRPr="00194D5A">
        <w:rPr>
          <w:rFonts w:asciiTheme="minorHAnsi" w:hAnsiTheme="minorHAnsi" w:cstheme="minorHAnsi"/>
          <w:sz w:val="22"/>
          <w:szCs w:val="22"/>
        </w:rPr>
        <w:t>) authorizes the Secretary of the Interior to develop regulations for national park units under the Department’s jurisdiction</w:t>
      </w:r>
      <w:r w:rsidRPr="00194D5A">
        <w:rPr>
          <w:rFonts w:asciiTheme="minorHAnsi" w:hAnsiTheme="minorHAnsi" w:cstheme="minorHAnsi"/>
          <w:i/>
          <w:sz w:val="22"/>
          <w:szCs w:val="22"/>
        </w:rPr>
        <w:t xml:space="preserve">. </w:t>
      </w:r>
      <w:r w:rsidRPr="00194D5A">
        <w:rPr>
          <w:rFonts w:asciiTheme="minorHAnsi" w:hAnsiTheme="minorHAnsi" w:cstheme="minorHAnsi"/>
          <w:sz w:val="22"/>
          <w:szCs w:val="22"/>
        </w:rPr>
        <w:t xml:space="preserve"> The Mining in the Parks Act (</w:t>
      </w:r>
      <w:r w:rsidR="009E463E" w:rsidRPr="00194D5A">
        <w:rPr>
          <w:rFonts w:asciiTheme="minorHAnsi" w:hAnsiTheme="minorHAnsi" w:cstheme="minorHAnsi"/>
          <w:sz w:val="22"/>
          <w:szCs w:val="22"/>
        </w:rPr>
        <w:t>54</w:t>
      </w:r>
      <w:r w:rsidRPr="00194D5A">
        <w:rPr>
          <w:rFonts w:asciiTheme="minorHAnsi" w:hAnsiTheme="minorHAnsi" w:cstheme="minorHAnsi"/>
          <w:sz w:val="22"/>
          <w:szCs w:val="22"/>
        </w:rPr>
        <w:t xml:space="preserve"> U.S.C. §</w:t>
      </w:r>
      <w:r w:rsidR="009E463E" w:rsidRPr="00194D5A">
        <w:rPr>
          <w:rFonts w:asciiTheme="minorHAnsi" w:hAnsiTheme="minorHAnsi" w:cstheme="minorHAnsi"/>
          <w:sz w:val="22"/>
          <w:szCs w:val="22"/>
        </w:rPr>
        <w:t xml:space="preserve"> 100731</w:t>
      </w:r>
      <w:r w:rsidR="006E3A54" w:rsidRPr="00194D5A">
        <w:rPr>
          <w:rFonts w:asciiTheme="minorHAnsi" w:hAnsiTheme="minorHAnsi" w:cstheme="minorHAnsi"/>
          <w:sz w:val="22"/>
          <w:szCs w:val="22"/>
        </w:rPr>
        <w:t xml:space="preserve"> </w:t>
      </w:r>
      <w:r w:rsidR="009E463E" w:rsidRPr="00194D5A">
        <w:rPr>
          <w:rFonts w:asciiTheme="minorHAnsi" w:hAnsiTheme="minorHAnsi" w:cstheme="minorHAnsi"/>
          <w:sz w:val="22"/>
          <w:szCs w:val="22"/>
        </w:rPr>
        <w:t>et seq</w:t>
      </w:r>
      <w:r w:rsidRPr="00194D5A">
        <w:rPr>
          <w:rFonts w:asciiTheme="minorHAnsi" w:hAnsiTheme="minorHAnsi" w:cstheme="minorHAnsi"/>
          <w:i/>
          <w:sz w:val="22"/>
          <w:szCs w:val="22"/>
        </w:rPr>
        <w:t>.</w:t>
      </w:r>
      <w:r w:rsidRPr="00194D5A">
        <w:rPr>
          <w:rFonts w:asciiTheme="minorHAnsi" w:hAnsiTheme="minorHAnsi" w:cstheme="minorHAnsi"/>
          <w:sz w:val="22"/>
          <w:szCs w:val="22"/>
        </w:rPr>
        <w:t xml:space="preserve">) directs the Secretary of </w:t>
      </w:r>
      <w:r w:rsidR="001B3F3E" w:rsidRPr="00194D5A">
        <w:rPr>
          <w:rFonts w:asciiTheme="minorHAnsi" w:hAnsiTheme="minorHAnsi" w:cstheme="minorHAnsi"/>
          <w:sz w:val="22"/>
          <w:szCs w:val="22"/>
        </w:rPr>
        <w:t xml:space="preserve">the </w:t>
      </w:r>
      <w:r w:rsidRPr="00194D5A">
        <w:rPr>
          <w:rFonts w:asciiTheme="minorHAnsi" w:hAnsiTheme="minorHAnsi" w:cstheme="minorHAnsi"/>
          <w:sz w:val="22"/>
          <w:szCs w:val="22"/>
        </w:rPr>
        <w:t xml:space="preserve">Interior to regulate all operations in park units in connection with the exercise of mineral rights on patented and unpatented mining claims.  </w:t>
      </w:r>
    </w:p>
    <w:p w14:paraId="72D1A499" w14:textId="21CC1B12" w:rsidR="00A740F3" w:rsidRPr="00194D5A" w:rsidRDefault="00A740F3" w:rsidP="00683926">
      <w:pPr>
        <w:tabs>
          <w:tab w:val="left" w:pos="720"/>
        </w:tabs>
        <w:suppressAutoHyphens/>
        <w:spacing w:line="276" w:lineRule="auto"/>
        <w:rPr>
          <w:rFonts w:asciiTheme="minorHAnsi" w:hAnsiTheme="minorHAnsi" w:cstheme="minorHAnsi"/>
          <w:sz w:val="22"/>
          <w:szCs w:val="22"/>
        </w:rPr>
      </w:pPr>
    </w:p>
    <w:p w14:paraId="06A60CC5" w14:textId="77777777" w:rsidR="00370A8E" w:rsidRPr="00194D5A" w:rsidRDefault="00370A8E" w:rsidP="00683926">
      <w:pPr>
        <w:widowControl w:val="0"/>
        <w:pBdr>
          <w:top w:val="nil"/>
          <w:left w:val="nil"/>
          <w:bottom w:val="nil"/>
          <w:right w:val="nil"/>
          <w:between w:val="nil"/>
        </w:pBdr>
        <w:tabs>
          <w:tab w:val="left" w:pos="720"/>
        </w:tabs>
        <w:spacing w:line="276" w:lineRule="auto"/>
        <w:rPr>
          <w:rFonts w:asciiTheme="minorHAnsi" w:eastAsia="Arial" w:hAnsiTheme="minorHAnsi" w:cstheme="minorHAnsi"/>
          <w:sz w:val="22"/>
          <w:szCs w:val="22"/>
        </w:rPr>
      </w:pPr>
      <w:r w:rsidRPr="00194D5A">
        <w:rPr>
          <w:rFonts w:asciiTheme="minorHAnsi" w:eastAsia="Arial" w:hAnsiTheme="minorHAnsi" w:cstheme="minorHAnsi"/>
          <w:sz w:val="22"/>
          <w:szCs w:val="22"/>
        </w:rPr>
        <w:t>The regulations codified in 36 CFR Part 9, Subparts A and B, ensure that mining and non-Federal oil and gas activities in System units are conducted in a manner consistent with conserving each System unit for the benefit of present and future generations.  The information required by Subpart A identifies the claim, claimant, and operator (the claimant and operator are often the same) and details how the operator intends to access and develop the minerals associated with the claim.  It also identifies the steps the operator intends to take to minimize any adverse impacts of the mining operations on park resource and values.  No information, except claim ownership information, is submitted unless the claimant wishes to conduct mining operations.  The information required by Subpart B identifies the owner and operator (the owner and operator are often the same) and details how the operator intends to access and develop the oil and gas rights.  It also identifies the steps the operator intends to take to minimize any adverse impacts on park resources and values. No information is submitted unless the owner wishes to conduct oil and gas operations. The information collected is used to evaluate proposed operations, ensure that all necessary mitigation measures are employed to protect park resources and values, and ensure compliance with all applicable laws and regulations.</w:t>
      </w:r>
    </w:p>
    <w:p w14:paraId="2924AAD4" w14:textId="77777777" w:rsidR="00BF2191" w:rsidRPr="00194D5A" w:rsidRDefault="00370A8E" w:rsidP="00683926">
      <w:pPr>
        <w:spacing w:line="276" w:lineRule="auto"/>
        <w:rPr>
          <w:rFonts w:asciiTheme="minorHAnsi" w:eastAsia="Arial" w:hAnsiTheme="minorHAnsi" w:cstheme="minorHAnsi"/>
          <w:sz w:val="22"/>
          <w:szCs w:val="22"/>
        </w:rPr>
      </w:pPr>
      <w:r w:rsidRPr="00194D5A">
        <w:rPr>
          <w:rFonts w:asciiTheme="minorHAnsi" w:eastAsia="Arial" w:hAnsiTheme="minorHAnsi" w:cstheme="minorHAnsi"/>
          <w:sz w:val="22"/>
          <w:szCs w:val="22"/>
        </w:rPr>
        <w:tab/>
      </w:r>
    </w:p>
    <w:p w14:paraId="61F91D46" w14:textId="3D52B634" w:rsidR="00370A8E" w:rsidRPr="00194D5A" w:rsidRDefault="007E6131" w:rsidP="00683926">
      <w:pPr>
        <w:spacing w:line="276" w:lineRule="auto"/>
        <w:rPr>
          <w:rFonts w:asciiTheme="minorHAnsi" w:hAnsiTheme="minorHAnsi" w:cstheme="minorHAnsi"/>
          <w:sz w:val="22"/>
          <w:szCs w:val="22"/>
        </w:rPr>
      </w:pPr>
      <w:r w:rsidRPr="00194D5A">
        <w:rPr>
          <w:rFonts w:asciiTheme="minorHAnsi" w:eastAsia="Arial" w:hAnsiTheme="minorHAnsi" w:cstheme="minorHAnsi"/>
          <w:sz w:val="22"/>
          <w:szCs w:val="22"/>
        </w:rPr>
        <w:t>With this request</w:t>
      </w:r>
      <w:r w:rsidR="00370A8E" w:rsidRPr="00194D5A">
        <w:rPr>
          <w:rFonts w:asciiTheme="minorHAnsi" w:eastAsia="Arial" w:hAnsiTheme="minorHAnsi" w:cstheme="minorHAnsi"/>
          <w:sz w:val="22"/>
          <w:szCs w:val="22"/>
        </w:rPr>
        <w:t xml:space="preserve">, we are asking OMB to approve our request to consolidate the information collection requirements currently approved under OMB Control Number 1024-0274, “Non-Federal Oil and Gas Rights, 36 CFR Part 9, Subpart B” into collection 1024-0064.  Prior to March 2016, 36 CFR Part 9, Subparts A and B were managed by a single NPS program office which used the same OMB Control Number (1024-0064).   In November of 2016, the NPS promulgated an update to the 9B Regulations and as part of the rulemaking process, the information collection associated with the update was assigned a new control number (1024-0274).  In </w:t>
      </w:r>
      <w:r w:rsidRPr="00194D5A">
        <w:rPr>
          <w:rFonts w:asciiTheme="minorHAnsi" w:eastAsia="Arial" w:hAnsiTheme="minorHAnsi" w:cstheme="minorHAnsi"/>
          <w:sz w:val="22"/>
          <w:szCs w:val="22"/>
        </w:rPr>
        <w:t>the Federal Register Notice</w:t>
      </w:r>
      <w:r w:rsidR="00370A8E" w:rsidRPr="00194D5A">
        <w:rPr>
          <w:rFonts w:asciiTheme="minorHAnsi" w:eastAsia="Arial" w:hAnsiTheme="minorHAnsi" w:cstheme="minorHAnsi"/>
          <w:sz w:val="22"/>
          <w:szCs w:val="22"/>
        </w:rPr>
        <w:t xml:space="preserve"> (81 FR 77991), for the final rule, NPS stated</w:t>
      </w:r>
      <w:r w:rsidRPr="00194D5A">
        <w:rPr>
          <w:rFonts w:asciiTheme="minorHAnsi" w:eastAsia="Arial" w:hAnsiTheme="minorHAnsi" w:cstheme="minorHAnsi"/>
          <w:sz w:val="22"/>
          <w:szCs w:val="22"/>
        </w:rPr>
        <w:t>:</w:t>
      </w:r>
      <w:r w:rsidR="00370A8E" w:rsidRPr="00194D5A">
        <w:rPr>
          <w:rFonts w:asciiTheme="minorHAnsi" w:eastAsia="Arial" w:hAnsiTheme="minorHAnsi" w:cstheme="minorHAnsi"/>
          <w:sz w:val="22"/>
          <w:szCs w:val="22"/>
        </w:rPr>
        <w:t xml:space="preserve"> </w:t>
      </w:r>
      <w:r w:rsidR="00370A8E" w:rsidRPr="00194D5A">
        <w:rPr>
          <w:rFonts w:asciiTheme="minorHAnsi" w:eastAsia="Arial" w:hAnsiTheme="minorHAnsi" w:cstheme="minorHAnsi"/>
          <w:i/>
          <w:sz w:val="22"/>
          <w:szCs w:val="22"/>
        </w:rPr>
        <w:t xml:space="preserve">“We plan to transfer the corresponding burden for the Subpart B requirements </w:t>
      </w:r>
      <w:r w:rsidR="00370A8E" w:rsidRPr="00194D5A">
        <w:rPr>
          <w:rFonts w:asciiTheme="minorHAnsi" w:eastAsia="Arial" w:hAnsiTheme="minorHAnsi" w:cstheme="minorHAnsi"/>
          <w:sz w:val="22"/>
          <w:szCs w:val="22"/>
        </w:rPr>
        <w:t xml:space="preserve">[from 1024-0274] </w:t>
      </w:r>
      <w:r w:rsidR="00370A8E" w:rsidRPr="00194D5A">
        <w:rPr>
          <w:rFonts w:asciiTheme="minorHAnsi" w:eastAsia="Arial" w:hAnsiTheme="minorHAnsi" w:cstheme="minorHAnsi"/>
          <w:i/>
          <w:sz w:val="22"/>
          <w:szCs w:val="22"/>
        </w:rPr>
        <w:lastRenderedPageBreak/>
        <w:t>to OMB Control Number 1024-0064</w:t>
      </w:r>
      <w:r w:rsidRPr="00194D5A">
        <w:rPr>
          <w:rFonts w:asciiTheme="minorHAnsi" w:eastAsia="Arial" w:hAnsiTheme="minorHAnsi" w:cstheme="minorHAnsi"/>
          <w:i/>
          <w:sz w:val="22"/>
          <w:szCs w:val="22"/>
        </w:rPr>
        <w:t>. A</w:t>
      </w:r>
      <w:r w:rsidR="00370A8E" w:rsidRPr="00194D5A">
        <w:rPr>
          <w:rFonts w:asciiTheme="minorHAnsi" w:eastAsia="Arial" w:hAnsiTheme="minorHAnsi" w:cstheme="minorHAnsi"/>
          <w:i/>
          <w:sz w:val="22"/>
          <w:szCs w:val="22"/>
        </w:rPr>
        <w:t xml:space="preserve">fter the final rule goes into effect </w:t>
      </w:r>
      <w:r w:rsidRPr="00194D5A">
        <w:rPr>
          <w:rFonts w:asciiTheme="minorHAnsi" w:eastAsia="Arial" w:hAnsiTheme="minorHAnsi" w:cstheme="minorHAnsi"/>
          <w:i/>
          <w:sz w:val="22"/>
          <w:szCs w:val="22"/>
        </w:rPr>
        <w:t>we will request to</w:t>
      </w:r>
      <w:r w:rsidR="00370A8E" w:rsidRPr="00194D5A">
        <w:rPr>
          <w:rFonts w:asciiTheme="minorHAnsi" w:eastAsia="Arial" w:hAnsiTheme="minorHAnsi" w:cstheme="minorHAnsi"/>
          <w:i/>
          <w:sz w:val="22"/>
          <w:szCs w:val="22"/>
        </w:rPr>
        <w:t xml:space="preserve"> discontinue the new control number </w:t>
      </w:r>
      <w:r w:rsidR="00370A8E" w:rsidRPr="00194D5A">
        <w:rPr>
          <w:rFonts w:asciiTheme="minorHAnsi" w:eastAsia="Arial" w:hAnsiTheme="minorHAnsi" w:cstheme="minorHAnsi"/>
          <w:sz w:val="22"/>
          <w:szCs w:val="22"/>
        </w:rPr>
        <w:t>[1024-0274]</w:t>
      </w:r>
      <w:r w:rsidR="00370A8E" w:rsidRPr="00194D5A">
        <w:rPr>
          <w:rFonts w:asciiTheme="minorHAnsi" w:eastAsia="Arial" w:hAnsiTheme="minorHAnsi" w:cstheme="minorHAnsi"/>
          <w:i/>
          <w:sz w:val="22"/>
          <w:szCs w:val="22"/>
        </w:rPr>
        <w:t>”</w:t>
      </w:r>
      <w:r w:rsidRPr="00194D5A">
        <w:rPr>
          <w:rFonts w:asciiTheme="minorHAnsi" w:eastAsia="Arial" w:hAnsiTheme="minorHAnsi" w:cstheme="minorHAnsi"/>
          <w:i/>
          <w:sz w:val="22"/>
          <w:szCs w:val="22"/>
        </w:rPr>
        <w:t xml:space="preserve">. </w:t>
      </w:r>
      <w:r w:rsidR="00370A8E" w:rsidRPr="00194D5A">
        <w:rPr>
          <w:rFonts w:asciiTheme="minorHAnsi" w:eastAsia="Arial" w:hAnsiTheme="minorHAnsi" w:cstheme="minorHAnsi"/>
          <w:sz w:val="22"/>
          <w:szCs w:val="22"/>
        </w:rPr>
        <w:t xml:space="preserve">   </w:t>
      </w:r>
      <w:r w:rsidRPr="00194D5A">
        <w:rPr>
          <w:rFonts w:asciiTheme="minorHAnsi" w:eastAsia="Arial" w:hAnsiTheme="minorHAnsi" w:cstheme="minorHAnsi"/>
          <w:sz w:val="22"/>
          <w:szCs w:val="22"/>
        </w:rPr>
        <w:t xml:space="preserve">We are now </w:t>
      </w:r>
      <w:r w:rsidR="00370A8E" w:rsidRPr="00194D5A">
        <w:rPr>
          <w:rFonts w:asciiTheme="minorHAnsi" w:eastAsia="Arial" w:hAnsiTheme="minorHAnsi" w:cstheme="minorHAnsi"/>
          <w:sz w:val="22"/>
          <w:szCs w:val="22"/>
        </w:rPr>
        <w:t>asking OMB to consolidate two information collections</w:t>
      </w:r>
      <w:r w:rsidRPr="00194D5A">
        <w:rPr>
          <w:rFonts w:asciiTheme="minorHAnsi" w:eastAsia="Arial" w:hAnsiTheme="minorHAnsi" w:cstheme="minorHAnsi"/>
          <w:sz w:val="22"/>
          <w:szCs w:val="22"/>
        </w:rPr>
        <w:t xml:space="preserve"> into </w:t>
      </w:r>
      <w:r w:rsidR="00370A8E" w:rsidRPr="00194D5A">
        <w:rPr>
          <w:rFonts w:asciiTheme="minorHAnsi" w:eastAsia="Arial" w:hAnsiTheme="minorHAnsi" w:cstheme="minorHAnsi"/>
          <w:sz w:val="22"/>
          <w:szCs w:val="22"/>
        </w:rPr>
        <w:t>one ICR</w:t>
      </w:r>
      <w:r w:rsidRPr="00194D5A">
        <w:rPr>
          <w:rFonts w:asciiTheme="minorHAnsi" w:eastAsia="Arial" w:hAnsiTheme="minorHAnsi" w:cstheme="minorHAnsi"/>
          <w:sz w:val="22"/>
          <w:szCs w:val="22"/>
        </w:rPr>
        <w:t xml:space="preserve"> </w:t>
      </w:r>
      <w:r w:rsidR="00370A8E" w:rsidRPr="00194D5A">
        <w:rPr>
          <w:rFonts w:asciiTheme="minorHAnsi" w:eastAsia="Arial" w:hAnsiTheme="minorHAnsi" w:cstheme="minorHAnsi"/>
          <w:sz w:val="22"/>
          <w:szCs w:val="22"/>
        </w:rPr>
        <w:t>with</w:t>
      </w:r>
      <w:r w:rsidRPr="00194D5A">
        <w:rPr>
          <w:rFonts w:asciiTheme="minorHAnsi" w:eastAsia="Arial" w:hAnsiTheme="minorHAnsi" w:cstheme="minorHAnsi"/>
          <w:sz w:val="22"/>
          <w:szCs w:val="22"/>
        </w:rPr>
        <w:t>in</w:t>
      </w:r>
      <w:r w:rsidR="00370A8E" w:rsidRPr="00194D5A">
        <w:rPr>
          <w:rFonts w:asciiTheme="minorHAnsi" w:eastAsia="Arial" w:hAnsiTheme="minorHAnsi" w:cstheme="minorHAnsi"/>
          <w:sz w:val="22"/>
          <w:szCs w:val="22"/>
        </w:rPr>
        <w:t xml:space="preserve"> the regulation. We have identified the information collection</w:t>
      </w:r>
      <w:r w:rsidRPr="00194D5A">
        <w:rPr>
          <w:rFonts w:asciiTheme="minorHAnsi" w:eastAsia="Arial" w:hAnsiTheme="minorHAnsi" w:cstheme="minorHAnsi"/>
          <w:sz w:val="22"/>
          <w:szCs w:val="22"/>
        </w:rPr>
        <w:t>s</w:t>
      </w:r>
      <w:r w:rsidR="00370A8E" w:rsidRPr="00194D5A">
        <w:rPr>
          <w:rFonts w:asciiTheme="minorHAnsi" w:eastAsia="Arial" w:hAnsiTheme="minorHAnsi" w:cstheme="minorHAnsi"/>
          <w:sz w:val="22"/>
          <w:szCs w:val="22"/>
        </w:rPr>
        <w:t xml:space="preserve"> associated with 1024-0274 </w:t>
      </w:r>
      <w:r w:rsidRPr="00194D5A">
        <w:rPr>
          <w:rFonts w:asciiTheme="minorHAnsi" w:eastAsia="Arial" w:hAnsiTheme="minorHAnsi" w:cstheme="minorHAnsi"/>
          <w:sz w:val="22"/>
          <w:szCs w:val="22"/>
        </w:rPr>
        <w:t xml:space="preserve">to </w:t>
      </w:r>
      <w:r w:rsidR="00370A8E" w:rsidRPr="00194D5A">
        <w:rPr>
          <w:rFonts w:asciiTheme="minorHAnsi" w:eastAsia="Arial" w:hAnsiTheme="minorHAnsi" w:cstheme="minorHAnsi"/>
          <w:sz w:val="22"/>
          <w:szCs w:val="22"/>
        </w:rPr>
        <w:t>be consolidated into 1024-0064</w:t>
      </w:r>
      <w:r w:rsidRPr="00194D5A">
        <w:rPr>
          <w:rFonts w:asciiTheme="minorHAnsi" w:eastAsia="Arial" w:hAnsiTheme="minorHAnsi" w:cstheme="minorHAnsi"/>
          <w:sz w:val="22"/>
          <w:szCs w:val="22"/>
        </w:rPr>
        <w:t xml:space="preserve">.   </w:t>
      </w:r>
      <w:r w:rsidR="00370A8E" w:rsidRPr="00194D5A">
        <w:rPr>
          <w:rFonts w:asciiTheme="minorHAnsi" w:eastAsia="Arial" w:hAnsiTheme="minorHAnsi" w:cstheme="minorHAnsi"/>
          <w:sz w:val="22"/>
          <w:szCs w:val="22"/>
        </w:rPr>
        <w:t>Upon approval, we will discontinue OMB Control Number 1024-0274.</w:t>
      </w:r>
    </w:p>
    <w:p w14:paraId="6726B068" w14:textId="77777777" w:rsidR="00303F5F" w:rsidRPr="00194D5A" w:rsidRDefault="00303F5F" w:rsidP="00683926">
      <w:pPr>
        <w:spacing w:line="276" w:lineRule="auto"/>
        <w:rPr>
          <w:rFonts w:asciiTheme="minorHAnsi" w:hAnsiTheme="minorHAnsi" w:cstheme="minorHAnsi"/>
          <w:sz w:val="22"/>
          <w:szCs w:val="22"/>
        </w:rPr>
      </w:pPr>
    </w:p>
    <w:p w14:paraId="524A63BE" w14:textId="77777777" w:rsidR="00303F5F" w:rsidRPr="00194D5A" w:rsidRDefault="00303F5F" w:rsidP="00683926">
      <w:pPr>
        <w:tabs>
          <w:tab w:val="left" w:pos="360"/>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194D5A">
        <w:rPr>
          <w:rFonts w:asciiTheme="minorHAnsi" w:hAnsiTheme="minorHAnsi" w:cstheme="minorHAnsi"/>
          <w:b/>
          <w:sz w:val="22"/>
          <w:szCs w:val="22"/>
        </w:rPr>
        <w:t>2.</w:t>
      </w:r>
      <w:r w:rsidRPr="00194D5A">
        <w:rPr>
          <w:rFonts w:asciiTheme="minorHAnsi" w:hAnsiTheme="minorHAnsi" w:cstheme="minorHAnsi"/>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0AE14153" w14:textId="1A3A8FC0" w:rsidR="00303F5F" w:rsidRPr="00194D5A" w:rsidRDefault="00303F5F" w:rsidP="00683926">
      <w:pPr>
        <w:tabs>
          <w:tab w:val="left" w:pos="720"/>
        </w:tabs>
        <w:suppressAutoHyphens/>
        <w:spacing w:line="276" w:lineRule="auto"/>
        <w:rPr>
          <w:rFonts w:asciiTheme="minorHAnsi" w:hAnsiTheme="minorHAnsi" w:cstheme="minorHAnsi"/>
          <w:sz w:val="22"/>
          <w:szCs w:val="22"/>
        </w:rPr>
      </w:pPr>
    </w:p>
    <w:p w14:paraId="1CE9E7DC" w14:textId="205A642F" w:rsidR="00C738D4" w:rsidRPr="00194D5A" w:rsidRDefault="00C738D4" w:rsidP="00683926">
      <w:pPr>
        <w:tabs>
          <w:tab w:val="left" w:pos="720"/>
        </w:tabs>
        <w:suppressAutoHyphens/>
        <w:spacing w:line="276" w:lineRule="auto"/>
        <w:rPr>
          <w:rFonts w:asciiTheme="minorHAnsi" w:hAnsiTheme="minorHAnsi" w:cstheme="minorHAnsi"/>
          <w:sz w:val="22"/>
          <w:szCs w:val="22"/>
        </w:rPr>
      </w:pPr>
      <w:r w:rsidRPr="00194D5A">
        <w:rPr>
          <w:rFonts w:asciiTheme="minorHAnsi" w:hAnsiTheme="minorHAnsi" w:cstheme="minorHAnsi"/>
          <w:sz w:val="22"/>
          <w:szCs w:val="22"/>
        </w:rPr>
        <w:t xml:space="preserve">The </w:t>
      </w:r>
      <w:r w:rsidR="005745A8" w:rsidRPr="00194D5A">
        <w:rPr>
          <w:rFonts w:asciiTheme="minorHAnsi" w:hAnsiTheme="minorHAnsi" w:cstheme="minorHAnsi"/>
          <w:sz w:val="22"/>
          <w:szCs w:val="22"/>
        </w:rPr>
        <w:t>NPS uses the information</w:t>
      </w:r>
      <w:r w:rsidRPr="00194D5A">
        <w:rPr>
          <w:rFonts w:asciiTheme="minorHAnsi" w:hAnsiTheme="minorHAnsi" w:cstheme="minorHAnsi"/>
          <w:sz w:val="22"/>
          <w:szCs w:val="22"/>
        </w:rPr>
        <w:t xml:space="preserve"> in the application process to document the time, place, and manner of a proposed operation and to analyze potential impacts on park resources and visitor health and safety.  We then use the information to identify mitigation measures to avoid or lessen potential impacts to NPS resources and values. </w:t>
      </w:r>
    </w:p>
    <w:p w14:paraId="18796FB9" w14:textId="36322FC3" w:rsidR="001D2C6F" w:rsidRPr="00194D5A" w:rsidRDefault="00E44971" w:rsidP="00683926">
      <w:pPr>
        <w:tabs>
          <w:tab w:val="left" w:pos="720"/>
        </w:tabs>
        <w:suppressAutoHyphens/>
        <w:spacing w:line="276" w:lineRule="auto"/>
        <w:rPr>
          <w:rFonts w:asciiTheme="minorHAnsi" w:hAnsiTheme="minorHAnsi" w:cstheme="minorHAnsi"/>
          <w:sz w:val="22"/>
          <w:szCs w:val="22"/>
        </w:rPr>
      </w:pPr>
      <w:r w:rsidRPr="00194D5A">
        <w:rPr>
          <w:rFonts w:asciiTheme="minorHAnsi" w:hAnsiTheme="minorHAnsi" w:cstheme="minorHAnsi"/>
          <w:sz w:val="22"/>
          <w:szCs w:val="22"/>
        </w:rPr>
        <w:t>We use the information collected</w:t>
      </w:r>
      <w:r w:rsidR="001D2C6F" w:rsidRPr="00194D5A">
        <w:rPr>
          <w:rFonts w:asciiTheme="minorHAnsi" w:hAnsiTheme="minorHAnsi" w:cstheme="minorHAnsi"/>
          <w:sz w:val="22"/>
          <w:szCs w:val="22"/>
        </w:rPr>
        <w:t xml:space="preserve"> </w:t>
      </w:r>
      <w:r w:rsidRPr="00194D5A">
        <w:rPr>
          <w:rFonts w:asciiTheme="minorHAnsi" w:hAnsiTheme="minorHAnsi" w:cstheme="minorHAnsi"/>
          <w:sz w:val="22"/>
          <w:szCs w:val="22"/>
        </w:rPr>
        <w:t xml:space="preserve">to:  </w:t>
      </w:r>
    </w:p>
    <w:p w14:paraId="3ADE8103" w14:textId="77777777" w:rsidR="001D2C6F" w:rsidRPr="00194D5A" w:rsidRDefault="001D2C6F" w:rsidP="00683926">
      <w:pPr>
        <w:tabs>
          <w:tab w:val="left" w:pos="720"/>
        </w:tabs>
        <w:suppressAutoHyphens/>
        <w:spacing w:line="276" w:lineRule="auto"/>
        <w:rPr>
          <w:rFonts w:asciiTheme="minorHAnsi" w:hAnsiTheme="minorHAnsi" w:cstheme="minorHAnsi"/>
          <w:sz w:val="22"/>
          <w:szCs w:val="22"/>
        </w:rPr>
      </w:pPr>
    </w:p>
    <w:p w14:paraId="4989F255" w14:textId="32F10409" w:rsidR="001D2C6F" w:rsidRPr="00194D5A" w:rsidRDefault="00E44971" w:rsidP="00683926">
      <w:pPr>
        <w:tabs>
          <w:tab w:val="left" w:pos="720"/>
        </w:tabs>
        <w:suppressAutoHyphens/>
        <w:spacing w:line="276" w:lineRule="auto"/>
        <w:ind w:left="720" w:hanging="360"/>
        <w:rPr>
          <w:rFonts w:asciiTheme="minorHAnsi" w:hAnsiTheme="minorHAnsi" w:cstheme="minorHAnsi"/>
          <w:sz w:val="22"/>
          <w:szCs w:val="22"/>
        </w:rPr>
      </w:pPr>
      <w:r w:rsidRPr="00194D5A">
        <w:rPr>
          <w:rFonts w:asciiTheme="minorHAnsi" w:hAnsiTheme="minorHAnsi" w:cstheme="minorHAnsi"/>
          <w:sz w:val="22"/>
          <w:szCs w:val="22"/>
        </w:rPr>
        <w:t>(1)</w:t>
      </w:r>
      <w:r w:rsidR="001D2C6F" w:rsidRPr="00194D5A">
        <w:rPr>
          <w:rFonts w:asciiTheme="minorHAnsi" w:hAnsiTheme="minorHAnsi" w:cstheme="minorHAnsi"/>
          <w:sz w:val="22"/>
          <w:szCs w:val="22"/>
        </w:rPr>
        <w:tab/>
      </w:r>
      <w:r w:rsidR="00356C29" w:rsidRPr="00194D5A">
        <w:rPr>
          <w:rFonts w:asciiTheme="minorHAnsi" w:hAnsiTheme="minorHAnsi" w:cstheme="minorHAnsi"/>
          <w:sz w:val="22"/>
          <w:szCs w:val="22"/>
        </w:rPr>
        <w:t>Evaluate permit applications made under the 9A or 9B Regulations</w:t>
      </w:r>
      <w:r w:rsidRPr="00194D5A">
        <w:rPr>
          <w:rFonts w:asciiTheme="minorHAnsi" w:hAnsiTheme="minorHAnsi" w:cstheme="minorHAnsi"/>
          <w:sz w:val="22"/>
          <w:szCs w:val="22"/>
        </w:rPr>
        <w:t xml:space="preserve">, </w:t>
      </w:r>
    </w:p>
    <w:p w14:paraId="5298A504" w14:textId="77777777" w:rsidR="001D2C6F" w:rsidRPr="00194D5A" w:rsidRDefault="00E44971" w:rsidP="00683926">
      <w:pPr>
        <w:tabs>
          <w:tab w:val="left" w:pos="720"/>
        </w:tabs>
        <w:suppressAutoHyphens/>
        <w:spacing w:line="276" w:lineRule="auto"/>
        <w:ind w:left="720" w:hanging="360"/>
        <w:rPr>
          <w:rFonts w:asciiTheme="minorHAnsi" w:hAnsiTheme="minorHAnsi" w:cstheme="minorHAnsi"/>
          <w:sz w:val="22"/>
          <w:szCs w:val="22"/>
        </w:rPr>
      </w:pPr>
      <w:r w:rsidRPr="00194D5A">
        <w:rPr>
          <w:rFonts w:asciiTheme="minorHAnsi" w:hAnsiTheme="minorHAnsi" w:cstheme="minorHAnsi"/>
          <w:sz w:val="22"/>
          <w:szCs w:val="22"/>
        </w:rPr>
        <w:t>(2)</w:t>
      </w:r>
      <w:r w:rsidR="001D2C6F" w:rsidRPr="00194D5A">
        <w:rPr>
          <w:rFonts w:asciiTheme="minorHAnsi" w:hAnsiTheme="minorHAnsi" w:cstheme="minorHAnsi"/>
          <w:sz w:val="22"/>
          <w:szCs w:val="22"/>
        </w:rPr>
        <w:tab/>
        <w:t>E</w:t>
      </w:r>
      <w:r w:rsidRPr="00194D5A">
        <w:rPr>
          <w:rFonts w:asciiTheme="minorHAnsi" w:hAnsiTheme="minorHAnsi" w:cstheme="minorHAnsi"/>
          <w:sz w:val="22"/>
          <w:szCs w:val="22"/>
        </w:rPr>
        <w:t xml:space="preserve">nsure that all necessary mitigation measures are employed to protect park resources and values, and </w:t>
      </w:r>
    </w:p>
    <w:p w14:paraId="367D027D" w14:textId="11B45CCA" w:rsidR="001D2C6F" w:rsidRPr="00194D5A" w:rsidRDefault="00E44971" w:rsidP="00683926">
      <w:pPr>
        <w:tabs>
          <w:tab w:val="left" w:pos="720"/>
        </w:tabs>
        <w:suppressAutoHyphens/>
        <w:spacing w:line="276" w:lineRule="auto"/>
        <w:ind w:left="720" w:hanging="360"/>
        <w:rPr>
          <w:rFonts w:asciiTheme="minorHAnsi" w:hAnsiTheme="minorHAnsi" w:cstheme="minorHAnsi"/>
          <w:sz w:val="22"/>
          <w:szCs w:val="22"/>
        </w:rPr>
      </w:pPr>
      <w:r w:rsidRPr="00194D5A">
        <w:rPr>
          <w:rFonts w:asciiTheme="minorHAnsi" w:hAnsiTheme="minorHAnsi" w:cstheme="minorHAnsi"/>
          <w:sz w:val="22"/>
          <w:szCs w:val="22"/>
        </w:rPr>
        <w:t>(3)</w:t>
      </w:r>
      <w:r w:rsidR="001D2C6F" w:rsidRPr="00194D5A">
        <w:rPr>
          <w:rFonts w:asciiTheme="minorHAnsi" w:hAnsiTheme="minorHAnsi" w:cstheme="minorHAnsi"/>
          <w:sz w:val="22"/>
          <w:szCs w:val="22"/>
        </w:rPr>
        <w:tab/>
        <w:t>E</w:t>
      </w:r>
      <w:r w:rsidRPr="00194D5A">
        <w:rPr>
          <w:rFonts w:asciiTheme="minorHAnsi" w:hAnsiTheme="minorHAnsi" w:cstheme="minorHAnsi"/>
          <w:sz w:val="22"/>
          <w:szCs w:val="22"/>
        </w:rPr>
        <w:t>nsure compliance with all applicable laws and regulations</w:t>
      </w:r>
      <w:r w:rsidR="001D2C6F" w:rsidRPr="00194D5A">
        <w:rPr>
          <w:rFonts w:asciiTheme="minorHAnsi" w:hAnsiTheme="minorHAnsi" w:cstheme="minorHAnsi"/>
          <w:sz w:val="22"/>
          <w:szCs w:val="22"/>
        </w:rPr>
        <w:t>, including the National Environmental Policy Act (NEPA) (42 U.S.C. §4321 et seq.) and 40 CFR Parts 1500-1508, and the National Historic Preservation Act of 1966 (NHPA), as amended (54 U.S.C. § 300101 et seq.) and 36 CFR Part 800.</w:t>
      </w:r>
    </w:p>
    <w:p w14:paraId="36F03DFC" w14:textId="77777777" w:rsidR="005745A8" w:rsidRPr="00194D5A" w:rsidRDefault="005745A8" w:rsidP="00683926">
      <w:pPr>
        <w:tabs>
          <w:tab w:val="left" w:pos="720"/>
        </w:tabs>
        <w:suppressAutoHyphens/>
        <w:spacing w:line="276" w:lineRule="auto"/>
        <w:rPr>
          <w:rFonts w:asciiTheme="minorHAnsi" w:hAnsiTheme="minorHAnsi" w:cstheme="minorHAnsi"/>
          <w:sz w:val="22"/>
          <w:szCs w:val="22"/>
        </w:rPr>
      </w:pPr>
    </w:p>
    <w:p w14:paraId="53739DE0" w14:textId="6E11AB94" w:rsidR="00303F5F" w:rsidRPr="00194D5A" w:rsidRDefault="00044330" w:rsidP="00683926">
      <w:pPr>
        <w:tabs>
          <w:tab w:val="left" w:pos="720"/>
        </w:tabs>
        <w:suppressAutoHyphens/>
        <w:spacing w:line="276" w:lineRule="auto"/>
        <w:rPr>
          <w:rFonts w:asciiTheme="minorHAnsi" w:hAnsiTheme="minorHAnsi" w:cstheme="minorHAnsi"/>
          <w:sz w:val="22"/>
          <w:szCs w:val="22"/>
        </w:rPr>
      </w:pPr>
      <w:r w:rsidRPr="00194D5A">
        <w:rPr>
          <w:rFonts w:asciiTheme="minorHAnsi" w:hAnsiTheme="minorHAnsi" w:cstheme="minorHAnsi"/>
          <w:sz w:val="22"/>
          <w:szCs w:val="22"/>
        </w:rPr>
        <w:t xml:space="preserve">The NPS does not use standard forms because the scope of projects proposed under the 9A and 9B regulations can vary substantially.  </w:t>
      </w:r>
      <w:r w:rsidR="00E07DC1" w:rsidRPr="00194D5A">
        <w:rPr>
          <w:rFonts w:asciiTheme="minorHAnsi" w:hAnsiTheme="minorHAnsi" w:cstheme="minorHAnsi"/>
          <w:sz w:val="22"/>
          <w:szCs w:val="22"/>
        </w:rPr>
        <w:t>T</w:t>
      </w:r>
      <w:r w:rsidRPr="00194D5A">
        <w:rPr>
          <w:rFonts w:asciiTheme="minorHAnsi" w:hAnsiTheme="minorHAnsi" w:cstheme="minorHAnsi"/>
          <w:sz w:val="22"/>
          <w:szCs w:val="22"/>
        </w:rPr>
        <w:t xml:space="preserve">he 9A and 9B regulations detail what information must be provided but do not </w:t>
      </w:r>
      <w:r w:rsidR="00E07DC1" w:rsidRPr="00194D5A">
        <w:rPr>
          <w:rFonts w:asciiTheme="minorHAnsi" w:hAnsiTheme="minorHAnsi" w:cstheme="minorHAnsi"/>
          <w:sz w:val="22"/>
          <w:szCs w:val="22"/>
        </w:rPr>
        <w:t>specify</w:t>
      </w:r>
      <w:r w:rsidR="00994E6C" w:rsidRPr="00194D5A">
        <w:rPr>
          <w:rFonts w:asciiTheme="minorHAnsi" w:hAnsiTheme="minorHAnsi" w:cstheme="minorHAnsi"/>
          <w:sz w:val="22"/>
          <w:szCs w:val="22"/>
        </w:rPr>
        <w:t xml:space="preserve"> </w:t>
      </w:r>
      <w:r w:rsidR="00E07DC1" w:rsidRPr="00194D5A">
        <w:rPr>
          <w:rFonts w:asciiTheme="minorHAnsi" w:hAnsiTheme="minorHAnsi" w:cstheme="minorHAnsi"/>
          <w:sz w:val="22"/>
          <w:szCs w:val="22"/>
        </w:rPr>
        <w:t>the format to submit</w:t>
      </w:r>
      <w:r w:rsidRPr="00194D5A">
        <w:rPr>
          <w:rFonts w:asciiTheme="minorHAnsi" w:hAnsiTheme="minorHAnsi" w:cstheme="minorHAnsi"/>
          <w:sz w:val="22"/>
          <w:szCs w:val="22"/>
        </w:rPr>
        <w:t xml:space="preserve"> information</w:t>
      </w:r>
      <w:r w:rsidR="00E07DC1" w:rsidRPr="00194D5A">
        <w:rPr>
          <w:rFonts w:asciiTheme="minorHAnsi" w:hAnsiTheme="minorHAnsi" w:cstheme="minorHAnsi"/>
          <w:sz w:val="22"/>
          <w:szCs w:val="22"/>
        </w:rPr>
        <w:t>.</w:t>
      </w:r>
      <w:r w:rsidRPr="00194D5A">
        <w:rPr>
          <w:rFonts w:asciiTheme="minorHAnsi" w:hAnsiTheme="minorHAnsi" w:cstheme="minorHAnsi"/>
          <w:sz w:val="22"/>
          <w:szCs w:val="22"/>
        </w:rPr>
        <w:t xml:space="preserve"> </w:t>
      </w:r>
      <w:r w:rsidR="00994E6C" w:rsidRPr="00194D5A">
        <w:rPr>
          <w:rFonts w:asciiTheme="minorHAnsi" w:hAnsiTheme="minorHAnsi" w:cstheme="minorHAnsi"/>
          <w:sz w:val="22"/>
          <w:szCs w:val="22"/>
        </w:rPr>
        <w:t>Typically,</w:t>
      </w:r>
      <w:r w:rsidR="009C472B" w:rsidRPr="00194D5A">
        <w:rPr>
          <w:rFonts w:asciiTheme="minorHAnsi" w:hAnsiTheme="minorHAnsi" w:cstheme="minorHAnsi"/>
          <w:sz w:val="22"/>
          <w:szCs w:val="22"/>
        </w:rPr>
        <w:t xml:space="preserve"> submissions are received as digital copies of a written proposal providing the information required in the regulations</w:t>
      </w:r>
      <w:r w:rsidRPr="00194D5A">
        <w:rPr>
          <w:rFonts w:asciiTheme="minorHAnsi" w:hAnsiTheme="minorHAnsi" w:cstheme="minorHAnsi"/>
          <w:sz w:val="22"/>
          <w:szCs w:val="22"/>
        </w:rPr>
        <w:t xml:space="preserve">.   </w:t>
      </w:r>
      <w:r w:rsidR="00303F5F" w:rsidRPr="00194D5A">
        <w:rPr>
          <w:rFonts w:asciiTheme="minorHAnsi" w:hAnsiTheme="minorHAnsi" w:cstheme="minorHAnsi"/>
          <w:sz w:val="22"/>
          <w:szCs w:val="22"/>
        </w:rPr>
        <w:t xml:space="preserve"> </w:t>
      </w:r>
    </w:p>
    <w:p w14:paraId="1461255E" w14:textId="77777777" w:rsidR="00356C29" w:rsidRPr="00194D5A" w:rsidRDefault="00356C29" w:rsidP="00683926">
      <w:pPr>
        <w:tabs>
          <w:tab w:val="left" w:pos="720"/>
        </w:tabs>
        <w:suppressAutoHyphens/>
        <w:spacing w:line="276" w:lineRule="auto"/>
        <w:rPr>
          <w:rFonts w:asciiTheme="minorHAnsi" w:hAnsiTheme="minorHAnsi" w:cstheme="minorHAnsi"/>
          <w:sz w:val="22"/>
          <w:szCs w:val="22"/>
        </w:rPr>
      </w:pPr>
    </w:p>
    <w:p w14:paraId="2E965AB6" w14:textId="364C4B3D" w:rsidR="009C472B" w:rsidRPr="00194D5A" w:rsidRDefault="00683926" w:rsidP="00683926">
      <w:pPr>
        <w:tabs>
          <w:tab w:val="left" w:pos="720"/>
        </w:tabs>
        <w:suppressAutoHyphens/>
        <w:spacing w:line="276" w:lineRule="auto"/>
        <w:rPr>
          <w:rFonts w:asciiTheme="minorHAnsi" w:hAnsiTheme="minorHAnsi" w:cstheme="minorHAnsi"/>
          <w:sz w:val="22"/>
          <w:szCs w:val="22"/>
        </w:rPr>
      </w:pPr>
      <w:r w:rsidRPr="00194D5A">
        <w:rPr>
          <w:rFonts w:asciiTheme="minorHAnsi" w:hAnsiTheme="minorHAnsi" w:cstheme="minorHAnsi"/>
          <w:sz w:val="22"/>
          <w:szCs w:val="22"/>
        </w:rPr>
        <w:t xml:space="preserve">Currently, there are oil and gas operations in 12 of the 418 parks in the National Park System.  Additionally, there are 3 parks that have mining operations.  </w:t>
      </w:r>
      <w:r w:rsidR="009C472B" w:rsidRPr="00194D5A">
        <w:rPr>
          <w:rFonts w:asciiTheme="minorHAnsi" w:hAnsiTheme="minorHAnsi" w:cstheme="minorHAnsi"/>
          <w:sz w:val="22"/>
          <w:szCs w:val="22"/>
        </w:rPr>
        <w:t>In order to evaluate proposals for mining and nonfederal oil and gas activities, the NPS uses the information required by subparts A and B as outlined in Table 2.1</w:t>
      </w:r>
      <w:r w:rsidR="006657B7" w:rsidRPr="00194D5A">
        <w:rPr>
          <w:rFonts w:asciiTheme="minorHAnsi" w:hAnsiTheme="minorHAnsi" w:cstheme="minorHAnsi"/>
          <w:sz w:val="22"/>
          <w:szCs w:val="22"/>
        </w:rPr>
        <w:t xml:space="preserve"> and Table 2.2</w:t>
      </w:r>
      <w:r w:rsidR="009C472B" w:rsidRPr="00194D5A">
        <w:rPr>
          <w:rFonts w:asciiTheme="minorHAnsi" w:hAnsiTheme="minorHAnsi" w:cstheme="minorHAnsi"/>
          <w:sz w:val="22"/>
          <w:szCs w:val="22"/>
        </w:rPr>
        <w:t xml:space="preserve"> below</w:t>
      </w:r>
      <w:r w:rsidR="006657B7" w:rsidRPr="00194D5A">
        <w:rPr>
          <w:rFonts w:asciiTheme="minorHAnsi" w:hAnsiTheme="minorHAnsi" w:cstheme="minorHAnsi"/>
          <w:sz w:val="22"/>
          <w:szCs w:val="22"/>
        </w:rPr>
        <w:t>.</w:t>
      </w:r>
      <w:r w:rsidR="009C472B" w:rsidRPr="00194D5A">
        <w:rPr>
          <w:rFonts w:asciiTheme="minorHAnsi" w:hAnsiTheme="minorHAnsi" w:cstheme="minorHAnsi"/>
          <w:sz w:val="22"/>
          <w:szCs w:val="22"/>
        </w:rPr>
        <w:t xml:space="preserve"> </w:t>
      </w:r>
    </w:p>
    <w:p w14:paraId="157C7EEF" w14:textId="2129FFB0" w:rsidR="00303F5F" w:rsidRPr="00194D5A" w:rsidRDefault="00303F5F" w:rsidP="00683926">
      <w:pPr>
        <w:tabs>
          <w:tab w:val="left" w:pos="720"/>
        </w:tabs>
        <w:suppressAutoHyphens/>
        <w:spacing w:line="276" w:lineRule="auto"/>
        <w:rPr>
          <w:rFonts w:asciiTheme="minorHAnsi" w:hAnsiTheme="minorHAnsi" w:cstheme="minorHAnsi"/>
          <w:sz w:val="22"/>
          <w:szCs w:val="22"/>
        </w:rPr>
      </w:pPr>
    </w:p>
    <w:p w14:paraId="2DBF6D7F" w14:textId="4E419612" w:rsidR="00FC3390" w:rsidRPr="00194D5A" w:rsidRDefault="003D1A4A" w:rsidP="00683926">
      <w:pPr>
        <w:tabs>
          <w:tab w:val="left" w:pos="720"/>
        </w:tabs>
        <w:suppressAutoHyphens/>
        <w:spacing w:line="276" w:lineRule="auto"/>
        <w:rPr>
          <w:rFonts w:asciiTheme="minorHAnsi" w:hAnsiTheme="minorHAnsi" w:cstheme="minorHAnsi"/>
          <w:sz w:val="22"/>
          <w:szCs w:val="22"/>
        </w:rPr>
      </w:pPr>
      <w:r w:rsidRPr="00194D5A">
        <w:rPr>
          <w:rFonts w:asciiTheme="minorHAnsi" w:hAnsiTheme="minorHAnsi" w:cstheme="minorHAnsi"/>
          <w:b/>
          <w:sz w:val="22"/>
          <w:szCs w:val="22"/>
        </w:rPr>
        <w:t>Table 2.1</w:t>
      </w:r>
      <w:r w:rsidR="006657B7" w:rsidRPr="00194D5A">
        <w:rPr>
          <w:rFonts w:asciiTheme="minorHAnsi" w:hAnsiTheme="minorHAnsi" w:cstheme="minorHAnsi"/>
          <w:b/>
          <w:sz w:val="22"/>
          <w:szCs w:val="22"/>
        </w:rPr>
        <w:t xml:space="preserve"> Information Collect</w:t>
      </w:r>
      <w:r w:rsidR="00E02243" w:rsidRPr="00194D5A">
        <w:rPr>
          <w:rFonts w:asciiTheme="minorHAnsi" w:hAnsiTheme="minorHAnsi" w:cstheme="minorHAnsi"/>
          <w:b/>
          <w:sz w:val="22"/>
          <w:szCs w:val="22"/>
        </w:rPr>
        <w:t>ions</w:t>
      </w:r>
      <w:r w:rsidR="006657B7" w:rsidRPr="00194D5A">
        <w:rPr>
          <w:rFonts w:asciiTheme="minorHAnsi" w:hAnsiTheme="minorHAnsi" w:cstheme="minorHAnsi"/>
          <w:b/>
          <w:sz w:val="22"/>
          <w:szCs w:val="22"/>
        </w:rPr>
        <w:t xml:space="preserve"> under the 9A Regulations</w:t>
      </w:r>
    </w:p>
    <w:tbl>
      <w:tblPr>
        <w:tblStyle w:val="TableGrid"/>
        <w:tblW w:w="9445" w:type="dxa"/>
        <w:tblLook w:val="04A0" w:firstRow="1" w:lastRow="0" w:firstColumn="1" w:lastColumn="0" w:noHBand="0" w:noVBand="1"/>
      </w:tblPr>
      <w:tblGrid>
        <w:gridCol w:w="2515"/>
        <w:gridCol w:w="6930"/>
      </w:tblGrid>
      <w:tr w:rsidR="00E02243" w:rsidRPr="00194D5A" w14:paraId="1A460471" w14:textId="77777777" w:rsidTr="009F7A03">
        <w:trPr>
          <w:trHeight w:val="368"/>
        </w:trPr>
        <w:tc>
          <w:tcPr>
            <w:tcW w:w="2515" w:type="dxa"/>
          </w:tcPr>
          <w:p w14:paraId="55F8A19F" w14:textId="24080573" w:rsidR="00FC3390" w:rsidRPr="00194D5A" w:rsidRDefault="00FC3390" w:rsidP="00683926">
            <w:pPr>
              <w:tabs>
                <w:tab w:val="left" w:pos="720"/>
              </w:tabs>
              <w:suppressAutoHyphens/>
              <w:spacing w:line="276" w:lineRule="auto"/>
              <w:rPr>
                <w:rFonts w:asciiTheme="minorHAnsi" w:hAnsiTheme="minorHAnsi" w:cstheme="minorHAnsi"/>
                <w:sz w:val="18"/>
                <w:szCs w:val="18"/>
              </w:rPr>
            </w:pPr>
            <w:r w:rsidRPr="00194D5A">
              <w:rPr>
                <w:rFonts w:asciiTheme="minorHAnsi" w:hAnsiTheme="minorHAnsi" w:cstheme="minorHAnsi"/>
                <w:sz w:val="18"/>
                <w:szCs w:val="18"/>
              </w:rPr>
              <w:t>Subpart</w:t>
            </w:r>
          </w:p>
        </w:tc>
        <w:tc>
          <w:tcPr>
            <w:tcW w:w="6930" w:type="dxa"/>
          </w:tcPr>
          <w:p w14:paraId="3E5D3EFB" w14:textId="5BBC2115" w:rsidR="00FC3390" w:rsidRPr="00194D5A" w:rsidRDefault="00FC3390" w:rsidP="00683926">
            <w:pPr>
              <w:tabs>
                <w:tab w:val="left" w:pos="720"/>
              </w:tabs>
              <w:suppressAutoHyphens/>
              <w:spacing w:line="276" w:lineRule="auto"/>
              <w:rPr>
                <w:rFonts w:asciiTheme="minorHAnsi" w:hAnsiTheme="minorHAnsi" w:cstheme="minorHAnsi"/>
                <w:sz w:val="18"/>
                <w:szCs w:val="18"/>
              </w:rPr>
            </w:pPr>
          </w:p>
        </w:tc>
      </w:tr>
      <w:tr w:rsidR="00E02243" w:rsidRPr="00194D5A" w14:paraId="21ACE0CB" w14:textId="77777777" w:rsidTr="009F7A03">
        <w:tc>
          <w:tcPr>
            <w:tcW w:w="2515" w:type="dxa"/>
          </w:tcPr>
          <w:p w14:paraId="0B25340D" w14:textId="3C694E04" w:rsidR="00FC3390" w:rsidRPr="00194D5A" w:rsidRDefault="00FC3390" w:rsidP="00683926">
            <w:pPr>
              <w:tabs>
                <w:tab w:val="left" w:pos="720"/>
              </w:tabs>
              <w:suppressAutoHyphens/>
              <w:spacing w:line="276" w:lineRule="auto"/>
              <w:rPr>
                <w:rFonts w:asciiTheme="minorHAnsi" w:hAnsiTheme="minorHAnsi" w:cstheme="minorHAnsi"/>
                <w:sz w:val="18"/>
                <w:szCs w:val="18"/>
              </w:rPr>
            </w:pPr>
            <w:r w:rsidRPr="00194D5A">
              <w:rPr>
                <w:rFonts w:asciiTheme="minorHAnsi" w:hAnsiTheme="minorHAnsi" w:cstheme="minorHAnsi"/>
                <w:b/>
                <w:sz w:val="18"/>
                <w:szCs w:val="18"/>
              </w:rPr>
              <w:t>36 CFR §9.5:</w:t>
            </w:r>
          </w:p>
        </w:tc>
        <w:tc>
          <w:tcPr>
            <w:tcW w:w="6930" w:type="dxa"/>
          </w:tcPr>
          <w:p w14:paraId="2D4A97C3" w14:textId="37D1DB15" w:rsidR="00FC3390" w:rsidRPr="00194D5A" w:rsidRDefault="00FC3390" w:rsidP="00683926">
            <w:pPr>
              <w:tabs>
                <w:tab w:val="left" w:pos="720"/>
              </w:tabs>
              <w:suppressAutoHyphens/>
              <w:rPr>
                <w:rFonts w:asciiTheme="minorHAnsi" w:hAnsiTheme="minorHAnsi" w:cstheme="minorHAnsi"/>
                <w:sz w:val="18"/>
                <w:szCs w:val="18"/>
              </w:rPr>
            </w:pPr>
            <w:r w:rsidRPr="00194D5A">
              <w:rPr>
                <w:rFonts w:asciiTheme="minorHAnsi" w:hAnsiTheme="minorHAnsi" w:cstheme="minorHAnsi"/>
                <w:sz w:val="18"/>
                <w:szCs w:val="18"/>
              </w:rPr>
              <w:t xml:space="preserve">Notifies mining claimants that they must comply with BLM regulations and information collection requirements.  </w:t>
            </w:r>
          </w:p>
        </w:tc>
      </w:tr>
      <w:tr w:rsidR="00E02243" w:rsidRPr="00194D5A" w14:paraId="6F61ED1F" w14:textId="77777777" w:rsidTr="009F7A03">
        <w:tc>
          <w:tcPr>
            <w:tcW w:w="2515" w:type="dxa"/>
          </w:tcPr>
          <w:p w14:paraId="00389422" w14:textId="20121735" w:rsidR="00FC3390" w:rsidRPr="00194D5A" w:rsidRDefault="00FC3390" w:rsidP="00683926">
            <w:pPr>
              <w:tabs>
                <w:tab w:val="left" w:pos="720"/>
              </w:tabs>
              <w:suppressAutoHyphens/>
              <w:spacing w:line="276" w:lineRule="auto"/>
              <w:rPr>
                <w:rFonts w:asciiTheme="minorHAnsi" w:hAnsiTheme="minorHAnsi" w:cstheme="minorHAnsi"/>
                <w:sz w:val="18"/>
                <w:szCs w:val="18"/>
              </w:rPr>
            </w:pPr>
            <w:r w:rsidRPr="00194D5A">
              <w:rPr>
                <w:rFonts w:asciiTheme="minorHAnsi" w:hAnsiTheme="minorHAnsi" w:cstheme="minorHAnsi"/>
                <w:b/>
                <w:sz w:val="18"/>
                <w:szCs w:val="18"/>
              </w:rPr>
              <w:t>36 CFR §9.6</w:t>
            </w:r>
          </w:p>
        </w:tc>
        <w:tc>
          <w:tcPr>
            <w:tcW w:w="6930" w:type="dxa"/>
          </w:tcPr>
          <w:p w14:paraId="15977B4D" w14:textId="26D4DD70" w:rsidR="00FC3390" w:rsidRPr="00194D5A" w:rsidRDefault="00FC3390" w:rsidP="00683926">
            <w:pPr>
              <w:tabs>
                <w:tab w:val="left" w:pos="720"/>
              </w:tabs>
              <w:suppressAutoHyphens/>
              <w:rPr>
                <w:rFonts w:asciiTheme="minorHAnsi" w:hAnsiTheme="minorHAnsi" w:cstheme="minorHAnsi"/>
                <w:sz w:val="18"/>
                <w:szCs w:val="18"/>
              </w:rPr>
            </w:pPr>
            <w:r w:rsidRPr="00194D5A">
              <w:rPr>
                <w:rFonts w:asciiTheme="minorHAnsi" w:hAnsiTheme="minorHAnsi" w:cstheme="minorHAnsi"/>
                <w:sz w:val="18"/>
                <w:szCs w:val="18"/>
              </w:rPr>
              <w:t>Requires claimants to notify the NPS of any changes in claim ownersh</w:t>
            </w:r>
            <w:r w:rsidR="009F7A03" w:rsidRPr="00194D5A">
              <w:rPr>
                <w:rFonts w:asciiTheme="minorHAnsi" w:hAnsiTheme="minorHAnsi" w:cstheme="minorHAnsi"/>
                <w:sz w:val="18"/>
                <w:szCs w:val="18"/>
              </w:rPr>
              <w:t>ip</w:t>
            </w:r>
          </w:p>
        </w:tc>
      </w:tr>
      <w:tr w:rsidR="00E02243" w:rsidRPr="00194D5A" w14:paraId="01870C2D" w14:textId="77777777" w:rsidTr="009F7A03">
        <w:tc>
          <w:tcPr>
            <w:tcW w:w="2515" w:type="dxa"/>
          </w:tcPr>
          <w:p w14:paraId="1AD2B6A8" w14:textId="41B50B6F" w:rsidR="00FC3390" w:rsidRPr="00194D5A" w:rsidRDefault="00FC3390" w:rsidP="00683926">
            <w:pPr>
              <w:tabs>
                <w:tab w:val="left" w:pos="720"/>
              </w:tabs>
              <w:suppressAutoHyphens/>
              <w:spacing w:line="276" w:lineRule="auto"/>
              <w:rPr>
                <w:rFonts w:asciiTheme="minorHAnsi" w:hAnsiTheme="minorHAnsi" w:cstheme="minorHAnsi"/>
                <w:sz w:val="18"/>
                <w:szCs w:val="18"/>
              </w:rPr>
            </w:pPr>
            <w:r w:rsidRPr="00194D5A">
              <w:rPr>
                <w:rFonts w:asciiTheme="minorHAnsi" w:hAnsiTheme="minorHAnsi" w:cstheme="minorHAnsi"/>
                <w:b/>
                <w:sz w:val="18"/>
                <w:szCs w:val="18"/>
              </w:rPr>
              <w:t>36 CFR §§9.9:</w:t>
            </w:r>
          </w:p>
        </w:tc>
        <w:tc>
          <w:tcPr>
            <w:tcW w:w="6930" w:type="dxa"/>
          </w:tcPr>
          <w:p w14:paraId="20B60268" w14:textId="598477DD" w:rsidR="00FC3390" w:rsidRPr="00194D5A" w:rsidRDefault="009F7A03" w:rsidP="00683926">
            <w:pPr>
              <w:tabs>
                <w:tab w:val="left" w:pos="720"/>
              </w:tabs>
              <w:suppressAutoHyphens/>
              <w:rPr>
                <w:rFonts w:asciiTheme="minorHAnsi" w:hAnsiTheme="minorHAnsi" w:cstheme="minorHAnsi"/>
                <w:sz w:val="18"/>
                <w:szCs w:val="18"/>
              </w:rPr>
            </w:pPr>
            <w:r w:rsidRPr="00194D5A">
              <w:rPr>
                <w:rFonts w:asciiTheme="minorHAnsi" w:hAnsiTheme="minorHAnsi" w:cstheme="minorHAnsi"/>
                <w:sz w:val="18"/>
                <w:szCs w:val="18"/>
              </w:rPr>
              <w:t>N</w:t>
            </w:r>
            <w:r w:rsidR="00FC3390" w:rsidRPr="00194D5A">
              <w:rPr>
                <w:rFonts w:asciiTheme="minorHAnsi" w:hAnsiTheme="minorHAnsi" w:cstheme="minorHAnsi"/>
                <w:sz w:val="18"/>
                <w:szCs w:val="18"/>
              </w:rPr>
              <w:t>o mining operations within a unit of the National Park System may occur until the NPS issues an approved plan of operations.</w:t>
            </w:r>
          </w:p>
        </w:tc>
      </w:tr>
      <w:tr w:rsidR="00E02243" w:rsidRPr="00194D5A" w14:paraId="283B2F86" w14:textId="77777777" w:rsidTr="009F7A03">
        <w:trPr>
          <w:trHeight w:val="782"/>
        </w:trPr>
        <w:tc>
          <w:tcPr>
            <w:tcW w:w="2515" w:type="dxa"/>
          </w:tcPr>
          <w:p w14:paraId="34EADD42" w14:textId="49F7519F" w:rsidR="00FC3390" w:rsidRPr="00194D5A" w:rsidRDefault="00FC3390" w:rsidP="00683926">
            <w:pPr>
              <w:tabs>
                <w:tab w:val="left" w:pos="720"/>
              </w:tabs>
              <w:suppressAutoHyphens/>
              <w:spacing w:line="276" w:lineRule="auto"/>
              <w:rPr>
                <w:rFonts w:asciiTheme="minorHAnsi" w:hAnsiTheme="minorHAnsi" w:cstheme="minorHAnsi"/>
                <w:sz w:val="18"/>
                <w:szCs w:val="18"/>
              </w:rPr>
            </w:pPr>
            <w:r w:rsidRPr="00194D5A">
              <w:rPr>
                <w:rFonts w:asciiTheme="minorHAnsi" w:hAnsiTheme="minorHAnsi" w:cstheme="minorHAnsi"/>
                <w:b/>
                <w:sz w:val="18"/>
                <w:szCs w:val="18"/>
              </w:rPr>
              <w:lastRenderedPageBreak/>
              <w:t xml:space="preserve">36 CFR §9.10(e) </w:t>
            </w:r>
          </w:p>
        </w:tc>
        <w:tc>
          <w:tcPr>
            <w:tcW w:w="6930" w:type="dxa"/>
          </w:tcPr>
          <w:p w14:paraId="31370EAF" w14:textId="6D5D2143" w:rsidR="00FC3390" w:rsidRPr="00194D5A" w:rsidRDefault="009F7A03" w:rsidP="00683926">
            <w:pPr>
              <w:tabs>
                <w:tab w:val="left" w:pos="720"/>
              </w:tabs>
              <w:suppressAutoHyphens/>
              <w:rPr>
                <w:rFonts w:asciiTheme="minorHAnsi" w:hAnsiTheme="minorHAnsi" w:cstheme="minorHAnsi"/>
                <w:sz w:val="18"/>
                <w:szCs w:val="18"/>
              </w:rPr>
            </w:pPr>
            <w:r w:rsidRPr="00194D5A">
              <w:rPr>
                <w:rFonts w:asciiTheme="minorHAnsi" w:hAnsiTheme="minorHAnsi" w:cstheme="minorHAnsi"/>
                <w:sz w:val="18"/>
                <w:szCs w:val="18"/>
              </w:rPr>
              <w:t>O</w:t>
            </w:r>
            <w:r w:rsidR="00FC3390" w:rsidRPr="00194D5A">
              <w:rPr>
                <w:rFonts w:asciiTheme="minorHAnsi" w:hAnsiTheme="minorHAnsi" w:cstheme="minorHAnsi"/>
                <w:sz w:val="18"/>
                <w:szCs w:val="18"/>
              </w:rPr>
              <w:t xml:space="preserve">perators must notify the park superintendent if, during the course of operations, they discover any cultural or scientific resource that may be altered by the operation.  </w:t>
            </w:r>
          </w:p>
        </w:tc>
      </w:tr>
      <w:tr w:rsidR="00E02243" w:rsidRPr="00194D5A" w14:paraId="3ED96333" w14:textId="77777777" w:rsidTr="009F7A03">
        <w:tc>
          <w:tcPr>
            <w:tcW w:w="2515" w:type="dxa"/>
          </w:tcPr>
          <w:p w14:paraId="019ADEA5" w14:textId="30030FAA" w:rsidR="00FC3390" w:rsidRPr="00194D5A" w:rsidRDefault="00FC3390" w:rsidP="00683926">
            <w:pPr>
              <w:tabs>
                <w:tab w:val="left" w:pos="720"/>
              </w:tabs>
              <w:suppressAutoHyphens/>
              <w:spacing w:line="276" w:lineRule="auto"/>
              <w:rPr>
                <w:rFonts w:asciiTheme="minorHAnsi" w:hAnsiTheme="minorHAnsi" w:cstheme="minorHAnsi"/>
                <w:sz w:val="18"/>
                <w:szCs w:val="18"/>
              </w:rPr>
            </w:pPr>
            <w:r w:rsidRPr="00194D5A">
              <w:rPr>
                <w:rFonts w:asciiTheme="minorHAnsi" w:hAnsiTheme="minorHAnsi" w:cstheme="minorHAnsi"/>
                <w:b/>
                <w:sz w:val="18"/>
                <w:szCs w:val="18"/>
              </w:rPr>
              <w:t>36 CFR §§9.10(e)(3</w:t>
            </w:r>
            <w:r w:rsidR="006657B7" w:rsidRPr="00194D5A">
              <w:rPr>
                <w:rFonts w:asciiTheme="minorHAnsi" w:hAnsiTheme="minorHAnsi" w:cstheme="minorHAnsi"/>
                <w:b/>
                <w:sz w:val="18"/>
                <w:szCs w:val="18"/>
              </w:rPr>
              <w:t>)</w:t>
            </w:r>
          </w:p>
        </w:tc>
        <w:tc>
          <w:tcPr>
            <w:tcW w:w="6930" w:type="dxa"/>
          </w:tcPr>
          <w:p w14:paraId="2D5C0931" w14:textId="01245D89" w:rsidR="00FC3390" w:rsidRPr="00194D5A" w:rsidRDefault="009F7A03" w:rsidP="00683926">
            <w:pPr>
              <w:tabs>
                <w:tab w:val="left" w:pos="720"/>
              </w:tabs>
              <w:suppressAutoHyphens/>
              <w:rPr>
                <w:rFonts w:asciiTheme="minorHAnsi" w:hAnsiTheme="minorHAnsi" w:cstheme="minorHAnsi"/>
                <w:sz w:val="18"/>
                <w:szCs w:val="18"/>
              </w:rPr>
            </w:pPr>
            <w:r w:rsidRPr="00194D5A">
              <w:rPr>
                <w:rFonts w:asciiTheme="minorHAnsi" w:hAnsiTheme="minorHAnsi" w:cstheme="minorHAnsi"/>
                <w:sz w:val="18"/>
                <w:szCs w:val="18"/>
              </w:rPr>
              <w:t>O</w:t>
            </w:r>
            <w:r w:rsidR="00FC3390" w:rsidRPr="00194D5A">
              <w:rPr>
                <w:rFonts w:asciiTheme="minorHAnsi" w:hAnsiTheme="minorHAnsi" w:cstheme="minorHAnsi"/>
                <w:sz w:val="18"/>
                <w:szCs w:val="18"/>
              </w:rPr>
              <w:t xml:space="preserve">perators must notify the park superintendent if, during the course of operations, they discover any cultural or scientific resource that may be altered by the operation.  </w:t>
            </w:r>
          </w:p>
        </w:tc>
      </w:tr>
      <w:tr w:rsidR="00E02243" w:rsidRPr="00194D5A" w14:paraId="75A5DE66" w14:textId="77777777" w:rsidTr="009F7A03">
        <w:tc>
          <w:tcPr>
            <w:tcW w:w="2515" w:type="dxa"/>
          </w:tcPr>
          <w:p w14:paraId="34BF6050" w14:textId="766D5301" w:rsidR="00FC3390" w:rsidRPr="00194D5A" w:rsidRDefault="00FC3390" w:rsidP="00683926">
            <w:pPr>
              <w:tabs>
                <w:tab w:val="left" w:pos="720"/>
              </w:tabs>
              <w:suppressAutoHyphens/>
              <w:spacing w:line="276" w:lineRule="auto"/>
              <w:rPr>
                <w:rFonts w:asciiTheme="minorHAnsi" w:hAnsiTheme="minorHAnsi" w:cstheme="minorHAnsi"/>
                <w:sz w:val="18"/>
                <w:szCs w:val="18"/>
              </w:rPr>
            </w:pPr>
            <w:r w:rsidRPr="00194D5A">
              <w:rPr>
                <w:rFonts w:asciiTheme="minorHAnsi" w:hAnsiTheme="minorHAnsi" w:cstheme="minorHAnsi"/>
                <w:b/>
                <w:sz w:val="18"/>
                <w:szCs w:val="18"/>
              </w:rPr>
              <w:t>36 CFR §§9.12</w:t>
            </w:r>
            <w:r w:rsidRPr="00194D5A">
              <w:rPr>
                <w:rFonts w:asciiTheme="minorHAnsi" w:hAnsiTheme="minorHAnsi" w:cstheme="minorHAnsi"/>
                <w:sz w:val="18"/>
                <w:szCs w:val="18"/>
              </w:rPr>
              <w:t xml:space="preserve"> </w:t>
            </w:r>
          </w:p>
        </w:tc>
        <w:tc>
          <w:tcPr>
            <w:tcW w:w="6930" w:type="dxa"/>
          </w:tcPr>
          <w:p w14:paraId="2CDEAD2A" w14:textId="6AF44124" w:rsidR="00FC3390" w:rsidRPr="00194D5A" w:rsidRDefault="00FC3390" w:rsidP="00683926">
            <w:pPr>
              <w:tabs>
                <w:tab w:val="left" w:pos="720"/>
              </w:tabs>
              <w:suppressAutoHyphens/>
              <w:rPr>
                <w:rFonts w:asciiTheme="minorHAnsi" w:hAnsiTheme="minorHAnsi" w:cstheme="minorHAnsi"/>
                <w:sz w:val="18"/>
                <w:szCs w:val="18"/>
              </w:rPr>
            </w:pPr>
            <w:r w:rsidRPr="00194D5A">
              <w:rPr>
                <w:rFonts w:asciiTheme="minorHAnsi" w:hAnsiTheme="minorHAnsi" w:cstheme="minorHAnsi"/>
                <w:sz w:val="18"/>
                <w:szCs w:val="18"/>
              </w:rPr>
              <w:t>Prior to supplementing or revising an approved plan of operations operator must submit a written statement for NPS consideration and approval describing and justifying the proposal.</w:t>
            </w:r>
          </w:p>
        </w:tc>
      </w:tr>
      <w:tr w:rsidR="00E02243" w:rsidRPr="00194D5A" w14:paraId="78741443" w14:textId="77777777" w:rsidTr="009F7A03">
        <w:tc>
          <w:tcPr>
            <w:tcW w:w="2515" w:type="dxa"/>
          </w:tcPr>
          <w:p w14:paraId="7751ED75" w14:textId="5B163404" w:rsidR="00FC3390" w:rsidRPr="00194D5A" w:rsidRDefault="003D1A4A" w:rsidP="00683926">
            <w:pPr>
              <w:tabs>
                <w:tab w:val="left" w:pos="720"/>
              </w:tabs>
              <w:suppressAutoHyphens/>
              <w:spacing w:line="276" w:lineRule="auto"/>
              <w:rPr>
                <w:rFonts w:asciiTheme="minorHAnsi" w:hAnsiTheme="minorHAnsi" w:cstheme="minorHAnsi"/>
                <w:sz w:val="18"/>
                <w:szCs w:val="18"/>
              </w:rPr>
            </w:pPr>
            <w:r w:rsidRPr="00194D5A">
              <w:rPr>
                <w:rFonts w:asciiTheme="minorHAnsi" w:hAnsiTheme="minorHAnsi" w:cstheme="minorHAnsi"/>
                <w:b/>
                <w:sz w:val="18"/>
                <w:szCs w:val="18"/>
              </w:rPr>
              <w:t xml:space="preserve">36 CFR §§9.13 </w:t>
            </w:r>
          </w:p>
        </w:tc>
        <w:tc>
          <w:tcPr>
            <w:tcW w:w="6930" w:type="dxa"/>
          </w:tcPr>
          <w:p w14:paraId="1D0F8BD4" w14:textId="70DEA57B" w:rsidR="00FC3390" w:rsidRPr="00194D5A" w:rsidRDefault="009F7A03" w:rsidP="00683926">
            <w:pPr>
              <w:tabs>
                <w:tab w:val="left" w:pos="720"/>
              </w:tabs>
              <w:suppressAutoHyphens/>
              <w:rPr>
                <w:rFonts w:asciiTheme="minorHAnsi" w:hAnsiTheme="minorHAnsi" w:cstheme="minorHAnsi"/>
                <w:sz w:val="18"/>
                <w:szCs w:val="18"/>
              </w:rPr>
            </w:pPr>
            <w:r w:rsidRPr="00194D5A">
              <w:rPr>
                <w:rFonts w:asciiTheme="minorHAnsi" w:hAnsiTheme="minorHAnsi" w:cstheme="minorHAnsi"/>
                <w:sz w:val="18"/>
                <w:szCs w:val="18"/>
              </w:rPr>
              <w:t>P</w:t>
            </w:r>
            <w:r w:rsidR="003D1A4A" w:rsidRPr="00194D5A">
              <w:rPr>
                <w:rFonts w:asciiTheme="minorHAnsi" w:hAnsiTheme="minorHAnsi" w:cstheme="minorHAnsi"/>
                <w:sz w:val="18"/>
                <w:szCs w:val="18"/>
              </w:rPr>
              <w:t>erformance bond or security deposit before operations may begin.    This enables us to complete the reclamation requirements in the approved plan of operations if the claimant defaults on his/her commitment</w:t>
            </w:r>
          </w:p>
        </w:tc>
      </w:tr>
      <w:tr w:rsidR="00E02243" w:rsidRPr="00194D5A" w14:paraId="21238EAB" w14:textId="77777777" w:rsidTr="009F7A03">
        <w:tc>
          <w:tcPr>
            <w:tcW w:w="2515" w:type="dxa"/>
          </w:tcPr>
          <w:p w14:paraId="183A3CC9" w14:textId="7DD65198" w:rsidR="00FC3390" w:rsidRPr="00194D5A" w:rsidRDefault="003D1A4A" w:rsidP="00683926">
            <w:pPr>
              <w:tabs>
                <w:tab w:val="left" w:pos="720"/>
              </w:tabs>
              <w:suppressAutoHyphens/>
              <w:spacing w:line="276" w:lineRule="auto"/>
              <w:rPr>
                <w:rFonts w:asciiTheme="minorHAnsi" w:hAnsiTheme="minorHAnsi" w:cstheme="minorHAnsi"/>
                <w:sz w:val="18"/>
                <w:szCs w:val="18"/>
              </w:rPr>
            </w:pPr>
            <w:r w:rsidRPr="00194D5A">
              <w:rPr>
                <w:rFonts w:asciiTheme="minorHAnsi" w:hAnsiTheme="minorHAnsi" w:cstheme="minorHAnsi"/>
                <w:b/>
                <w:sz w:val="18"/>
                <w:szCs w:val="18"/>
              </w:rPr>
              <w:t>36 CFR §§9.14</w:t>
            </w:r>
            <w:r w:rsidRPr="00194D5A">
              <w:rPr>
                <w:rFonts w:asciiTheme="minorHAnsi" w:hAnsiTheme="minorHAnsi" w:cstheme="minorHAnsi"/>
                <w:sz w:val="18"/>
                <w:szCs w:val="18"/>
              </w:rPr>
              <w:t xml:space="preserve"> </w:t>
            </w:r>
          </w:p>
        </w:tc>
        <w:tc>
          <w:tcPr>
            <w:tcW w:w="6930" w:type="dxa"/>
          </w:tcPr>
          <w:p w14:paraId="0D3ABAF9" w14:textId="3DF4B66B" w:rsidR="00FC3390" w:rsidRPr="00194D5A" w:rsidRDefault="009F7A03" w:rsidP="00683926">
            <w:pPr>
              <w:tabs>
                <w:tab w:val="left" w:pos="720"/>
              </w:tabs>
              <w:suppressAutoHyphens/>
              <w:rPr>
                <w:rFonts w:asciiTheme="minorHAnsi" w:hAnsiTheme="minorHAnsi" w:cstheme="minorHAnsi"/>
                <w:sz w:val="18"/>
                <w:szCs w:val="18"/>
              </w:rPr>
            </w:pPr>
            <w:r w:rsidRPr="00194D5A">
              <w:rPr>
                <w:rFonts w:asciiTheme="minorHAnsi" w:hAnsiTheme="minorHAnsi" w:cstheme="minorHAnsi"/>
                <w:sz w:val="18"/>
                <w:szCs w:val="18"/>
              </w:rPr>
              <w:t>T</w:t>
            </w:r>
            <w:r w:rsidR="003D1A4A" w:rsidRPr="00194D5A">
              <w:rPr>
                <w:rFonts w:asciiTheme="minorHAnsi" w:hAnsiTheme="minorHAnsi" w:cstheme="minorHAnsi"/>
                <w:sz w:val="18"/>
                <w:szCs w:val="18"/>
              </w:rPr>
              <w:t>o file formal written grievances with the NPS regional director if they believe that erroneous decisions have been made regarding their requests for approval to conduct operations</w:t>
            </w:r>
          </w:p>
        </w:tc>
      </w:tr>
      <w:tr w:rsidR="00E02243" w:rsidRPr="00194D5A" w14:paraId="51147D99" w14:textId="77777777" w:rsidTr="009F7A03">
        <w:tc>
          <w:tcPr>
            <w:tcW w:w="2515" w:type="dxa"/>
          </w:tcPr>
          <w:p w14:paraId="6C24F00A" w14:textId="220533C0" w:rsidR="00FC3390" w:rsidRPr="00194D5A" w:rsidRDefault="003D1A4A" w:rsidP="00683926">
            <w:pPr>
              <w:tabs>
                <w:tab w:val="left" w:pos="720"/>
              </w:tabs>
              <w:suppressAutoHyphens/>
              <w:spacing w:line="276" w:lineRule="auto"/>
              <w:rPr>
                <w:rFonts w:asciiTheme="minorHAnsi" w:hAnsiTheme="minorHAnsi" w:cstheme="minorHAnsi"/>
                <w:sz w:val="18"/>
                <w:szCs w:val="18"/>
              </w:rPr>
            </w:pPr>
            <w:r w:rsidRPr="00194D5A">
              <w:rPr>
                <w:rFonts w:asciiTheme="minorHAnsi" w:hAnsiTheme="minorHAnsi" w:cstheme="minorHAnsi"/>
                <w:b/>
                <w:sz w:val="18"/>
                <w:szCs w:val="18"/>
              </w:rPr>
              <w:t xml:space="preserve">36 CFR §§9.15 </w:t>
            </w:r>
          </w:p>
        </w:tc>
        <w:tc>
          <w:tcPr>
            <w:tcW w:w="6930" w:type="dxa"/>
          </w:tcPr>
          <w:p w14:paraId="60199921" w14:textId="68D9728D" w:rsidR="00FC3390" w:rsidRPr="00194D5A" w:rsidRDefault="009F7A03" w:rsidP="00683926">
            <w:pPr>
              <w:tabs>
                <w:tab w:val="left" w:pos="720"/>
              </w:tabs>
              <w:suppressAutoHyphens/>
              <w:rPr>
                <w:rFonts w:asciiTheme="minorHAnsi" w:hAnsiTheme="minorHAnsi" w:cstheme="minorHAnsi"/>
                <w:sz w:val="18"/>
                <w:szCs w:val="18"/>
              </w:rPr>
            </w:pPr>
            <w:r w:rsidRPr="00194D5A">
              <w:rPr>
                <w:rFonts w:asciiTheme="minorHAnsi" w:hAnsiTheme="minorHAnsi" w:cstheme="minorHAnsi"/>
                <w:sz w:val="18"/>
                <w:szCs w:val="18"/>
              </w:rPr>
              <w:t>R</w:t>
            </w:r>
            <w:r w:rsidR="003D1A4A" w:rsidRPr="00194D5A">
              <w:rPr>
                <w:rFonts w:asciiTheme="minorHAnsi" w:hAnsiTheme="minorHAnsi" w:cstheme="minorHAnsi"/>
                <w:sz w:val="18"/>
                <w:szCs w:val="18"/>
              </w:rPr>
              <w:t xml:space="preserve">egistration of all commercial vehicles with the park superintendent and payment of a registration fee.  The operations plan must list the type and number of vehicles to be used. </w:t>
            </w:r>
          </w:p>
        </w:tc>
      </w:tr>
    </w:tbl>
    <w:p w14:paraId="280EBD07" w14:textId="61A486DD" w:rsidR="00FC3390" w:rsidRPr="00194D5A" w:rsidRDefault="00FC3390" w:rsidP="00683926">
      <w:pPr>
        <w:tabs>
          <w:tab w:val="left" w:pos="720"/>
        </w:tabs>
        <w:suppressAutoHyphens/>
        <w:spacing w:line="276" w:lineRule="auto"/>
        <w:rPr>
          <w:rFonts w:asciiTheme="minorHAnsi" w:hAnsiTheme="minorHAnsi" w:cstheme="minorHAnsi"/>
          <w:sz w:val="22"/>
          <w:szCs w:val="22"/>
        </w:rPr>
      </w:pPr>
    </w:p>
    <w:p w14:paraId="3C77545D" w14:textId="5C9A4E97" w:rsidR="00E44971" w:rsidRPr="00194D5A" w:rsidRDefault="00D3579A" w:rsidP="00683926">
      <w:pPr>
        <w:tabs>
          <w:tab w:val="left" w:pos="720"/>
        </w:tabs>
        <w:suppressAutoHyphens/>
        <w:spacing w:line="276" w:lineRule="auto"/>
        <w:rPr>
          <w:rFonts w:asciiTheme="minorHAnsi" w:hAnsiTheme="minorHAnsi" w:cstheme="minorHAnsi"/>
          <w:b/>
          <w:sz w:val="22"/>
          <w:szCs w:val="22"/>
          <w:u w:val="single"/>
        </w:rPr>
      </w:pPr>
      <w:r w:rsidRPr="00194D5A">
        <w:rPr>
          <w:rFonts w:asciiTheme="minorHAnsi" w:hAnsiTheme="minorHAnsi" w:cstheme="minorHAnsi"/>
          <w:b/>
          <w:sz w:val="22"/>
          <w:szCs w:val="22"/>
          <w:u w:val="single"/>
        </w:rPr>
        <w:t>Table 2.</w:t>
      </w:r>
      <w:r w:rsidR="003D1A4A" w:rsidRPr="00194D5A">
        <w:rPr>
          <w:rFonts w:asciiTheme="minorHAnsi" w:hAnsiTheme="minorHAnsi" w:cstheme="minorHAnsi"/>
          <w:b/>
          <w:sz w:val="22"/>
          <w:szCs w:val="22"/>
          <w:u w:val="single"/>
        </w:rPr>
        <w:t>2</w:t>
      </w:r>
      <w:r w:rsidRPr="00194D5A">
        <w:rPr>
          <w:rFonts w:asciiTheme="minorHAnsi" w:hAnsiTheme="minorHAnsi" w:cstheme="minorHAnsi"/>
          <w:b/>
          <w:sz w:val="22"/>
          <w:szCs w:val="22"/>
          <w:u w:val="single"/>
        </w:rPr>
        <w:t xml:space="preserve"> </w:t>
      </w:r>
      <w:r w:rsidRPr="00194D5A">
        <w:rPr>
          <w:rFonts w:asciiTheme="minorHAnsi" w:hAnsiTheme="minorHAnsi" w:cstheme="minorHAnsi"/>
          <w:b/>
          <w:i/>
          <w:sz w:val="22"/>
          <w:szCs w:val="22"/>
        </w:rPr>
        <w:t>Information Collection</w:t>
      </w:r>
      <w:r w:rsidR="00E02243" w:rsidRPr="00194D5A">
        <w:rPr>
          <w:rFonts w:asciiTheme="minorHAnsi" w:hAnsiTheme="minorHAnsi" w:cstheme="minorHAnsi"/>
          <w:b/>
          <w:i/>
          <w:sz w:val="22"/>
          <w:szCs w:val="22"/>
        </w:rPr>
        <w:t>s</w:t>
      </w:r>
      <w:r w:rsidR="003D1A4A" w:rsidRPr="00194D5A">
        <w:rPr>
          <w:rFonts w:asciiTheme="minorHAnsi" w:hAnsiTheme="minorHAnsi" w:cstheme="minorHAnsi"/>
          <w:b/>
          <w:i/>
          <w:sz w:val="22"/>
          <w:szCs w:val="22"/>
        </w:rPr>
        <w:t xml:space="preserve"> u</w:t>
      </w:r>
      <w:r w:rsidRPr="00194D5A">
        <w:rPr>
          <w:rFonts w:asciiTheme="minorHAnsi" w:hAnsiTheme="minorHAnsi" w:cstheme="minorHAnsi"/>
          <w:b/>
          <w:i/>
          <w:sz w:val="22"/>
          <w:szCs w:val="22"/>
        </w:rPr>
        <w:t>nder 9B Regulations</w:t>
      </w:r>
      <w:r w:rsidR="00994E6C" w:rsidRPr="00194D5A">
        <w:rPr>
          <w:rFonts w:asciiTheme="minorHAnsi" w:hAnsiTheme="minorHAnsi" w:cstheme="minorHAnsi"/>
          <w:b/>
          <w:i/>
          <w:sz w:val="22"/>
          <w:szCs w:val="22"/>
        </w:rPr>
        <w:t>*</w:t>
      </w:r>
      <w:r w:rsidRPr="00194D5A">
        <w:rPr>
          <w:rFonts w:asciiTheme="minorHAnsi" w:hAnsiTheme="minorHAnsi" w:cstheme="minorHAnsi"/>
          <w:b/>
          <w:i/>
          <w:sz w:val="22"/>
          <w:szCs w:val="22"/>
        </w:rPr>
        <w:t xml:space="preserve">  </w:t>
      </w: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0"/>
        <w:gridCol w:w="5760"/>
      </w:tblGrid>
      <w:tr w:rsidR="00E02243" w:rsidRPr="00194D5A" w14:paraId="30BD0701" w14:textId="77777777" w:rsidTr="000611F4">
        <w:trPr>
          <w:trHeight w:val="404"/>
        </w:trPr>
        <w:tc>
          <w:tcPr>
            <w:tcW w:w="3780" w:type="dxa"/>
          </w:tcPr>
          <w:p w14:paraId="2D898143" w14:textId="1F8964DD" w:rsidR="00DB3294" w:rsidRPr="00194D5A" w:rsidRDefault="002F3901" w:rsidP="00683926">
            <w:pPr>
              <w:widowControl w:val="0"/>
              <w:spacing w:line="276" w:lineRule="auto"/>
              <w:ind w:left="-105"/>
              <w:jc w:val="center"/>
              <w:rPr>
                <w:rFonts w:asciiTheme="minorHAnsi" w:hAnsiTheme="minorHAnsi" w:cstheme="minorHAnsi"/>
                <w:b/>
                <w:sz w:val="18"/>
                <w:szCs w:val="18"/>
              </w:rPr>
            </w:pPr>
            <w:r w:rsidRPr="00194D5A">
              <w:rPr>
                <w:rFonts w:asciiTheme="minorHAnsi" w:hAnsiTheme="minorHAnsi" w:cstheme="minorHAnsi"/>
                <w:b/>
                <w:sz w:val="18"/>
                <w:szCs w:val="18"/>
              </w:rPr>
              <w:t xml:space="preserve">Information </w:t>
            </w:r>
            <w:r w:rsidR="00252024" w:rsidRPr="00194D5A">
              <w:rPr>
                <w:rFonts w:asciiTheme="minorHAnsi" w:hAnsiTheme="minorHAnsi" w:cstheme="minorHAnsi"/>
                <w:b/>
                <w:sz w:val="18"/>
                <w:szCs w:val="18"/>
              </w:rPr>
              <w:t>Collecte</w:t>
            </w:r>
            <w:r w:rsidRPr="00194D5A">
              <w:rPr>
                <w:rFonts w:asciiTheme="minorHAnsi" w:hAnsiTheme="minorHAnsi" w:cstheme="minorHAnsi"/>
                <w:b/>
                <w:sz w:val="18"/>
                <w:szCs w:val="18"/>
              </w:rPr>
              <w:t>d</w:t>
            </w:r>
          </w:p>
        </w:tc>
        <w:tc>
          <w:tcPr>
            <w:tcW w:w="5760" w:type="dxa"/>
            <w:vAlign w:val="center"/>
          </w:tcPr>
          <w:p w14:paraId="669D045B" w14:textId="582DB6B9" w:rsidR="00DB3294" w:rsidRPr="00194D5A" w:rsidRDefault="00DB3294" w:rsidP="00683926">
            <w:pPr>
              <w:widowControl w:val="0"/>
              <w:spacing w:line="276" w:lineRule="auto"/>
              <w:jc w:val="center"/>
              <w:rPr>
                <w:rFonts w:asciiTheme="minorHAnsi" w:hAnsiTheme="minorHAnsi" w:cstheme="minorHAnsi"/>
                <w:b/>
                <w:sz w:val="18"/>
                <w:szCs w:val="18"/>
              </w:rPr>
            </w:pPr>
            <w:r w:rsidRPr="00194D5A">
              <w:rPr>
                <w:rFonts w:asciiTheme="minorHAnsi" w:hAnsiTheme="minorHAnsi" w:cstheme="minorHAnsi"/>
                <w:b/>
                <w:sz w:val="18"/>
                <w:szCs w:val="18"/>
              </w:rPr>
              <w:t xml:space="preserve">NPS </w:t>
            </w:r>
            <w:r w:rsidR="00D3579A" w:rsidRPr="00194D5A">
              <w:rPr>
                <w:rFonts w:asciiTheme="minorHAnsi" w:hAnsiTheme="minorHAnsi" w:cstheme="minorHAnsi"/>
                <w:b/>
                <w:sz w:val="18"/>
                <w:szCs w:val="18"/>
              </w:rPr>
              <w:t xml:space="preserve">uses this information </w:t>
            </w:r>
            <w:r w:rsidRPr="00194D5A">
              <w:rPr>
                <w:rFonts w:asciiTheme="minorHAnsi" w:hAnsiTheme="minorHAnsi" w:cstheme="minorHAnsi"/>
                <w:b/>
                <w:sz w:val="18"/>
                <w:szCs w:val="18"/>
              </w:rPr>
              <w:t>to:</w:t>
            </w:r>
          </w:p>
        </w:tc>
      </w:tr>
      <w:tr w:rsidR="00E02243" w:rsidRPr="00194D5A" w14:paraId="4D5AFB55" w14:textId="77777777" w:rsidTr="000611F4">
        <w:trPr>
          <w:trHeight w:val="1007"/>
        </w:trPr>
        <w:tc>
          <w:tcPr>
            <w:tcW w:w="3780" w:type="dxa"/>
          </w:tcPr>
          <w:p w14:paraId="5EC27313" w14:textId="69AF8160" w:rsidR="00DB3294" w:rsidRPr="00194D5A" w:rsidRDefault="00DB3294" w:rsidP="00683926">
            <w:pPr>
              <w:widowControl w:val="0"/>
              <w:ind w:left="158"/>
              <w:rPr>
                <w:rFonts w:asciiTheme="minorHAnsi" w:hAnsiTheme="minorHAnsi" w:cstheme="minorHAnsi"/>
                <w:sz w:val="18"/>
                <w:szCs w:val="18"/>
              </w:rPr>
            </w:pPr>
            <w:r w:rsidRPr="00194D5A">
              <w:rPr>
                <w:rFonts w:asciiTheme="minorHAnsi" w:hAnsiTheme="minorHAnsi" w:cstheme="minorHAnsi"/>
                <w:sz w:val="18"/>
                <w:szCs w:val="18"/>
              </w:rPr>
              <w:t xml:space="preserve">Previously Exempt Operations </w:t>
            </w:r>
          </w:p>
        </w:tc>
        <w:tc>
          <w:tcPr>
            <w:tcW w:w="5760" w:type="dxa"/>
            <w:vAlign w:val="center"/>
          </w:tcPr>
          <w:p w14:paraId="3299B253" w14:textId="0BD5BBE8" w:rsidR="00DB3294" w:rsidRPr="00194D5A" w:rsidRDefault="00757CA8" w:rsidP="00683926">
            <w:pPr>
              <w:widowControl w:val="0"/>
              <w:ind w:left="166"/>
              <w:rPr>
                <w:rFonts w:asciiTheme="minorHAnsi" w:hAnsiTheme="minorHAnsi" w:cstheme="minorHAnsi"/>
                <w:sz w:val="18"/>
                <w:szCs w:val="18"/>
              </w:rPr>
            </w:pPr>
            <w:r w:rsidRPr="00194D5A">
              <w:rPr>
                <w:rFonts w:asciiTheme="minorHAnsi" w:hAnsiTheme="minorHAnsi" w:cstheme="minorHAnsi"/>
                <w:sz w:val="18"/>
                <w:szCs w:val="18"/>
              </w:rPr>
              <w:t xml:space="preserve">analyze the existing operating conditions to ensure that they meet NPS operating standards by bringing </w:t>
            </w:r>
            <w:r w:rsidR="00AB1013" w:rsidRPr="00194D5A">
              <w:rPr>
                <w:rFonts w:asciiTheme="minorHAnsi" w:hAnsiTheme="minorHAnsi" w:cstheme="minorHAnsi"/>
                <w:sz w:val="18"/>
                <w:szCs w:val="18"/>
              </w:rPr>
              <w:t>existing operators who do not have an operations permit into compliance with the updated 9B regulations.</w:t>
            </w:r>
          </w:p>
        </w:tc>
      </w:tr>
      <w:tr w:rsidR="00E02243" w:rsidRPr="00194D5A" w14:paraId="512A4DEE" w14:textId="77777777" w:rsidTr="000611F4">
        <w:trPr>
          <w:trHeight w:val="863"/>
        </w:trPr>
        <w:tc>
          <w:tcPr>
            <w:tcW w:w="3780" w:type="dxa"/>
          </w:tcPr>
          <w:p w14:paraId="520925D2" w14:textId="1D2581A8" w:rsidR="00DB3294" w:rsidRPr="00194D5A" w:rsidRDefault="00DB3294" w:rsidP="00683926">
            <w:pPr>
              <w:widowControl w:val="0"/>
              <w:ind w:left="158"/>
              <w:rPr>
                <w:rFonts w:asciiTheme="minorHAnsi" w:hAnsiTheme="minorHAnsi" w:cstheme="minorHAnsi"/>
                <w:sz w:val="18"/>
                <w:szCs w:val="18"/>
              </w:rPr>
            </w:pPr>
            <w:r w:rsidRPr="00194D5A">
              <w:rPr>
                <w:rFonts w:asciiTheme="minorHAnsi" w:hAnsiTheme="minorHAnsi" w:cstheme="minorHAnsi"/>
                <w:sz w:val="18"/>
                <w:szCs w:val="18"/>
              </w:rPr>
              <w:t xml:space="preserve">Application for Temporary Access Permit </w:t>
            </w:r>
          </w:p>
        </w:tc>
        <w:tc>
          <w:tcPr>
            <w:tcW w:w="5760" w:type="dxa"/>
            <w:vAlign w:val="center"/>
          </w:tcPr>
          <w:p w14:paraId="43FCB7F7" w14:textId="7E8B9698" w:rsidR="00DB3294" w:rsidRPr="00194D5A" w:rsidRDefault="006C1F0A" w:rsidP="00683926">
            <w:pPr>
              <w:widowControl w:val="0"/>
              <w:ind w:left="166"/>
              <w:rPr>
                <w:rFonts w:asciiTheme="minorHAnsi" w:hAnsiTheme="minorHAnsi" w:cstheme="minorHAnsi"/>
                <w:sz w:val="18"/>
                <w:szCs w:val="18"/>
              </w:rPr>
            </w:pPr>
            <w:r w:rsidRPr="00194D5A">
              <w:rPr>
                <w:rFonts w:asciiTheme="minorHAnsi" w:hAnsiTheme="minorHAnsi" w:cstheme="minorHAnsi"/>
                <w:sz w:val="18"/>
                <w:szCs w:val="18"/>
              </w:rPr>
              <w:t xml:space="preserve">analyze proposed </w:t>
            </w:r>
            <w:r w:rsidR="009F065F" w:rsidRPr="00194D5A">
              <w:rPr>
                <w:rFonts w:asciiTheme="minorHAnsi" w:hAnsiTheme="minorHAnsi" w:cstheme="minorHAnsi"/>
                <w:sz w:val="18"/>
                <w:szCs w:val="18"/>
              </w:rPr>
              <w:t xml:space="preserve">reconnaissance surveys </w:t>
            </w:r>
            <w:r w:rsidR="009669CB" w:rsidRPr="00194D5A">
              <w:rPr>
                <w:rFonts w:asciiTheme="minorHAnsi" w:hAnsiTheme="minorHAnsi" w:cstheme="minorHAnsi"/>
                <w:sz w:val="18"/>
                <w:szCs w:val="18"/>
              </w:rPr>
              <w:t xml:space="preserve">to ensure that they </w:t>
            </w:r>
            <w:r w:rsidR="009F065F" w:rsidRPr="00194D5A">
              <w:rPr>
                <w:rFonts w:asciiTheme="minorHAnsi" w:hAnsiTheme="minorHAnsi" w:cstheme="minorHAnsi"/>
                <w:sz w:val="18"/>
                <w:szCs w:val="18"/>
              </w:rPr>
              <w:t>are conducted in a manner that will result in only minimal surface disturbance</w:t>
            </w:r>
            <w:r w:rsidR="00757CA8" w:rsidRPr="00194D5A">
              <w:rPr>
                <w:rFonts w:asciiTheme="minorHAnsi" w:hAnsiTheme="minorHAnsi" w:cstheme="minorHAnsi"/>
                <w:sz w:val="18"/>
                <w:szCs w:val="18"/>
              </w:rPr>
              <w:t xml:space="preserve">. </w:t>
            </w:r>
          </w:p>
        </w:tc>
      </w:tr>
      <w:tr w:rsidR="00E02243" w:rsidRPr="00194D5A" w14:paraId="518DBBBA" w14:textId="77777777" w:rsidTr="000611F4">
        <w:trPr>
          <w:trHeight w:val="737"/>
        </w:trPr>
        <w:tc>
          <w:tcPr>
            <w:tcW w:w="3780" w:type="dxa"/>
            <w:vAlign w:val="center"/>
          </w:tcPr>
          <w:p w14:paraId="3668DC46" w14:textId="77777777" w:rsidR="00DB3294" w:rsidRPr="00194D5A" w:rsidRDefault="00DB3294" w:rsidP="00683926">
            <w:pPr>
              <w:widowControl w:val="0"/>
              <w:ind w:left="158"/>
              <w:rPr>
                <w:rFonts w:asciiTheme="minorHAnsi" w:hAnsiTheme="minorHAnsi" w:cstheme="minorHAnsi"/>
                <w:sz w:val="18"/>
                <w:szCs w:val="18"/>
              </w:rPr>
            </w:pPr>
            <w:r w:rsidRPr="00194D5A">
              <w:rPr>
                <w:rFonts w:asciiTheme="minorHAnsi" w:hAnsiTheme="minorHAnsi" w:cstheme="minorHAnsi"/>
                <w:sz w:val="18"/>
                <w:szCs w:val="18"/>
              </w:rPr>
              <w:t>Extension of Temporary Access Permit</w:t>
            </w:r>
          </w:p>
        </w:tc>
        <w:tc>
          <w:tcPr>
            <w:tcW w:w="5760" w:type="dxa"/>
            <w:vAlign w:val="center"/>
          </w:tcPr>
          <w:p w14:paraId="38132561" w14:textId="6B2DD4DF" w:rsidR="00DB3294" w:rsidRPr="00194D5A" w:rsidRDefault="00D3579A" w:rsidP="00683926">
            <w:pPr>
              <w:widowControl w:val="0"/>
              <w:ind w:left="166"/>
              <w:rPr>
                <w:rFonts w:asciiTheme="minorHAnsi" w:hAnsiTheme="minorHAnsi" w:cstheme="minorHAnsi"/>
                <w:sz w:val="18"/>
                <w:szCs w:val="18"/>
              </w:rPr>
            </w:pPr>
            <w:r w:rsidRPr="00194D5A">
              <w:rPr>
                <w:rFonts w:asciiTheme="minorHAnsi" w:hAnsiTheme="minorHAnsi" w:cstheme="minorHAnsi"/>
                <w:sz w:val="18"/>
                <w:szCs w:val="18"/>
              </w:rPr>
              <w:t xml:space="preserve"> determine if</w:t>
            </w:r>
            <w:r w:rsidR="006C1F0A" w:rsidRPr="00194D5A">
              <w:rPr>
                <w:rFonts w:asciiTheme="minorHAnsi" w:hAnsiTheme="minorHAnsi" w:cstheme="minorHAnsi"/>
                <w:sz w:val="18"/>
                <w:szCs w:val="18"/>
              </w:rPr>
              <w:t xml:space="preserve"> a request to extend the term of a temporary access permit is appropriate.</w:t>
            </w:r>
          </w:p>
        </w:tc>
      </w:tr>
      <w:tr w:rsidR="00E02243" w:rsidRPr="00194D5A" w14:paraId="552D0AED" w14:textId="77777777" w:rsidTr="000611F4">
        <w:trPr>
          <w:trHeight w:val="1133"/>
        </w:trPr>
        <w:tc>
          <w:tcPr>
            <w:tcW w:w="3780" w:type="dxa"/>
            <w:vAlign w:val="center"/>
          </w:tcPr>
          <w:p w14:paraId="45679EF8" w14:textId="63A7BB86" w:rsidR="00DB3294" w:rsidRPr="00194D5A" w:rsidRDefault="00DB3294" w:rsidP="00683926">
            <w:pPr>
              <w:widowControl w:val="0"/>
              <w:ind w:left="158"/>
              <w:rPr>
                <w:rFonts w:asciiTheme="minorHAnsi" w:hAnsiTheme="minorHAnsi" w:cstheme="minorHAnsi"/>
                <w:sz w:val="18"/>
                <w:szCs w:val="18"/>
              </w:rPr>
            </w:pPr>
            <w:r w:rsidRPr="00194D5A">
              <w:rPr>
                <w:rFonts w:asciiTheme="minorHAnsi" w:hAnsiTheme="minorHAnsi" w:cstheme="minorHAnsi"/>
                <w:sz w:val="18"/>
                <w:szCs w:val="18"/>
              </w:rPr>
              <w:t>Accessing Oil and Gas Rights From a Surface Location Outside the Park Boundary – Application for Exemption</w:t>
            </w:r>
          </w:p>
        </w:tc>
        <w:tc>
          <w:tcPr>
            <w:tcW w:w="5760" w:type="dxa"/>
            <w:vAlign w:val="center"/>
          </w:tcPr>
          <w:p w14:paraId="47C1141A" w14:textId="2CF9637B" w:rsidR="00DB3294" w:rsidRPr="00194D5A" w:rsidRDefault="009669CB" w:rsidP="00683926">
            <w:pPr>
              <w:widowControl w:val="0"/>
              <w:ind w:left="166"/>
              <w:rPr>
                <w:rFonts w:asciiTheme="minorHAnsi" w:hAnsiTheme="minorHAnsi" w:cstheme="minorHAnsi"/>
                <w:sz w:val="18"/>
                <w:szCs w:val="18"/>
              </w:rPr>
            </w:pPr>
            <w:r w:rsidRPr="00194D5A">
              <w:rPr>
                <w:rFonts w:asciiTheme="minorHAnsi" w:hAnsiTheme="minorHAnsi" w:cstheme="minorHAnsi"/>
                <w:sz w:val="18"/>
                <w:szCs w:val="18"/>
              </w:rPr>
              <w:t>analyze</w:t>
            </w:r>
            <w:r w:rsidR="00B27A5D" w:rsidRPr="00194D5A">
              <w:rPr>
                <w:rFonts w:asciiTheme="minorHAnsi" w:hAnsiTheme="minorHAnsi" w:cstheme="minorHAnsi"/>
                <w:sz w:val="18"/>
                <w:szCs w:val="18"/>
              </w:rPr>
              <w:t xml:space="preserve"> a proposed cross boundary drilling operation </w:t>
            </w:r>
            <w:r w:rsidRPr="00194D5A">
              <w:rPr>
                <w:rFonts w:asciiTheme="minorHAnsi" w:hAnsiTheme="minorHAnsi" w:cstheme="minorHAnsi"/>
                <w:sz w:val="18"/>
                <w:szCs w:val="18"/>
              </w:rPr>
              <w:t xml:space="preserve">in order to </w:t>
            </w:r>
            <w:r w:rsidR="00B27A5D" w:rsidRPr="00194D5A">
              <w:rPr>
                <w:rFonts w:asciiTheme="minorHAnsi" w:hAnsiTheme="minorHAnsi" w:cstheme="minorHAnsi"/>
                <w:sz w:val="18"/>
                <w:szCs w:val="18"/>
              </w:rPr>
              <w:t>evaluate the appropriateness of issuing an Operations Permit exemption by identifying potential impacts and mitigation measures.</w:t>
            </w:r>
          </w:p>
        </w:tc>
      </w:tr>
      <w:tr w:rsidR="00E02243" w:rsidRPr="00194D5A" w14:paraId="63CE440B" w14:textId="77777777" w:rsidTr="000611F4">
        <w:tc>
          <w:tcPr>
            <w:tcW w:w="3780" w:type="dxa"/>
            <w:vAlign w:val="center"/>
          </w:tcPr>
          <w:p w14:paraId="3C090C00" w14:textId="34D20083" w:rsidR="00DB3294" w:rsidRPr="00194D5A" w:rsidRDefault="00DB3294" w:rsidP="00683926">
            <w:pPr>
              <w:widowControl w:val="0"/>
              <w:ind w:left="158"/>
              <w:rPr>
                <w:rFonts w:asciiTheme="minorHAnsi" w:hAnsiTheme="minorHAnsi" w:cstheme="minorHAnsi"/>
                <w:sz w:val="18"/>
                <w:szCs w:val="18"/>
              </w:rPr>
            </w:pPr>
            <w:r w:rsidRPr="00194D5A">
              <w:rPr>
                <w:rFonts w:asciiTheme="minorHAnsi" w:hAnsiTheme="minorHAnsi" w:cstheme="minorHAnsi"/>
                <w:sz w:val="18"/>
                <w:szCs w:val="18"/>
              </w:rPr>
              <w:t>Accessing Oil and Gas Rights From a Surface Location Outside the Park Boundary – Notice of change</w:t>
            </w:r>
          </w:p>
        </w:tc>
        <w:tc>
          <w:tcPr>
            <w:tcW w:w="5760" w:type="dxa"/>
            <w:vAlign w:val="center"/>
          </w:tcPr>
          <w:p w14:paraId="501C2BEF" w14:textId="650E537C" w:rsidR="00DB3294" w:rsidRPr="00194D5A" w:rsidRDefault="00FF27F7" w:rsidP="00683926">
            <w:pPr>
              <w:widowControl w:val="0"/>
              <w:ind w:left="166"/>
              <w:rPr>
                <w:rFonts w:asciiTheme="minorHAnsi" w:hAnsiTheme="minorHAnsi" w:cstheme="minorHAnsi"/>
                <w:sz w:val="18"/>
                <w:szCs w:val="18"/>
              </w:rPr>
            </w:pPr>
            <w:r w:rsidRPr="00194D5A">
              <w:rPr>
                <w:rFonts w:asciiTheme="minorHAnsi" w:hAnsiTheme="minorHAnsi" w:cstheme="minorHAnsi"/>
                <w:sz w:val="18"/>
                <w:szCs w:val="18"/>
              </w:rPr>
              <w:t xml:space="preserve">analyze </w:t>
            </w:r>
            <w:r w:rsidR="00752680" w:rsidRPr="00194D5A">
              <w:rPr>
                <w:rFonts w:asciiTheme="minorHAnsi" w:hAnsiTheme="minorHAnsi" w:cstheme="minorHAnsi"/>
                <w:sz w:val="18"/>
                <w:szCs w:val="18"/>
              </w:rPr>
              <w:t>whether</w:t>
            </w:r>
            <w:r w:rsidRPr="00194D5A">
              <w:rPr>
                <w:rFonts w:asciiTheme="minorHAnsi" w:hAnsiTheme="minorHAnsi" w:cstheme="minorHAnsi"/>
                <w:sz w:val="18"/>
                <w:szCs w:val="18"/>
              </w:rPr>
              <w:t xml:space="preserve"> </w:t>
            </w:r>
            <w:r w:rsidR="00752680" w:rsidRPr="00194D5A">
              <w:rPr>
                <w:rFonts w:asciiTheme="minorHAnsi" w:hAnsiTheme="minorHAnsi" w:cstheme="minorHAnsi"/>
                <w:sz w:val="18"/>
                <w:szCs w:val="18"/>
              </w:rPr>
              <w:t xml:space="preserve">changes to an exempt operation present a significant threat of damage </w:t>
            </w:r>
            <w:r w:rsidRPr="00194D5A">
              <w:rPr>
                <w:rFonts w:asciiTheme="minorHAnsi" w:hAnsiTheme="minorHAnsi" w:cstheme="minorHAnsi"/>
                <w:sz w:val="18"/>
                <w:szCs w:val="18"/>
              </w:rPr>
              <w:t>to park resources and values and is therefore no longer exempt from the Operations P</w:t>
            </w:r>
            <w:r w:rsidR="00752680" w:rsidRPr="00194D5A">
              <w:rPr>
                <w:rFonts w:asciiTheme="minorHAnsi" w:hAnsiTheme="minorHAnsi" w:cstheme="minorHAnsi"/>
                <w:sz w:val="18"/>
                <w:szCs w:val="18"/>
              </w:rPr>
              <w:t>ermit</w:t>
            </w:r>
            <w:r w:rsidRPr="00194D5A">
              <w:rPr>
                <w:rFonts w:asciiTheme="minorHAnsi" w:hAnsiTheme="minorHAnsi" w:cstheme="minorHAnsi"/>
                <w:sz w:val="18"/>
                <w:szCs w:val="18"/>
              </w:rPr>
              <w:t xml:space="preserve"> requirement.</w:t>
            </w:r>
          </w:p>
        </w:tc>
      </w:tr>
      <w:tr w:rsidR="00E02243" w:rsidRPr="00194D5A" w14:paraId="7863DF8C" w14:textId="77777777" w:rsidTr="000611F4">
        <w:tc>
          <w:tcPr>
            <w:tcW w:w="9540" w:type="dxa"/>
            <w:gridSpan w:val="2"/>
            <w:vAlign w:val="center"/>
          </w:tcPr>
          <w:p w14:paraId="7B153A20" w14:textId="7CBFA90B" w:rsidR="00DB3294" w:rsidRPr="00194D5A" w:rsidRDefault="00DB3294" w:rsidP="00683926">
            <w:pPr>
              <w:widowControl w:val="0"/>
              <w:ind w:left="166"/>
              <w:rPr>
                <w:rFonts w:asciiTheme="minorHAnsi" w:hAnsiTheme="minorHAnsi" w:cstheme="minorHAnsi"/>
                <w:b/>
                <w:sz w:val="18"/>
                <w:szCs w:val="18"/>
              </w:rPr>
            </w:pPr>
          </w:p>
        </w:tc>
      </w:tr>
      <w:tr w:rsidR="00E02243" w:rsidRPr="00194D5A" w14:paraId="548E040F" w14:textId="77777777" w:rsidTr="000611F4">
        <w:trPr>
          <w:trHeight w:val="872"/>
        </w:trPr>
        <w:tc>
          <w:tcPr>
            <w:tcW w:w="3780" w:type="dxa"/>
            <w:vAlign w:val="center"/>
          </w:tcPr>
          <w:p w14:paraId="3E0964CE" w14:textId="6840E128" w:rsidR="00D3579A" w:rsidRPr="00194D5A" w:rsidRDefault="00D3579A" w:rsidP="00683926">
            <w:pPr>
              <w:widowControl w:val="0"/>
              <w:ind w:hanging="7"/>
              <w:rPr>
                <w:rFonts w:asciiTheme="minorHAnsi" w:hAnsiTheme="minorHAnsi" w:cstheme="minorHAnsi"/>
                <w:sz w:val="18"/>
                <w:szCs w:val="18"/>
              </w:rPr>
            </w:pPr>
            <w:r w:rsidRPr="00194D5A">
              <w:rPr>
                <w:rFonts w:asciiTheme="minorHAnsi" w:hAnsiTheme="minorHAnsi" w:cstheme="minorHAnsi"/>
                <w:b/>
                <w:sz w:val="18"/>
                <w:szCs w:val="18"/>
              </w:rPr>
              <w:t>Operations Permit</w:t>
            </w:r>
            <w:r w:rsidRPr="00194D5A">
              <w:rPr>
                <w:rFonts w:asciiTheme="minorHAnsi" w:hAnsiTheme="minorHAnsi" w:cstheme="minorHAnsi"/>
                <w:sz w:val="18"/>
                <w:szCs w:val="18"/>
              </w:rPr>
              <w:t xml:space="preserve"> -</w:t>
            </w:r>
          </w:p>
          <w:p w14:paraId="2A83FCDD" w14:textId="48D4D63D" w:rsidR="00DB3294" w:rsidRPr="00194D5A" w:rsidRDefault="00DB3294" w:rsidP="00683926">
            <w:pPr>
              <w:widowControl w:val="0"/>
              <w:ind w:left="248"/>
              <w:rPr>
                <w:rFonts w:asciiTheme="minorHAnsi" w:hAnsiTheme="minorHAnsi" w:cstheme="minorHAnsi"/>
                <w:sz w:val="18"/>
                <w:szCs w:val="18"/>
              </w:rPr>
            </w:pPr>
            <w:r w:rsidRPr="00194D5A">
              <w:rPr>
                <w:rFonts w:asciiTheme="minorHAnsi" w:hAnsiTheme="minorHAnsi" w:cstheme="minorHAnsi"/>
                <w:sz w:val="18"/>
                <w:szCs w:val="18"/>
              </w:rPr>
              <w:t>New Operations</w:t>
            </w:r>
            <w:r w:rsidRPr="00194D5A" w:rsidDel="00DB3294">
              <w:rPr>
                <w:rFonts w:asciiTheme="minorHAnsi" w:hAnsiTheme="minorHAnsi" w:cstheme="minorHAnsi"/>
                <w:b/>
                <w:sz w:val="18"/>
                <w:szCs w:val="18"/>
              </w:rPr>
              <w:t xml:space="preserve"> </w:t>
            </w:r>
            <w:r w:rsidRPr="00194D5A">
              <w:rPr>
                <w:rFonts w:asciiTheme="minorHAnsi" w:hAnsiTheme="minorHAnsi" w:cstheme="minorHAnsi"/>
                <w:sz w:val="18"/>
                <w:szCs w:val="18"/>
              </w:rPr>
              <w:t>Application –</w:t>
            </w:r>
          </w:p>
        </w:tc>
        <w:tc>
          <w:tcPr>
            <w:tcW w:w="5760" w:type="dxa"/>
            <w:vAlign w:val="center"/>
          </w:tcPr>
          <w:p w14:paraId="29EF1890" w14:textId="24FD29BD" w:rsidR="00DB3294" w:rsidRPr="00194D5A" w:rsidRDefault="001353BF" w:rsidP="00683926">
            <w:pPr>
              <w:widowControl w:val="0"/>
              <w:ind w:left="166"/>
              <w:rPr>
                <w:rFonts w:asciiTheme="minorHAnsi" w:hAnsiTheme="minorHAnsi" w:cstheme="minorHAnsi"/>
                <w:sz w:val="18"/>
                <w:szCs w:val="18"/>
              </w:rPr>
            </w:pPr>
            <w:r w:rsidRPr="00194D5A">
              <w:rPr>
                <w:rFonts w:asciiTheme="minorHAnsi" w:hAnsiTheme="minorHAnsi" w:cstheme="minorHAnsi"/>
                <w:sz w:val="18"/>
                <w:szCs w:val="18"/>
              </w:rPr>
              <w:t>to ensure that the proposed</w:t>
            </w:r>
            <w:r w:rsidR="00D3579A" w:rsidRPr="00194D5A">
              <w:rPr>
                <w:rFonts w:asciiTheme="minorHAnsi" w:hAnsiTheme="minorHAnsi" w:cstheme="minorHAnsi"/>
                <w:sz w:val="18"/>
                <w:szCs w:val="18"/>
              </w:rPr>
              <w:t xml:space="preserve"> new</w:t>
            </w:r>
            <w:r w:rsidRPr="00194D5A">
              <w:rPr>
                <w:rFonts w:asciiTheme="minorHAnsi" w:hAnsiTheme="minorHAnsi" w:cstheme="minorHAnsi"/>
                <w:sz w:val="18"/>
                <w:szCs w:val="18"/>
              </w:rPr>
              <w:t xml:space="preserve"> operating conditions meet the operating standards, general terms and conditions, and approval standards contained in the 9B Regulations.</w:t>
            </w:r>
          </w:p>
        </w:tc>
      </w:tr>
      <w:tr w:rsidR="00E02243" w:rsidRPr="00194D5A" w14:paraId="27B19E61" w14:textId="77777777" w:rsidTr="000611F4">
        <w:tc>
          <w:tcPr>
            <w:tcW w:w="9540" w:type="dxa"/>
            <w:gridSpan w:val="2"/>
            <w:vAlign w:val="center"/>
          </w:tcPr>
          <w:p w14:paraId="5DDAA325" w14:textId="77777777" w:rsidR="00DB3294" w:rsidRPr="00194D5A" w:rsidRDefault="00DB3294" w:rsidP="00683926">
            <w:pPr>
              <w:widowControl w:val="0"/>
              <w:rPr>
                <w:rFonts w:asciiTheme="minorHAnsi" w:hAnsiTheme="minorHAnsi" w:cstheme="minorHAnsi"/>
                <w:b/>
                <w:sz w:val="18"/>
                <w:szCs w:val="18"/>
              </w:rPr>
            </w:pPr>
          </w:p>
        </w:tc>
      </w:tr>
      <w:tr w:rsidR="00E02243" w:rsidRPr="00194D5A" w14:paraId="668E183E" w14:textId="77777777" w:rsidTr="000611F4">
        <w:tc>
          <w:tcPr>
            <w:tcW w:w="9540" w:type="dxa"/>
            <w:gridSpan w:val="2"/>
            <w:vAlign w:val="center"/>
          </w:tcPr>
          <w:p w14:paraId="673E92AE" w14:textId="42141E30" w:rsidR="00DB3294" w:rsidRPr="00194D5A" w:rsidRDefault="00DB3294" w:rsidP="00683926">
            <w:pPr>
              <w:widowControl w:val="0"/>
              <w:rPr>
                <w:rFonts w:asciiTheme="minorHAnsi" w:hAnsiTheme="minorHAnsi" w:cstheme="minorHAnsi"/>
                <w:b/>
                <w:sz w:val="18"/>
                <w:szCs w:val="18"/>
              </w:rPr>
            </w:pPr>
            <w:r w:rsidRPr="00194D5A">
              <w:rPr>
                <w:rFonts w:asciiTheme="minorHAnsi" w:hAnsiTheme="minorHAnsi" w:cstheme="minorHAnsi"/>
                <w:b/>
                <w:sz w:val="18"/>
                <w:szCs w:val="18"/>
              </w:rPr>
              <w:t>Operating Standards – S</w:t>
            </w:r>
            <w:r w:rsidR="001353BF" w:rsidRPr="00194D5A">
              <w:rPr>
                <w:rFonts w:asciiTheme="minorHAnsi" w:hAnsiTheme="minorHAnsi" w:cstheme="minorHAnsi"/>
                <w:b/>
                <w:sz w:val="18"/>
                <w:szCs w:val="18"/>
              </w:rPr>
              <w:t>t</w:t>
            </w:r>
            <w:r w:rsidRPr="00194D5A">
              <w:rPr>
                <w:rFonts w:asciiTheme="minorHAnsi" w:hAnsiTheme="minorHAnsi" w:cstheme="minorHAnsi"/>
                <w:b/>
                <w:sz w:val="18"/>
                <w:szCs w:val="18"/>
              </w:rPr>
              <w:t>imulation Operations (</w:t>
            </w:r>
            <w:r w:rsidRPr="00194D5A">
              <w:rPr>
                <w:rFonts w:asciiTheme="minorHAnsi" w:hAnsiTheme="minorHAnsi" w:cstheme="minorHAnsi"/>
                <w:sz w:val="18"/>
                <w:szCs w:val="18"/>
              </w:rPr>
              <w:t>§ 9.118(b))</w:t>
            </w:r>
          </w:p>
        </w:tc>
      </w:tr>
      <w:tr w:rsidR="00E02243" w:rsidRPr="00194D5A" w14:paraId="25FE4FA6" w14:textId="77777777" w:rsidTr="000611F4">
        <w:tc>
          <w:tcPr>
            <w:tcW w:w="3780" w:type="dxa"/>
            <w:vAlign w:val="center"/>
          </w:tcPr>
          <w:p w14:paraId="5E3D0A92" w14:textId="76A3747E" w:rsidR="00DB3294" w:rsidRPr="00194D5A" w:rsidRDefault="00DB3294" w:rsidP="00683926">
            <w:pPr>
              <w:widowControl w:val="0"/>
              <w:ind w:left="250"/>
              <w:rPr>
                <w:rFonts w:asciiTheme="minorHAnsi" w:hAnsiTheme="minorHAnsi" w:cstheme="minorHAnsi"/>
                <w:sz w:val="18"/>
                <w:szCs w:val="18"/>
              </w:rPr>
            </w:pPr>
            <w:r w:rsidRPr="00194D5A">
              <w:rPr>
                <w:rFonts w:asciiTheme="minorHAnsi" w:hAnsiTheme="minorHAnsi" w:cstheme="minorHAnsi"/>
                <w:sz w:val="18"/>
                <w:szCs w:val="18"/>
              </w:rPr>
              <w:t>Demonstrate mechanical integrity</w:t>
            </w:r>
          </w:p>
        </w:tc>
        <w:tc>
          <w:tcPr>
            <w:tcW w:w="5760" w:type="dxa"/>
            <w:vAlign w:val="center"/>
          </w:tcPr>
          <w:p w14:paraId="66CB72C1" w14:textId="72D7A298" w:rsidR="00DB3294" w:rsidRPr="00194D5A" w:rsidRDefault="00931922" w:rsidP="00683926">
            <w:pPr>
              <w:widowControl w:val="0"/>
              <w:rPr>
                <w:rFonts w:asciiTheme="minorHAnsi" w:hAnsiTheme="minorHAnsi" w:cstheme="minorHAnsi"/>
                <w:sz w:val="18"/>
                <w:szCs w:val="18"/>
              </w:rPr>
            </w:pPr>
            <w:r w:rsidRPr="00194D5A">
              <w:rPr>
                <w:rFonts w:asciiTheme="minorHAnsi" w:hAnsiTheme="minorHAnsi" w:cstheme="minorHAnsi"/>
                <w:sz w:val="18"/>
                <w:szCs w:val="18"/>
              </w:rPr>
              <w:t>This information is used to analyze the mechanical integrity of all surface and downhole tubulars to ensure that the downhole construction is sufficient for proposed injection activities.</w:t>
            </w:r>
          </w:p>
        </w:tc>
      </w:tr>
      <w:tr w:rsidR="00E02243" w:rsidRPr="00194D5A" w14:paraId="7EF1FBE3" w14:textId="77777777" w:rsidTr="000611F4">
        <w:tc>
          <w:tcPr>
            <w:tcW w:w="3780" w:type="dxa"/>
            <w:vAlign w:val="center"/>
          </w:tcPr>
          <w:p w14:paraId="3B143CF1" w14:textId="77777777" w:rsidR="00DB3294" w:rsidRPr="00194D5A" w:rsidRDefault="00DB3294" w:rsidP="00683926">
            <w:pPr>
              <w:widowControl w:val="0"/>
              <w:ind w:left="250"/>
              <w:rPr>
                <w:rFonts w:asciiTheme="minorHAnsi" w:hAnsiTheme="minorHAnsi" w:cstheme="minorHAnsi"/>
                <w:sz w:val="18"/>
                <w:szCs w:val="18"/>
              </w:rPr>
            </w:pPr>
            <w:r w:rsidRPr="00194D5A">
              <w:rPr>
                <w:rFonts w:asciiTheme="minorHAnsi" w:hAnsiTheme="minorHAnsi" w:cstheme="minorHAnsi"/>
                <w:sz w:val="18"/>
                <w:szCs w:val="18"/>
              </w:rPr>
              <w:t>Record treating pressures and all annular pressures</w:t>
            </w:r>
          </w:p>
        </w:tc>
        <w:tc>
          <w:tcPr>
            <w:tcW w:w="5760" w:type="dxa"/>
            <w:vAlign w:val="center"/>
          </w:tcPr>
          <w:p w14:paraId="65C984A1" w14:textId="49B63A0E" w:rsidR="00DB3294" w:rsidRPr="00194D5A" w:rsidRDefault="00A013D8" w:rsidP="00683926">
            <w:pPr>
              <w:widowControl w:val="0"/>
              <w:rPr>
                <w:rFonts w:asciiTheme="minorHAnsi" w:hAnsiTheme="minorHAnsi" w:cstheme="minorHAnsi"/>
                <w:sz w:val="18"/>
                <w:szCs w:val="18"/>
              </w:rPr>
            </w:pPr>
            <w:r w:rsidRPr="00194D5A">
              <w:rPr>
                <w:rFonts w:asciiTheme="minorHAnsi" w:hAnsiTheme="minorHAnsi" w:cstheme="minorHAnsi"/>
                <w:sz w:val="18"/>
                <w:szCs w:val="18"/>
              </w:rPr>
              <w:t>This information is u</w:t>
            </w:r>
            <w:r w:rsidR="00931922" w:rsidRPr="00194D5A">
              <w:rPr>
                <w:rFonts w:asciiTheme="minorHAnsi" w:hAnsiTheme="minorHAnsi" w:cstheme="minorHAnsi"/>
                <w:sz w:val="18"/>
                <w:szCs w:val="18"/>
              </w:rPr>
              <w:t xml:space="preserve">sed to </w:t>
            </w:r>
            <w:r w:rsidR="00743ADE" w:rsidRPr="00194D5A">
              <w:rPr>
                <w:rFonts w:asciiTheme="minorHAnsi" w:hAnsiTheme="minorHAnsi" w:cstheme="minorHAnsi"/>
                <w:sz w:val="18"/>
                <w:szCs w:val="18"/>
              </w:rPr>
              <w:t>monitor the annular pressures during a treatment operation to ensure that there are no changes to downhole conditions that could result in loss of wellbore integrity.</w:t>
            </w:r>
          </w:p>
        </w:tc>
      </w:tr>
      <w:tr w:rsidR="00E02243" w:rsidRPr="00194D5A" w14:paraId="130CE70B" w14:textId="77777777" w:rsidTr="000611F4">
        <w:tc>
          <w:tcPr>
            <w:tcW w:w="3780" w:type="dxa"/>
            <w:vAlign w:val="center"/>
          </w:tcPr>
          <w:p w14:paraId="245926C8" w14:textId="77777777" w:rsidR="00DB3294" w:rsidRPr="00194D5A" w:rsidRDefault="00DB3294" w:rsidP="00683926">
            <w:pPr>
              <w:widowControl w:val="0"/>
              <w:ind w:left="250"/>
              <w:rPr>
                <w:rFonts w:asciiTheme="minorHAnsi" w:hAnsiTheme="minorHAnsi" w:cstheme="minorHAnsi"/>
                <w:sz w:val="18"/>
                <w:szCs w:val="18"/>
              </w:rPr>
            </w:pPr>
            <w:r w:rsidRPr="00194D5A">
              <w:rPr>
                <w:rFonts w:asciiTheme="minorHAnsi" w:hAnsiTheme="minorHAnsi" w:cstheme="minorHAnsi"/>
                <w:sz w:val="18"/>
                <w:szCs w:val="18"/>
              </w:rPr>
              <w:t>Notify Superintendent if mechanical integrity is lost</w:t>
            </w:r>
          </w:p>
        </w:tc>
        <w:tc>
          <w:tcPr>
            <w:tcW w:w="5760" w:type="dxa"/>
            <w:vAlign w:val="center"/>
          </w:tcPr>
          <w:p w14:paraId="0D3A5CF5" w14:textId="7F44B804" w:rsidR="00DB3294" w:rsidRPr="00194D5A" w:rsidRDefault="00A013D8" w:rsidP="00683926">
            <w:pPr>
              <w:widowControl w:val="0"/>
              <w:rPr>
                <w:rFonts w:asciiTheme="minorHAnsi" w:hAnsiTheme="minorHAnsi" w:cstheme="minorHAnsi"/>
                <w:sz w:val="18"/>
                <w:szCs w:val="18"/>
              </w:rPr>
            </w:pPr>
            <w:r w:rsidRPr="00194D5A">
              <w:rPr>
                <w:rFonts w:asciiTheme="minorHAnsi" w:hAnsiTheme="minorHAnsi" w:cstheme="minorHAnsi"/>
                <w:sz w:val="18"/>
                <w:szCs w:val="18"/>
              </w:rPr>
              <w:t>This information is used to analyze whether a loss of mechanical integrity has the potential to impact park resources or threaten visitor safety.</w:t>
            </w:r>
          </w:p>
        </w:tc>
      </w:tr>
      <w:tr w:rsidR="00E02243" w:rsidRPr="00194D5A" w14:paraId="4D2F6EFB" w14:textId="77777777" w:rsidTr="000611F4">
        <w:tc>
          <w:tcPr>
            <w:tcW w:w="3780" w:type="dxa"/>
            <w:vAlign w:val="center"/>
          </w:tcPr>
          <w:p w14:paraId="710841C6" w14:textId="3E9283FF" w:rsidR="00DB3294" w:rsidRPr="00194D5A" w:rsidRDefault="00DB3294" w:rsidP="00683926">
            <w:pPr>
              <w:widowControl w:val="0"/>
              <w:ind w:left="250"/>
              <w:rPr>
                <w:rFonts w:asciiTheme="minorHAnsi" w:hAnsiTheme="minorHAnsi" w:cstheme="minorHAnsi"/>
                <w:sz w:val="18"/>
                <w:szCs w:val="18"/>
              </w:rPr>
            </w:pPr>
            <w:r w:rsidRPr="00194D5A">
              <w:rPr>
                <w:rFonts w:asciiTheme="minorHAnsi" w:hAnsiTheme="minorHAnsi" w:cstheme="minorHAnsi"/>
                <w:sz w:val="18"/>
                <w:szCs w:val="18"/>
              </w:rPr>
              <w:t xml:space="preserve">Report of </w:t>
            </w:r>
            <w:r w:rsidR="00A013D8" w:rsidRPr="00194D5A">
              <w:rPr>
                <w:rFonts w:asciiTheme="minorHAnsi" w:hAnsiTheme="minorHAnsi" w:cstheme="minorHAnsi"/>
                <w:sz w:val="18"/>
                <w:szCs w:val="18"/>
              </w:rPr>
              <w:t>inci</w:t>
            </w:r>
            <w:r w:rsidRPr="00194D5A">
              <w:rPr>
                <w:rFonts w:asciiTheme="minorHAnsi" w:hAnsiTheme="minorHAnsi" w:cstheme="minorHAnsi"/>
                <w:sz w:val="18"/>
                <w:szCs w:val="18"/>
              </w:rPr>
              <w:t>dent</w:t>
            </w:r>
          </w:p>
        </w:tc>
        <w:tc>
          <w:tcPr>
            <w:tcW w:w="5760" w:type="dxa"/>
            <w:vAlign w:val="center"/>
          </w:tcPr>
          <w:p w14:paraId="25DA9268" w14:textId="36F71375" w:rsidR="00DB3294" w:rsidRPr="00194D5A" w:rsidRDefault="00A013D8" w:rsidP="00683926">
            <w:pPr>
              <w:widowControl w:val="0"/>
              <w:rPr>
                <w:rFonts w:asciiTheme="minorHAnsi" w:hAnsiTheme="minorHAnsi" w:cstheme="minorHAnsi"/>
                <w:sz w:val="18"/>
                <w:szCs w:val="18"/>
              </w:rPr>
            </w:pPr>
            <w:r w:rsidRPr="00194D5A">
              <w:rPr>
                <w:rFonts w:asciiTheme="minorHAnsi" w:hAnsiTheme="minorHAnsi" w:cstheme="minorHAnsi"/>
                <w:sz w:val="18"/>
                <w:szCs w:val="18"/>
              </w:rPr>
              <w:t>This information is used to document that a loss of mechanical integrity event has occurred within the park.</w:t>
            </w:r>
          </w:p>
        </w:tc>
      </w:tr>
      <w:tr w:rsidR="00E02243" w:rsidRPr="00194D5A" w14:paraId="2A77B13E" w14:textId="77777777" w:rsidTr="000611F4">
        <w:tc>
          <w:tcPr>
            <w:tcW w:w="9540" w:type="dxa"/>
            <w:gridSpan w:val="2"/>
            <w:vAlign w:val="center"/>
          </w:tcPr>
          <w:p w14:paraId="2FC16CCD" w14:textId="77777777" w:rsidR="00DB3294" w:rsidRPr="00194D5A" w:rsidRDefault="00DB3294" w:rsidP="00683926">
            <w:pPr>
              <w:widowControl w:val="0"/>
              <w:rPr>
                <w:rFonts w:asciiTheme="minorHAnsi" w:hAnsiTheme="minorHAnsi" w:cstheme="minorHAnsi"/>
                <w:sz w:val="18"/>
                <w:szCs w:val="18"/>
              </w:rPr>
            </w:pPr>
            <w:r w:rsidRPr="00194D5A">
              <w:rPr>
                <w:rFonts w:asciiTheme="minorHAnsi" w:hAnsiTheme="minorHAnsi" w:cstheme="minorHAnsi"/>
                <w:b/>
                <w:sz w:val="18"/>
                <w:szCs w:val="18"/>
              </w:rPr>
              <w:t>Operating Standards – Production (</w:t>
            </w:r>
            <w:r w:rsidRPr="00194D5A">
              <w:rPr>
                <w:rFonts w:asciiTheme="minorHAnsi" w:hAnsiTheme="minorHAnsi" w:cstheme="minorHAnsi"/>
                <w:sz w:val="18"/>
                <w:szCs w:val="18"/>
              </w:rPr>
              <w:t>§9.118(c))</w:t>
            </w:r>
          </w:p>
        </w:tc>
      </w:tr>
      <w:tr w:rsidR="00E02243" w:rsidRPr="00194D5A" w14:paraId="792B4D5D" w14:textId="77777777" w:rsidTr="000611F4">
        <w:tc>
          <w:tcPr>
            <w:tcW w:w="3780" w:type="dxa"/>
            <w:vAlign w:val="center"/>
          </w:tcPr>
          <w:p w14:paraId="4CD756EA" w14:textId="77777777" w:rsidR="00DB3294" w:rsidRPr="00194D5A" w:rsidRDefault="00DB3294" w:rsidP="00683926">
            <w:pPr>
              <w:widowControl w:val="0"/>
              <w:ind w:left="250"/>
              <w:rPr>
                <w:rFonts w:asciiTheme="minorHAnsi" w:hAnsiTheme="minorHAnsi" w:cstheme="minorHAnsi"/>
                <w:sz w:val="18"/>
                <w:szCs w:val="18"/>
              </w:rPr>
            </w:pPr>
            <w:r w:rsidRPr="00194D5A">
              <w:rPr>
                <w:rFonts w:asciiTheme="minorHAnsi" w:hAnsiTheme="minorHAnsi" w:cstheme="minorHAnsi"/>
                <w:sz w:val="18"/>
                <w:szCs w:val="18"/>
              </w:rPr>
              <w:t>Document maintenance of mechanical integrity</w:t>
            </w:r>
          </w:p>
        </w:tc>
        <w:tc>
          <w:tcPr>
            <w:tcW w:w="5760" w:type="dxa"/>
            <w:vAlign w:val="center"/>
          </w:tcPr>
          <w:p w14:paraId="665F82D7" w14:textId="5585A099" w:rsidR="00DB3294" w:rsidRPr="00194D5A" w:rsidRDefault="009D5E5F" w:rsidP="00683926">
            <w:pPr>
              <w:widowControl w:val="0"/>
              <w:rPr>
                <w:rFonts w:asciiTheme="minorHAnsi" w:hAnsiTheme="minorHAnsi" w:cstheme="minorHAnsi"/>
                <w:sz w:val="18"/>
                <w:szCs w:val="18"/>
              </w:rPr>
            </w:pPr>
            <w:r w:rsidRPr="00194D5A">
              <w:rPr>
                <w:rFonts w:asciiTheme="minorHAnsi" w:hAnsiTheme="minorHAnsi" w:cstheme="minorHAnsi"/>
                <w:sz w:val="18"/>
                <w:szCs w:val="18"/>
              </w:rPr>
              <w:t>This information is used to document that mechanical integrity is being maintained through periodic testing</w:t>
            </w:r>
            <w:r w:rsidR="000E3929" w:rsidRPr="00194D5A">
              <w:rPr>
                <w:rFonts w:asciiTheme="minorHAnsi" w:hAnsiTheme="minorHAnsi" w:cstheme="minorHAnsi"/>
                <w:sz w:val="18"/>
                <w:szCs w:val="18"/>
              </w:rPr>
              <w:t xml:space="preserve"> demonstrating that downhole conditions have not changed.</w:t>
            </w:r>
          </w:p>
        </w:tc>
      </w:tr>
      <w:tr w:rsidR="00E02243" w:rsidRPr="00194D5A" w14:paraId="49965A79" w14:textId="77777777" w:rsidTr="000611F4">
        <w:tc>
          <w:tcPr>
            <w:tcW w:w="3780" w:type="dxa"/>
            <w:vAlign w:val="center"/>
          </w:tcPr>
          <w:p w14:paraId="0D43F222" w14:textId="77777777" w:rsidR="00DB3294" w:rsidRPr="00194D5A" w:rsidRDefault="00DB3294" w:rsidP="00683926">
            <w:pPr>
              <w:widowControl w:val="0"/>
              <w:ind w:left="250"/>
              <w:rPr>
                <w:rFonts w:asciiTheme="minorHAnsi" w:hAnsiTheme="minorHAnsi" w:cstheme="minorHAnsi"/>
                <w:sz w:val="18"/>
                <w:szCs w:val="18"/>
              </w:rPr>
            </w:pPr>
            <w:r w:rsidRPr="00194D5A">
              <w:rPr>
                <w:rFonts w:asciiTheme="minorHAnsi" w:hAnsiTheme="minorHAnsi" w:cstheme="minorHAnsi"/>
                <w:sz w:val="18"/>
                <w:szCs w:val="18"/>
              </w:rPr>
              <w:t>Signage to identify wells</w:t>
            </w:r>
          </w:p>
        </w:tc>
        <w:tc>
          <w:tcPr>
            <w:tcW w:w="5760" w:type="dxa"/>
            <w:vAlign w:val="center"/>
          </w:tcPr>
          <w:p w14:paraId="0BB2132D" w14:textId="6884D72F" w:rsidR="00DB3294" w:rsidRPr="00194D5A" w:rsidRDefault="000E3929" w:rsidP="00683926">
            <w:pPr>
              <w:widowControl w:val="0"/>
              <w:rPr>
                <w:rFonts w:asciiTheme="minorHAnsi" w:hAnsiTheme="minorHAnsi" w:cstheme="minorHAnsi"/>
                <w:sz w:val="18"/>
                <w:szCs w:val="18"/>
              </w:rPr>
            </w:pPr>
            <w:r w:rsidRPr="00194D5A">
              <w:rPr>
                <w:rFonts w:asciiTheme="minorHAnsi" w:hAnsiTheme="minorHAnsi" w:cstheme="minorHAnsi"/>
                <w:sz w:val="18"/>
                <w:szCs w:val="18"/>
              </w:rPr>
              <w:t>Signs at the wellsite inform the NPS of the operator’s contact information in case of emergency.</w:t>
            </w:r>
          </w:p>
        </w:tc>
      </w:tr>
      <w:tr w:rsidR="00E02243" w:rsidRPr="00194D5A" w14:paraId="7AEE2B22" w14:textId="77777777" w:rsidTr="000611F4">
        <w:tc>
          <w:tcPr>
            <w:tcW w:w="9540" w:type="dxa"/>
            <w:gridSpan w:val="2"/>
            <w:vAlign w:val="center"/>
          </w:tcPr>
          <w:p w14:paraId="2819A57B" w14:textId="77777777" w:rsidR="00DB3294" w:rsidRPr="00194D5A" w:rsidRDefault="00DB3294" w:rsidP="00683926">
            <w:pPr>
              <w:widowControl w:val="0"/>
              <w:rPr>
                <w:rFonts w:asciiTheme="minorHAnsi" w:hAnsiTheme="minorHAnsi" w:cstheme="minorHAnsi"/>
                <w:sz w:val="18"/>
                <w:szCs w:val="18"/>
              </w:rPr>
            </w:pPr>
            <w:r w:rsidRPr="00194D5A">
              <w:rPr>
                <w:rFonts w:asciiTheme="minorHAnsi" w:hAnsiTheme="minorHAnsi" w:cstheme="minorHAnsi"/>
                <w:b/>
                <w:sz w:val="18"/>
                <w:szCs w:val="18"/>
              </w:rPr>
              <w:t>General</w:t>
            </w:r>
            <w:r w:rsidRPr="00194D5A">
              <w:rPr>
                <w:rFonts w:asciiTheme="minorHAnsi" w:hAnsiTheme="minorHAnsi" w:cstheme="minorHAnsi"/>
                <w:sz w:val="18"/>
                <w:szCs w:val="18"/>
              </w:rPr>
              <w:t xml:space="preserve"> </w:t>
            </w:r>
            <w:r w:rsidRPr="00194D5A">
              <w:rPr>
                <w:rFonts w:asciiTheme="minorHAnsi" w:hAnsiTheme="minorHAnsi" w:cstheme="minorHAnsi"/>
                <w:b/>
                <w:sz w:val="18"/>
                <w:szCs w:val="18"/>
              </w:rPr>
              <w:t>Terms and Conditions (§§ 9.120 – 9.122)</w:t>
            </w:r>
          </w:p>
        </w:tc>
      </w:tr>
      <w:tr w:rsidR="00E02243" w:rsidRPr="00194D5A" w14:paraId="7720106D" w14:textId="77777777" w:rsidTr="000611F4">
        <w:tc>
          <w:tcPr>
            <w:tcW w:w="3780" w:type="dxa"/>
            <w:vAlign w:val="center"/>
          </w:tcPr>
          <w:p w14:paraId="1DF9B42F" w14:textId="77777777" w:rsidR="00DB3294" w:rsidRPr="00194D5A" w:rsidRDefault="00DB3294" w:rsidP="00683926">
            <w:pPr>
              <w:widowControl w:val="0"/>
              <w:ind w:left="250"/>
              <w:rPr>
                <w:rFonts w:asciiTheme="minorHAnsi" w:hAnsiTheme="minorHAnsi" w:cstheme="minorHAnsi"/>
                <w:sz w:val="18"/>
                <w:szCs w:val="18"/>
              </w:rPr>
            </w:pPr>
            <w:r w:rsidRPr="00194D5A">
              <w:rPr>
                <w:rFonts w:asciiTheme="minorHAnsi" w:hAnsiTheme="minorHAnsi" w:cstheme="minorHAnsi"/>
                <w:sz w:val="18"/>
                <w:szCs w:val="18"/>
              </w:rPr>
              <w:t>Affidavit that proposed operations are in compliance with all laws and that information submitted to NPS is accurate</w:t>
            </w:r>
          </w:p>
        </w:tc>
        <w:tc>
          <w:tcPr>
            <w:tcW w:w="5760" w:type="dxa"/>
            <w:vAlign w:val="center"/>
          </w:tcPr>
          <w:p w14:paraId="3DA17C08" w14:textId="026EDF55" w:rsidR="00DB3294" w:rsidRPr="00194D5A" w:rsidRDefault="00F92503" w:rsidP="00683926">
            <w:pPr>
              <w:widowControl w:val="0"/>
              <w:rPr>
                <w:rFonts w:asciiTheme="minorHAnsi" w:hAnsiTheme="minorHAnsi" w:cstheme="minorHAnsi"/>
                <w:sz w:val="18"/>
                <w:szCs w:val="18"/>
              </w:rPr>
            </w:pPr>
            <w:r w:rsidRPr="00194D5A">
              <w:rPr>
                <w:rFonts w:asciiTheme="minorHAnsi" w:hAnsiTheme="minorHAnsi" w:cstheme="minorHAnsi"/>
                <w:sz w:val="18"/>
                <w:szCs w:val="18"/>
              </w:rPr>
              <w:t>This information is used to</w:t>
            </w:r>
            <w:r w:rsidR="00EB5DF0" w:rsidRPr="00194D5A">
              <w:rPr>
                <w:rFonts w:asciiTheme="minorHAnsi" w:hAnsiTheme="minorHAnsi" w:cstheme="minorHAnsi"/>
                <w:sz w:val="18"/>
                <w:szCs w:val="18"/>
              </w:rPr>
              <w:t xml:space="preserve"> document that the operator is in compliance with all applicable laws</w:t>
            </w:r>
            <w:r w:rsidRPr="00194D5A">
              <w:rPr>
                <w:rFonts w:asciiTheme="minorHAnsi" w:hAnsiTheme="minorHAnsi" w:cstheme="minorHAnsi"/>
                <w:sz w:val="18"/>
                <w:szCs w:val="18"/>
              </w:rPr>
              <w:t xml:space="preserve">. </w:t>
            </w:r>
            <w:r w:rsidR="00EB5DF0" w:rsidRPr="00194D5A">
              <w:rPr>
                <w:rFonts w:asciiTheme="minorHAnsi" w:hAnsiTheme="minorHAnsi" w:cstheme="minorHAnsi"/>
                <w:sz w:val="18"/>
                <w:szCs w:val="18"/>
              </w:rPr>
              <w:t>The affidavit is also used to ensure that information provided to the NPS is true and correct.</w:t>
            </w:r>
          </w:p>
        </w:tc>
      </w:tr>
      <w:tr w:rsidR="00E02243" w:rsidRPr="00194D5A" w14:paraId="280C2F29" w14:textId="77777777" w:rsidTr="000611F4">
        <w:tc>
          <w:tcPr>
            <w:tcW w:w="3780" w:type="dxa"/>
            <w:vAlign w:val="center"/>
          </w:tcPr>
          <w:p w14:paraId="2423176A" w14:textId="77777777" w:rsidR="00DB3294" w:rsidRPr="00194D5A" w:rsidRDefault="00DB3294" w:rsidP="00683926">
            <w:pPr>
              <w:widowControl w:val="0"/>
              <w:ind w:left="250"/>
              <w:rPr>
                <w:rFonts w:asciiTheme="minorHAnsi" w:hAnsiTheme="minorHAnsi" w:cstheme="minorHAnsi"/>
                <w:sz w:val="18"/>
                <w:szCs w:val="18"/>
              </w:rPr>
            </w:pPr>
            <w:r w:rsidRPr="00194D5A">
              <w:rPr>
                <w:rFonts w:asciiTheme="minorHAnsi" w:hAnsiTheme="minorHAnsi" w:cstheme="minorHAnsi"/>
                <w:sz w:val="18"/>
                <w:szCs w:val="18"/>
              </w:rPr>
              <w:t>Third-Party Monitor Report</w:t>
            </w:r>
          </w:p>
        </w:tc>
        <w:tc>
          <w:tcPr>
            <w:tcW w:w="5760" w:type="dxa"/>
            <w:vAlign w:val="center"/>
          </w:tcPr>
          <w:p w14:paraId="396663B7" w14:textId="4B8FCD04" w:rsidR="00DB3294" w:rsidRPr="00194D5A" w:rsidRDefault="003E4032" w:rsidP="00683926">
            <w:pPr>
              <w:widowControl w:val="0"/>
              <w:rPr>
                <w:rFonts w:asciiTheme="minorHAnsi" w:hAnsiTheme="minorHAnsi" w:cstheme="minorHAnsi"/>
                <w:sz w:val="18"/>
                <w:szCs w:val="18"/>
              </w:rPr>
            </w:pPr>
            <w:r w:rsidRPr="00194D5A">
              <w:rPr>
                <w:rFonts w:asciiTheme="minorHAnsi" w:hAnsiTheme="minorHAnsi" w:cstheme="minorHAnsi"/>
                <w:sz w:val="18"/>
                <w:szCs w:val="18"/>
              </w:rPr>
              <w:t xml:space="preserve">The information provided by a third-party monitor is used to ensure that the operator is </w:t>
            </w:r>
            <w:r w:rsidR="006B57F7" w:rsidRPr="00194D5A">
              <w:rPr>
                <w:rFonts w:asciiTheme="minorHAnsi" w:hAnsiTheme="minorHAnsi" w:cstheme="minorHAnsi"/>
                <w:sz w:val="18"/>
                <w:szCs w:val="18"/>
              </w:rPr>
              <w:t>in compliance with their</w:t>
            </w:r>
            <w:r w:rsidRPr="00194D5A">
              <w:rPr>
                <w:rFonts w:asciiTheme="minorHAnsi" w:hAnsiTheme="minorHAnsi" w:cstheme="minorHAnsi"/>
                <w:sz w:val="18"/>
                <w:szCs w:val="18"/>
              </w:rPr>
              <w:t xml:space="preserve"> Operations Permit and the 9B Regulations.</w:t>
            </w:r>
          </w:p>
        </w:tc>
      </w:tr>
      <w:tr w:rsidR="00E02243" w:rsidRPr="00194D5A" w14:paraId="79F58C99" w14:textId="77777777" w:rsidTr="000611F4">
        <w:tc>
          <w:tcPr>
            <w:tcW w:w="3780" w:type="dxa"/>
            <w:vAlign w:val="center"/>
          </w:tcPr>
          <w:p w14:paraId="7679FCE7" w14:textId="77777777" w:rsidR="00DB3294" w:rsidRPr="00194D5A" w:rsidRDefault="00DB3294" w:rsidP="00683926">
            <w:pPr>
              <w:widowControl w:val="0"/>
              <w:ind w:left="250"/>
              <w:rPr>
                <w:rFonts w:asciiTheme="minorHAnsi" w:hAnsiTheme="minorHAnsi" w:cstheme="minorHAnsi"/>
                <w:sz w:val="18"/>
                <w:szCs w:val="18"/>
              </w:rPr>
            </w:pPr>
            <w:r w:rsidRPr="00194D5A">
              <w:rPr>
                <w:rFonts w:asciiTheme="minorHAnsi" w:hAnsiTheme="minorHAnsi" w:cstheme="minorHAnsi"/>
                <w:sz w:val="18"/>
                <w:szCs w:val="18"/>
              </w:rPr>
              <w:t>Notification - Accidents involving Serious Personal Injuries/Death and Fires/Spills</w:t>
            </w:r>
          </w:p>
        </w:tc>
        <w:tc>
          <w:tcPr>
            <w:tcW w:w="5760" w:type="dxa"/>
            <w:vAlign w:val="center"/>
          </w:tcPr>
          <w:p w14:paraId="5D7F5BE7" w14:textId="727A79DF" w:rsidR="00DB3294" w:rsidRPr="00194D5A" w:rsidRDefault="006B57F7" w:rsidP="00683926">
            <w:pPr>
              <w:widowControl w:val="0"/>
              <w:rPr>
                <w:rFonts w:asciiTheme="minorHAnsi" w:hAnsiTheme="minorHAnsi" w:cstheme="minorHAnsi"/>
                <w:sz w:val="18"/>
                <w:szCs w:val="18"/>
              </w:rPr>
            </w:pPr>
            <w:r w:rsidRPr="00194D5A">
              <w:rPr>
                <w:rFonts w:asciiTheme="minorHAnsi" w:hAnsiTheme="minorHAnsi" w:cstheme="minorHAnsi"/>
                <w:sz w:val="18"/>
                <w:szCs w:val="18"/>
              </w:rPr>
              <w:t>The NPS uses this information to an</w:t>
            </w:r>
            <w:r w:rsidR="007D5140" w:rsidRPr="00194D5A">
              <w:rPr>
                <w:rFonts w:asciiTheme="minorHAnsi" w:hAnsiTheme="minorHAnsi" w:cstheme="minorHAnsi"/>
                <w:sz w:val="18"/>
                <w:szCs w:val="18"/>
              </w:rPr>
              <w:t xml:space="preserve">alyze what </w:t>
            </w:r>
            <w:r w:rsidRPr="00194D5A">
              <w:rPr>
                <w:rFonts w:asciiTheme="minorHAnsi" w:hAnsiTheme="minorHAnsi" w:cstheme="minorHAnsi"/>
                <w:sz w:val="18"/>
                <w:szCs w:val="18"/>
              </w:rPr>
              <w:t xml:space="preserve">impacts to park resources or visitor health and safety may be caused by </w:t>
            </w:r>
            <w:r w:rsidR="007D5140" w:rsidRPr="00194D5A">
              <w:rPr>
                <w:rFonts w:asciiTheme="minorHAnsi" w:hAnsiTheme="minorHAnsi" w:cstheme="minorHAnsi"/>
                <w:sz w:val="18"/>
                <w:szCs w:val="18"/>
              </w:rPr>
              <w:t>an accident, fire, or spill</w:t>
            </w:r>
            <w:r w:rsidRPr="00194D5A">
              <w:rPr>
                <w:rFonts w:asciiTheme="minorHAnsi" w:hAnsiTheme="minorHAnsi" w:cstheme="minorHAnsi"/>
                <w:sz w:val="18"/>
                <w:szCs w:val="18"/>
              </w:rPr>
              <w:t>.  This information is analyzed to develop an appropriate response plan.</w:t>
            </w:r>
          </w:p>
        </w:tc>
      </w:tr>
      <w:tr w:rsidR="00E02243" w:rsidRPr="00194D5A" w14:paraId="7DA4914E" w14:textId="77777777" w:rsidTr="000611F4">
        <w:tc>
          <w:tcPr>
            <w:tcW w:w="3780" w:type="dxa"/>
            <w:vAlign w:val="center"/>
          </w:tcPr>
          <w:p w14:paraId="5C1FC80F" w14:textId="77777777" w:rsidR="007D5140" w:rsidRPr="00194D5A" w:rsidRDefault="007D5140" w:rsidP="00683926">
            <w:pPr>
              <w:widowControl w:val="0"/>
              <w:ind w:left="250"/>
              <w:rPr>
                <w:rFonts w:asciiTheme="minorHAnsi" w:hAnsiTheme="minorHAnsi" w:cstheme="minorHAnsi"/>
                <w:sz w:val="18"/>
                <w:szCs w:val="18"/>
              </w:rPr>
            </w:pPr>
            <w:r w:rsidRPr="00194D5A">
              <w:rPr>
                <w:rFonts w:asciiTheme="minorHAnsi" w:hAnsiTheme="minorHAnsi" w:cstheme="minorHAnsi"/>
                <w:sz w:val="18"/>
                <w:szCs w:val="18"/>
              </w:rPr>
              <w:t>Written Report - Accidents Involving Serious Injuries/Deaths and Fires/Spills</w:t>
            </w:r>
          </w:p>
        </w:tc>
        <w:tc>
          <w:tcPr>
            <w:tcW w:w="5760" w:type="dxa"/>
            <w:vAlign w:val="center"/>
          </w:tcPr>
          <w:p w14:paraId="6940FFDC" w14:textId="74513049" w:rsidR="007D5140" w:rsidRPr="00194D5A" w:rsidRDefault="007D5140" w:rsidP="00683926">
            <w:pPr>
              <w:widowControl w:val="0"/>
              <w:rPr>
                <w:rFonts w:asciiTheme="minorHAnsi" w:hAnsiTheme="minorHAnsi" w:cstheme="minorHAnsi"/>
                <w:sz w:val="18"/>
                <w:szCs w:val="18"/>
              </w:rPr>
            </w:pPr>
            <w:r w:rsidRPr="00194D5A">
              <w:rPr>
                <w:rFonts w:asciiTheme="minorHAnsi" w:hAnsiTheme="minorHAnsi" w:cstheme="minorHAnsi"/>
                <w:sz w:val="18"/>
                <w:szCs w:val="18"/>
              </w:rPr>
              <w:t>This information is used to document that an accident, fire, or spill has occurred within the park.</w:t>
            </w:r>
          </w:p>
        </w:tc>
      </w:tr>
      <w:tr w:rsidR="00E02243" w:rsidRPr="00194D5A" w14:paraId="1768E4D5" w14:textId="77777777" w:rsidTr="000611F4">
        <w:tc>
          <w:tcPr>
            <w:tcW w:w="3780" w:type="dxa"/>
            <w:vAlign w:val="center"/>
          </w:tcPr>
          <w:p w14:paraId="2D675D3D" w14:textId="77777777" w:rsidR="007D5140" w:rsidRPr="00194D5A" w:rsidRDefault="007D5140" w:rsidP="00683926">
            <w:pPr>
              <w:widowControl w:val="0"/>
              <w:ind w:left="250"/>
              <w:rPr>
                <w:rFonts w:asciiTheme="minorHAnsi" w:hAnsiTheme="minorHAnsi" w:cstheme="minorHAnsi"/>
                <w:sz w:val="18"/>
                <w:szCs w:val="18"/>
              </w:rPr>
            </w:pPr>
            <w:r w:rsidRPr="00194D5A">
              <w:rPr>
                <w:rFonts w:asciiTheme="minorHAnsi" w:hAnsiTheme="minorHAnsi" w:cstheme="minorHAnsi"/>
                <w:sz w:val="18"/>
                <w:szCs w:val="18"/>
              </w:rPr>
              <w:t>Notification – Discovery of any cultural or scientific resources</w:t>
            </w:r>
          </w:p>
        </w:tc>
        <w:tc>
          <w:tcPr>
            <w:tcW w:w="5760" w:type="dxa"/>
            <w:vAlign w:val="center"/>
          </w:tcPr>
          <w:p w14:paraId="6C190886" w14:textId="5AB6E4A6" w:rsidR="007D5140" w:rsidRPr="00194D5A" w:rsidRDefault="007D5140" w:rsidP="00683926">
            <w:pPr>
              <w:widowControl w:val="0"/>
              <w:rPr>
                <w:rFonts w:asciiTheme="minorHAnsi" w:hAnsiTheme="minorHAnsi" w:cstheme="minorHAnsi"/>
                <w:sz w:val="18"/>
                <w:szCs w:val="18"/>
              </w:rPr>
            </w:pPr>
            <w:r w:rsidRPr="00194D5A">
              <w:rPr>
                <w:rFonts w:asciiTheme="minorHAnsi" w:hAnsiTheme="minorHAnsi" w:cstheme="minorHAnsi"/>
                <w:sz w:val="18"/>
                <w:szCs w:val="18"/>
              </w:rPr>
              <w:t xml:space="preserve">The NPS uses this information to analyze the potential impacts of the operation on previously undiscovered cultural or scientific resources.  The information is then used to develop a plan for the protection </w:t>
            </w:r>
            <w:r w:rsidR="00D46622" w:rsidRPr="00194D5A">
              <w:rPr>
                <w:rFonts w:asciiTheme="minorHAnsi" w:hAnsiTheme="minorHAnsi" w:cstheme="minorHAnsi"/>
                <w:sz w:val="18"/>
                <w:szCs w:val="18"/>
              </w:rPr>
              <w:t>of the</w:t>
            </w:r>
            <w:r w:rsidRPr="00194D5A">
              <w:rPr>
                <w:rFonts w:asciiTheme="minorHAnsi" w:hAnsiTheme="minorHAnsi" w:cstheme="minorHAnsi"/>
                <w:sz w:val="18"/>
                <w:szCs w:val="18"/>
              </w:rPr>
              <w:t>se resources.</w:t>
            </w:r>
          </w:p>
        </w:tc>
      </w:tr>
      <w:tr w:rsidR="00E02243" w:rsidRPr="00194D5A" w14:paraId="2BE7D401" w14:textId="77777777" w:rsidTr="000611F4">
        <w:tc>
          <w:tcPr>
            <w:tcW w:w="3780" w:type="dxa"/>
            <w:vAlign w:val="center"/>
          </w:tcPr>
          <w:p w14:paraId="2E1F8570" w14:textId="77777777" w:rsidR="007D5140" w:rsidRPr="00194D5A" w:rsidRDefault="007D5140" w:rsidP="00683926">
            <w:pPr>
              <w:widowControl w:val="0"/>
              <w:ind w:left="250"/>
              <w:rPr>
                <w:rFonts w:asciiTheme="minorHAnsi" w:hAnsiTheme="minorHAnsi" w:cstheme="minorHAnsi"/>
                <w:sz w:val="18"/>
                <w:szCs w:val="18"/>
              </w:rPr>
            </w:pPr>
            <w:r w:rsidRPr="00194D5A">
              <w:rPr>
                <w:rFonts w:asciiTheme="minorHAnsi" w:hAnsiTheme="minorHAnsi" w:cstheme="minorHAnsi"/>
                <w:sz w:val="18"/>
                <w:szCs w:val="18"/>
              </w:rPr>
              <w:t>Report - Verify Compliance with Permits</w:t>
            </w:r>
          </w:p>
        </w:tc>
        <w:tc>
          <w:tcPr>
            <w:tcW w:w="5760" w:type="dxa"/>
            <w:vAlign w:val="center"/>
          </w:tcPr>
          <w:p w14:paraId="6EF44429" w14:textId="5FA2507B" w:rsidR="007D5140" w:rsidRPr="00194D5A" w:rsidRDefault="00D46622" w:rsidP="00683926">
            <w:pPr>
              <w:widowControl w:val="0"/>
              <w:rPr>
                <w:rFonts w:asciiTheme="minorHAnsi" w:hAnsiTheme="minorHAnsi" w:cstheme="minorHAnsi"/>
                <w:sz w:val="18"/>
                <w:szCs w:val="18"/>
              </w:rPr>
            </w:pPr>
            <w:r w:rsidRPr="00194D5A">
              <w:rPr>
                <w:rFonts w:asciiTheme="minorHAnsi" w:hAnsiTheme="minorHAnsi" w:cstheme="minorHAnsi"/>
                <w:sz w:val="18"/>
                <w:szCs w:val="18"/>
              </w:rPr>
              <w:t>This information is used to analyze the operating conditions and methods to determine compliance with an approved Operations Permit.</w:t>
            </w:r>
          </w:p>
        </w:tc>
      </w:tr>
      <w:tr w:rsidR="00E02243" w:rsidRPr="00194D5A" w14:paraId="567032CF" w14:textId="77777777" w:rsidTr="000611F4">
        <w:tc>
          <w:tcPr>
            <w:tcW w:w="3780" w:type="dxa"/>
            <w:vAlign w:val="center"/>
          </w:tcPr>
          <w:p w14:paraId="77BCEE9F" w14:textId="77777777" w:rsidR="007D5140" w:rsidRPr="00194D5A" w:rsidRDefault="007D5140" w:rsidP="00683926">
            <w:pPr>
              <w:widowControl w:val="0"/>
              <w:ind w:left="250"/>
              <w:rPr>
                <w:rFonts w:asciiTheme="minorHAnsi" w:hAnsiTheme="minorHAnsi" w:cstheme="minorHAnsi"/>
                <w:sz w:val="18"/>
                <w:szCs w:val="18"/>
              </w:rPr>
            </w:pPr>
            <w:r w:rsidRPr="00194D5A">
              <w:rPr>
                <w:rFonts w:asciiTheme="minorHAnsi" w:hAnsiTheme="minorHAnsi" w:cstheme="minorHAnsi"/>
                <w:sz w:val="18"/>
                <w:szCs w:val="18"/>
              </w:rPr>
              <w:t>Reporting for Hydraulic Fracturing</w:t>
            </w:r>
          </w:p>
        </w:tc>
        <w:tc>
          <w:tcPr>
            <w:tcW w:w="5760" w:type="dxa"/>
            <w:vAlign w:val="center"/>
          </w:tcPr>
          <w:p w14:paraId="092E75F7" w14:textId="70F661D0" w:rsidR="007D5140" w:rsidRPr="00194D5A" w:rsidRDefault="00BA4132" w:rsidP="00683926">
            <w:pPr>
              <w:widowControl w:val="0"/>
              <w:rPr>
                <w:rFonts w:asciiTheme="minorHAnsi" w:hAnsiTheme="minorHAnsi" w:cstheme="minorHAnsi"/>
                <w:sz w:val="18"/>
                <w:szCs w:val="18"/>
              </w:rPr>
            </w:pPr>
            <w:r w:rsidRPr="00194D5A">
              <w:rPr>
                <w:rFonts w:asciiTheme="minorHAnsi" w:hAnsiTheme="minorHAnsi" w:cstheme="minorHAnsi"/>
                <w:sz w:val="18"/>
                <w:szCs w:val="18"/>
              </w:rPr>
              <w:t>This information is used to document the procedures and methods used for a hydraulic fracturing operation conducted under an approved Operations Permit.</w:t>
            </w:r>
          </w:p>
        </w:tc>
      </w:tr>
      <w:tr w:rsidR="00E02243" w:rsidRPr="00194D5A" w14:paraId="18CA2FD0" w14:textId="77777777" w:rsidTr="000611F4">
        <w:tc>
          <w:tcPr>
            <w:tcW w:w="3780" w:type="dxa"/>
            <w:vAlign w:val="center"/>
          </w:tcPr>
          <w:p w14:paraId="295A243D" w14:textId="77777777" w:rsidR="007D5140" w:rsidRPr="00194D5A" w:rsidRDefault="007D5140" w:rsidP="00683926">
            <w:pPr>
              <w:widowControl w:val="0"/>
              <w:ind w:left="248"/>
              <w:rPr>
                <w:rFonts w:asciiTheme="minorHAnsi" w:hAnsiTheme="minorHAnsi" w:cstheme="minorHAnsi"/>
                <w:sz w:val="18"/>
                <w:szCs w:val="18"/>
              </w:rPr>
            </w:pPr>
            <w:r w:rsidRPr="00194D5A">
              <w:rPr>
                <w:rFonts w:asciiTheme="minorHAnsi" w:hAnsiTheme="minorHAnsi" w:cstheme="minorHAnsi"/>
                <w:sz w:val="18"/>
                <w:szCs w:val="18"/>
              </w:rPr>
              <w:t>Financial Assurance (§§ 9.140 – 9.144)</w:t>
            </w:r>
          </w:p>
        </w:tc>
        <w:tc>
          <w:tcPr>
            <w:tcW w:w="5760" w:type="dxa"/>
            <w:vAlign w:val="center"/>
          </w:tcPr>
          <w:p w14:paraId="1472F268" w14:textId="37134E51" w:rsidR="007D5140" w:rsidRPr="00194D5A" w:rsidRDefault="00BA4132" w:rsidP="00683926">
            <w:pPr>
              <w:widowControl w:val="0"/>
              <w:rPr>
                <w:rFonts w:asciiTheme="minorHAnsi" w:hAnsiTheme="minorHAnsi" w:cstheme="minorHAnsi"/>
                <w:sz w:val="18"/>
                <w:szCs w:val="18"/>
              </w:rPr>
            </w:pPr>
            <w:r w:rsidRPr="00194D5A">
              <w:rPr>
                <w:rFonts w:asciiTheme="minorHAnsi" w:hAnsiTheme="minorHAnsi" w:cstheme="minorHAnsi"/>
                <w:sz w:val="18"/>
                <w:szCs w:val="18"/>
              </w:rPr>
              <w:t>Th</w:t>
            </w:r>
            <w:r w:rsidR="00EC14C5" w:rsidRPr="00194D5A">
              <w:rPr>
                <w:rFonts w:asciiTheme="minorHAnsi" w:hAnsiTheme="minorHAnsi" w:cstheme="minorHAnsi"/>
                <w:sz w:val="18"/>
                <w:szCs w:val="18"/>
              </w:rPr>
              <w:t>is</w:t>
            </w:r>
            <w:r w:rsidRPr="00194D5A">
              <w:rPr>
                <w:rFonts w:asciiTheme="minorHAnsi" w:hAnsiTheme="minorHAnsi" w:cstheme="minorHAnsi"/>
                <w:sz w:val="18"/>
                <w:szCs w:val="18"/>
              </w:rPr>
              <w:t xml:space="preserve"> </w:t>
            </w:r>
            <w:r w:rsidR="00B74AD5" w:rsidRPr="00194D5A">
              <w:rPr>
                <w:rFonts w:asciiTheme="minorHAnsi" w:hAnsiTheme="minorHAnsi" w:cstheme="minorHAnsi"/>
                <w:sz w:val="18"/>
                <w:szCs w:val="18"/>
              </w:rPr>
              <w:t xml:space="preserve">information </w:t>
            </w:r>
            <w:r w:rsidR="00EC14C5" w:rsidRPr="00194D5A">
              <w:rPr>
                <w:rFonts w:asciiTheme="minorHAnsi" w:hAnsiTheme="minorHAnsi" w:cstheme="minorHAnsi"/>
                <w:sz w:val="18"/>
                <w:szCs w:val="18"/>
              </w:rPr>
              <w:t xml:space="preserve">is used to </w:t>
            </w:r>
            <w:r w:rsidR="00B74AD5" w:rsidRPr="00194D5A">
              <w:rPr>
                <w:rFonts w:asciiTheme="minorHAnsi" w:hAnsiTheme="minorHAnsi" w:cstheme="minorHAnsi"/>
                <w:sz w:val="18"/>
                <w:szCs w:val="18"/>
              </w:rPr>
              <w:t xml:space="preserve">establish the reasonable cost of reclamation </w:t>
            </w:r>
            <w:r w:rsidR="00EC14C5" w:rsidRPr="00194D5A">
              <w:rPr>
                <w:rFonts w:asciiTheme="minorHAnsi" w:hAnsiTheme="minorHAnsi" w:cstheme="minorHAnsi"/>
                <w:sz w:val="18"/>
                <w:szCs w:val="18"/>
              </w:rPr>
              <w:t xml:space="preserve">and </w:t>
            </w:r>
            <w:r w:rsidR="00B74AD5" w:rsidRPr="00194D5A">
              <w:rPr>
                <w:rFonts w:asciiTheme="minorHAnsi" w:hAnsiTheme="minorHAnsi" w:cstheme="minorHAnsi"/>
                <w:sz w:val="18"/>
                <w:szCs w:val="18"/>
              </w:rPr>
              <w:t xml:space="preserve">the </w:t>
            </w:r>
            <w:r w:rsidR="00EC14C5" w:rsidRPr="00194D5A">
              <w:rPr>
                <w:rFonts w:asciiTheme="minorHAnsi" w:hAnsiTheme="minorHAnsi" w:cstheme="minorHAnsi"/>
                <w:sz w:val="18"/>
                <w:szCs w:val="18"/>
              </w:rPr>
              <w:t xml:space="preserve">amount of financial assurance that an </w:t>
            </w:r>
            <w:r w:rsidR="00B74AD5" w:rsidRPr="00194D5A">
              <w:rPr>
                <w:rFonts w:asciiTheme="minorHAnsi" w:hAnsiTheme="minorHAnsi" w:cstheme="minorHAnsi"/>
                <w:sz w:val="18"/>
                <w:szCs w:val="18"/>
              </w:rPr>
              <w:t>operator</w:t>
            </w:r>
            <w:r w:rsidR="00EC14C5" w:rsidRPr="00194D5A">
              <w:rPr>
                <w:rFonts w:asciiTheme="minorHAnsi" w:hAnsiTheme="minorHAnsi" w:cstheme="minorHAnsi"/>
                <w:sz w:val="18"/>
                <w:szCs w:val="18"/>
              </w:rPr>
              <w:t xml:space="preserve"> must provide to the NPS.</w:t>
            </w:r>
          </w:p>
        </w:tc>
      </w:tr>
      <w:tr w:rsidR="00E02243" w:rsidRPr="00194D5A" w14:paraId="64ADDB68" w14:textId="77777777" w:rsidTr="000611F4">
        <w:tc>
          <w:tcPr>
            <w:tcW w:w="3780" w:type="dxa"/>
            <w:vAlign w:val="center"/>
          </w:tcPr>
          <w:p w14:paraId="1F99029A" w14:textId="77777777" w:rsidR="007D5140" w:rsidRPr="00194D5A" w:rsidRDefault="007D5140" w:rsidP="00683926">
            <w:pPr>
              <w:widowControl w:val="0"/>
              <w:ind w:left="248"/>
              <w:rPr>
                <w:rFonts w:asciiTheme="minorHAnsi" w:hAnsiTheme="minorHAnsi" w:cstheme="minorHAnsi"/>
                <w:sz w:val="18"/>
                <w:szCs w:val="18"/>
              </w:rPr>
            </w:pPr>
            <w:r w:rsidRPr="00194D5A">
              <w:rPr>
                <w:rFonts w:asciiTheme="minorHAnsi" w:hAnsiTheme="minorHAnsi" w:cstheme="minorHAnsi"/>
                <w:sz w:val="18"/>
                <w:szCs w:val="18"/>
              </w:rPr>
              <w:t>Modification to an Operation (§ 9.150)</w:t>
            </w:r>
          </w:p>
        </w:tc>
        <w:tc>
          <w:tcPr>
            <w:tcW w:w="5760" w:type="dxa"/>
            <w:vAlign w:val="center"/>
          </w:tcPr>
          <w:p w14:paraId="4061029B" w14:textId="2E0EDC97" w:rsidR="007D5140" w:rsidRPr="00194D5A" w:rsidRDefault="00EC14C5" w:rsidP="00683926">
            <w:pPr>
              <w:widowControl w:val="0"/>
              <w:rPr>
                <w:rFonts w:asciiTheme="minorHAnsi" w:hAnsiTheme="minorHAnsi" w:cstheme="minorHAnsi"/>
                <w:sz w:val="18"/>
                <w:szCs w:val="18"/>
              </w:rPr>
            </w:pPr>
            <w:r w:rsidRPr="00194D5A">
              <w:rPr>
                <w:rFonts w:asciiTheme="minorHAnsi" w:hAnsiTheme="minorHAnsi" w:cstheme="minorHAnsi"/>
                <w:sz w:val="18"/>
                <w:szCs w:val="18"/>
              </w:rPr>
              <w:t>The NPS uses the information to evaluate the proposed changes and determine if a modification to an approved Temporary Access Permit or Operations Permit is appropriate.</w:t>
            </w:r>
          </w:p>
        </w:tc>
      </w:tr>
      <w:tr w:rsidR="00E02243" w:rsidRPr="00194D5A" w14:paraId="64BFAC46" w14:textId="77777777" w:rsidTr="000611F4">
        <w:tc>
          <w:tcPr>
            <w:tcW w:w="3780" w:type="dxa"/>
            <w:vAlign w:val="center"/>
          </w:tcPr>
          <w:p w14:paraId="7CC72295" w14:textId="77777777" w:rsidR="007D5140" w:rsidRPr="00194D5A" w:rsidRDefault="007D5140" w:rsidP="00683926">
            <w:pPr>
              <w:widowControl w:val="0"/>
              <w:ind w:left="248"/>
              <w:rPr>
                <w:rFonts w:asciiTheme="minorHAnsi" w:hAnsiTheme="minorHAnsi" w:cstheme="minorHAnsi"/>
                <w:sz w:val="18"/>
                <w:szCs w:val="18"/>
              </w:rPr>
            </w:pPr>
            <w:r w:rsidRPr="00194D5A">
              <w:rPr>
                <w:rFonts w:asciiTheme="minorHAnsi" w:hAnsiTheme="minorHAnsi" w:cstheme="minorHAnsi"/>
                <w:sz w:val="18"/>
                <w:szCs w:val="18"/>
              </w:rPr>
              <w:t>Change of Operator (§§ 9.160 – 9.161)</w:t>
            </w:r>
          </w:p>
        </w:tc>
        <w:tc>
          <w:tcPr>
            <w:tcW w:w="5760" w:type="dxa"/>
            <w:vAlign w:val="center"/>
          </w:tcPr>
          <w:p w14:paraId="3D258DDA" w14:textId="19D36156" w:rsidR="007D5140" w:rsidRPr="00194D5A" w:rsidRDefault="00EE7786" w:rsidP="00683926">
            <w:pPr>
              <w:widowControl w:val="0"/>
              <w:rPr>
                <w:rFonts w:asciiTheme="minorHAnsi" w:hAnsiTheme="minorHAnsi" w:cstheme="minorHAnsi"/>
                <w:sz w:val="18"/>
                <w:szCs w:val="18"/>
              </w:rPr>
            </w:pPr>
            <w:r w:rsidRPr="00194D5A">
              <w:rPr>
                <w:rFonts w:asciiTheme="minorHAnsi" w:hAnsiTheme="minorHAnsi" w:cstheme="minorHAnsi"/>
                <w:sz w:val="18"/>
                <w:szCs w:val="18"/>
              </w:rPr>
              <w:t>The information is used to update the Operations Permit and establish that the new operator is responsible for complying with the terms of the Permit and the 9B Regulations.</w:t>
            </w:r>
          </w:p>
        </w:tc>
      </w:tr>
      <w:tr w:rsidR="00E02243" w:rsidRPr="00194D5A" w14:paraId="5EDF8E82" w14:textId="77777777" w:rsidTr="000611F4">
        <w:tc>
          <w:tcPr>
            <w:tcW w:w="3780" w:type="dxa"/>
            <w:vAlign w:val="center"/>
          </w:tcPr>
          <w:p w14:paraId="2840EF98" w14:textId="77777777" w:rsidR="007D5140" w:rsidRPr="00194D5A" w:rsidRDefault="007D5140" w:rsidP="00683926">
            <w:pPr>
              <w:widowControl w:val="0"/>
              <w:ind w:left="248"/>
              <w:rPr>
                <w:rFonts w:asciiTheme="minorHAnsi" w:hAnsiTheme="minorHAnsi" w:cstheme="minorHAnsi"/>
                <w:sz w:val="18"/>
                <w:szCs w:val="18"/>
              </w:rPr>
            </w:pPr>
            <w:r w:rsidRPr="00194D5A">
              <w:rPr>
                <w:rFonts w:asciiTheme="minorHAnsi" w:hAnsiTheme="minorHAnsi" w:cstheme="minorHAnsi"/>
                <w:sz w:val="18"/>
                <w:szCs w:val="18"/>
              </w:rPr>
              <w:t>Well Plugging (§§ 9.170 – 9.171)</w:t>
            </w:r>
          </w:p>
        </w:tc>
        <w:tc>
          <w:tcPr>
            <w:tcW w:w="5760" w:type="dxa"/>
            <w:vAlign w:val="center"/>
          </w:tcPr>
          <w:p w14:paraId="010CB099" w14:textId="7AB046AC" w:rsidR="007D5140" w:rsidRPr="00194D5A" w:rsidRDefault="009609AD" w:rsidP="00683926">
            <w:pPr>
              <w:widowControl w:val="0"/>
              <w:rPr>
                <w:rFonts w:asciiTheme="minorHAnsi" w:hAnsiTheme="minorHAnsi" w:cstheme="minorHAnsi"/>
                <w:sz w:val="18"/>
                <w:szCs w:val="18"/>
              </w:rPr>
            </w:pPr>
            <w:r w:rsidRPr="00194D5A">
              <w:rPr>
                <w:rFonts w:asciiTheme="minorHAnsi" w:hAnsiTheme="minorHAnsi" w:cstheme="minorHAnsi"/>
                <w:sz w:val="18"/>
                <w:szCs w:val="18"/>
              </w:rPr>
              <w:t>This information is used by the NPS to determine whether a request to maintain a well in shut-in status is appropriate based on the current operating conditions.</w:t>
            </w:r>
          </w:p>
        </w:tc>
      </w:tr>
      <w:tr w:rsidR="00E02243" w:rsidRPr="00194D5A" w14:paraId="23155019" w14:textId="77777777" w:rsidTr="000611F4">
        <w:tc>
          <w:tcPr>
            <w:tcW w:w="3780" w:type="dxa"/>
            <w:tcBorders>
              <w:bottom w:val="single" w:sz="4" w:space="0" w:color="000000"/>
            </w:tcBorders>
            <w:vAlign w:val="center"/>
          </w:tcPr>
          <w:p w14:paraId="416B0285" w14:textId="77777777" w:rsidR="007D5140" w:rsidRPr="00194D5A" w:rsidRDefault="007D5140" w:rsidP="00683926">
            <w:pPr>
              <w:widowControl w:val="0"/>
              <w:ind w:left="248"/>
              <w:rPr>
                <w:rFonts w:asciiTheme="minorHAnsi" w:hAnsiTheme="minorHAnsi" w:cstheme="minorHAnsi"/>
                <w:sz w:val="18"/>
                <w:szCs w:val="18"/>
              </w:rPr>
            </w:pPr>
            <w:r w:rsidRPr="00194D5A">
              <w:rPr>
                <w:rFonts w:asciiTheme="minorHAnsi" w:hAnsiTheme="minorHAnsi" w:cstheme="minorHAnsi"/>
                <w:sz w:val="18"/>
                <w:szCs w:val="18"/>
              </w:rPr>
              <w:t>Reconsideration and Appeals (§§ 9.190 – 9.194)</w:t>
            </w:r>
          </w:p>
        </w:tc>
        <w:tc>
          <w:tcPr>
            <w:tcW w:w="5760" w:type="dxa"/>
            <w:tcBorders>
              <w:bottom w:val="single" w:sz="4" w:space="0" w:color="000000"/>
            </w:tcBorders>
            <w:vAlign w:val="center"/>
          </w:tcPr>
          <w:p w14:paraId="204F73AC" w14:textId="57943F1A" w:rsidR="007D5140" w:rsidRPr="00194D5A" w:rsidRDefault="007D5140" w:rsidP="00683926">
            <w:pPr>
              <w:widowControl w:val="0"/>
              <w:rPr>
                <w:rFonts w:asciiTheme="minorHAnsi" w:hAnsiTheme="minorHAnsi" w:cstheme="minorHAnsi"/>
                <w:sz w:val="18"/>
                <w:szCs w:val="18"/>
              </w:rPr>
            </w:pPr>
            <w:r w:rsidRPr="00194D5A">
              <w:rPr>
                <w:rFonts w:asciiTheme="minorHAnsi" w:hAnsiTheme="minorHAnsi" w:cstheme="minorHAnsi"/>
                <w:sz w:val="18"/>
                <w:szCs w:val="18"/>
              </w:rPr>
              <w:t>The NPS uses this information to determine whether reconsideration or appeal of the NPS’s decision is appropriate.</w:t>
            </w:r>
          </w:p>
        </w:tc>
      </w:tr>
      <w:tr w:rsidR="00E02243" w:rsidRPr="00194D5A" w14:paraId="31A28BD9" w14:textId="77777777" w:rsidTr="000611F4">
        <w:tc>
          <w:tcPr>
            <w:tcW w:w="3780" w:type="dxa"/>
            <w:vAlign w:val="center"/>
          </w:tcPr>
          <w:p w14:paraId="03AE94EB" w14:textId="77777777" w:rsidR="007D5140" w:rsidRPr="00194D5A" w:rsidRDefault="007D5140" w:rsidP="00683926">
            <w:pPr>
              <w:widowControl w:val="0"/>
              <w:ind w:left="248"/>
              <w:rPr>
                <w:rFonts w:asciiTheme="minorHAnsi" w:hAnsiTheme="minorHAnsi" w:cstheme="minorHAnsi"/>
                <w:sz w:val="18"/>
                <w:szCs w:val="18"/>
              </w:rPr>
            </w:pPr>
            <w:r w:rsidRPr="00194D5A">
              <w:rPr>
                <w:rFonts w:asciiTheme="minorHAnsi" w:hAnsiTheme="minorHAnsi" w:cstheme="minorHAnsi"/>
                <w:sz w:val="18"/>
                <w:szCs w:val="18"/>
              </w:rPr>
              <w:t>Public Participation (§ 9.200)</w:t>
            </w:r>
          </w:p>
        </w:tc>
        <w:tc>
          <w:tcPr>
            <w:tcW w:w="5760" w:type="dxa"/>
            <w:vAlign w:val="center"/>
          </w:tcPr>
          <w:p w14:paraId="367B4212" w14:textId="26560BED" w:rsidR="007D5140" w:rsidRPr="00194D5A" w:rsidRDefault="007D5140" w:rsidP="00683926">
            <w:pPr>
              <w:widowControl w:val="0"/>
              <w:rPr>
                <w:rFonts w:asciiTheme="minorHAnsi" w:hAnsiTheme="minorHAnsi" w:cstheme="minorHAnsi"/>
                <w:sz w:val="18"/>
                <w:szCs w:val="18"/>
              </w:rPr>
            </w:pPr>
            <w:r w:rsidRPr="00194D5A">
              <w:rPr>
                <w:rFonts w:asciiTheme="minorHAnsi" w:hAnsiTheme="minorHAnsi" w:cstheme="minorHAnsi"/>
                <w:sz w:val="18"/>
                <w:szCs w:val="18"/>
              </w:rPr>
              <w:t>This information is used to determine whether information submitted to the NPS should be exempt from public disclosure.</w:t>
            </w:r>
          </w:p>
        </w:tc>
      </w:tr>
      <w:tr w:rsidR="00E02243" w:rsidRPr="00194D5A" w14:paraId="34C32215" w14:textId="77777777" w:rsidTr="000611F4">
        <w:trPr>
          <w:trHeight w:val="305"/>
        </w:trPr>
        <w:tc>
          <w:tcPr>
            <w:tcW w:w="9540" w:type="dxa"/>
            <w:gridSpan w:val="2"/>
            <w:vAlign w:val="center"/>
          </w:tcPr>
          <w:p w14:paraId="064589C6" w14:textId="1E0E1822" w:rsidR="00994E6C" w:rsidRPr="00194D5A" w:rsidRDefault="00994E6C" w:rsidP="00683926">
            <w:pPr>
              <w:widowControl w:val="0"/>
              <w:rPr>
                <w:rFonts w:asciiTheme="minorHAnsi" w:hAnsiTheme="minorHAnsi" w:cstheme="minorHAnsi"/>
                <w:sz w:val="18"/>
                <w:szCs w:val="18"/>
              </w:rPr>
            </w:pPr>
            <w:r w:rsidRPr="00194D5A">
              <w:rPr>
                <w:rFonts w:asciiTheme="minorHAnsi" w:hAnsiTheme="minorHAnsi" w:cstheme="minorHAnsi"/>
                <w:sz w:val="18"/>
                <w:szCs w:val="18"/>
              </w:rPr>
              <w:t xml:space="preserve">* Full details associated </w:t>
            </w:r>
            <w:r w:rsidR="000611F4" w:rsidRPr="00194D5A">
              <w:rPr>
                <w:rFonts w:asciiTheme="minorHAnsi" w:hAnsiTheme="minorHAnsi" w:cstheme="minorHAnsi"/>
                <w:sz w:val="18"/>
                <w:szCs w:val="18"/>
              </w:rPr>
              <w:t xml:space="preserve">with the </w:t>
            </w:r>
            <w:r w:rsidRPr="00194D5A">
              <w:rPr>
                <w:rFonts w:asciiTheme="minorHAnsi" w:hAnsiTheme="minorHAnsi" w:cstheme="minorHAnsi"/>
                <w:b/>
                <w:i/>
                <w:sz w:val="18"/>
                <w:szCs w:val="18"/>
              </w:rPr>
              <w:t>9B Regulations</w:t>
            </w:r>
            <w:r w:rsidRPr="00194D5A">
              <w:rPr>
                <w:rFonts w:asciiTheme="minorHAnsi" w:hAnsiTheme="minorHAnsi" w:cstheme="minorHAnsi"/>
                <w:sz w:val="18"/>
                <w:szCs w:val="18"/>
              </w:rPr>
              <w:t xml:space="preserve"> are attached in ROCIS as a supplementary document</w:t>
            </w:r>
          </w:p>
        </w:tc>
      </w:tr>
    </w:tbl>
    <w:p w14:paraId="0F3595C5" w14:textId="77777777" w:rsidR="00683926" w:rsidRPr="00194D5A" w:rsidRDefault="00683926" w:rsidP="00683926">
      <w:pPr>
        <w:tabs>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p>
    <w:p w14:paraId="0BED6099" w14:textId="2CF0067C" w:rsidR="00303F5F" w:rsidRPr="00194D5A" w:rsidRDefault="00303F5F" w:rsidP="00683926">
      <w:pPr>
        <w:tabs>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194D5A">
        <w:rPr>
          <w:rFonts w:asciiTheme="minorHAnsi" w:hAnsiTheme="minorHAnsi" w:cstheme="minorHAnsi"/>
          <w:b/>
          <w:sz w:val="22"/>
          <w:szCs w:val="22"/>
        </w:rPr>
        <w:t>3.</w:t>
      </w:r>
      <w:r w:rsidRPr="00194D5A">
        <w:rPr>
          <w:rFonts w:asciiTheme="minorHAnsi" w:hAnsiTheme="minorHAnsi" w:cstheme="minorHAnsi"/>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2C9F8089" w14:textId="77777777" w:rsidR="00303F5F" w:rsidRPr="00194D5A" w:rsidRDefault="00303F5F" w:rsidP="00683926">
      <w:pPr>
        <w:tabs>
          <w:tab w:val="left" w:pos="720"/>
        </w:tabs>
        <w:suppressAutoHyphens/>
        <w:spacing w:line="276" w:lineRule="auto"/>
        <w:rPr>
          <w:rFonts w:asciiTheme="minorHAnsi" w:hAnsiTheme="minorHAnsi" w:cstheme="minorHAnsi"/>
          <w:sz w:val="22"/>
          <w:szCs w:val="22"/>
        </w:rPr>
      </w:pPr>
    </w:p>
    <w:p w14:paraId="7E12CF06" w14:textId="6FD44FF9" w:rsidR="00303F5F" w:rsidRPr="00194D5A" w:rsidRDefault="00303F5F" w:rsidP="00683926">
      <w:pPr>
        <w:tabs>
          <w:tab w:val="left" w:pos="720"/>
        </w:tabs>
        <w:suppressAutoHyphens/>
        <w:spacing w:line="276" w:lineRule="auto"/>
        <w:rPr>
          <w:rFonts w:asciiTheme="minorHAnsi" w:hAnsiTheme="minorHAnsi" w:cstheme="minorHAnsi"/>
          <w:sz w:val="22"/>
          <w:szCs w:val="22"/>
        </w:rPr>
      </w:pPr>
      <w:r w:rsidRPr="00194D5A">
        <w:rPr>
          <w:rFonts w:asciiTheme="minorHAnsi" w:hAnsiTheme="minorHAnsi" w:cstheme="minorHAnsi"/>
          <w:sz w:val="22"/>
          <w:szCs w:val="22"/>
        </w:rPr>
        <w:t>A</w:t>
      </w:r>
      <w:r w:rsidR="00D92CE6" w:rsidRPr="00194D5A">
        <w:rPr>
          <w:rFonts w:asciiTheme="minorHAnsi" w:hAnsiTheme="minorHAnsi" w:cstheme="minorHAnsi"/>
          <w:sz w:val="22"/>
          <w:szCs w:val="22"/>
        </w:rPr>
        <w:t>pproximately 75</w:t>
      </w:r>
      <w:r w:rsidR="00D45E43" w:rsidRPr="00194D5A">
        <w:rPr>
          <w:rFonts w:asciiTheme="minorHAnsi" w:hAnsiTheme="minorHAnsi" w:cstheme="minorHAnsi"/>
          <w:sz w:val="22"/>
          <w:szCs w:val="22"/>
        </w:rPr>
        <w:t>%</w:t>
      </w:r>
      <w:r w:rsidRPr="00194D5A">
        <w:rPr>
          <w:rFonts w:asciiTheme="minorHAnsi" w:hAnsiTheme="minorHAnsi" w:cstheme="minorHAnsi"/>
          <w:sz w:val="22"/>
          <w:szCs w:val="22"/>
        </w:rPr>
        <w:t xml:space="preserve"> of respondents typically submit information</w:t>
      </w:r>
      <w:r w:rsidR="00C20988" w:rsidRPr="00194D5A">
        <w:rPr>
          <w:rFonts w:asciiTheme="minorHAnsi" w:hAnsiTheme="minorHAnsi" w:cstheme="minorHAnsi"/>
          <w:sz w:val="22"/>
          <w:szCs w:val="22"/>
        </w:rPr>
        <w:t xml:space="preserve"> </w:t>
      </w:r>
      <w:r w:rsidR="00441FCE" w:rsidRPr="00194D5A">
        <w:rPr>
          <w:rFonts w:asciiTheme="minorHAnsi" w:hAnsiTheme="minorHAnsi" w:cstheme="minorHAnsi"/>
          <w:sz w:val="22"/>
          <w:szCs w:val="22"/>
        </w:rPr>
        <w:t xml:space="preserve">electronically </w:t>
      </w:r>
      <w:r w:rsidR="00C20988" w:rsidRPr="00194D5A">
        <w:rPr>
          <w:rFonts w:asciiTheme="minorHAnsi" w:hAnsiTheme="minorHAnsi" w:cstheme="minorHAnsi"/>
          <w:sz w:val="22"/>
          <w:szCs w:val="22"/>
        </w:rPr>
        <w:t>via email.  The remaining 25% of respondents sub</w:t>
      </w:r>
      <w:r w:rsidR="0046543F" w:rsidRPr="00194D5A">
        <w:rPr>
          <w:rFonts w:asciiTheme="minorHAnsi" w:hAnsiTheme="minorHAnsi" w:cstheme="minorHAnsi"/>
          <w:sz w:val="22"/>
          <w:szCs w:val="22"/>
        </w:rPr>
        <w:t>mit information through the U.S. Mail or other shipping service</w:t>
      </w:r>
      <w:r w:rsidR="00C20988" w:rsidRPr="00194D5A">
        <w:rPr>
          <w:rFonts w:asciiTheme="minorHAnsi" w:hAnsiTheme="minorHAnsi" w:cstheme="minorHAnsi"/>
          <w:sz w:val="22"/>
          <w:szCs w:val="22"/>
        </w:rPr>
        <w:t>.</w:t>
      </w:r>
    </w:p>
    <w:p w14:paraId="18AF6B6D" w14:textId="77777777" w:rsidR="009A072A" w:rsidRPr="00194D5A" w:rsidRDefault="009A072A" w:rsidP="00683926">
      <w:pPr>
        <w:tabs>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p>
    <w:p w14:paraId="4E65479F" w14:textId="77777777" w:rsidR="00303F5F" w:rsidRPr="00194D5A" w:rsidRDefault="00303F5F" w:rsidP="00683926">
      <w:pPr>
        <w:tabs>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194D5A">
        <w:rPr>
          <w:rFonts w:asciiTheme="minorHAnsi" w:hAnsiTheme="minorHAnsi" w:cstheme="minorHAnsi"/>
          <w:b/>
          <w:sz w:val="22"/>
          <w:szCs w:val="22"/>
        </w:rPr>
        <w:t>4.</w:t>
      </w:r>
      <w:r w:rsidRPr="00194D5A">
        <w:rPr>
          <w:rFonts w:asciiTheme="minorHAnsi" w:hAnsiTheme="minorHAnsi" w:cstheme="minorHAnsi"/>
          <w:b/>
          <w:sz w:val="22"/>
          <w:szCs w:val="22"/>
        </w:rPr>
        <w:tab/>
        <w:t>Describe efforts to identify duplication.  Show specifically why any similar information already available cannot be used or modified for use for the purposes described in Item 2 above.</w:t>
      </w:r>
    </w:p>
    <w:p w14:paraId="1E79911B" w14:textId="77777777" w:rsidR="00303F5F" w:rsidRPr="00194D5A" w:rsidRDefault="00303F5F" w:rsidP="00683926">
      <w:pPr>
        <w:tabs>
          <w:tab w:val="left" w:pos="720"/>
        </w:tabs>
        <w:suppressAutoHyphens/>
        <w:spacing w:line="276" w:lineRule="auto"/>
        <w:rPr>
          <w:rFonts w:asciiTheme="minorHAnsi" w:hAnsiTheme="minorHAnsi" w:cstheme="minorHAnsi"/>
          <w:sz w:val="22"/>
          <w:szCs w:val="22"/>
        </w:rPr>
      </w:pPr>
    </w:p>
    <w:p w14:paraId="38C07354" w14:textId="77777777" w:rsidR="00303F5F" w:rsidRPr="00194D5A" w:rsidRDefault="00303F5F" w:rsidP="00683926">
      <w:pPr>
        <w:tabs>
          <w:tab w:val="left" w:pos="720"/>
        </w:tabs>
        <w:suppressAutoHyphens/>
        <w:spacing w:line="276" w:lineRule="auto"/>
        <w:rPr>
          <w:rFonts w:asciiTheme="minorHAnsi" w:hAnsiTheme="minorHAnsi" w:cstheme="minorHAnsi"/>
          <w:sz w:val="22"/>
          <w:szCs w:val="22"/>
        </w:rPr>
      </w:pPr>
      <w:r w:rsidRPr="00194D5A">
        <w:rPr>
          <w:rFonts w:asciiTheme="minorHAnsi" w:hAnsiTheme="minorHAnsi" w:cstheme="minorHAnsi"/>
          <w:sz w:val="22"/>
          <w:szCs w:val="22"/>
        </w:rPr>
        <w:t xml:space="preserve">No other offices of the NPS or other Federal agencies collect this information.  Because the information requested is specific to the claim, operator, and operations, duplication of effort and information does not occur.  </w:t>
      </w:r>
    </w:p>
    <w:p w14:paraId="4A153209" w14:textId="77777777" w:rsidR="00303F5F" w:rsidRPr="00194D5A" w:rsidRDefault="00303F5F" w:rsidP="00683926">
      <w:pPr>
        <w:tabs>
          <w:tab w:val="left" w:pos="720"/>
        </w:tabs>
        <w:suppressAutoHyphens/>
        <w:spacing w:line="276" w:lineRule="auto"/>
        <w:rPr>
          <w:rFonts w:asciiTheme="minorHAnsi" w:hAnsiTheme="minorHAnsi" w:cstheme="minorHAnsi"/>
          <w:sz w:val="22"/>
          <w:szCs w:val="22"/>
        </w:rPr>
      </w:pPr>
    </w:p>
    <w:p w14:paraId="2A2D58EA" w14:textId="77777777" w:rsidR="00303F5F" w:rsidRPr="00194D5A" w:rsidRDefault="00303F5F" w:rsidP="00683926">
      <w:pPr>
        <w:tabs>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194D5A">
        <w:rPr>
          <w:rFonts w:asciiTheme="minorHAnsi" w:hAnsiTheme="minorHAnsi" w:cstheme="minorHAnsi"/>
          <w:b/>
          <w:sz w:val="22"/>
          <w:szCs w:val="22"/>
        </w:rPr>
        <w:t>5.</w:t>
      </w:r>
      <w:r w:rsidRPr="00194D5A">
        <w:rPr>
          <w:rFonts w:asciiTheme="minorHAnsi" w:hAnsiTheme="minorHAnsi" w:cstheme="minorHAnsi"/>
          <w:b/>
          <w:sz w:val="22"/>
          <w:szCs w:val="22"/>
        </w:rPr>
        <w:tab/>
        <w:t>If the collection of information impacts small businesses or other small entities, describe any methods used to minimize burden.</w:t>
      </w:r>
    </w:p>
    <w:p w14:paraId="28B8D416" w14:textId="77777777" w:rsidR="00303F5F" w:rsidRPr="00194D5A" w:rsidRDefault="00303F5F" w:rsidP="00683926">
      <w:pPr>
        <w:tabs>
          <w:tab w:val="left" w:pos="720"/>
        </w:tabs>
        <w:suppressAutoHyphens/>
        <w:spacing w:line="276" w:lineRule="auto"/>
        <w:rPr>
          <w:rFonts w:asciiTheme="minorHAnsi" w:hAnsiTheme="minorHAnsi" w:cstheme="minorHAnsi"/>
          <w:sz w:val="22"/>
          <w:szCs w:val="22"/>
        </w:rPr>
      </w:pPr>
    </w:p>
    <w:p w14:paraId="55AD29FB" w14:textId="55FB1006" w:rsidR="00303F5F" w:rsidRPr="00194D5A" w:rsidRDefault="00E07DC1" w:rsidP="00683926">
      <w:pPr>
        <w:tabs>
          <w:tab w:val="left" w:pos="720"/>
        </w:tabs>
        <w:suppressAutoHyphens/>
        <w:spacing w:line="276" w:lineRule="auto"/>
        <w:rPr>
          <w:rFonts w:asciiTheme="minorHAnsi" w:hAnsiTheme="minorHAnsi" w:cstheme="minorHAnsi"/>
          <w:sz w:val="22"/>
          <w:szCs w:val="22"/>
        </w:rPr>
      </w:pPr>
      <w:r w:rsidRPr="00194D5A">
        <w:rPr>
          <w:rFonts w:asciiTheme="minorHAnsi" w:hAnsiTheme="minorHAnsi" w:cstheme="minorHAnsi"/>
          <w:sz w:val="22"/>
          <w:szCs w:val="22"/>
        </w:rPr>
        <w:t>T</w:t>
      </w:r>
      <w:r w:rsidR="007C2DA8" w:rsidRPr="00194D5A">
        <w:rPr>
          <w:rFonts w:asciiTheme="minorHAnsi" w:hAnsiTheme="minorHAnsi" w:cstheme="minorHAnsi"/>
          <w:sz w:val="22"/>
          <w:szCs w:val="22"/>
        </w:rPr>
        <w:t>he 9B regulations have not been designated as a major rule under 5 USC 804(2) of the Small Business Regulatory Enforcement Fairness Act</w:t>
      </w:r>
      <w:r w:rsidRPr="00194D5A">
        <w:rPr>
          <w:rFonts w:asciiTheme="minorHAnsi" w:hAnsiTheme="minorHAnsi" w:cstheme="minorHAnsi"/>
          <w:sz w:val="22"/>
          <w:szCs w:val="22"/>
        </w:rPr>
        <w:t>, impact however small businesses may be impacted,</w:t>
      </w:r>
      <w:r w:rsidR="007C2DA8" w:rsidRPr="00194D5A">
        <w:rPr>
          <w:rFonts w:asciiTheme="minorHAnsi" w:hAnsiTheme="minorHAnsi" w:cstheme="minorHAnsi"/>
          <w:sz w:val="22"/>
          <w:szCs w:val="22"/>
        </w:rPr>
        <w:t xml:space="preserve">  The NPS minimizes the burden on small businesses by only requiring </w:t>
      </w:r>
      <w:r w:rsidR="00303F5F" w:rsidRPr="00194D5A">
        <w:rPr>
          <w:rFonts w:asciiTheme="minorHAnsi" w:hAnsiTheme="minorHAnsi" w:cstheme="minorHAnsi"/>
          <w:sz w:val="22"/>
          <w:szCs w:val="22"/>
        </w:rPr>
        <w:t xml:space="preserve">the </w:t>
      </w:r>
      <w:r w:rsidR="0046543F" w:rsidRPr="00194D5A">
        <w:rPr>
          <w:rFonts w:asciiTheme="minorHAnsi" w:hAnsiTheme="minorHAnsi" w:cstheme="minorHAnsi"/>
          <w:sz w:val="22"/>
          <w:szCs w:val="22"/>
        </w:rPr>
        <w:t xml:space="preserve">information </w:t>
      </w:r>
      <w:r w:rsidR="00303F5F" w:rsidRPr="00194D5A">
        <w:rPr>
          <w:rFonts w:asciiTheme="minorHAnsi" w:hAnsiTheme="minorHAnsi" w:cstheme="minorHAnsi"/>
          <w:sz w:val="22"/>
          <w:szCs w:val="22"/>
        </w:rPr>
        <w:t>necessary</w:t>
      </w:r>
      <w:r w:rsidR="007C2DA8" w:rsidRPr="00194D5A">
        <w:rPr>
          <w:rFonts w:asciiTheme="minorHAnsi" w:hAnsiTheme="minorHAnsi" w:cstheme="minorHAnsi"/>
          <w:sz w:val="22"/>
          <w:szCs w:val="22"/>
        </w:rPr>
        <w:t xml:space="preserve"> </w:t>
      </w:r>
      <w:r w:rsidR="00303F5F" w:rsidRPr="00194D5A">
        <w:rPr>
          <w:rFonts w:asciiTheme="minorHAnsi" w:hAnsiTheme="minorHAnsi" w:cstheme="minorHAnsi"/>
          <w:sz w:val="22"/>
          <w:szCs w:val="22"/>
        </w:rPr>
        <w:t>to allow us to make decisions on approving or disapproving proposed plans of operations while meeting NPS</w:t>
      </w:r>
      <w:r w:rsidR="00EC78DD" w:rsidRPr="00194D5A">
        <w:rPr>
          <w:rFonts w:asciiTheme="minorHAnsi" w:hAnsiTheme="minorHAnsi" w:cstheme="minorHAnsi"/>
          <w:sz w:val="22"/>
          <w:szCs w:val="22"/>
        </w:rPr>
        <w:t xml:space="preserve"> responsibilities </w:t>
      </w:r>
      <w:r w:rsidR="00303F5F" w:rsidRPr="00194D5A">
        <w:rPr>
          <w:rFonts w:asciiTheme="minorHAnsi" w:hAnsiTheme="minorHAnsi" w:cstheme="minorHAnsi"/>
          <w:sz w:val="22"/>
          <w:szCs w:val="22"/>
        </w:rPr>
        <w:t xml:space="preserve">under the laws and regulations listed above to ensure protection of park resources and values.  The NPS encourages operators to contact appropriate NPS staff for assistance in designing environmentally sound development strategies.  The NPS has publications available to assist respondents in meeting these requirements.  </w:t>
      </w:r>
    </w:p>
    <w:p w14:paraId="6F3061CA" w14:textId="77777777" w:rsidR="00303F5F" w:rsidRPr="00194D5A" w:rsidRDefault="00303F5F" w:rsidP="00683926">
      <w:pPr>
        <w:tabs>
          <w:tab w:val="left" w:pos="720"/>
        </w:tabs>
        <w:suppressAutoHyphens/>
        <w:spacing w:line="276" w:lineRule="auto"/>
        <w:rPr>
          <w:rFonts w:asciiTheme="minorHAnsi" w:hAnsiTheme="minorHAnsi" w:cstheme="minorHAnsi"/>
          <w:sz w:val="22"/>
          <w:szCs w:val="22"/>
        </w:rPr>
      </w:pPr>
    </w:p>
    <w:p w14:paraId="2E2479E5" w14:textId="77777777" w:rsidR="00303F5F" w:rsidRPr="00194D5A" w:rsidRDefault="00303F5F" w:rsidP="00683926">
      <w:pPr>
        <w:tabs>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194D5A">
        <w:rPr>
          <w:rFonts w:asciiTheme="minorHAnsi" w:hAnsiTheme="minorHAnsi" w:cstheme="minorHAnsi"/>
          <w:b/>
          <w:sz w:val="22"/>
          <w:szCs w:val="22"/>
        </w:rPr>
        <w:t>6.</w:t>
      </w:r>
      <w:r w:rsidRPr="00194D5A">
        <w:rPr>
          <w:rFonts w:asciiTheme="minorHAnsi" w:hAnsiTheme="minorHAnsi" w:cstheme="minorHAnsi"/>
          <w:b/>
          <w:sz w:val="22"/>
          <w:szCs w:val="22"/>
        </w:rPr>
        <w:tab/>
        <w:t>Describe the consequence to Federal program or policy activities if the collection is not conducted or is conducted less frequently, as well as any technical or legal obstacles to reducing burden.</w:t>
      </w:r>
    </w:p>
    <w:p w14:paraId="4865153E" w14:textId="77777777" w:rsidR="00303F5F" w:rsidRPr="00194D5A" w:rsidRDefault="00303F5F" w:rsidP="00683926">
      <w:pPr>
        <w:tabs>
          <w:tab w:val="left" w:pos="720"/>
        </w:tabs>
        <w:suppressAutoHyphens/>
        <w:spacing w:line="276" w:lineRule="auto"/>
        <w:rPr>
          <w:rFonts w:asciiTheme="minorHAnsi" w:hAnsiTheme="minorHAnsi" w:cstheme="minorHAnsi"/>
          <w:sz w:val="22"/>
          <w:szCs w:val="22"/>
        </w:rPr>
      </w:pPr>
    </w:p>
    <w:p w14:paraId="68ECB733" w14:textId="4D659C55" w:rsidR="00303F5F" w:rsidRPr="00194D5A" w:rsidRDefault="00303F5F" w:rsidP="00683926">
      <w:pPr>
        <w:tabs>
          <w:tab w:val="left" w:pos="720"/>
        </w:tabs>
        <w:suppressAutoHyphens/>
        <w:spacing w:line="276" w:lineRule="auto"/>
        <w:rPr>
          <w:rFonts w:asciiTheme="minorHAnsi" w:hAnsiTheme="minorHAnsi" w:cstheme="minorHAnsi"/>
          <w:sz w:val="22"/>
          <w:szCs w:val="22"/>
        </w:rPr>
      </w:pPr>
      <w:r w:rsidRPr="00194D5A">
        <w:rPr>
          <w:rFonts w:asciiTheme="minorHAnsi" w:hAnsiTheme="minorHAnsi" w:cstheme="minorHAnsi"/>
          <w:sz w:val="22"/>
          <w:szCs w:val="22"/>
        </w:rPr>
        <w:t xml:space="preserve">If we did not require operators to submit </w:t>
      </w:r>
      <w:r w:rsidR="000611F4" w:rsidRPr="00194D5A">
        <w:rPr>
          <w:rFonts w:asciiTheme="minorHAnsi" w:hAnsiTheme="minorHAnsi" w:cstheme="minorHAnsi"/>
          <w:sz w:val="22"/>
          <w:szCs w:val="22"/>
        </w:rPr>
        <w:t>proposals f</w:t>
      </w:r>
      <w:r w:rsidR="0046543F" w:rsidRPr="00194D5A">
        <w:rPr>
          <w:rFonts w:asciiTheme="minorHAnsi" w:hAnsiTheme="minorHAnsi" w:cstheme="minorHAnsi"/>
          <w:sz w:val="22"/>
          <w:szCs w:val="22"/>
        </w:rPr>
        <w:t xml:space="preserve">or </w:t>
      </w:r>
      <w:r w:rsidRPr="00194D5A">
        <w:rPr>
          <w:rFonts w:asciiTheme="minorHAnsi" w:hAnsiTheme="minorHAnsi" w:cstheme="minorHAnsi"/>
          <w:sz w:val="22"/>
          <w:szCs w:val="22"/>
        </w:rPr>
        <w:t xml:space="preserve"> </w:t>
      </w:r>
      <w:r w:rsidR="007C2DA8" w:rsidRPr="00194D5A">
        <w:rPr>
          <w:rFonts w:asciiTheme="minorHAnsi" w:hAnsiTheme="minorHAnsi" w:cstheme="minorHAnsi"/>
          <w:sz w:val="22"/>
          <w:szCs w:val="22"/>
        </w:rPr>
        <w:t xml:space="preserve">9A </w:t>
      </w:r>
      <w:r w:rsidRPr="00194D5A">
        <w:rPr>
          <w:rFonts w:asciiTheme="minorHAnsi" w:hAnsiTheme="minorHAnsi" w:cstheme="minorHAnsi"/>
          <w:sz w:val="22"/>
          <w:szCs w:val="22"/>
        </w:rPr>
        <w:t xml:space="preserve">plans of operations </w:t>
      </w:r>
      <w:r w:rsidR="007C2DA8" w:rsidRPr="00194D5A">
        <w:rPr>
          <w:rFonts w:asciiTheme="minorHAnsi" w:hAnsiTheme="minorHAnsi" w:cstheme="minorHAnsi"/>
          <w:sz w:val="22"/>
          <w:szCs w:val="22"/>
        </w:rPr>
        <w:t xml:space="preserve">or 9B Operations Permits </w:t>
      </w:r>
      <w:r w:rsidRPr="00194D5A">
        <w:rPr>
          <w:rFonts w:asciiTheme="minorHAnsi" w:hAnsiTheme="minorHAnsi" w:cstheme="minorHAnsi"/>
          <w:sz w:val="22"/>
          <w:szCs w:val="22"/>
        </w:rPr>
        <w:t>for review and approval prior to development, the NPS would fail to carry out its statutory mandates and mining and non-Federal oil and gas operations could degrade park resources and jeopardize visitor safety.  Over the course of an operation, we only require a one-time submittal of a complete plan of operations</w:t>
      </w:r>
      <w:r w:rsidR="007C2DA8" w:rsidRPr="00194D5A">
        <w:rPr>
          <w:rFonts w:asciiTheme="minorHAnsi" w:hAnsiTheme="minorHAnsi" w:cstheme="minorHAnsi"/>
          <w:sz w:val="22"/>
          <w:szCs w:val="22"/>
        </w:rPr>
        <w:t xml:space="preserve"> or Operations Permit application</w:t>
      </w:r>
      <w:r w:rsidRPr="00194D5A">
        <w:rPr>
          <w:rFonts w:asciiTheme="minorHAnsi" w:hAnsiTheme="minorHAnsi" w:cstheme="minorHAnsi"/>
          <w:sz w:val="22"/>
          <w:szCs w:val="22"/>
        </w:rPr>
        <w:t xml:space="preserve">; therefore, </w:t>
      </w:r>
      <w:r w:rsidR="00DC1D0A" w:rsidRPr="00194D5A">
        <w:rPr>
          <w:rFonts w:asciiTheme="minorHAnsi" w:hAnsiTheme="minorHAnsi" w:cstheme="minorHAnsi"/>
          <w:sz w:val="22"/>
          <w:szCs w:val="22"/>
        </w:rPr>
        <w:t>we cannot reduce the frequency of collection</w:t>
      </w:r>
      <w:r w:rsidRPr="00194D5A">
        <w:rPr>
          <w:rFonts w:asciiTheme="minorHAnsi" w:hAnsiTheme="minorHAnsi" w:cstheme="minorHAnsi"/>
          <w:sz w:val="22"/>
          <w:szCs w:val="22"/>
        </w:rPr>
        <w:t xml:space="preserve">. </w:t>
      </w:r>
    </w:p>
    <w:p w14:paraId="1F2A47BD" w14:textId="075ED0F4" w:rsidR="00DC1D0A" w:rsidRPr="00194D5A" w:rsidRDefault="00DC1D0A" w:rsidP="00683926">
      <w:pPr>
        <w:tabs>
          <w:tab w:val="left" w:pos="720"/>
        </w:tabs>
        <w:suppressAutoHyphens/>
        <w:spacing w:line="276" w:lineRule="auto"/>
        <w:rPr>
          <w:rFonts w:asciiTheme="minorHAnsi" w:hAnsiTheme="minorHAnsi" w:cstheme="minorHAnsi"/>
          <w:sz w:val="22"/>
          <w:szCs w:val="22"/>
        </w:rPr>
      </w:pPr>
    </w:p>
    <w:p w14:paraId="2CD7FE8F" w14:textId="441AE74A" w:rsidR="00303F5F" w:rsidRPr="00194D5A" w:rsidRDefault="00303F5F" w:rsidP="00683926">
      <w:pPr>
        <w:tabs>
          <w:tab w:val="left" w:pos="36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194D5A">
        <w:rPr>
          <w:rFonts w:asciiTheme="minorHAnsi" w:hAnsiTheme="minorHAnsi" w:cstheme="minorHAnsi"/>
          <w:b/>
          <w:sz w:val="22"/>
          <w:szCs w:val="22"/>
        </w:rPr>
        <w:t>7.</w:t>
      </w:r>
      <w:r w:rsidRPr="00194D5A">
        <w:rPr>
          <w:rFonts w:asciiTheme="minorHAnsi" w:hAnsiTheme="minorHAnsi" w:cstheme="minorHAnsi"/>
          <w:b/>
          <w:sz w:val="22"/>
          <w:szCs w:val="22"/>
        </w:rPr>
        <w:tab/>
        <w:t>Explain any special circumstances that would cause an information collection to be conducted in a manner:</w:t>
      </w:r>
    </w:p>
    <w:p w14:paraId="754D8817" w14:textId="77777777" w:rsidR="00303F5F" w:rsidRPr="00194D5A" w:rsidRDefault="00303F5F" w:rsidP="00683926">
      <w:pPr>
        <w:tabs>
          <w:tab w:val="left" w:pos="72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080" w:hanging="1080"/>
        <w:rPr>
          <w:rFonts w:asciiTheme="minorHAnsi" w:hAnsiTheme="minorHAnsi" w:cstheme="minorHAnsi"/>
          <w:b/>
          <w:sz w:val="22"/>
          <w:szCs w:val="22"/>
        </w:rPr>
      </w:pPr>
      <w:r w:rsidRPr="00194D5A">
        <w:rPr>
          <w:rFonts w:asciiTheme="minorHAnsi" w:hAnsiTheme="minorHAnsi" w:cstheme="minorHAnsi"/>
          <w:b/>
          <w:sz w:val="22"/>
          <w:szCs w:val="22"/>
        </w:rPr>
        <w:tab/>
        <w:t>*</w:t>
      </w:r>
      <w:r w:rsidRPr="00194D5A">
        <w:rPr>
          <w:rFonts w:asciiTheme="minorHAnsi" w:hAnsiTheme="minorHAnsi" w:cstheme="minorHAnsi"/>
          <w:b/>
          <w:sz w:val="22"/>
          <w:szCs w:val="22"/>
        </w:rPr>
        <w:tab/>
        <w:t>requiring respondents to report information to the agency more often than quarterly;</w:t>
      </w:r>
    </w:p>
    <w:p w14:paraId="3A6AD9E2" w14:textId="77777777" w:rsidR="00303F5F" w:rsidRPr="00194D5A" w:rsidRDefault="00303F5F" w:rsidP="00683926">
      <w:pPr>
        <w:tabs>
          <w:tab w:val="left" w:pos="72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080" w:hanging="1080"/>
        <w:rPr>
          <w:rFonts w:asciiTheme="minorHAnsi" w:hAnsiTheme="minorHAnsi" w:cstheme="minorHAnsi"/>
          <w:b/>
          <w:sz w:val="22"/>
          <w:szCs w:val="22"/>
        </w:rPr>
      </w:pPr>
      <w:r w:rsidRPr="00194D5A">
        <w:rPr>
          <w:rFonts w:asciiTheme="minorHAnsi" w:hAnsiTheme="minorHAnsi" w:cstheme="minorHAnsi"/>
          <w:b/>
          <w:sz w:val="22"/>
          <w:szCs w:val="22"/>
        </w:rPr>
        <w:tab/>
        <w:t>*</w:t>
      </w:r>
      <w:r w:rsidRPr="00194D5A">
        <w:rPr>
          <w:rFonts w:asciiTheme="minorHAnsi" w:hAnsiTheme="minorHAnsi" w:cstheme="minorHAnsi"/>
          <w:b/>
          <w:sz w:val="22"/>
          <w:szCs w:val="22"/>
        </w:rPr>
        <w:tab/>
        <w:t>requiring respondents to prepare a written response to a collection of information in fewer than 30 days after receipt of it;</w:t>
      </w:r>
    </w:p>
    <w:p w14:paraId="303592F0" w14:textId="77777777" w:rsidR="00303F5F" w:rsidRPr="00194D5A" w:rsidRDefault="00303F5F" w:rsidP="00683926">
      <w:pPr>
        <w:tabs>
          <w:tab w:val="left" w:pos="72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080" w:hanging="1080"/>
        <w:rPr>
          <w:rFonts w:asciiTheme="minorHAnsi" w:hAnsiTheme="minorHAnsi" w:cstheme="minorHAnsi"/>
          <w:b/>
          <w:sz w:val="22"/>
          <w:szCs w:val="22"/>
        </w:rPr>
      </w:pPr>
      <w:r w:rsidRPr="00194D5A">
        <w:rPr>
          <w:rFonts w:asciiTheme="minorHAnsi" w:hAnsiTheme="minorHAnsi" w:cstheme="minorHAnsi"/>
          <w:b/>
          <w:sz w:val="22"/>
          <w:szCs w:val="22"/>
        </w:rPr>
        <w:tab/>
        <w:t>*</w:t>
      </w:r>
      <w:r w:rsidRPr="00194D5A">
        <w:rPr>
          <w:rFonts w:asciiTheme="minorHAnsi" w:hAnsiTheme="minorHAnsi" w:cstheme="minorHAnsi"/>
          <w:b/>
          <w:sz w:val="22"/>
          <w:szCs w:val="22"/>
        </w:rPr>
        <w:tab/>
        <w:t>requiring respondents to submit more than an original and two copies of any document;</w:t>
      </w:r>
    </w:p>
    <w:p w14:paraId="1252C0E1" w14:textId="77777777" w:rsidR="00303F5F" w:rsidRPr="00194D5A" w:rsidRDefault="00303F5F" w:rsidP="00683926">
      <w:pPr>
        <w:tabs>
          <w:tab w:val="left" w:pos="72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080" w:hanging="1080"/>
        <w:rPr>
          <w:rFonts w:asciiTheme="minorHAnsi" w:hAnsiTheme="minorHAnsi" w:cstheme="minorHAnsi"/>
          <w:b/>
          <w:sz w:val="22"/>
          <w:szCs w:val="22"/>
        </w:rPr>
      </w:pPr>
      <w:r w:rsidRPr="00194D5A">
        <w:rPr>
          <w:rFonts w:asciiTheme="minorHAnsi" w:hAnsiTheme="minorHAnsi" w:cstheme="minorHAnsi"/>
          <w:b/>
          <w:sz w:val="22"/>
          <w:szCs w:val="22"/>
        </w:rPr>
        <w:tab/>
        <w:t>*</w:t>
      </w:r>
      <w:r w:rsidRPr="00194D5A">
        <w:rPr>
          <w:rFonts w:asciiTheme="minorHAnsi" w:hAnsiTheme="minorHAnsi" w:cstheme="minorHAnsi"/>
          <w:b/>
          <w:sz w:val="22"/>
          <w:szCs w:val="22"/>
        </w:rPr>
        <w:tab/>
        <w:t>requiring respondents to retain records, other than health, medical, government contract, grant-in-aid, or tax records, for more than three years;</w:t>
      </w:r>
    </w:p>
    <w:p w14:paraId="0BBE3A5A" w14:textId="77777777" w:rsidR="00303F5F" w:rsidRPr="00194D5A" w:rsidRDefault="00303F5F" w:rsidP="00683926">
      <w:pPr>
        <w:tabs>
          <w:tab w:val="left" w:pos="72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080" w:hanging="1080"/>
        <w:rPr>
          <w:rFonts w:asciiTheme="minorHAnsi" w:hAnsiTheme="minorHAnsi" w:cstheme="minorHAnsi"/>
          <w:b/>
          <w:sz w:val="22"/>
          <w:szCs w:val="22"/>
        </w:rPr>
      </w:pPr>
      <w:r w:rsidRPr="00194D5A">
        <w:rPr>
          <w:rFonts w:asciiTheme="minorHAnsi" w:hAnsiTheme="minorHAnsi" w:cstheme="minorHAnsi"/>
          <w:b/>
          <w:sz w:val="22"/>
          <w:szCs w:val="22"/>
        </w:rPr>
        <w:tab/>
        <w:t>*</w:t>
      </w:r>
      <w:r w:rsidRPr="00194D5A">
        <w:rPr>
          <w:rFonts w:asciiTheme="minorHAnsi" w:hAnsiTheme="minorHAnsi" w:cstheme="minorHAnsi"/>
          <w:b/>
          <w:sz w:val="22"/>
          <w:szCs w:val="22"/>
        </w:rPr>
        <w:tab/>
        <w:t>in connection with a statistical survey that is not designed to produce valid and reliable results that can be generalized to the universe of study;</w:t>
      </w:r>
    </w:p>
    <w:p w14:paraId="1BD15488" w14:textId="77777777" w:rsidR="00303F5F" w:rsidRPr="00194D5A" w:rsidRDefault="00303F5F" w:rsidP="00683926">
      <w:pPr>
        <w:tabs>
          <w:tab w:val="left" w:pos="72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080" w:hanging="1080"/>
        <w:rPr>
          <w:rFonts w:asciiTheme="minorHAnsi" w:hAnsiTheme="minorHAnsi" w:cstheme="minorHAnsi"/>
          <w:b/>
          <w:sz w:val="22"/>
          <w:szCs w:val="22"/>
        </w:rPr>
      </w:pPr>
      <w:r w:rsidRPr="00194D5A">
        <w:rPr>
          <w:rFonts w:asciiTheme="minorHAnsi" w:hAnsiTheme="minorHAnsi" w:cstheme="minorHAnsi"/>
          <w:b/>
          <w:sz w:val="22"/>
          <w:szCs w:val="22"/>
        </w:rPr>
        <w:tab/>
        <w:t>*</w:t>
      </w:r>
      <w:r w:rsidRPr="00194D5A">
        <w:rPr>
          <w:rFonts w:asciiTheme="minorHAnsi" w:hAnsiTheme="minorHAnsi" w:cstheme="minorHAnsi"/>
          <w:b/>
          <w:sz w:val="22"/>
          <w:szCs w:val="22"/>
        </w:rPr>
        <w:tab/>
        <w:t>requiring the use of a statistical data classification that has not been reviewed and approved by OMB;</w:t>
      </w:r>
    </w:p>
    <w:p w14:paraId="48A4A3F9" w14:textId="77777777" w:rsidR="00303F5F" w:rsidRPr="00194D5A" w:rsidRDefault="00303F5F" w:rsidP="00683926">
      <w:pPr>
        <w:tabs>
          <w:tab w:val="left" w:pos="72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080" w:hanging="1080"/>
        <w:rPr>
          <w:rFonts w:asciiTheme="minorHAnsi" w:hAnsiTheme="minorHAnsi" w:cstheme="minorHAnsi"/>
          <w:b/>
          <w:sz w:val="22"/>
          <w:szCs w:val="22"/>
        </w:rPr>
      </w:pPr>
      <w:r w:rsidRPr="00194D5A">
        <w:rPr>
          <w:rFonts w:asciiTheme="minorHAnsi" w:hAnsiTheme="minorHAnsi" w:cstheme="minorHAnsi"/>
          <w:b/>
          <w:sz w:val="22"/>
          <w:szCs w:val="22"/>
        </w:rPr>
        <w:tab/>
        <w:t>*</w:t>
      </w:r>
      <w:r w:rsidRPr="00194D5A">
        <w:rPr>
          <w:rFonts w:asciiTheme="minorHAnsi" w:hAnsiTheme="minorHAnsi" w:cstheme="minorHAnsi"/>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F3354A1" w14:textId="77777777" w:rsidR="00303F5F" w:rsidRPr="00194D5A" w:rsidRDefault="00303F5F" w:rsidP="00683926">
      <w:pPr>
        <w:tabs>
          <w:tab w:val="left" w:pos="72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080" w:hanging="1080"/>
        <w:rPr>
          <w:rFonts w:asciiTheme="minorHAnsi" w:hAnsiTheme="minorHAnsi" w:cstheme="minorHAnsi"/>
          <w:b/>
          <w:sz w:val="22"/>
          <w:szCs w:val="22"/>
        </w:rPr>
      </w:pPr>
      <w:r w:rsidRPr="00194D5A">
        <w:rPr>
          <w:rFonts w:asciiTheme="minorHAnsi" w:hAnsiTheme="minorHAnsi" w:cstheme="minorHAnsi"/>
          <w:b/>
          <w:sz w:val="22"/>
          <w:szCs w:val="22"/>
        </w:rPr>
        <w:tab/>
        <w:t>*</w:t>
      </w:r>
      <w:r w:rsidRPr="00194D5A">
        <w:rPr>
          <w:rFonts w:asciiTheme="minorHAnsi" w:hAnsiTheme="minorHAnsi" w:cstheme="minorHAnsi"/>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1F42A824" w14:textId="77777777" w:rsidR="00303F5F" w:rsidRPr="00194D5A" w:rsidRDefault="00303F5F" w:rsidP="00683926">
      <w:pPr>
        <w:tabs>
          <w:tab w:val="left" w:pos="720"/>
        </w:tabs>
        <w:suppressAutoHyphens/>
        <w:spacing w:line="276" w:lineRule="auto"/>
        <w:rPr>
          <w:rFonts w:asciiTheme="minorHAnsi" w:hAnsiTheme="minorHAnsi" w:cstheme="minorHAnsi"/>
          <w:sz w:val="22"/>
          <w:szCs w:val="22"/>
        </w:rPr>
      </w:pPr>
    </w:p>
    <w:p w14:paraId="5B392619" w14:textId="77777777" w:rsidR="00303F5F" w:rsidRPr="00194D5A" w:rsidRDefault="00303F5F" w:rsidP="00683926">
      <w:pPr>
        <w:tabs>
          <w:tab w:val="left" w:pos="720"/>
        </w:tabs>
        <w:suppressAutoHyphens/>
        <w:spacing w:line="276" w:lineRule="auto"/>
        <w:rPr>
          <w:rFonts w:asciiTheme="minorHAnsi" w:hAnsiTheme="minorHAnsi" w:cstheme="minorHAnsi"/>
          <w:sz w:val="22"/>
          <w:szCs w:val="22"/>
        </w:rPr>
      </w:pPr>
      <w:r w:rsidRPr="00194D5A">
        <w:rPr>
          <w:rFonts w:asciiTheme="minorHAnsi" w:hAnsiTheme="minorHAnsi" w:cstheme="minorHAnsi"/>
          <w:sz w:val="22"/>
          <w:szCs w:val="22"/>
        </w:rPr>
        <w:t>There are no circumstances that require us to collect the information in a manner inconsistent with OMB guidelines.</w:t>
      </w:r>
    </w:p>
    <w:p w14:paraId="3A776FB0" w14:textId="77777777" w:rsidR="00303F5F" w:rsidRPr="00194D5A" w:rsidRDefault="00303F5F" w:rsidP="00683926">
      <w:pPr>
        <w:tabs>
          <w:tab w:val="left" w:pos="720"/>
        </w:tabs>
        <w:suppressAutoHyphens/>
        <w:spacing w:line="276" w:lineRule="auto"/>
        <w:rPr>
          <w:rFonts w:asciiTheme="minorHAnsi" w:hAnsiTheme="minorHAnsi" w:cstheme="minorHAnsi"/>
          <w:sz w:val="22"/>
          <w:szCs w:val="22"/>
        </w:rPr>
      </w:pPr>
    </w:p>
    <w:p w14:paraId="13048E47" w14:textId="77777777" w:rsidR="00303F5F" w:rsidRPr="00194D5A" w:rsidRDefault="00303F5F" w:rsidP="00683926">
      <w:pPr>
        <w:tabs>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194D5A">
        <w:rPr>
          <w:rFonts w:asciiTheme="minorHAnsi" w:hAnsiTheme="minorHAnsi" w:cstheme="minorHAnsi"/>
          <w:b/>
          <w:sz w:val="22"/>
          <w:szCs w:val="22"/>
        </w:rPr>
        <w:t>8.</w:t>
      </w:r>
      <w:r w:rsidRPr="00194D5A">
        <w:rPr>
          <w:rFonts w:asciiTheme="minorHAnsi" w:hAnsiTheme="minorHAnsi" w:cstheme="minorHAnsi"/>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30D2FD61" w14:textId="77777777" w:rsidR="00303F5F" w:rsidRPr="00194D5A" w:rsidRDefault="00303F5F" w:rsidP="00683926">
      <w:pPr>
        <w:tabs>
          <w:tab w:val="left" w:pos="0"/>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p>
    <w:p w14:paraId="294F45EF" w14:textId="77777777" w:rsidR="00303F5F" w:rsidRPr="00194D5A" w:rsidRDefault="00303F5F" w:rsidP="00683926">
      <w:pPr>
        <w:tabs>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194D5A">
        <w:rPr>
          <w:rFonts w:asciiTheme="minorHAnsi" w:hAnsiTheme="minorHAnsi" w:cstheme="minorHAnsi"/>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13AB78A" w14:textId="77777777" w:rsidR="00303F5F" w:rsidRPr="00194D5A" w:rsidRDefault="00303F5F" w:rsidP="00683926">
      <w:pPr>
        <w:tabs>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p>
    <w:p w14:paraId="24A0218B" w14:textId="77777777" w:rsidR="00303F5F" w:rsidRPr="00194D5A" w:rsidRDefault="00303F5F" w:rsidP="00683926">
      <w:pPr>
        <w:tabs>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194D5A">
        <w:rPr>
          <w:rFonts w:asciiTheme="minorHAnsi" w:hAnsiTheme="minorHAnsi" w:cstheme="minorHAnsi"/>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2E33A75E" w14:textId="754F4DCD" w:rsidR="00303F5F" w:rsidRPr="00194D5A" w:rsidRDefault="00303F5F" w:rsidP="00683926">
      <w:pPr>
        <w:tabs>
          <w:tab w:val="left" w:pos="720"/>
        </w:tabs>
        <w:suppressAutoHyphens/>
        <w:spacing w:line="276" w:lineRule="auto"/>
        <w:rPr>
          <w:rFonts w:asciiTheme="minorHAnsi" w:hAnsiTheme="minorHAnsi" w:cstheme="minorHAnsi"/>
          <w:b/>
          <w:i/>
          <w:sz w:val="22"/>
          <w:szCs w:val="22"/>
        </w:rPr>
      </w:pPr>
    </w:p>
    <w:p w14:paraId="3E7C1EDD" w14:textId="17A588B1" w:rsidR="00F95D3C" w:rsidRPr="00194D5A" w:rsidRDefault="00F95D3C" w:rsidP="00683926">
      <w:pPr>
        <w:widowControl w:val="0"/>
        <w:tabs>
          <w:tab w:val="left" w:pos="360"/>
          <w:tab w:val="left" w:pos="720"/>
          <w:tab w:val="left" w:pos="1440"/>
        </w:tabs>
        <w:autoSpaceDE w:val="0"/>
        <w:autoSpaceDN w:val="0"/>
        <w:spacing w:line="276" w:lineRule="auto"/>
        <w:ind w:right="186"/>
        <w:rPr>
          <w:rFonts w:asciiTheme="minorHAnsi" w:eastAsia="Arial" w:hAnsiTheme="minorHAnsi" w:cstheme="minorHAnsi"/>
          <w:sz w:val="22"/>
          <w:szCs w:val="22"/>
        </w:rPr>
      </w:pPr>
      <w:r w:rsidRPr="00194D5A">
        <w:rPr>
          <w:rFonts w:asciiTheme="minorHAnsi" w:eastAsia="Arial" w:hAnsiTheme="minorHAnsi" w:cstheme="minorHAnsi"/>
          <w:sz w:val="22"/>
          <w:szCs w:val="22"/>
        </w:rPr>
        <w:t xml:space="preserve">On </w:t>
      </w:r>
      <w:r w:rsidR="001950BE" w:rsidRPr="00194D5A">
        <w:rPr>
          <w:rFonts w:asciiTheme="minorHAnsi" w:eastAsia="Arial" w:hAnsiTheme="minorHAnsi" w:cstheme="minorHAnsi"/>
          <w:sz w:val="22"/>
          <w:szCs w:val="22"/>
        </w:rPr>
        <w:t>April 24, 2019</w:t>
      </w:r>
      <w:r w:rsidRPr="00194D5A">
        <w:rPr>
          <w:rFonts w:asciiTheme="minorHAnsi" w:eastAsia="Arial" w:hAnsiTheme="minorHAnsi" w:cstheme="minorHAnsi"/>
          <w:sz w:val="22"/>
          <w:szCs w:val="22"/>
        </w:rPr>
        <w:t xml:space="preserve">, we published in the </w:t>
      </w:r>
      <w:r w:rsidRPr="00194D5A">
        <w:rPr>
          <w:rFonts w:asciiTheme="minorHAnsi" w:eastAsia="Arial" w:hAnsiTheme="minorHAnsi" w:cstheme="minorHAnsi"/>
          <w:i/>
          <w:sz w:val="22"/>
          <w:szCs w:val="22"/>
        </w:rPr>
        <w:t>Federal Register</w:t>
      </w:r>
      <w:r w:rsidRPr="00194D5A">
        <w:rPr>
          <w:rFonts w:asciiTheme="minorHAnsi" w:eastAsia="Arial" w:hAnsiTheme="minorHAnsi" w:cstheme="minorHAnsi"/>
          <w:sz w:val="22"/>
          <w:szCs w:val="22"/>
        </w:rPr>
        <w:t xml:space="preserve"> (</w:t>
      </w:r>
      <w:r w:rsidR="001950BE" w:rsidRPr="00194D5A">
        <w:rPr>
          <w:rFonts w:asciiTheme="minorHAnsi" w:eastAsia="Arial" w:hAnsiTheme="minorHAnsi" w:cstheme="minorHAnsi"/>
          <w:sz w:val="22"/>
          <w:szCs w:val="22"/>
        </w:rPr>
        <w:t>84</w:t>
      </w:r>
      <w:r w:rsidRPr="00194D5A">
        <w:rPr>
          <w:rFonts w:asciiTheme="minorHAnsi" w:eastAsia="Arial" w:hAnsiTheme="minorHAnsi" w:cstheme="minorHAnsi"/>
          <w:sz w:val="22"/>
          <w:szCs w:val="22"/>
        </w:rPr>
        <w:t xml:space="preserve"> FR </w:t>
      </w:r>
      <w:r w:rsidR="001950BE" w:rsidRPr="00194D5A">
        <w:rPr>
          <w:rFonts w:asciiTheme="minorHAnsi" w:eastAsia="Arial" w:hAnsiTheme="minorHAnsi" w:cstheme="minorHAnsi"/>
          <w:sz w:val="22"/>
          <w:szCs w:val="22"/>
        </w:rPr>
        <w:t>1720</w:t>
      </w:r>
      <w:r w:rsidR="00545E01" w:rsidRPr="00194D5A">
        <w:rPr>
          <w:rFonts w:asciiTheme="minorHAnsi" w:eastAsia="Arial" w:hAnsiTheme="minorHAnsi" w:cstheme="minorHAnsi"/>
          <w:sz w:val="22"/>
          <w:szCs w:val="22"/>
        </w:rPr>
        <w:t>0</w:t>
      </w:r>
      <w:r w:rsidRPr="00194D5A">
        <w:rPr>
          <w:rFonts w:asciiTheme="minorHAnsi" w:eastAsia="Arial" w:hAnsiTheme="minorHAnsi" w:cstheme="minorHAnsi"/>
          <w:sz w:val="22"/>
          <w:szCs w:val="22"/>
        </w:rPr>
        <w:t xml:space="preserve">) a notice of our intent to request that OMB approve this information collection.  In that notice, we solicited comments for 60 days, ending on </w:t>
      </w:r>
      <w:r w:rsidR="001950BE" w:rsidRPr="00194D5A">
        <w:rPr>
          <w:rFonts w:asciiTheme="minorHAnsi" w:eastAsia="Arial" w:hAnsiTheme="minorHAnsi" w:cstheme="minorHAnsi"/>
          <w:sz w:val="22"/>
          <w:szCs w:val="22"/>
        </w:rPr>
        <w:t>June 2</w:t>
      </w:r>
      <w:r w:rsidR="005E1D0F" w:rsidRPr="00194D5A">
        <w:rPr>
          <w:rFonts w:asciiTheme="minorHAnsi" w:eastAsia="Arial" w:hAnsiTheme="minorHAnsi" w:cstheme="minorHAnsi"/>
          <w:sz w:val="22"/>
          <w:szCs w:val="22"/>
        </w:rPr>
        <w:t>3</w:t>
      </w:r>
      <w:r w:rsidR="001950BE" w:rsidRPr="00194D5A">
        <w:rPr>
          <w:rFonts w:asciiTheme="minorHAnsi" w:eastAsia="Arial" w:hAnsiTheme="minorHAnsi" w:cstheme="minorHAnsi"/>
          <w:sz w:val="22"/>
          <w:szCs w:val="22"/>
        </w:rPr>
        <w:t>, 2019</w:t>
      </w:r>
      <w:r w:rsidRPr="00194D5A">
        <w:rPr>
          <w:rFonts w:asciiTheme="minorHAnsi" w:eastAsia="Arial" w:hAnsiTheme="minorHAnsi" w:cstheme="minorHAnsi"/>
          <w:sz w:val="22"/>
          <w:szCs w:val="22"/>
        </w:rPr>
        <w:t>.  We</w:t>
      </w:r>
      <w:r w:rsidR="005745A8" w:rsidRPr="00194D5A">
        <w:rPr>
          <w:rFonts w:asciiTheme="minorHAnsi" w:eastAsia="Arial" w:hAnsiTheme="minorHAnsi" w:cstheme="minorHAnsi"/>
          <w:sz w:val="22"/>
          <w:szCs w:val="22"/>
        </w:rPr>
        <w:t xml:space="preserve"> received one </w:t>
      </w:r>
      <w:r w:rsidRPr="00194D5A">
        <w:rPr>
          <w:rFonts w:asciiTheme="minorHAnsi" w:eastAsia="Arial" w:hAnsiTheme="minorHAnsi" w:cstheme="minorHAnsi"/>
          <w:sz w:val="22"/>
          <w:szCs w:val="22"/>
        </w:rPr>
        <w:t>comment in response to that Notice</w:t>
      </w:r>
      <w:r w:rsidR="005745A8" w:rsidRPr="00194D5A">
        <w:rPr>
          <w:rFonts w:asciiTheme="minorHAnsi" w:eastAsia="Arial" w:hAnsiTheme="minorHAnsi" w:cstheme="minorHAnsi"/>
          <w:sz w:val="22"/>
          <w:szCs w:val="22"/>
        </w:rPr>
        <w:t xml:space="preserve"> that did not</w:t>
      </w:r>
      <w:r w:rsidR="009A072A" w:rsidRPr="00194D5A">
        <w:rPr>
          <w:rFonts w:asciiTheme="minorHAnsi" w:eastAsia="Arial" w:hAnsiTheme="minorHAnsi" w:cstheme="minorHAnsi"/>
          <w:sz w:val="22"/>
          <w:szCs w:val="22"/>
        </w:rPr>
        <w:t xml:space="preserve"> address the information collection nor</w:t>
      </w:r>
      <w:r w:rsidR="005745A8" w:rsidRPr="00194D5A">
        <w:rPr>
          <w:rFonts w:asciiTheme="minorHAnsi" w:eastAsia="Arial" w:hAnsiTheme="minorHAnsi" w:cstheme="minorHAnsi"/>
          <w:sz w:val="22"/>
          <w:szCs w:val="22"/>
        </w:rPr>
        <w:t xml:space="preserve"> </w:t>
      </w:r>
      <w:r w:rsidR="00545E01" w:rsidRPr="00194D5A">
        <w:rPr>
          <w:rFonts w:asciiTheme="minorHAnsi" w:eastAsia="Arial" w:hAnsiTheme="minorHAnsi" w:cstheme="minorHAnsi"/>
          <w:sz w:val="22"/>
          <w:szCs w:val="22"/>
        </w:rPr>
        <w:t xml:space="preserve">necessitate </w:t>
      </w:r>
      <w:r w:rsidR="005745A8" w:rsidRPr="00194D5A">
        <w:rPr>
          <w:rFonts w:asciiTheme="minorHAnsi" w:eastAsia="Arial" w:hAnsiTheme="minorHAnsi" w:cstheme="minorHAnsi"/>
          <w:sz w:val="22"/>
          <w:szCs w:val="22"/>
        </w:rPr>
        <w:t>a</w:t>
      </w:r>
      <w:r w:rsidR="00545E01" w:rsidRPr="00194D5A">
        <w:rPr>
          <w:rFonts w:asciiTheme="minorHAnsi" w:eastAsia="Arial" w:hAnsiTheme="minorHAnsi" w:cstheme="minorHAnsi"/>
          <w:sz w:val="22"/>
          <w:szCs w:val="22"/>
        </w:rPr>
        <w:t>ny</w:t>
      </w:r>
      <w:r w:rsidR="005745A8" w:rsidRPr="00194D5A">
        <w:rPr>
          <w:rFonts w:asciiTheme="minorHAnsi" w:eastAsia="Arial" w:hAnsiTheme="minorHAnsi" w:cstheme="minorHAnsi"/>
          <w:sz w:val="22"/>
          <w:szCs w:val="22"/>
        </w:rPr>
        <w:t xml:space="preserve"> change</w:t>
      </w:r>
      <w:r w:rsidR="00545E01" w:rsidRPr="00194D5A">
        <w:rPr>
          <w:rFonts w:asciiTheme="minorHAnsi" w:eastAsia="Arial" w:hAnsiTheme="minorHAnsi" w:cstheme="minorHAnsi"/>
          <w:sz w:val="22"/>
          <w:szCs w:val="22"/>
        </w:rPr>
        <w:t>s</w:t>
      </w:r>
      <w:r w:rsidR="005745A8" w:rsidRPr="00194D5A">
        <w:rPr>
          <w:rFonts w:asciiTheme="minorHAnsi" w:eastAsia="Arial" w:hAnsiTheme="minorHAnsi" w:cstheme="minorHAnsi"/>
          <w:sz w:val="22"/>
          <w:szCs w:val="22"/>
        </w:rPr>
        <w:t xml:space="preserve"> to the collection.</w:t>
      </w:r>
    </w:p>
    <w:p w14:paraId="3AB8E4DE" w14:textId="77777777" w:rsidR="00F95D3C" w:rsidRPr="00194D5A" w:rsidRDefault="00F95D3C" w:rsidP="00683926">
      <w:pPr>
        <w:widowControl w:val="0"/>
        <w:tabs>
          <w:tab w:val="left" w:pos="360"/>
          <w:tab w:val="left" w:pos="720"/>
          <w:tab w:val="left" w:pos="1440"/>
        </w:tabs>
        <w:autoSpaceDE w:val="0"/>
        <w:autoSpaceDN w:val="0"/>
        <w:spacing w:line="276" w:lineRule="auto"/>
        <w:ind w:right="186"/>
        <w:rPr>
          <w:rFonts w:asciiTheme="minorHAnsi" w:eastAsia="Arial" w:hAnsiTheme="minorHAnsi" w:cstheme="minorHAnsi"/>
          <w:sz w:val="22"/>
          <w:szCs w:val="22"/>
        </w:rPr>
      </w:pPr>
    </w:p>
    <w:p w14:paraId="47822F44" w14:textId="001B71CE" w:rsidR="00B714F3" w:rsidRPr="00194D5A" w:rsidRDefault="00C35155" w:rsidP="00683926">
      <w:pPr>
        <w:widowControl w:val="0"/>
        <w:tabs>
          <w:tab w:val="left" w:pos="360"/>
          <w:tab w:val="left" w:pos="720"/>
          <w:tab w:val="left" w:pos="1440"/>
        </w:tabs>
        <w:autoSpaceDE w:val="0"/>
        <w:autoSpaceDN w:val="0"/>
        <w:adjustRightInd w:val="0"/>
        <w:spacing w:line="276" w:lineRule="auto"/>
        <w:rPr>
          <w:rFonts w:asciiTheme="minorHAnsi" w:hAnsiTheme="minorHAnsi" w:cstheme="minorHAnsi"/>
          <w:sz w:val="22"/>
          <w:szCs w:val="22"/>
        </w:rPr>
      </w:pPr>
      <w:r w:rsidRPr="00194D5A">
        <w:rPr>
          <w:rFonts w:asciiTheme="minorHAnsi" w:hAnsiTheme="minorHAnsi" w:cstheme="minorHAnsi"/>
          <w:sz w:val="22"/>
          <w:szCs w:val="22"/>
        </w:rPr>
        <w:t>I</w:t>
      </w:r>
      <w:r w:rsidR="00F95D3C" w:rsidRPr="00194D5A">
        <w:rPr>
          <w:rFonts w:asciiTheme="minorHAnsi" w:hAnsiTheme="minorHAnsi" w:cstheme="minorHAnsi"/>
          <w:sz w:val="22"/>
          <w:szCs w:val="22"/>
        </w:rPr>
        <w:t xml:space="preserve">n addition to the Federal Register Notice, </w:t>
      </w:r>
      <w:r w:rsidR="00B714F3" w:rsidRPr="00194D5A">
        <w:rPr>
          <w:rFonts w:asciiTheme="minorHAnsi" w:hAnsiTheme="minorHAnsi" w:cstheme="minorHAnsi"/>
          <w:sz w:val="22"/>
          <w:szCs w:val="22"/>
        </w:rPr>
        <w:t xml:space="preserve">we solicited comments from persons outside NPS familiar with this collection of information in order to validate our time burden estimate and provide comments on the on the following: </w:t>
      </w:r>
    </w:p>
    <w:p w14:paraId="4E891D0C" w14:textId="61D2D4B1" w:rsidR="00B714F3" w:rsidRPr="00194D5A" w:rsidRDefault="00B714F3" w:rsidP="00683926">
      <w:pPr>
        <w:widowControl w:val="0"/>
        <w:tabs>
          <w:tab w:val="left" w:pos="360"/>
          <w:tab w:val="left" w:pos="720"/>
          <w:tab w:val="left" w:pos="1440"/>
        </w:tabs>
        <w:autoSpaceDE w:val="0"/>
        <w:autoSpaceDN w:val="0"/>
        <w:adjustRightInd w:val="0"/>
        <w:spacing w:line="276" w:lineRule="auto"/>
        <w:ind w:left="360"/>
        <w:rPr>
          <w:rFonts w:asciiTheme="minorHAnsi" w:hAnsiTheme="minorHAnsi" w:cstheme="minorHAnsi"/>
          <w:sz w:val="22"/>
          <w:szCs w:val="22"/>
        </w:rPr>
      </w:pPr>
      <w:r w:rsidRPr="00194D5A">
        <w:rPr>
          <w:rFonts w:asciiTheme="minorHAnsi" w:hAnsiTheme="minorHAnsi" w:cstheme="minorHAnsi"/>
          <w:sz w:val="22"/>
          <w:szCs w:val="22"/>
        </w:rPr>
        <w:t xml:space="preserve">(1) Whether or not the collection of information is necessary, including whether or not the information will have practical utility; whether there are any questions you felt were unnecessary; </w:t>
      </w:r>
    </w:p>
    <w:p w14:paraId="3420D216" w14:textId="70366556" w:rsidR="00B714F3" w:rsidRPr="00194D5A" w:rsidRDefault="00B714F3" w:rsidP="00683926">
      <w:pPr>
        <w:widowControl w:val="0"/>
        <w:tabs>
          <w:tab w:val="left" w:pos="360"/>
          <w:tab w:val="left" w:pos="720"/>
          <w:tab w:val="left" w:pos="1440"/>
        </w:tabs>
        <w:autoSpaceDE w:val="0"/>
        <w:autoSpaceDN w:val="0"/>
        <w:adjustRightInd w:val="0"/>
        <w:spacing w:line="276" w:lineRule="auto"/>
        <w:ind w:left="360"/>
        <w:rPr>
          <w:rFonts w:asciiTheme="minorHAnsi" w:hAnsiTheme="minorHAnsi" w:cstheme="minorHAnsi"/>
          <w:sz w:val="22"/>
          <w:szCs w:val="22"/>
        </w:rPr>
      </w:pPr>
      <w:r w:rsidRPr="00194D5A">
        <w:rPr>
          <w:rFonts w:asciiTheme="minorHAnsi" w:hAnsiTheme="minorHAnsi" w:cstheme="minorHAnsi"/>
          <w:sz w:val="22"/>
          <w:szCs w:val="22"/>
        </w:rPr>
        <w:t xml:space="preserve">(2) provide and estimate of the amount of time it takes to complete each form (9B plan of operations) in order to verify the accuracy of our estimate of the burden for this collection of information; </w:t>
      </w:r>
    </w:p>
    <w:p w14:paraId="42CD14BD" w14:textId="77777777" w:rsidR="00B714F3" w:rsidRPr="00194D5A" w:rsidRDefault="00B714F3" w:rsidP="00683926">
      <w:pPr>
        <w:widowControl w:val="0"/>
        <w:tabs>
          <w:tab w:val="left" w:pos="360"/>
          <w:tab w:val="left" w:pos="720"/>
          <w:tab w:val="left" w:pos="1440"/>
        </w:tabs>
        <w:autoSpaceDE w:val="0"/>
        <w:autoSpaceDN w:val="0"/>
        <w:adjustRightInd w:val="0"/>
        <w:spacing w:line="276" w:lineRule="auto"/>
        <w:ind w:left="360"/>
        <w:rPr>
          <w:rFonts w:asciiTheme="minorHAnsi" w:hAnsiTheme="minorHAnsi" w:cstheme="minorHAnsi"/>
          <w:sz w:val="22"/>
          <w:szCs w:val="22"/>
        </w:rPr>
      </w:pPr>
      <w:r w:rsidRPr="00194D5A">
        <w:rPr>
          <w:rFonts w:asciiTheme="minorHAnsi" w:hAnsiTheme="minorHAnsi" w:cstheme="minorHAnsi"/>
          <w:sz w:val="22"/>
          <w:szCs w:val="22"/>
        </w:rPr>
        <w:t xml:space="preserve">(3)  Do you have any suggestions for us on ways to enhance the quality, utility, and clarity of the information to be collected; and </w:t>
      </w:r>
    </w:p>
    <w:p w14:paraId="10A13048" w14:textId="253C9AE1" w:rsidR="00B714F3" w:rsidRPr="00194D5A" w:rsidRDefault="00B714F3" w:rsidP="00683926">
      <w:pPr>
        <w:widowControl w:val="0"/>
        <w:tabs>
          <w:tab w:val="left" w:pos="360"/>
          <w:tab w:val="left" w:pos="720"/>
          <w:tab w:val="left" w:pos="1440"/>
        </w:tabs>
        <w:autoSpaceDE w:val="0"/>
        <w:autoSpaceDN w:val="0"/>
        <w:adjustRightInd w:val="0"/>
        <w:spacing w:line="276" w:lineRule="auto"/>
        <w:ind w:left="360"/>
        <w:rPr>
          <w:rFonts w:asciiTheme="minorHAnsi" w:hAnsiTheme="minorHAnsi" w:cstheme="minorHAnsi"/>
          <w:sz w:val="22"/>
          <w:szCs w:val="22"/>
        </w:rPr>
      </w:pPr>
      <w:r w:rsidRPr="00194D5A">
        <w:rPr>
          <w:rFonts w:asciiTheme="minorHAnsi" w:hAnsiTheme="minorHAnsi" w:cstheme="minorHAnsi"/>
          <w:sz w:val="22"/>
          <w:szCs w:val="22"/>
        </w:rPr>
        <w:t xml:space="preserve">(4) Any ideas you might suggest which would minimize the burden of the collection of information on respondents.  </w:t>
      </w:r>
    </w:p>
    <w:p w14:paraId="210E7139" w14:textId="77777777" w:rsidR="00683926" w:rsidRPr="00194D5A" w:rsidRDefault="00683926" w:rsidP="00683926">
      <w:pPr>
        <w:widowControl w:val="0"/>
        <w:tabs>
          <w:tab w:val="left" w:pos="360"/>
          <w:tab w:val="left" w:pos="720"/>
          <w:tab w:val="left" w:pos="1440"/>
        </w:tabs>
        <w:autoSpaceDE w:val="0"/>
        <w:autoSpaceDN w:val="0"/>
        <w:adjustRightInd w:val="0"/>
        <w:spacing w:line="276" w:lineRule="auto"/>
        <w:ind w:left="360"/>
        <w:rPr>
          <w:rFonts w:asciiTheme="minorHAnsi" w:hAnsiTheme="minorHAnsi" w:cstheme="minorHAnsi"/>
          <w:sz w:val="22"/>
          <w:szCs w:val="22"/>
        </w:rPr>
      </w:pPr>
    </w:p>
    <w:p w14:paraId="1F5305C3" w14:textId="1EBE9685" w:rsidR="00B714F3" w:rsidRPr="00194D5A" w:rsidRDefault="00B714F3" w:rsidP="00683926">
      <w:pPr>
        <w:widowControl w:val="0"/>
        <w:tabs>
          <w:tab w:val="left" w:pos="360"/>
          <w:tab w:val="left" w:pos="720"/>
          <w:tab w:val="left" w:pos="1440"/>
        </w:tabs>
        <w:autoSpaceDE w:val="0"/>
        <w:autoSpaceDN w:val="0"/>
        <w:adjustRightInd w:val="0"/>
        <w:spacing w:line="276" w:lineRule="auto"/>
        <w:rPr>
          <w:rFonts w:asciiTheme="minorHAnsi" w:hAnsiTheme="minorHAnsi" w:cstheme="minorHAnsi"/>
          <w:sz w:val="22"/>
          <w:szCs w:val="22"/>
        </w:rPr>
      </w:pPr>
      <w:r w:rsidRPr="00194D5A">
        <w:rPr>
          <w:rFonts w:asciiTheme="minorHAnsi" w:hAnsiTheme="minorHAnsi" w:cstheme="minorHAnsi"/>
          <w:sz w:val="22"/>
          <w:szCs w:val="22"/>
        </w:rPr>
        <w:t>We sent an email to contacts on April 4, 2019, followed up by a reminder notice on April 22, 2019.  We also then follow up with individual telephone calls to each contact on May 21, 2019. Our contacts were:</w:t>
      </w:r>
    </w:p>
    <w:p w14:paraId="06A2D01C" w14:textId="77777777" w:rsidR="00683926" w:rsidRPr="00194D5A" w:rsidRDefault="00683926" w:rsidP="00683926">
      <w:pPr>
        <w:widowControl w:val="0"/>
        <w:tabs>
          <w:tab w:val="left" w:pos="360"/>
          <w:tab w:val="left" w:pos="720"/>
          <w:tab w:val="left" w:pos="1440"/>
        </w:tabs>
        <w:autoSpaceDE w:val="0"/>
        <w:autoSpaceDN w:val="0"/>
        <w:adjustRightInd w:val="0"/>
        <w:spacing w:line="276" w:lineRule="auto"/>
        <w:rPr>
          <w:rFonts w:asciiTheme="minorHAnsi" w:hAnsiTheme="minorHAnsi" w:cstheme="minorHAnsi"/>
          <w:b/>
          <w:sz w:val="22"/>
          <w:szCs w:val="22"/>
        </w:rPr>
      </w:pPr>
    </w:p>
    <w:p w14:paraId="7EF27024" w14:textId="4784802E" w:rsidR="00F95D3C" w:rsidRPr="00194D5A" w:rsidRDefault="00F95D3C" w:rsidP="00E02243">
      <w:pPr>
        <w:widowControl w:val="0"/>
        <w:tabs>
          <w:tab w:val="left" w:pos="360"/>
          <w:tab w:val="left" w:pos="720"/>
          <w:tab w:val="left" w:pos="1440"/>
        </w:tabs>
        <w:autoSpaceDE w:val="0"/>
        <w:autoSpaceDN w:val="0"/>
        <w:adjustRightInd w:val="0"/>
        <w:spacing w:line="276" w:lineRule="auto"/>
        <w:rPr>
          <w:rFonts w:asciiTheme="minorHAnsi" w:hAnsiTheme="minorHAnsi" w:cstheme="minorHAnsi"/>
          <w:b/>
          <w:sz w:val="22"/>
          <w:szCs w:val="22"/>
        </w:rPr>
      </w:pPr>
      <w:r w:rsidRPr="00194D5A">
        <w:rPr>
          <w:rFonts w:asciiTheme="minorHAnsi" w:hAnsiTheme="minorHAnsi" w:cstheme="minorHAnsi"/>
          <w:b/>
          <w:sz w:val="22"/>
          <w:szCs w:val="22"/>
        </w:rPr>
        <w:t>Table 8.1</w:t>
      </w:r>
      <w:r w:rsidR="00E02243" w:rsidRPr="00194D5A">
        <w:rPr>
          <w:rFonts w:asciiTheme="minorHAnsi" w:hAnsiTheme="minorHAnsi" w:cstheme="minorHAnsi"/>
          <w:b/>
          <w:sz w:val="22"/>
          <w:szCs w:val="22"/>
        </w:rPr>
        <w:t xml:space="preserve">. Consultations with </w:t>
      </w:r>
      <w:r w:rsidR="00893B91" w:rsidRPr="00194D5A">
        <w:rPr>
          <w:rFonts w:asciiTheme="minorHAnsi" w:hAnsiTheme="minorHAnsi" w:cstheme="minorHAnsi"/>
          <w:b/>
          <w:sz w:val="22"/>
          <w:szCs w:val="22"/>
        </w:rPr>
        <w:t xml:space="preserve">representatives </w:t>
      </w:r>
      <w:r w:rsidR="00E02243" w:rsidRPr="00194D5A">
        <w:rPr>
          <w:rFonts w:asciiTheme="minorHAnsi" w:hAnsiTheme="minorHAnsi" w:cstheme="minorHAnsi"/>
          <w:b/>
          <w:sz w:val="22"/>
          <w:szCs w:val="22"/>
        </w:rPr>
        <w:t>outside the agency</w:t>
      </w:r>
    </w:p>
    <w:p w14:paraId="413634BC" w14:textId="77777777" w:rsidR="00893B91" w:rsidRPr="00194D5A" w:rsidRDefault="00893B91" w:rsidP="00E02243">
      <w:pPr>
        <w:widowControl w:val="0"/>
        <w:tabs>
          <w:tab w:val="left" w:pos="360"/>
          <w:tab w:val="left" w:pos="720"/>
          <w:tab w:val="left" w:pos="1440"/>
        </w:tabs>
        <w:autoSpaceDE w:val="0"/>
        <w:autoSpaceDN w:val="0"/>
        <w:adjustRightInd w:val="0"/>
        <w:spacing w:line="276" w:lineRule="auto"/>
        <w:rPr>
          <w:rFonts w:asciiTheme="minorHAnsi" w:hAnsiTheme="minorHAnsi" w:cs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3415"/>
      </w:tblGrid>
      <w:tr w:rsidR="00893B91" w:rsidRPr="00194D5A" w14:paraId="3731DE45" w14:textId="77777777" w:rsidTr="00893B91">
        <w:trPr>
          <w:trHeight w:val="503"/>
        </w:trPr>
        <w:tc>
          <w:tcPr>
            <w:tcW w:w="5935" w:type="dxa"/>
            <w:tcBorders>
              <w:top w:val="single" w:sz="4" w:space="0" w:color="auto"/>
            </w:tcBorders>
            <w:vAlign w:val="center"/>
          </w:tcPr>
          <w:p w14:paraId="0283A4AD" w14:textId="77777777" w:rsidR="00893B91" w:rsidRPr="00194D5A" w:rsidRDefault="00893B91" w:rsidP="00893B91">
            <w:pPr>
              <w:widowControl w:val="0"/>
              <w:tabs>
                <w:tab w:val="left" w:pos="360"/>
                <w:tab w:val="left" w:pos="720"/>
                <w:tab w:val="left" w:pos="1440"/>
              </w:tabs>
              <w:autoSpaceDE w:val="0"/>
              <w:autoSpaceDN w:val="0"/>
              <w:adjustRightInd w:val="0"/>
              <w:spacing w:line="276" w:lineRule="auto"/>
              <w:rPr>
                <w:rFonts w:asciiTheme="minorHAnsi" w:hAnsiTheme="minorHAnsi" w:cstheme="minorHAnsi"/>
                <w:sz w:val="22"/>
              </w:rPr>
            </w:pPr>
            <w:r w:rsidRPr="00194D5A">
              <w:rPr>
                <w:rFonts w:asciiTheme="minorHAnsi" w:hAnsiTheme="minorHAnsi" w:cstheme="minorHAnsi"/>
                <w:sz w:val="22"/>
              </w:rPr>
              <w:t>Manana Gas, Inc</w:t>
            </w:r>
          </w:p>
        </w:tc>
        <w:tc>
          <w:tcPr>
            <w:tcW w:w="3415" w:type="dxa"/>
            <w:tcBorders>
              <w:top w:val="single" w:sz="4" w:space="0" w:color="auto"/>
            </w:tcBorders>
            <w:vAlign w:val="center"/>
          </w:tcPr>
          <w:p w14:paraId="0F51262A" w14:textId="77777777" w:rsidR="00893B91" w:rsidRPr="00194D5A" w:rsidRDefault="00893B91" w:rsidP="00893B91">
            <w:pPr>
              <w:widowControl w:val="0"/>
              <w:tabs>
                <w:tab w:val="left" w:pos="360"/>
                <w:tab w:val="left" w:pos="720"/>
                <w:tab w:val="left" w:pos="1440"/>
              </w:tabs>
              <w:autoSpaceDE w:val="0"/>
              <w:autoSpaceDN w:val="0"/>
              <w:adjustRightInd w:val="0"/>
              <w:spacing w:line="276" w:lineRule="auto"/>
              <w:rPr>
                <w:rFonts w:asciiTheme="minorHAnsi" w:hAnsiTheme="minorHAnsi" w:cstheme="minorHAnsi"/>
                <w:sz w:val="22"/>
              </w:rPr>
            </w:pPr>
            <w:r w:rsidRPr="00194D5A">
              <w:rPr>
                <w:rFonts w:asciiTheme="minorHAnsi" w:hAnsiTheme="minorHAnsi" w:cstheme="minorHAnsi"/>
                <w:sz w:val="22"/>
              </w:rPr>
              <w:t>President</w:t>
            </w:r>
          </w:p>
        </w:tc>
      </w:tr>
      <w:tr w:rsidR="00893B91" w:rsidRPr="00194D5A" w14:paraId="233F6728" w14:textId="77777777" w:rsidTr="00893B91">
        <w:trPr>
          <w:trHeight w:val="467"/>
        </w:trPr>
        <w:tc>
          <w:tcPr>
            <w:tcW w:w="5935" w:type="dxa"/>
            <w:vAlign w:val="center"/>
          </w:tcPr>
          <w:p w14:paraId="0F28D2B6" w14:textId="358DB3F4" w:rsidR="00893B91" w:rsidRPr="00194D5A" w:rsidRDefault="00893B91" w:rsidP="00893B91">
            <w:pPr>
              <w:tabs>
                <w:tab w:val="left" w:pos="720"/>
              </w:tabs>
              <w:suppressAutoHyphens/>
              <w:spacing w:line="276" w:lineRule="auto"/>
              <w:rPr>
                <w:rFonts w:asciiTheme="minorHAnsi" w:hAnsiTheme="minorHAnsi" w:cstheme="minorHAnsi"/>
                <w:sz w:val="22"/>
              </w:rPr>
            </w:pPr>
            <w:r w:rsidRPr="00194D5A">
              <w:rPr>
                <w:rFonts w:asciiTheme="minorHAnsi" w:hAnsiTheme="minorHAnsi" w:cstheme="minorHAnsi"/>
                <w:sz w:val="22"/>
              </w:rPr>
              <w:t>Perennial Environmental Services, LLC</w:t>
            </w:r>
          </w:p>
        </w:tc>
        <w:tc>
          <w:tcPr>
            <w:tcW w:w="3415" w:type="dxa"/>
            <w:vAlign w:val="center"/>
          </w:tcPr>
          <w:p w14:paraId="2C285B32" w14:textId="77777777" w:rsidR="00893B91" w:rsidRPr="00194D5A" w:rsidRDefault="00893B91" w:rsidP="00893B91">
            <w:pPr>
              <w:widowControl w:val="0"/>
              <w:tabs>
                <w:tab w:val="left" w:pos="360"/>
                <w:tab w:val="left" w:pos="720"/>
                <w:tab w:val="left" w:pos="1440"/>
              </w:tabs>
              <w:autoSpaceDE w:val="0"/>
              <w:autoSpaceDN w:val="0"/>
              <w:adjustRightInd w:val="0"/>
              <w:spacing w:line="276" w:lineRule="auto"/>
              <w:rPr>
                <w:rFonts w:asciiTheme="minorHAnsi" w:hAnsiTheme="minorHAnsi" w:cstheme="minorHAnsi"/>
                <w:b/>
                <w:sz w:val="22"/>
                <w:szCs w:val="22"/>
              </w:rPr>
            </w:pPr>
            <w:r w:rsidRPr="00194D5A">
              <w:rPr>
                <w:rFonts w:asciiTheme="minorHAnsi" w:hAnsiTheme="minorHAnsi" w:cstheme="minorHAnsi"/>
                <w:sz w:val="22"/>
              </w:rPr>
              <w:t>Principle Biologist</w:t>
            </w:r>
          </w:p>
        </w:tc>
      </w:tr>
      <w:tr w:rsidR="00893B91" w:rsidRPr="00194D5A" w14:paraId="074EA707" w14:textId="77777777" w:rsidTr="00893B91">
        <w:trPr>
          <w:trHeight w:val="440"/>
        </w:trPr>
        <w:tc>
          <w:tcPr>
            <w:tcW w:w="5935" w:type="dxa"/>
            <w:vAlign w:val="center"/>
          </w:tcPr>
          <w:p w14:paraId="526522C7" w14:textId="77777777" w:rsidR="00893B91" w:rsidRPr="00194D5A" w:rsidRDefault="00893B91" w:rsidP="00893B91">
            <w:pPr>
              <w:tabs>
                <w:tab w:val="left" w:pos="720"/>
              </w:tabs>
              <w:suppressAutoHyphens/>
              <w:spacing w:line="276" w:lineRule="auto"/>
              <w:rPr>
                <w:rFonts w:asciiTheme="minorHAnsi" w:hAnsiTheme="minorHAnsi" w:cstheme="minorHAnsi"/>
                <w:sz w:val="22"/>
              </w:rPr>
            </w:pPr>
            <w:r w:rsidRPr="00194D5A">
              <w:rPr>
                <w:rFonts w:asciiTheme="minorHAnsi" w:hAnsiTheme="minorHAnsi" w:cstheme="minorHAnsi"/>
                <w:sz w:val="22"/>
              </w:rPr>
              <w:t>Famcor Oil Inc.</w:t>
            </w:r>
          </w:p>
        </w:tc>
        <w:tc>
          <w:tcPr>
            <w:tcW w:w="3415" w:type="dxa"/>
            <w:vAlign w:val="center"/>
          </w:tcPr>
          <w:p w14:paraId="0CF3FD72" w14:textId="77777777" w:rsidR="00893B91" w:rsidRPr="00194D5A" w:rsidRDefault="00893B91" w:rsidP="00893B91">
            <w:pPr>
              <w:widowControl w:val="0"/>
              <w:tabs>
                <w:tab w:val="left" w:pos="360"/>
                <w:tab w:val="left" w:pos="720"/>
                <w:tab w:val="left" w:pos="1440"/>
              </w:tabs>
              <w:autoSpaceDE w:val="0"/>
              <w:autoSpaceDN w:val="0"/>
              <w:adjustRightInd w:val="0"/>
              <w:spacing w:line="276" w:lineRule="auto"/>
              <w:rPr>
                <w:rFonts w:asciiTheme="minorHAnsi" w:hAnsiTheme="minorHAnsi" w:cstheme="minorHAnsi"/>
                <w:b/>
                <w:sz w:val="22"/>
                <w:szCs w:val="22"/>
              </w:rPr>
            </w:pPr>
            <w:r w:rsidRPr="00194D5A">
              <w:rPr>
                <w:rFonts w:asciiTheme="minorHAnsi" w:hAnsiTheme="minorHAnsi" w:cstheme="minorHAnsi"/>
                <w:sz w:val="22"/>
              </w:rPr>
              <w:t>Project Manger</w:t>
            </w:r>
          </w:p>
        </w:tc>
      </w:tr>
      <w:tr w:rsidR="00893B91" w:rsidRPr="00194D5A" w14:paraId="666367A6" w14:textId="77777777" w:rsidTr="00893B91">
        <w:trPr>
          <w:trHeight w:val="503"/>
        </w:trPr>
        <w:tc>
          <w:tcPr>
            <w:tcW w:w="5935" w:type="dxa"/>
            <w:tcBorders>
              <w:bottom w:val="single" w:sz="4" w:space="0" w:color="auto"/>
            </w:tcBorders>
            <w:vAlign w:val="center"/>
          </w:tcPr>
          <w:p w14:paraId="6F6A7C40" w14:textId="77777777" w:rsidR="00893B91" w:rsidRPr="00194D5A" w:rsidRDefault="00893B91" w:rsidP="00893B91">
            <w:pPr>
              <w:tabs>
                <w:tab w:val="left" w:pos="720"/>
              </w:tabs>
              <w:suppressAutoHyphens/>
              <w:spacing w:line="276" w:lineRule="auto"/>
              <w:rPr>
                <w:rFonts w:asciiTheme="minorHAnsi" w:hAnsiTheme="minorHAnsi" w:cstheme="minorHAnsi"/>
                <w:sz w:val="22"/>
              </w:rPr>
            </w:pPr>
            <w:r w:rsidRPr="00194D5A">
              <w:rPr>
                <w:rFonts w:asciiTheme="minorHAnsi" w:hAnsiTheme="minorHAnsi" w:cstheme="minorHAnsi"/>
                <w:sz w:val="22"/>
              </w:rPr>
              <w:t>Cimarex Energy Company</w:t>
            </w:r>
          </w:p>
        </w:tc>
        <w:tc>
          <w:tcPr>
            <w:tcW w:w="3415" w:type="dxa"/>
            <w:tcBorders>
              <w:bottom w:val="single" w:sz="4" w:space="0" w:color="auto"/>
            </w:tcBorders>
            <w:vAlign w:val="center"/>
          </w:tcPr>
          <w:p w14:paraId="632D92BE" w14:textId="7BC265EC" w:rsidR="00893B91" w:rsidRPr="00194D5A" w:rsidRDefault="00893B91" w:rsidP="00893B91">
            <w:pPr>
              <w:widowControl w:val="0"/>
              <w:tabs>
                <w:tab w:val="left" w:pos="360"/>
                <w:tab w:val="left" w:pos="720"/>
                <w:tab w:val="left" w:pos="1440"/>
              </w:tabs>
              <w:autoSpaceDE w:val="0"/>
              <w:autoSpaceDN w:val="0"/>
              <w:adjustRightInd w:val="0"/>
              <w:spacing w:line="276" w:lineRule="auto"/>
              <w:rPr>
                <w:rFonts w:asciiTheme="minorHAnsi" w:hAnsiTheme="minorHAnsi" w:cstheme="minorHAnsi"/>
                <w:sz w:val="22"/>
                <w:szCs w:val="22"/>
              </w:rPr>
            </w:pPr>
            <w:r w:rsidRPr="00194D5A">
              <w:rPr>
                <w:rFonts w:asciiTheme="minorHAnsi" w:hAnsiTheme="minorHAnsi" w:cstheme="minorHAnsi"/>
                <w:sz w:val="22"/>
                <w:szCs w:val="22"/>
              </w:rPr>
              <w:t>Geophysicist</w:t>
            </w:r>
          </w:p>
        </w:tc>
      </w:tr>
    </w:tbl>
    <w:p w14:paraId="010BDD32" w14:textId="2A27911B" w:rsidR="00893B91" w:rsidRPr="00194D5A" w:rsidRDefault="00893B91" w:rsidP="00E02243">
      <w:pPr>
        <w:widowControl w:val="0"/>
        <w:tabs>
          <w:tab w:val="left" w:pos="360"/>
          <w:tab w:val="left" w:pos="720"/>
          <w:tab w:val="left" w:pos="1440"/>
        </w:tabs>
        <w:autoSpaceDE w:val="0"/>
        <w:autoSpaceDN w:val="0"/>
        <w:adjustRightInd w:val="0"/>
        <w:spacing w:line="276" w:lineRule="auto"/>
        <w:rPr>
          <w:rFonts w:asciiTheme="minorHAnsi" w:hAnsiTheme="minorHAnsi" w:cstheme="minorHAnsi"/>
          <w:b/>
          <w:sz w:val="22"/>
          <w:szCs w:val="22"/>
        </w:rPr>
      </w:pPr>
    </w:p>
    <w:p w14:paraId="5DF62DAE" w14:textId="015AEE48" w:rsidR="00F95D3C" w:rsidRPr="00194D5A" w:rsidRDefault="00F95D3C" w:rsidP="00683926">
      <w:pPr>
        <w:widowControl w:val="0"/>
        <w:tabs>
          <w:tab w:val="left" w:pos="360"/>
          <w:tab w:val="left" w:pos="720"/>
          <w:tab w:val="left" w:pos="1440"/>
        </w:tabs>
        <w:autoSpaceDE w:val="0"/>
        <w:autoSpaceDN w:val="0"/>
        <w:adjustRightInd w:val="0"/>
        <w:spacing w:line="276" w:lineRule="auto"/>
        <w:rPr>
          <w:rFonts w:asciiTheme="minorHAnsi" w:hAnsiTheme="minorHAnsi" w:cstheme="minorHAnsi"/>
          <w:sz w:val="22"/>
          <w:szCs w:val="22"/>
        </w:rPr>
      </w:pPr>
    </w:p>
    <w:p w14:paraId="0F727938" w14:textId="705AF7E9" w:rsidR="00252024" w:rsidRPr="00194D5A" w:rsidRDefault="00F95D3C" w:rsidP="00683926">
      <w:pPr>
        <w:widowControl w:val="0"/>
        <w:tabs>
          <w:tab w:val="left" w:pos="1440"/>
        </w:tabs>
        <w:autoSpaceDE w:val="0"/>
        <w:autoSpaceDN w:val="0"/>
        <w:adjustRightInd w:val="0"/>
        <w:spacing w:line="276" w:lineRule="auto"/>
        <w:rPr>
          <w:rFonts w:asciiTheme="minorHAnsi" w:hAnsiTheme="minorHAnsi" w:cstheme="minorHAnsi"/>
          <w:sz w:val="22"/>
          <w:szCs w:val="22"/>
        </w:rPr>
      </w:pPr>
      <w:r w:rsidRPr="00194D5A">
        <w:rPr>
          <w:rFonts w:asciiTheme="minorHAnsi" w:hAnsiTheme="minorHAnsi" w:cstheme="minorHAnsi"/>
          <w:b/>
          <w:sz w:val="22"/>
          <w:szCs w:val="22"/>
        </w:rPr>
        <w:t>Comment</w:t>
      </w:r>
      <w:r w:rsidR="00C35155" w:rsidRPr="00194D5A">
        <w:rPr>
          <w:rFonts w:asciiTheme="minorHAnsi" w:hAnsiTheme="minorHAnsi" w:cstheme="minorHAnsi"/>
          <w:b/>
          <w:sz w:val="22"/>
          <w:szCs w:val="22"/>
        </w:rPr>
        <w:t xml:space="preserve"> # 1:</w:t>
      </w:r>
      <w:r w:rsidR="00C35155" w:rsidRPr="00194D5A">
        <w:rPr>
          <w:rFonts w:asciiTheme="minorHAnsi" w:hAnsiTheme="minorHAnsi" w:cstheme="minorHAnsi"/>
          <w:i/>
          <w:sz w:val="22"/>
          <w:szCs w:val="22"/>
        </w:rPr>
        <w:t xml:space="preserve">  </w:t>
      </w:r>
      <w:r w:rsidR="00412BE6" w:rsidRPr="00194D5A">
        <w:rPr>
          <w:rFonts w:asciiTheme="minorHAnsi" w:hAnsiTheme="minorHAnsi" w:cstheme="minorHAnsi"/>
          <w:sz w:val="22"/>
          <w:szCs w:val="22"/>
        </w:rPr>
        <w:t>Two commenters stated that the</w:t>
      </w:r>
      <w:r w:rsidR="00252024" w:rsidRPr="00194D5A">
        <w:rPr>
          <w:rFonts w:asciiTheme="minorHAnsi" w:hAnsiTheme="minorHAnsi" w:cstheme="minorHAnsi"/>
          <w:sz w:val="22"/>
          <w:szCs w:val="22"/>
        </w:rPr>
        <w:t xml:space="preserve"> information collection is necessary in order for their company t</w:t>
      </w:r>
      <w:r w:rsidR="00C35155" w:rsidRPr="00194D5A">
        <w:rPr>
          <w:rFonts w:asciiTheme="minorHAnsi" w:hAnsiTheme="minorHAnsi" w:cstheme="minorHAnsi"/>
          <w:sz w:val="22"/>
          <w:szCs w:val="22"/>
        </w:rPr>
        <w:t xml:space="preserve">o </w:t>
      </w:r>
      <w:r w:rsidR="00252024" w:rsidRPr="00194D5A">
        <w:rPr>
          <w:rFonts w:asciiTheme="minorHAnsi" w:hAnsiTheme="minorHAnsi" w:cstheme="minorHAnsi"/>
          <w:sz w:val="22"/>
          <w:szCs w:val="22"/>
        </w:rPr>
        <w:t>conduct operations at Big Thicket National Preserve.</w:t>
      </w:r>
    </w:p>
    <w:p w14:paraId="5CBA1AA7" w14:textId="77777777" w:rsidR="00F95D3C" w:rsidRPr="00194D5A" w:rsidRDefault="00F95D3C" w:rsidP="00683926">
      <w:pPr>
        <w:widowControl w:val="0"/>
        <w:tabs>
          <w:tab w:val="left" w:pos="360"/>
          <w:tab w:val="left" w:pos="720"/>
          <w:tab w:val="left" w:pos="1440"/>
        </w:tabs>
        <w:autoSpaceDE w:val="0"/>
        <w:autoSpaceDN w:val="0"/>
        <w:adjustRightInd w:val="0"/>
        <w:spacing w:line="276" w:lineRule="auto"/>
        <w:ind w:left="1800" w:hanging="1800"/>
        <w:rPr>
          <w:rFonts w:asciiTheme="minorHAnsi" w:hAnsiTheme="minorHAnsi" w:cstheme="minorHAnsi"/>
          <w:sz w:val="22"/>
          <w:szCs w:val="22"/>
        </w:rPr>
      </w:pPr>
    </w:p>
    <w:p w14:paraId="6A9D6CF4" w14:textId="4F184F9A" w:rsidR="00F95D3C" w:rsidRPr="00194D5A" w:rsidRDefault="00545E01" w:rsidP="00683926">
      <w:pPr>
        <w:widowControl w:val="0"/>
        <w:tabs>
          <w:tab w:val="left" w:pos="360"/>
          <w:tab w:val="left" w:pos="720"/>
          <w:tab w:val="left" w:pos="1440"/>
        </w:tabs>
        <w:autoSpaceDE w:val="0"/>
        <w:autoSpaceDN w:val="0"/>
        <w:adjustRightInd w:val="0"/>
        <w:spacing w:line="276" w:lineRule="auto"/>
        <w:ind w:left="360" w:hanging="360"/>
        <w:rPr>
          <w:rFonts w:asciiTheme="minorHAnsi" w:hAnsiTheme="minorHAnsi" w:cstheme="minorHAnsi"/>
          <w:sz w:val="22"/>
          <w:szCs w:val="22"/>
        </w:rPr>
      </w:pPr>
      <w:r w:rsidRPr="00194D5A">
        <w:rPr>
          <w:rFonts w:asciiTheme="minorHAnsi" w:hAnsiTheme="minorHAnsi" w:cstheme="minorHAnsi"/>
          <w:sz w:val="22"/>
          <w:szCs w:val="22"/>
        </w:rPr>
        <w:tab/>
      </w:r>
      <w:r w:rsidR="00F95D3C" w:rsidRPr="00194D5A">
        <w:rPr>
          <w:rFonts w:asciiTheme="minorHAnsi" w:hAnsiTheme="minorHAnsi" w:cstheme="minorHAnsi"/>
          <w:b/>
          <w:i/>
          <w:sz w:val="22"/>
          <w:szCs w:val="22"/>
        </w:rPr>
        <w:t>Agency Response/Action Taken</w:t>
      </w:r>
      <w:r w:rsidR="00F95D3C" w:rsidRPr="00194D5A">
        <w:rPr>
          <w:rFonts w:asciiTheme="minorHAnsi" w:hAnsiTheme="minorHAnsi" w:cstheme="minorHAnsi"/>
          <w:i/>
          <w:sz w:val="22"/>
          <w:szCs w:val="22"/>
        </w:rPr>
        <w:t>:</w:t>
      </w:r>
      <w:r w:rsidR="00F95D3C" w:rsidRPr="00194D5A">
        <w:rPr>
          <w:rFonts w:asciiTheme="minorHAnsi" w:hAnsiTheme="minorHAnsi" w:cstheme="minorHAnsi"/>
          <w:sz w:val="22"/>
          <w:szCs w:val="22"/>
        </w:rPr>
        <w:t xml:space="preserve">  </w:t>
      </w:r>
      <w:r w:rsidR="00252024" w:rsidRPr="00194D5A">
        <w:rPr>
          <w:rFonts w:asciiTheme="minorHAnsi" w:hAnsiTheme="minorHAnsi" w:cstheme="minorHAnsi"/>
          <w:sz w:val="22"/>
          <w:szCs w:val="22"/>
        </w:rPr>
        <w:t>No response/action needed.</w:t>
      </w:r>
    </w:p>
    <w:p w14:paraId="72B29C83" w14:textId="77777777" w:rsidR="008046DF" w:rsidRPr="00194D5A" w:rsidRDefault="008046DF" w:rsidP="00683926">
      <w:pPr>
        <w:widowControl w:val="0"/>
        <w:tabs>
          <w:tab w:val="left" w:pos="360"/>
          <w:tab w:val="left" w:pos="720"/>
          <w:tab w:val="left" w:pos="1440"/>
        </w:tabs>
        <w:autoSpaceDE w:val="0"/>
        <w:autoSpaceDN w:val="0"/>
        <w:adjustRightInd w:val="0"/>
        <w:spacing w:line="276" w:lineRule="auto"/>
        <w:ind w:left="360" w:hanging="360"/>
        <w:rPr>
          <w:rFonts w:asciiTheme="minorHAnsi" w:hAnsiTheme="minorHAnsi" w:cstheme="minorHAnsi"/>
          <w:sz w:val="22"/>
          <w:szCs w:val="22"/>
        </w:rPr>
      </w:pPr>
    </w:p>
    <w:p w14:paraId="1560AD78" w14:textId="3E2CDF41" w:rsidR="00F95D3C" w:rsidRPr="00194D5A" w:rsidRDefault="00F95D3C" w:rsidP="00683926">
      <w:pPr>
        <w:widowControl w:val="0"/>
        <w:tabs>
          <w:tab w:val="left" w:pos="360"/>
          <w:tab w:val="left" w:pos="720"/>
          <w:tab w:val="left" w:pos="1440"/>
        </w:tabs>
        <w:autoSpaceDE w:val="0"/>
        <w:autoSpaceDN w:val="0"/>
        <w:adjustRightInd w:val="0"/>
        <w:spacing w:line="276" w:lineRule="auto"/>
        <w:rPr>
          <w:rFonts w:asciiTheme="minorHAnsi" w:hAnsiTheme="minorHAnsi" w:cstheme="minorHAnsi"/>
          <w:sz w:val="22"/>
          <w:szCs w:val="22"/>
        </w:rPr>
      </w:pPr>
      <w:r w:rsidRPr="00194D5A">
        <w:rPr>
          <w:rFonts w:asciiTheme="minorHAnsi" w:hAnsiTheme="minorHAnsi" w:cstheme="minorHAnsi"/>
          <w:b/>
          <w:sz w:val="22"/>
          <w:szCs w:val="22"/>
        </w:rPr>
        <w:t>Comment</w:t>
      </w:r>
      <w:r w:rsidR="00C35155" w:rsidRPr="00194D5A">
        <w:rPr>
          <w:rFonts w:asciiTheme="minorHAnsi" w:hAnsiTheme="minorHAnsi" w:cstheme="minorHAnsi"/>
          <w:b/>
          <w:sz w:val="22"/>
          <w:szCs w:val="22"/>
        </w:rPr>
        <w:t xml:space="preserve"> #2:</w:t>
      </w:r>
      <w:r w:rsidR="00C35155" w:rsidRPr="00194D5A">
        <w:rPr>
          <w:rFonts w:asciiTheme="minorHAnsi" w:hAnsiTheme="minorHAnsi" w:cstheme="minorHAnsi"/>
          <w:i/>
          <w:sz w:val="22"/>
          <w:szCs w:val="22"/>
        </w:rPr>
        <w:t xml:space="preserve">  </w:t>
      </w:r>
      <w:r w:rsidR="00412BE6" w:rsidRPr="00194D5A">
        <w:rPr>
          <w:rFonts w:asciiTheme="minorHAnsi" w:hAnsiTheme="minorHAnsi" w:cstheme="minorHAnsi"/>
          <w:sz w:val="22"/>
          <w:szCs w:val="22"/>
        </w:rPr>
        <w:t xml:space="preserve">Two commenters responded at the </w:t>
      </w:r>
      <w:r w:rsidR="00252024" w:rsidRPr="00194D5A">
        <w:rPr>
          <w:rFonts w:asciiTheme="minorHAnsi" w:hAnsiTheme="minorHAnsi" w:cstheme="minorHAnsi"/>
          <w:sz w:val="22"/>
          <w:szCs w:val="22"/>
        </w:rPr>
        <w:t>estimates of time burdens were reasonable and correct.</w:t>
      </w:r>
    </w:p>
    <w:p w14:paraId="596F75A2" w14:textId="77777777" w:rsidR="00C35155" w:rsidRPr="00194D5A" w:rsidRDefault="00C35155" w:rsidP="00683926">
      <w:pPr>
        <w:widowControl w:val="0"/>
        <w:tabs>
          <w:tab w:val="left" w:pos="360"/>
          <w:tab w:val="left" w:pos="720"/>
          <w:tab w:val="left" w:pos="1440"/>
        </w:tabs>
        <w:autoSpaceDE w:val="0"/>
        <w:autoSpaceDN w:val="0"/>
        <w:adjustRightInd w:val="0"/>
        <w:spacing w:line="276" w:lineRule="auto"/>
        <w:ind w:left="1800" w:hanging="1800"/>
        <w:rPr>
          <w:rFonts w:asciiTheme="minorHAnsi" w:hAnsiTheme="minorHAnsi" w:cstheme="minorHAnsi"/>
          <w:sz w:val="22"/>
          <w:szCs w:val="22"/>
        </w:rPr>
      </w:pPr>
    </w:p>
    <w:p w14:paraId="38EB81ED" w14:textId="708B83ED" w:rsidR="00F95D3C" w:rsidRPr="00194D5A" w:rsidRDefault="00C35155" w:rsidP="00683926">
      <w:pPr>
        <w:widowControl w:val="0"/>
        <w:tabs>
          <w:tab w:val="left" w:pos="360"/>
          <w:tab w:val="left" w:pos="720"/>
          <w:tab w:val="left" w:pos="1440"/>
        </w:tabs>
        <w:autoSpaceDE w:val="0"/>
        <w:autoSpaceDN w:val="0"/>
        <w:adjustRightInd w:val="0"/>
        <w:spacing w:line="276" w:lineRule="auto"/>
        <w:ind w:left="360" w:hanging="360"/>
        <w:rPr>
          <w:rFonts w:asciiTheme="minorHAnsi" w:hAnsiTheme="minorHAnsi" w:cstheme="minorHAnsi"/>
          <w:sz w:val="22"/>
          <w:szCs w:val="22"/>
        </w:rPr>
      </w:pPr>
      <w:r w:rsidRPr="00194D5A">
        <w:rPr>
          <w:rFonts w:asciiTheme="minorHAnsi" w:hAnsiTheme="minorHAnsi" w:cstheme="minorHAnsi"/>
          <w:sz w:val="22"/>
          <w:szCs w:val="22"/>
        </w:rPr>
        <w:tab/>
      </w:r>
      <w:r w:rsidR="00F95D3C" w:rsidRPr="00194D5A">
        <w:rPr>
          <w:rFonts w:asciiTheme="minorHAnsi" w:hAnsiTheme="minorHAnsi" w:cstheme="minorHAnsi"/>
          <w:b/>
          <w:i/>
          <w:sz w:val="22"/>
          <w:szCs w:val="22"/>
        </w:rPr>
        <w:t>Agency Response/Action Taken</w:t>
      </w:r>
      <w:r w:rsidR="00F95D3C" w:rsidRPr="00194D5A">
        <w:rPr>
          <w:rFonts w:asciiTheme="minorHAnsi" w:hAnsiTheme="minorHAnsi" w:cstheme="minorHAnsi"/>
          <w:i/>
          <w:sz w:val="22"/>
          <w:szCs w:val="22"/>
        </w:rPr>
        <w:t>:</w:t>
      </w:r>
      <w:r w:rsidR="00F95D3C" w:rsidRPr="00194D5A">
        <w:rPr>
          <w:rFonts w:asciiTheme="minorHAnsi" w:hAnsiTheme="minorHAnsi" w:cstheme="minorHAnsi"/>
          <w:sz w:val="22"/>
          <w:szCs w:val="22"/>
        </w:rPr>
        <w:t xml:space="preserve">  </w:t>
      </w:r>
      <w:r w:rsidR="00252024" w:rsidRPr="00194D5A">
        <w:rPr>
          <w:rFonts w:asciiTheme="minorHAnsi" w:hAnsiTheme="minorHAnsi" w:cstheme="minorHAnsi"/>
          <w:sz w:val="22"/>
          <w:szCs w:val="22"/>
        </w:rPr>
        <w:t>No response/action needed</w:t>
      </w:r>
    </w:p>
    <w:p w14:paraId="3DE436D1" w14:textId="77777777" w:rsidR="00F95D3C" w:rsidRPr="00194D5A" w:rsidRDefault="00F95D3C" w:rsidP="00683926">
      <w:pPr>
        <w:widowControl w:val="0"/>
        <w:tabs>
          <w:tab w:val="left" w:pos="360"/>
          <w:tab w:val="left" w:pos="720"/>
          <w:tab w:val="left" w:pos="1440"/>
        </w:tabs>
        <w:autoSpaceDE w:val="0"/>
        <w:autoSpaceDN w:val="0"/>
        <w:adjustRightInd w:val="0"/>
        <w:spacing w:line="276" w:lineRule="auto"/>
        <w:ind w:left="1530" w:hanging="1530"/>
        <w:rPr>
          <w:rFonts w:asciiTheme="minorHAnsi" w:hAnsiTheme="minorHAnsi" w:cstheme="minorHAnsi"/>
          <w:sz w:val="22"/>
          <w:szCs w:val="22"/>
        </w:rPr>
      </w:pPr>
    </w:p>
    <w:p w14:paraId="4F17389F" w14:textId="6068C502" w:rsidR="00180986" w:rsidRPr="00194D5A" w:rsidRDefault="00C35155" w:rsidP="00683926">
      <w:pPr>
        <w:spacing w:line="276" w:lineRule="auto"/>
        <w:rPr>
          <w:rFonts w:asciiTheme="minorHAnsi" w:hAnsiTheme="minorHAnsi" w:cstheme="minorHAnsi"/>
          <w:sz w:val="22"/>
          <w:szCs w:val="22"/>
        </w:rPr>
      </w:pPr>
      <w:r w:rsidRPr="00194D5A" w:rsidDel="00C35155">
        <w:rPr>
          <w:rFonts w:asciiTheme="minorHAnsi" w:hAnsiTheme="minorHAnsi" w:cstheme="minorHAnsi"/>
          <w:sz w:val="22"/>
          <w:szCs w:val="22"/>
        </w:rPr>
        <w:t xml:space="preserve"> </w:t>
      </w:r>
      <w:r w:rsidR="00180986" w:rsidRPr="00194D5A">
        <w:rPr>
          <w:rFonts w:asciiTheme="minorHAnsi" w:hAnsiTheme="minorHAnsi" w:cstheme="minorHAnsi"/>
          <w:b/>
          <w:sz w:val="22"/>
          <w:szCs w:val="22"/>
        </w:rPr>
        <w:t>Comment #3:</w:t>
      </w:r>
      <w:r w:rsidR="00180986" w:rsidRPr="00194D5A">
        <w:rPr>
          <w:rFonts w:asciiTheme="minorHAnsi" w:hAnsiTheme="minorHAnsi" w:cstheme="minorHAnsi"/>
          <w:sz w:val="22"/>
          <w:szCs w:val="22"/>
        </w:rPr>
        <w:t xml:space="preserve"> The</w:t>
      </w:r>
      <w:r w:rsidR="00553FA0" w:rsidRPr="00194D5A">
        <w:rPr>
          <w:rFonts w:asciiTheme="minorHAnsi" w:hAnsiTheme="minorHAnsi" w:cstheme="minorHAnsi"/>
          <w:sz w:val="22"/>
          <w:szCs w:val="22"/>
        </w:rPr>
        <w:t xml:space="preserve"> information collection is necessary in order for their company to conduct operations at Big Thicket National Preserve and that our estimates of time burdens were reasonable and correct.  </w:t>
      </w:r>
      <w:r w:rsidR="00180986" w:rsidRPr="00194D5A">
        <w:rPr>
          <w:rFonts w:asciiTheme="minorHAnsi" w:hAnsiTheme="minorHAnsi" w:cstheme="minorHAnsi"/>
          <w:sz w:val="22"/>
          <w:szCs w:val="22"/>
        </w:rPr>
        <w:t>This commenter had</w:t>
      </w:r>
      <w:r w:rsidR="00553FA0" w:rsidRPr="00194D5A">
        <w:rPr>
          <w:rFonts w:asciiTheme="minorHAnsi" w:hAnsiTheme="minorHAnsi" w:cstheme="minorHAnsi"/>
          <w:sz w:val="22"/>
          <w:szCs w:val="22"/>
        </w:rPr>
        <w:t xml:space="preserve"> </w:t>
      </w:r>
      <w:r w:rsidR="00180986" w:rsidRPr="00194D5A">
        <w:rPr>
          <w:rFonts w:asciiTheme="minorHAnsi" w:hAnsiTheme="minorHAnsi" w:cstheme="minorHAnsi"/>
          <w:sz w:val="22"/>
          <w:szCs w:val="22"/>
        </w:rPr>
        <w:t xml:space="preserve">no </w:t>
      </w:r>
      <w:r w:rsidR="00553FA0" w:rsidRPr="00194D5A">
        <w:rPr>
          <w:rFonts w:asciiTheme="minorHAnsi" w:hAnsiTheme="minorHAnsi" w:cstheme="minorHAnsi"/>
          <w:sz w:val="22"/>
          <w:szCs w:val="22"/>
        </w:rPr>
        <w:t xml:space="preserve">suggestions on ways to enhance the quality, utility, and clarity as the 9B regulations were detailed and clear.  </w:t>
      </w:r>
    </w:p>
    <w:p w14:paraId="72409FEB" w14:textId="77777777" w:rsidR="00180986" w:rsidRPr="00194D5A" w:rsidRDefault="00180986" w:rsidP="00683926">
      <w:pPr>
        <w:spacing w:line="276" w:lineRule="auto"/>
        <w:rPr>
          <w:rFonts w:asciiTheme="minorHAnsi" w:hAnsiTheme="minorHAnsi" w:cstheme="minorHAnsi"/>
          <w:sz w:val="22"/>
          <w:szCs w:val="22"/>
        </w:rPr>
      </w:pPr>
    </w:p>
    <w:p w14:paraId="52F8A511" w14:textId="1BCF9E4F" w:rsidR="00553FA0" w:rsidRPr="00194D5A" w:rsidRDefault="00180986" w:rsidP="00683926">
      <w:pPr>
        <w:spacing w:line="276" w:lineRule="auto"/>
        <w:rPr>
          <w:rFonts w:asciiTheme="minorHAnsi" w:hAnsiTheme="minorHAnsi" w:cstheme="minorHAnsi"/>
          <w:sz w:val="22"/>
          <w:szCs w:val="22"/>
        </w:rPr>
      </w:pPr>
      <w:r w:rsidRPr="00194D5A">
        <w:rPr>
          <w:rFonts w:asciiTheme="minorHAnsi" w:hAnsiTheme="minorHAnsi" w:cstheme="minorHAnsi"/>
          <w:b/>
          <w:sz w:val="22"/>
          <w:szCs w:val="22"/>
        </w:rPr>
        <w:t>Comment #4:</w:t>
      </w:r>
      <w:r w:rsidRPr="00194D5A">
        <w:rPr>
          <w:rFonts w:asciiTheme="minorHAnsi" w:hAnsiTheme="minorHAnsi" w:cstheme="minorHAnsi"/>
          <w:sz w:val="22"/>
          <w:szCs w:val="22"/>
        </w:rPr>
        <w:t xml:space="preserve"> There were</w:t>
      </w:r>
      <w:r w:rsidR="00553FA0" w:rsidRPr="00194D5A">
        <w:rPr>
          <w:rFonts w:asciiTheme="minorHAnsi" w:hAnsiTheme="minorHAnsi" w:cstheme="minorHAnsi"/>
          <w:sz w:val="22"/>
          <w:szCs w:val="22"/>
        </w:rPr>
        <w:t xml:space="preserve"> no suggestions for ways to minimize the burden but </w:t>
      </w:r>
      <w:r w:rsidRPr="00194D5A">
        <w:rPr>
          <w:rFonts w:asciiTheme="minorHAnsi" w:hAnsiTheme="minorHAnsi" w:cstheme="minorHAnsi"/>
          <w:sz w:val="22"/>
          <w:szCs w:val="22"/>
        </w:rPr>
        <w:t xml:space="preserve">it was </w:t>
      </w:r>
      <w:r w:rsidR="00553FA0" w:rsidRPr="00194D5A">
        <w:rPr>
          <w:rFonts w:asciiTheme="minorHAnsi" w:hAnsiTheme="minorHAnsi" w:cstheme="minorHAnsi"/>
          <w:sz w:val="22"/>
          <w:szCs w:val="22"/>
        </w:rPr>
        <w:t xml:space="preserve">pointed out that a previous permit was delayed by a government shutdown which caused project delays.  </w:t>
      </w:r>
    </w:p>
    <w:p w14:paraId="069313F4" w14:textId="77777777" w:rsidR="00F95D3C" w:rsidRPr="00194D5A" w:rsidRDefault="00F95D3C" w:rsidP="00683926">
      <w:pPr>
        <w:widowControl w:val="0"/>
        <w:tabs>
          <w:tab w:val="left" w:pos="720"/>
        </w:tabs>
        <w:autoSpaceDE w:val="0"/>
        <w:autoSpaceDN w:val="0"/>
        <w:adjustRightInd w:val="0"/>
        <w:spacing w:line="276" w:lineRule="auto"/>
        <w:rPr>
          <w:rFonts w:asciiTheme="minorHAnsi" w:hAnsiTheme="minorHAnsi" w:cstheme="minorHAnsi"/>
          <w:sz w:val="22"/>
          <w:szCs w:val="22"/>
        </w:rPr>
      </w:pPr>
    </w:p>
    <w:p w14:paraId="0CBD4F25" w14:textId="53980893" w:rsidR="00303F5F" w:rsidRPr="00194D5A" w:rsidRDefault="00303F5F" w:rsidP="00683926">
      <w:pPr>
        <w:tabs>
          <w:tab w:val="left" w:pos="360"/>
        </w:tabs>
        <w:suppressAutoHyphens/>
        <w:spacing w:line="276" w:lineRule="auto"/>
        <w:rPr>
          <w:rFonts w:asciiTheme="minorHAnsi" w:hAnsiTheme="minorHAnsi" w:cstheme="minorHAnsi"/>
          <w:b/>
          <w:sz w:val="22"/>
          <w:szCs w:val="22"/>
        </w:rPr>
      </w:pPr>
      <w:r w:rsidRPr="00194D5A">
        <w:rPr>
          <w:rFonts w:asciiTheme="minorHAnsi" w:hAnsiTheme="minorHAnsi" w:cstheme="minorHAnsi"/>
          <w:b/>
          <w:sz w:val="22"/>
          <w:szCs w:val="22"/>
        </w:rPr>
        <w:t>9.</w:t>
      </w:r>
      <w:r w:rsidRPr="00194D5A">
        <w:rPr>
          <w:rFonts w:asciiTheme="minorHAnsi" w:hAnsiTheme="minorHAnsi" w:cstheme="minorHAnsi"/>
          <w:b/>
          <w:sz w:val="22"/>
          <w:szCs w:val="22"/>
        </w:rPr>
        <w:tab/>
        <w:t>Explain any decision to provide any payment or gift to respondents, other than remuneration of contractors or grantees.</w:t>
      </w:r>
    </w:p>
    <w:p w14:paraId="5592083F" w14:textId="77777777" w:rsidR="00303F5F" w:rsidRPr="00194D5A" w:rsidRDefault="00303F5F" w:rsidP="00683926">
      <w:pPr>
        <w:tabs>
          <w:tab w:val="left" w:pos="720"/>
        </w:tabs>
        <w:suppressAutoHyphens/>
        <w:spacing w:line="276" w:lineRule="auto"/>
        <w:rPr>
          <w:rFonts w:asciiTheme="minorHAnsi" w:hAnsiTheme="minorHAnsi" w:cstheme="minorHAnsi"/>
          <w:b/>
          <w:sz w:val="22"/>
          <w:szCs w:val="22"/>
        </w:rPr>
      </w:pPr>
    </w:p>
    <w:p w14:paraId="5E532F81" w14:textId="77777777" w:rsidR="00303F5F" w:rsidRPr="00194D5A" w:rsidRDefault="00303F5F" w:rsidP="00683926">
      <w:pPr>
        <w:tabs>
          <w:tab w:val="left" w:pos="720"/>
        </w:tabs>
        <w:suppressAutoHyphens/>
        <w:spacing w:line="276" w:lineRule="auto"/>
        <w:rPr>
          <w:rFonts w:asciiTheme="minorHAnsi" w:hAnsiTheme="minorHAnsi" w:cstheme="minorHAnsi"/>
          <w:sz w:val="22"/>
          <w:szCs w:val="22"/>
        </w:rPr>
      </w:pPr>
      <w:r w:rsidRPr="00194D5A">
        <w:rPr>
          <w:rFonts w:asciiTheme="minorHAnsi" w:hAnsiTheme="minorHAnsi" w:cstheme="minorHAnsi"/>
          <w:sz w:val="22"/>
          <w:szCs w:val="22"/>
        </w:rPr>
        <w:t>We do not provide payments or gifts to respondents.</w:t>
      </w:r>
    </w:p>
    <w:p w14:paraId="385240CE" w14:textId="77777777" w:rsidR="00303F5F" w:rsidRPr="00194D5A" w:rsidRDefault="00303F5F" w:rsidP="00683926">
      <w:pPr>
        <w:tabs>
          <w:tab w:val="left" w:pos="720"/>
        </w:tabs>
        <w:suppressAutoHyphens/>
        <w:spacing w:line="276" w:lineRule="auto"/>
        <w:rPr>
          <w:rFonts w:asciiTheme="minorHAnsi" w:hAnsiTheme="minorHAnsi" w:cstheme="minorHAnsi"/>
          <w:sz w:val="22"/>
          <w:szCs w:val="22"/>
        </w:rPr>
      </w:pPr>
    </w:p>
    <w:p w14:paraId="468CE99D" w14:textId="77777777" w:rsidR="00303F5F" w:rsidRPr="00194D5A" w:rsidRDefault="00303F5F" w:rsidP="00683926">
      <w:pPr>
        <w:tabs>
          <w:tab w:val="left" w:pos="360"/>
        </w:tabs>
        <w:suppressAutoHyphens/>
        <w:spacing w:line="276" w:lineRule="auto"/>
        <w:rPr>
          <w:rFonts w:asciiTheme="minorHAnsi" w:hAnsiTheme="minorHAnsi" w:cstheme="minorHAnsi"/>
          <w:sz w:val="22"/>
          <w:szCs w:val="22"/>
        </w:rPr>
      </w:pPr>
      <w:r w:rsidRPr="00194D5A">
        <w:rPr>
          <w:rFonts w:asciiTheme="minorHAnsi" w:hAnsiTheme="minorHAnsi" w:cstheme="minorHAnsi"/>
          <w:b/>
          <w:sz w:val="22"/>
          <w:szCs w:val="22"/>
        </w:rPr>
        <w:t>10.</w:t>
      </w:r>
      <w:r w:rsidRPr="00194D5A">
        <w:rPr>
          <w:rFonts w:asciiTheme="minorHAnsi" w:hAnsiTheme="minorHAnsi" w:cstheme="minorHAnsi"/>
          <w:b/>
          <w:sz w:val="22"/>
          <w:szCs w:val="22"/>
        </w:rPr>
        <w:tab/>
        <w:t>Describe any assurance of confidentiality provided to respondents and the basis for the assurance in statute, regulation, or agency policy.</w:t>
      </w:r>
    </w:p>
    <w:p w14:paraId="26EB1084" w14:textId="77777777" w:rsidR="00303F5F" w:rsidRPr="00194D5A" w:rsidRDefault="00303F5F" w:rsidP="00683926">
      <w:pPr>
        <w:tabs>
          <w:tab w:val="left" w:pos="720"/>
        </w:tabs>
        <w:suppressAutoHyphens/>
        <w:spacing w:line="276" w:lineRule="auto"/>
        <w:rPr>
          <w:rFonts w:asciiTheme="minorHAnsi" w:hAnsiTheme="minorHAnsi" w:cstheme="minorHAnsi"/>
          <w:sz w:val="22"/>
          <w:szCs w:val="22"/>
        </w:rPr>
      </w:pPr>
    </w:p>
    <w:p w14:paraId="22E561AF" w14:textId="6C3D9FC7" w:rsidR="00303F5F" w:rsidRPr="00194D5A" w:rsidRDefault="00303F5F" w:rsidP="00683926">
      <w:pPr>
        <w:tabs>
          <w:tab w:val="left" w:pos="720"/>
        </w:tabs>
        <w:suppressAutoHyphens/>
        <w:spacing w:line="276" w:lineRule="auto"/>
        <w:rPr>
          <w:rFonts w:asciiTheme="minorHAnsi" w:hAnsiTheme="minorHAnsi" w:cstheme="minorHAnsi"/>
          <w:sz w:val="22"/>
          <w:szCs w:val="22"/>
        </w:rPr>
      </w:pPr>
      <w:r w:rsidRPr="00194D5A">
        <w:rPr>
          <w:rFonts w:asciiTheme="minorHAnsi" w:hAnsiTheme="minorHAnsi" w:cstheme="minorHAnsi"/>
          <w:sz w:val="22"/>
          <w:szCs w:val="22"/>
        </w:rPr>
        <w:t>Under the regulations in Subpart</w:t>
      </w:r>
      <w:r w:rsidR="00D702F8" w:rsidRPr="00194D5A">
        <w:rPr>
          <w:rFonts w:asciiTheme="minorHAnsi" w:hAnsiTheme="minorHAnsi" w:cstheme="minorHAnsi"/>
          <w:sz w:val="22"/>
          <w:szCs w:val="22"/>
        </w:rPr>
        <w:t>s</w:t>
      </w:r>
      <w:r w:rsidRPr="00194D5A">
        <w:rPr>
          <w:rFonts w:asciiTheme="minorHAnsi" w:hAnsiTheme="minorHAnsi" w:cstheme="minorHAnsi"/>
          <w:sz w:val="22"/>
          <w:szCs w:val="22"/>
        </w:rPr>
        <w:t xml:space="preserve"> A, confidentiality may be provided for information in accordance with 43 CFR Part 2.  Under Subpart B, </w:t>
      </w:r>
      <w:r w:rsidR="00D702F8" w:rsidRPr="00194D5A">
        <w:rPr>
          <w:rFonts w:asciiTheme="minorHAnsi" w:hAnsiTheme="minorHAnsi" w:cstheme="minorHAnsi"/>
          <w:sz w:val="22"/>
          <w:szCs w:val="22"/>
        </w:rPr>
        <w:t>§9.</w:t>
      </w:r>
      <w:r w:rsidR="00B03114" w:rsidRPr="00194D5A">
        <w:rPr>
          <w:rFonts w:asciiTheme="minorHAnsi" w:hAnsiTheme="minorHAnsi" w:cstheme="minorHAnsi"/>
          <w:sz w:val="22"/>
          <w:szCs w:val="22"/>
        </w:rPr>
        <w:t>200(b)</w:t>
      </w:r>
      <w:r w:rsidR="00D702F8" w:rsidRPr="00194D5A">
        <w:rPr>
          <w:rFonts w:asciiTheme="minorHAnsi" w:hAnsiTheme="minorHAnsi" w:cstheme="minorHAnsi"/>
          <w:sz w:val="22"/>
          <w:szCs w:val="22"/>
        </w:rPr>
        <w:t xml:space="preserve"> provides for </w:t>
      </w:r>
      <w:r w:rsidRPr="00194D5A">
        <w:rPr>
          <w:rFonts w:asciiTheme="minorHAnsi" w:hAnsiTheme="minorHAnsi" w:cstheme="minorHAnsi"/>
          <w:sz w:val="22"/>
          <w:szCs w:val="22"/>
        </w:rPr>
        <w:t xml:space="preserve">confidentiality of appropriate information.  </w:t>
      </w:r>
    </w:p>
    <w:p w14:paraId="614FD5C4" w14:textId="77777777" w:rsidR="00303F5F" w:rsidRPr="00194D5A" w:rsidRDefault="00303F5F" w:rsidP="00683926">
      <w:pPr>
        <w:tabs>
          <w:tab w:val="left" w:pos="450"/>
        </w:tabs>
        <w:suppressAutoHyphens/>
        <w:spacing w:line="276" w:lineRule="auto"/>
        <w:rPr>
          <w:rFonts w:asciiTheme="minorHAnsi" w:hAnsiTheme="minorHAnsi" w:cstheme="minorHAnsi"/>
          <w:b/>
          <w:sz w:val="22"/>
          <w:szCs w:val="22"/>
        </w:rPr>
      </w:pPr>
      <w:r w:rsidRPr="00194D5A">
        <w:rPr>
          <w:rFonts w:asciiTheme="minorHAnsi" w:hAnsiTheme="minorHAnsi" w:cstheme="minorHAnsi"/>
          <w:b/>
          <w:sz w:val="22"/>
          <w:szCs w:val="22"/>
        </w:rPr>
        <w:t>11.</w:t>
      </w:r>
      <w:r w:rsidRPr="00194D5A">
        <w:rPr>
          <w:rFonts w:asciiTheme="minorHAnsi" w:hAnsiTheme="minorHAnsi" w:cstheme="minorHAnsi"/>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EC8B0F8" w14:textId="77777777" w:rsidR="00303F5F" w:rsidRPr="00194D5A" w:rsidRDefault="00303F5F" w:rsidP="00683926">
      <w:pPr>
        <w:tabs>
          <w:tab w:val="left" w:pos="720"/>
        </w:tabs>
        <w:suppressAutoHyphens/>
        <w:spacing w:line="276" w:lineRule="auto"/>
        <w:rPr>
          <w:rFonts w:asciiTheme="minorHAnsi" w:hAnsiTheme="minorHAnsi" w:cstheme="minorHAnsi"/>
          <w:b/>
          <w:sz w:val="22"/>
          <w:szCs w:val="22"/>
        </w:rPr>
      </w:pPr>
    </w:p>
    <w:p w14:paraId="043A0219" w14:textId="77777777" w:rsidR="00303F5F" w:rsidRPr="00194D5A" w:rsidRDefault="00303F5F" w:rsidP="00683926">
      <w:pPr>
        <w:tabs>
          <w:tab w:val="left" w:pos="720"/>
        </w:tabs>
        <w:suppressAutoHyphens/>
        <w:spacing w:line="276" w:lineRule="auto"/>
        <w:rPr>
          <w:rFonts w:asciiTheme="minorHAnsi" w:hAnsiTheme="minorHAnsi" w:cstheme="minorHAnsi"/>
          <w:sz w:val="22"/>
          <w:szCs w:val="22"/>
        </w:rPr>
      </w:pPr>
      <w:r w:rsidRPr="00194D5A">
        <w:rPr>
          <w:rFonts w:asciiTheme="minorHAnsi" w:hAnsiTheme="minorHAnsi" w:cstheme="minorHAnsi"/>
          <w:sz w:val="22"/>
          <w:szCs w:val="22"/>
        </w:rPr>
        <w:t>We do not ask questions of a sensitive nature.</w:t>
      </w:r>
    </w:p>
    <w:p w14:paraId="406F310E" w14:textId="77777777" w:rsidR="00303F5F" w:rsidRPr="00194D5A" w:rsidRDefault="00303F5F" w:rsidP="00683926">
      <w:pPr>
        <w:tabs>
          <w:tab w:val="left" w:pos="720"/>
        </w:tabs>
        <w:suppressAutoHyphens/>
        <w:spacing w:line="276" w:lineRule="auto"/>
        <w:rPr>
          <w:rFonts w:asciiTheme="minorHAnsi" w:hAnsiTheme="minorHAnsi" w:cstheme="minorHAnsi"/>
          <w:sz w:val="22"/>
          <w:szCs w:val="22"/>
        </w:rPr>
      </w:pPr>
    </w:p>
    <w:p w14:paraId="04B9B3DE" w14:textId="77777777" w:rsidR="00303F5F" w:rsidRPr="00194D5A" w:rsidRDefault="00303F5F" w:rsidP="00683926">
      <w:pPr>
        <w:tabs>
          <w:tab w:val="left" w:pos="450"/>
        </w:tabs>
        <w:suppressAutoHyphens/>
        <w:spacing w:line="276" w:lineRule="auto"/>
        <w:rPr>
          <w:rFonts w:asciiTheme="minorHAnsi" w:hAnsiTheme="minorHAnsi" w:cstheme="minorHAnsi"/>
          <w:sz w:val="22"/>
          <w:szCs w:val="22"/>
        </w:rPr>
      </w:pPr>
      <w:r w:rsidRPr="00194D5A">
        <w:rPr>
          <w:rFonts w:asciiTheme="minorHAnsi" w:hAnsiTheme="minorHAnsi" w:cstheme="minorHAnsi"/>
          <w:b/>
          <w:sz w:val="22"/>
          <w:szCs w:val="22"/>
        </w:rPr>
        <w:t>12.</w:t>
      </w:r>
      <w:r w:rsidRPr="00194D5A">
        <w:rPr>
          <w:rFonts w:asciiTheme="minorHAnsi" w:hAnsiTheme="minorHAnsi" w:cstheme="minorHAnsi"/>
          <w:b/>
          <w:sz w:val="22"/>
          <w:szCs w:val="22"/>
        </w:rPr>
        <w:tab/>
        <w:t>Provide estimates of the hour burden of the collection of information.  The statement should:</w:t>
      </w:r>
    </w:p>
    <w:p w14:paraId="6335ED97" w14:textId="77777777" w:rsidR="00303F5F" w:rsidRPr="00194D5A" w:rsidRDefault="00303F5F" w:rsidP="00683926">
      <w:pPr>
        <w:tabs>
          <w:tab w:val="left" w:pos="720"/>
          <w:tab w:val="left" w:pos="1080"/>
        </w:tabs>
        <w:suppressAutoHyphens/>
        <w:spacing w:line="276" w:lineRule="auto"/>
        <w:ind w:left="1080" w:hanging="1080"/>
        <w:rPr>
          <w:rFonts w:asciiTheme="minorHAnsi" w:hAnsiTheme="minorHAnsi" w:cstheme="minorHAnsi"/>
          <w:sz w:val="22"/>
          <w:szCs w:val="22"/>
        </w:rPr>
      </w:pPr>
      <w:r w:rsidRPr="00194D5A">
        <w:rPr>
          <w:rFonts w:asciiTheme="minorHAnsi" w:hAnsiTheme="minorHAnsi" w:cstheme="minorHAnsi"/>
          <w:b/>
          <w:sz w:val="22"/>
          <w:szCs w:val="22"/>
        </w:rPr>
        <w:tab/>
        <w:t>*</w:t>
      </w:r>
      <w:r w:rsidRPr="00194D5A">
        <w:rPr>
          <w:rFonts w:asciiTheme="minorHAnsi" w:hAnsiTheme="minorHAnsi" w:cstheme="minorHAnsi"/>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6E89E90" w14:textId="77777777" w:rsidR="00303F5F" w:rsidRPr="00194D5A" w:rsidRDefault="00303F5F" w:rsidP="00683926">
      <w:pPr>
        <w:tabs>
          <w:tab w:val="left" w:pos="720"/>
          <w:tab w:val="left" w:pos="1080"/>
        </w:tabs>
        <w:suppressAutoHyphens/>
        <w:spacing w:line="276" w:lineRule="auto"/>
        <w:ind w:left="1080" w:hanging="1080"/>
        <w:rPr>
          <w:rFonts w:asciiTheme="minorHAnsi" w:hAnsiTheme="minorHAnsi" w:cstheme="minorHAnsi"/>
          <w:sz w:val="22"/>
          <w:szCs w:val="22"/>
        </w:rPr>
      </w:pPr>
      <w:r w:rsidRPr="00194D5A">
        <w:rPr>
          <w:rFonts w:asciiTheme="minorHAnsi" w:hAnsiTheme="minorHAnsi" w:cstheme="minorHAnsi"/>
          <w:sz w:val="22"/>
          <w:szCs w:val="22"/>
        </w:rPr>
        <w:tab/>
      </w:r>
      <w:r w:rsidRPr="00194D5A">
        <w:rPr>
          <w:rFonts w:asciiTheme="minorHAnsi" w:hAnsiTheme="minorHAnsi" w:cstheme="minorHAnsi"/>
          <w:b/>
          <w:sz w:val="22"/>
          <w:szCs w:val="22"/>
        </w:rPr>
        <w:t>*</w:t>
      </w:r>
      <w:r w:rsidRPr="00194D5A">
        <w:rPr>
          <w:rFonts w:asciiTheme="minorHAnsi" w:hAnsiTheme="minorHAnsi" w:cstheme="minorHAnsi"/>
          <w:b/>
          <w:sz w:val="22"/>
          <w:szCs w:val="22"/>
        </w:rPr>
        <w:tab/>
        <w:t>If this request for approval covers more than one form, provide separate hour burden estimates for each form and aggregate the hour burdens.</w:t>
      </w:r>
    </w:p>
    <w:p w14:paraId="4517B295" w14:textId="77777777" w:rsidR="00303F5F" w:rsidRPr="00194D5A" w:rsidRDefault="00303F5F" w:rsidP="00683926">
      <w:pPr>
        <w:tabs>
          <w:tab w:val="left" w:pos="720"/>
          <w:tab w:val="left" w:pos="1080"/>
        </w:tabs>
        <w:suppressAutoHyphens/>
        <w:spacing w:line="276" w:lineRule="auto"/>
        <w:ind w:left="1080" w:hanging="1080"/>
        <w:rPr>
          <w:rFonts w:asciiTheme="minorHAnsi" w:hAnsiTheme="minorHAnsi" w:cstheme="minorHAnsi"/>
          <w:sz w:val="22"/>
          <w:szCs w:val="22"/>
        </w:rPr>
      </w:pPr>
      <w:r w:rsidRPr="00194D5A">
        <w:rPr>
          <w:rFonts w:asciiTheme="minorHAnsi" w:hAnsiTheme="minorHAnsi" w:cstheme="minorHAnsi"/>
          <w:sz w:val="22"/>
          <w:szCs w:val="22"/>
        </w:rPr>
        <w:tab/>
      </w:r>
      <w:r w:rsidRPr="00194D5A">
        <w:rPr>
          <w:rFonts w:asciiTheme="minorHAnsi" w:hAnsiTheme="minorHAnsi" w:cstheme="minorHAnsi"/>
          <w:b/>
          <w:sz w:val="22"/>
          <w:szCs w:val="22"/>
        </w:rPr>
        <w:t>*</w:t>
      </w:r>
      <w:r w:rsidRPr="00194D5A">
        <w:rPr>
          <w:rFonts w:asciiTheme="minorHAnsi" w:hAnsiTheme="minorHAnsi" w:cstheme="minorHAnsi"/>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22CC4FF2" w14:textId="77777777" w:rsidR="00683926" w:rsidRPr="00194D5A" w:rsidRDefault="00683926" w:rsidP="00683926">
      <w:pPr>
        <w:widowControl w:val="0"/>
        <w:tabs>
          <w:tab w:val="left" w:pos="360"/>
          <w:tab w:val="left" w:pos="720"/>
        </w:tabs>
        <w:autoSpaceDE w:val="0"/>
        <w:autoSpaceDN w:val="0"/>
        <w:adjustRightInd w:val="0"/>
        <w:spacing w:line="276" w:lineRule="auto"/>
        <w:rPr>
          <w:rFonts w:asciiTheme="minorHAnsi" w:hAnsiTheme="minorHAnsi" w:cstheme="minorHAnsi"/>
          <w:sz w:val="22"/>
          <w:szCs w:val="22"/>
        </w:rPr>
      </w:pPr>
    </w:p>
    <w:p w14:paraId="6FE28B95" w14:textId="4EC7E8F3" w:rsidR="00907A5D" w:rsidRPr="00194D5A" w:rsidRDefault="00E96553" w:rsidP="00683926">
      <w:pPr>
        <w:widowControl w:val="0"/>
        <w:tabs>
          <w:tab w:val="left" w:pos="360"/>
          <w:tab w:val="left" w:pos="720"/>
        </w:tabs>
        <w:autoSpaceDE w:val="0"/>
        <w:autoSpaceDN w:val="0"/>
        <w:adjustRightInd w:val="0"/>
        <w:spacing w:line="276" w:lineRule="auto"/>
        <w:rPr>
          <w:rFonts w:asciiTheme="minorHAnsi" w:hAnsiTheme="minorHAnsi" w:cstheme="minorHAnsi"/>
          <w:sz w:val="22"/>
          <w:szCs w:val="22"/>
        </w:rPr>
      </w:pPr>
      <w:r w:rsidRPr="00194D5A">
        <w:rPr>
          <w:rFonts w:asciiTheme="minorHAnsi" w:hAnsiTheme="minorHAnsi" w:cstheme="minorHAnsi"/>
          <w:sz w:val="22"/>
          <w:szCs w:val="22"/>
        </w:rPr>
        <w:t xml:space="preserve">The total estimated annual burden for this information collection is </w:t>
      </w:r>
      <w:r w:rsidR="00AE15AA">
        <w:rPr>
          <w:rFonts w:asciiTheme="minorHAnsi" w:hAnsiTheme="minorHAnsi" w:cstheme="minorHAnsi"/>
          <w:sz w:val="22"/>
          <w:szCs w:val="22"/>
        </w:rPr>
        <w:t>10,752</w:t>
      </w:r>
      <w:r w:rsidRPr="00194D5A">
        <w:rPr>
          <w:rFonts w:asciiTheme="minorHAnsi" w:hAnsiTheme="minorHAnsi" w:cstheme="minorHAnsi"/>
          <w:sz w:val="22"/>
          <w:szCs w:val="22"/>
        </w:rPr>
        <w:t xml:space="preserve"> burden hours. </w:t>
      </w:r>
      <w:r w:rsidR="00907A5D" w:rsidRPr="00194D5A">
        <w:rPr>
          <w:rFonts w:asciiTheme="minorHAnsi" w:hAnsiTheme="minorHAnsi" w:cstheme="minorHAnsi"/>
          <w:sz w:val="22"/>
          <w:szCs w:val="22"/>
        </w:rPr>
        <w:t>We estimate the annual dollar value of the burden hours is $</w:t>
      </w:r>
      <w:r w:rsidR="00AE15AA">
        <w:rPr>
          <w:rFonts w:asciiTheme="minorHAnsi" w:hAnsiTheme="minorHAnsi" w:cstheme="minorHAnsi"/>
          <w:sz w:val="22"/>
          <w:szCs w:val="22"/>
        </w:rPr>
        <w:t>1,128,960</w:t>
      </w:r>
      <w:r w:rsidR="00907A5D" w:rsidRPr="00194D5A">
        <w:rPr>
          <w:rFonts w:asciiTheme="minorHAnsi" w:hAnsiTheme="minorHAnsi" w:cstheme="minorHAnsi"/>
          <w:sz w:val="22"/>
          <w:szCs w:val="22"/>
        </w:rPr>
        <w:t xml:space="preserve"> </w:t>
      </w:r>
      <w:r w:rsidR="0014697A" w:rsidRPr="00194D5A">
        <w:rPr>
          <w:rFonts w:asciiTheme="minorHAnsi" w:hAnsiTheme="minorHAnsi" w:cstheme="minorHAnsi"/>
          <w:sz w:val="22"/>
          <w:szCs w:val="22"/>
        </w:rPr>
        <w:t>(</w:t>
      </w:r>
      <w:r w:rsidR="00907A5D" w:rsidRPr="00194D5A">
        <w:rPr>
          <w:rFonts w:asciiTheme="minorHAnsi" w:hAnsiTheme="minorHAnsi" w:cstheme="minorHAnsi"/>
          <w:sz w:val="22"/>
          <w:szCs w:val="22"/>
        </w:rPr>
        <w:t>rounded)</w:t>
      </w:r>
      <w:r w:rsidR="0014697A" w:rsidRPr="00194D5A">
        <w:rPr>
          <w:rFonts w:asciiTheme="minorHAnsi" w:hAnsiTheme="minorHAnsi" w:cstheme="minorHAnsi"/>
          <w:sz w:val="22"/>
          <w:szCs w:val="22"/>
        </w:rPr>
        <w:t xml:space="preserve"> (</w:t>
      </w:r>
      <w:r w:rsidR="00AE15AA">
        <w:rPr>
          <w:rFonts w:asciiTheme="minorHAnsi" w:hAnsiTheme="minorHAnsi" w:cstheme="minorHAnsi"/>
          <w:sz w:val="22"/>
          <w:szCs w:val="22"/>
        </w:rPr>
        <w:t>10,752</w:t>
      </w:r>
      <w:r w:rsidR="0014697A" w:rsidRPr="00194D5A">
        <w:rPr>
          <w:rFonts w:asciiTheme="minorHAnsi" w:hAnsiTheme="minorHAnsi" w:cstheme="minorHAnsi"/>
          <w:sz w:val="22"/>
          <w:szCs w:val="22"/>
        </w:rPr>
        <w:t xml:space="preserve"> burden hours x $1</w:t>
      </w:r>
      <w:r w:rsidR="00203072" w:rsidRPr="00194D5A">
        <w:rPr>
          <w:rFonts w:asciiTheme="minorHAnsi" w:hAnsiTheme="minorHAnsi" w:cstheme="minorHAnsi"/>
          <w:sz w:val="22"/>
          <w:szCs w:val="22"/>
        </w:rPr>
        <w:t>0</w:t>
      </w:r>
      <w:r w:rsidR="00DD1136" w:rsidRPr="00194D5A">
        <w:rPr>
          <w:rFonts w:asciiTheme="minorHAnsi" w:hAnsiTheme="minorHAnsi" w:cstheme="minorHAnsi"/>
          <w:sz w:val="22"/>
          <w:szCs w:val="22"/>
        </w:rPr>
        <w:t>5</w:t>
      </w:r>
      <w:r w:rsidR="0014697A" w:rsidRPr="00194D5A">
        <w:rPr>
          <w:rFonts w:asciiTheme="minorHAnsi" w:hAnsiTheme="minorHAnsi" w:cstheme="minorHAnsi"/>
          <w:sz w:val="22"/>
          <w:szCs w:val="22"/>
        </w:rPr>
        <w:t>/hour)</w:t>
      </w:r>
      <w:r w:rsidR="00907A5D" w:rsidRPr="00194D5A">
        <w:rPr>
          <w:rFonts w:asciiTheme="minorHAnsi" w:hAnsiTheme="minorHAnsi" w:cstheme="minorHAnsi"/>
          <w:sz w:val="22"/>
          <w:szCs w:val="22"/>
        </w:rPr>
        <w:t>.</w:t>
      </w:r>
      <w:r w:rsidRPr="00194D5A">
        <w:rPr>
          <w:rFonts w:asciiTheme="minorHAnsi" w:hAnsiTheme="minorHAnsi" w:cstheme="minorHAnsi"/>
          <w:sz w:val="22"/>
          <w:szCs w:val="22"/>
        </w:rPr>
        <w:t xml:space="preserve"> </w:t>
      </w:r>
    </w:p>
    <w:p w14:paraId="44E1A96F" w14:textId="77777777" w:rsidR="00441FCE" w:rsidRPr="00194D5A" w:rsidRDefault="00441FCE" w:rsidP="00683926">
      <w:pPr>
        <w:tabs>
          <w:tab w:val="left" w:pos="720"/>
        </w:tabs>
        <w:suppressAutoHyphens/>
        <w:spacing w:line="276" w:lineRule="auto"/>
        <w:rPr>
          <w:rFonts w:asciiTheme="minorHAnsi" w:hAnsiTheme="minorHAnsi" w:cstheme="minorHAnsi"/>
          <w:sz w:val="22"/>
          <w:szCs w:val="22"/>
        </w:rPr>
      </w:pPr>
    </w:p>
    <w:p w14:paraId="55814594" w14:textId="2348352E" w:rsidR="00147750" w:rsidRPr="00194D5A" w:rsidRDefault="00572EAE" w:rsidP="000B65CC">
      <w:pPr>
        <w:tabs>
          <w:tab w:val="left" w:pos="720"/>
        </w:tabs>
        <w:suppressAutoHyphens/>
        <w:rPr>
          <w:rFonts w:asciiTheme="minorHAnsi" w:hAnsiTheme="minorHAnsi" w:cstheme="minorHAnsi"/>
          <w:sz w:val="22"/>
          <w:szCs w:val="22"/>
        </w:rPr>
      </w:pPr>
      <w:r w:rsidRPr="00194D5A">
        <w:rPr>
          <w:rFonts w:asciiTheme="minorHAnsi" w:hAnsiTheme="minorHAnsi" w:cstheme="minorHAnsi"/>
          <w:sz w:val="22"/>
          <w:szCs w:val="22"/>
        </w:rPr>
        <w:t>After the litigation in 1985, the number of operators subject to the regulatory requirements in Subpart A has diminished to less than one per year for mining claimants.  H</w:t>
      </w:r>
      <w:r w:rsidR="000B65CC" w:rsidRPr="00194D5A">
        <w:rPr>
          <w:rFonts w:asciiTheme="minorHAnsi" w:hAnsiTheme="minorHAnsi" w:cstheme="minorHAnsi"/>
          <w:sz w:val="22"/>
          <w:szCs w:val="22"/>
        </w:rPr>
        <w:t xml:space="preserve">owever, </w:t>
      </w:r>
      <w:r w:rsidRPr="00194D5A">
        <w:rPr>
          <w:rFonts w:asciiTheme="minorHAnsi" w:hAnsiTheme="minorHAnsi" w:cstheme="minorHAnsi"/>
          <w:sz w:val="22"/>
          <w:szCs w:val="22"/>
        </w:rPr>
        <w:t xml:space="preserve">for the purposes of this request, </w:t>
      </w:r>
      <w:r w:rsidR="000B65CC" w:rsidRPr="00194D5A">
        <w:rPr>
          <w:rFonts w:asciiTheme="minorHAnsi" w:hAnsiTheme="minorHAnsi" w:cstheme="minorHAnsi"/>
          <w:sz w:val="22"/>
          <w:szCs w:val="22"/>
        </w:rPr>
        <w:t xml:space="preserve">we are estimating one annual response as a placeholder for the regulatory requirements in Subpart A.  </w:t>
      </w:r>
      <w:r w:rsidR="00E96553" w:rsidRPr="00194D5A">
        <w:rPr>
          <w:rFonts w:asciiTheme="minorHAnsi" w:hAnsiTheme="minorHAnsi" w:cstheme="minorHAnsi"/>
          <w:sz w:val="22"/>
          <w:szCs w:val="22"/>
        </w:rPr>
        <w:t>With one (1) response totaling 176 annual burden hours, we estimate that the dollar value of the annual burden hours for Subpart A will be $18,480 (rounded) ($105 x 176 hours).</w:t>
      </w:r>
    </w:p>
    <w:p w14:paraId="4D846509" w14:textId="77777777" w:rsidR="00147750" w:rsidRPr="00194D5A" w:rsidRDefault="00147750" w:rsidP="000B65CC">
      <w:pPr>
        <w:tabs>
          <w:tab w:val="left" w:pos="720"/>
        </w:tabs>
        <w:suppressAutoHyphens/>
        <w:rPr>
          <w:rFonts w:asciiTheme="minorHAnsi" w:hAnsiTheme="minorHAnsi" w:cstheme="minorHAnsi"/>
          <w:sz w:val="22"/>
          <w:szCs w:val="22"/>
        </w:rPr>
      </w:pPr>
    </w:p>
    <w:p w14:paraId="44806E08" w14:textId="6430CAFB" w:rsidR="000B65CC" w:rsidRPr="00194D5A" w:rsidRDefault="0010243E" w:rsidP="000B65CC">
      <w:pPr>
        <w:tabs>
          <w:tab w:val="left" w:pos="720"/>
        </w:tabs>
        <w:suppressAutoHyphens/>
        <w:rPr>
          <w:rFonts w:asciiTheme="minorHAnsi" w:hAnsiTheme="minorHAnsi" w:cstheme="minorHAnsi"/>
          <w:sz w:val="22"/>
          <w:szCs w:val="22"/>
        </w:rPr>
      </w:pPr>
      <w:r w:rsidRPr="002530E6">
        <w:rPr>
          <w:rFonts w:asciiTheme="minorHAnsi" w:hAnsiTheme="minorHAnsi" w:cstheme="minorHAnsi"/>
          <w:sz w:val="22"/>
          <w:szCs w:val="22"/>
        </w:rPr>
        <w:t>U</w:t>
      </w:r>
      <w:r w:rsidR="000B65CC" w:rsidRPr="002530E6">
        <w:rPr>
          <w:rFonts w:asciiTheme="minorHAnsi" w:hAnsiTheme="minorHAnsi" w:cstheme="minorHAnsi"/>
          <w:sz w:val="22"/>
          <w:szCs w:val="22"/>
        </w:rPr>
        <w:t xml:space="preserve">nder Subpart B, </w:t>
      </w:r>
      <w:r w:rsidR="00E96553" w:rsidRPr="002530E6">
        <w:rPr>
          <w:rFonts w:asciiTheme="minorHAnsi" w:hAnsiTheme="minorHAnsi" w:cstheme="minorHAnsi"/>
          <w:sz w:val="22"/>
          <w:szCs w:val="22"/>
        </w:rPr>
        <w:t>there are 2</w:t>
      </w:r>
      <w:r w:rsidR="00AE15AA" w:rsidRPr="002530E6">
        <w:rPr>
          <w:rFonts w:asciiTheme="minorHAnsi" w:hAnsiTheme="minorHAnsi" w:cstheme="minorHAnsi"/>
          <w:sz w:val="22"/>
          <w:szCs w:val="22"/>
        </w:rPr>
        <w:t>6</w:t>
      </w:r>
      <w:r w:rsidR="00E96553" w:rsidRPr="002530E6">
        <w:rPr>
          <w:rFonts w:asciiTheme="minorHAnsi" w:hAnsiTheme="minorHAnsi" w:cstheme="minorHAnsi"/>
          <w:sz w:val="22"/>
          <w:szCs w:val="22"/>
        </w:rPr>
        <w:t xml:space="preserve"> ICs and w</w:t>
      </w:r>
      <w:r w:rsidRPr="002530E6">
        <w:rPr>
          <w:rFonts w:asciiTheme="minorHAnsi" w:hAnsiTheme="minorHAnsi" w:cstheme="minorHAnsi"/>
          <w:sz w:val="22"/>
          <w:szCs w:val="22"/>
        </w:rPr>
        <w:t>e are estimating that we will receive 1,430 annual responses totaling 7,056 annual burden hours. We estimate that the dollar value of the annual burden hours for Subpart B will be $740,880 (rounded) ($</w:t>
      </w:r>
      <w:r w:rsidR="00E96553" w:rsidRPr="002530E6">
        <w:rPr>
          <w:rFonts w:asciiTheme="minorHAnsi" w:hAnsiTheme="minorHAnsi" w:cstheme="minorHAnsi"/>
          <w:sz w:val="22"/>
          <w:szCs w:val="22"/>
        </w:rPr>
        <w:t>105 x</w:t>
      </w:r>
      <w:r w:rsidRPr="002530E6">
        <w:rPr>
          <w:rFonts w:asciiTheme="minorHAnsi" w:hAnsiTheme="minorHAnsi" w:cstheme="minorHAnsi"/>
          <w:sz w:val="22"/>
          <w:szCs w:val="22"/>
        </w:rPr>
        <w:t xml:space="preserve"> 7,056 hours).</w:t>
      </w:r>
      <w:r w:rsidRPr="00194D5A">
        <w:rPr>
          <w:rFonts w:asciiTheme="minorHAnsi" w:hAnsiTheme="minorHAnsi" w:cstheme="minorHAnsi"/>
          <w:sz w:val="22"/>
          <w:szCs w:val="22"/>
        </w:rPr>
        <w:t xml:space="preserve">  </w:t>
      </w:r>
    </w:p>
    <w:p w14:paraId="2C9EB905" w14:textId="77777777" w:rsidR="0010243E" w:rsidRPr="00194D5A" w:rsidRDefault="0010243E" w:rsidP="000B65CC">
      <w:pPr>
        <w:tabs>
          <w:tab w:val="left" w:pos="720"/>
        </w:tabs>
        <w:suppressAutoHyphens/>
        <w:rPr>
          <w:rFonts w:asciiTheme="minorHAnsi" w:hAnsiTheme="minorHAnsi" w:cstheme="minorHAnsi"/>
          <w:sz w:val="22"/>
          <w:szCs w:val="22"/>
        </w:rPr>
      </w:pPr>
    </w:p>
    <w:p w14:paraId="032465B6" w14:textId="77777777" w:rsidR="00E96553" w:rsidRPr="00194D5A" w:rsidRDefault="00E96553" w:rsidP="00E96553">
      <w:pPr>
        <w:tabs>
          <w:tab w:val="left" w:pos="720"/>
        </w:tabs>
        <w:suppressAutoHyphens/>
        <w:spacing w:line="276" w:lineRule="auto"/>
        <w:rPr>
          <w:rFonts w:asciiTheme="minorHAnsi" w:hAnsiTheme="minorHAnsi" w:cstheme="minorHAnsi"/>
          <w:sz w:val="22"/>
          <w:szCs w:val="22"/>
        </w:rPr>
      </w:pPr>
      <w:r w:rsidRPr="00194D5A">
        <w:rPr>
          <w:rFonts w:asciiTheme="minorHAnsi" w:hAnsiTheme="minorHAnsi" w:cstheme="minorHAnsi"/>
          <w:sz w:val="22"/>
          <w:szCs w:val="22"/>
        </w:rPr>
        <w:t xml:space="preserve">Depending on the specifics of the plan, either an entry-level, a mid-level, or a top-level consultant will conduct the labor.  To determine the hourly labor costs, we used Bureau of Labor Statistics (BLS) May 2018 National Industry-Specific Occupational Employment and Wage Estimates for NAIC Code </w:t>
      </w:r>
      <w:hyperlink r:id="rId9" w:history="1">
        <w:r w:rsidRPr="00194D5A">
          <w:rPr>
            <w:rStyle w:val="Hyperlink"/>
            <w:rFonts w:asciiTheme="minorHAnsi" w:hAnsiTheme="minorHAnsi" w:cstheme="minorHAnsi"/>
            <w:sz w:val="22"/>
            <w:szCs w:val="22"/>
          </w:rPr>
          <w:t>541600, "Management, Scientific, and Technical Consulting Services"</w:t>
        </w:r>
      </w:hyperlink>
      <w:r w:rsidRPr="00194D5A">
        <w:rPr>
          <w:rFonts w:asciiTheme="minorHAnsi" w:hAnsiTheme="minorHAnsi" w:cstheme="minorHAnsi"/>
          <w:sz w:val="22"/>
          <w:szCs w:val="22"/>
        </w:rPr>
        <w:t xml:space="preserve"> which lists mean hourly wages for various consultants: </w:t>
      </w:r>
    </w:p>
    <w:p w14:paraId="265EA8DF" w14:textId="77777777" w:rsidR="00E96553" w:rsidRPr="00194D5A" w:rsidRDefault="00E96553" w:rsidP="00E96553">
      <w:pPr>
        <w:tabs>
          <w:tab w:val="left" w:pos="720"/>
        </w:tabs>
        <w:suppressAutoHyphens/>
        <w:spacing w:line="276" w:lineRule="auto"/>
        <w:rPr>
          <w:rFonts w:asciiTheme="minorHAnsi" w:hAnsiTheme="minorHAnsi" w:cstheme="minorHAnsi"/>
          <w:sz w:val="22"/>
          <w:szCs w:val="22"/>
        </w:rPr>
      </w:pPr>
    </w:p>
    <w:p w14:paraId="18813DDF" w14:textId="77777777" w:rsidR="00E96553" w:rsidRPr="00194D5A" w:rsidRDefault="00E96553" w:rsidP="00E96553">
      <w:pPr>
        <w:numPr>
          <w:ilvl w:val="0"/>
          <w:numId w:val="22"/>
        </w:numPr>
        <w:tabs>
          <w:tab w:val="left" w:pos="720"/>
        </w:tabs>
        <w:suppressAutoHyphens/>
        <w:spacing w:line="276" w:lineRule="auto"/>
        <w:rPr>
          <w:rFonts w:asciiTheme="minorHAnsi" w:hAnsiTheme="minorHAnsi" w:cstheme="minorHAnsi"/>
          <w:sz w:val="22"/>
          <w:szCs w:val="22"/>
        </w:rPr>
      </w:pPr>
      <w:r w:rsidRPr="00194D5A">
        <w:rPr>
          <w:rFonts w:asciiTheme="minorHAnsi" w:hAnsiTheme="minorHAnsi" w:cstheme="minorHAnsi"/>
          <w:sz w:val="22"/>
          <w:szCs w:val="22"/>
        </w:rPr>
        <w:t xml:space="preserve">Entry-level consultant:  </w:t>
      </w:r>
      <w:r w:rsidRPr="00194D5A">
        <w:rPr>
          <w:rFonts w:asciiTheme="minorHAnsi" w:hAnsiTheme="minorHAnsi" w:cstheme="minorHAnsi"/>
          <w:b/>
          <w:sz w:val="22"/>
          <w:szCs w:val="22"/>
        </w:rPr>
        <w:t>$62.41</w:t>
      </w:r>
    </w:p>
    <w:p w14:paraId="312F49BD" w14:textId="77777777" w:rsidR="00E96553" w:rsidRPr="00194D5A" w:rsidRDefault="00E96553" w:rsidP="00E96553">
      <w:pPr>
        <w:numPr>
          <w:ilvl w:val="0"/>
          <w:numId w:val="22"/>
        </w:numPr>
        <w:tabs>
          <w:tab w:val="left" w:pos="720"/>
        </w:tabs>
        <w:suppressAutoHyphens/>
        <w:spacing w:line="276" w:lineRule="auto"/>
        <w:rPr>
          <w:rFonts w:asciiTheme="minorHAnsi" w:hAnsiTheme="minorHAnsi" w:cstheme="minorHAnsi"/>
          <w:sz w:val="22"/>
          <w:szCs w:val="22"/>
        </w:rPr>
      </w:pPr>
      <w:r w:rsidRPr="00194D5A">
        <w:rPr>
          <w:rFonts w:asciiTheme="minorHAnsi" w:hAnsiTheme="minorHAnsi" w:cstheme="minorHAnsi"/>
          <w:sz w:val="22"/>
          <w:szCs w:val="22"/>
        </w:rPr>
        <w:t xml:space="preserve">Mid-level consultant:  </w:t>
      </w:r>
      <w:r w:rsidRPr="00194D5A">
        <w:rPr>
          <w:rFonts w:asciiTheme="minorHAnsi" w:hAnsiTheme="minorHAnsi" w:cstheme="minorHAnsi"/>
          <w:b/>
          <w:sz w:val="22"/>
          <w:szCs w:val="22"/>
        </w:rPr>
        <w:t>$72.16</w:t>
      </w:r>
    </w:p>
    <w:p w14:paraId="7E2C9433" w14:textId="77777777" w:rsidR="00E96553" w:rsidRPr="00194D5A" w:rsidRDefault="00E96553" w:rsidP="00E96553">
      <w:pPr>
        <w:numPr>
          <w:ilvl w:val="0"/>
          <w:numId w:val="22"/>
        </w:numPr>
        <w:tabs>
          <w:tab w:val="left" w:pos="720"/>
        </w:tabs>
        <w:suppressAutoHyphens/>
        <w:spacing w:line="276" w:lineRule="auto"/>
        <w:rPr>
          <w:rFonts w:asciiTheme="minorHAnsi" w:hAnsiTheme="minorHAnsi" w:cstheme="minorHAnsi"/>
          <w:sz w:val="22"/>
          <w:szCs w:val="22"/>
        </w:rPr>
      </w:pPr>
      <w:r w:rsidRPr="00194D5A">
        <w:rPr>
          <w:rFonts w:asciiTheme="minorHAnsi" w:hAnsiTheme="minorHAnsi" w:cstheme="minorHAnsi"/>
          <w:sz w:val="22"/>
          <w:szCs w:val="22"/>
        </w:rPr>
        <w:t xml:space="preserve">Top-level consultant:  </w:t>
      </w:r>
      <w:r w:rsidRPr="00194D5A">
        <w:rPr>
          <w:rFonts w:asciiTheme="minorHAnsi" w:hAnsiTheme="minorHAnsi" w:cstheme="minorHAnsi"/>
          <w:b/>
          <w:sz w:val="22"/>
          <w:szCs w:val="22"/>
        </w:rPr>
        <w:t>$106.09</w:t>
      </w:r>
    </w:p>
    <w:p w14:paraId="0F3E5FBE" w14:textId="77777777" w:rsidR="00E96553" w:rsidRPr="00194D5A" w:rsidRDefault="00E96553" w:rsidP="00E96553">
      <w:pPr>
        <w:tabs>
          <w:tab w:val="left" w:pos="720"/>
        </w:tabs>
        <w:suppressAutoHyphens/>
        <w:spacing w:line="276" w:lineRule="auto"/>
        <w:rPr>
          <w:rFonts w:asciiTheme="minorHAnsi" w:hAnsiTheme="minorHAnsi" w:cstheme="minorHAnsi"/>
          <w:sz w:val="22"/>
          <w:szCs w:val="22"/>
        </w:rPr>
      </w:pPr>
    </w:p>
    <w:p w14:paraId="66EBAF33" w14:textId="77777777" w:rsidR="00E96553" w:rsidRPr="00194D5A" w:rsidRDefault="00E96553" w:rsidP="00E96553">
      <w:pPr>
        <w:tabs>
          <w:tab w:val="left" w:pos="720"/>
        </w:tabs>
        <w:suppressAutoHyphens/>
        <w:spacing w:line="276" w:lineRule="auto"/>
        <w:rPr>
          <w:rFonts w:asciiTheme="minorHAnsi" w:hAnsiTheme="minorHAnsi" w:cstheme="minorHAnsi"/>
          <w:sz w:val="22"/>
          <w:szCs w:val="22"/>
        </w:rPr>
      </w:pPr>
      <w:r w:rsidRPr="00194D5A">
        <w:rPr>
          <w:rFonts w:asciiTheme="minorHAnsi" w:hAnsiTheme="minorHAnsi" w:cstheme="minorHAnsi"/>
          <w:sz w:val="22"/>
          <w:szCs w:val="22"/>
        </w:rPr>
        <w:t xml:space="preserve">We used an average of $80.22/hour for this analysis.  We multiplied the rate by 1.3 to account for benefits, in accordance with Bureau of Labor Statistics (BLS) News Release </w:t>
      </w:r>
      <w:hyperlink r:id="rId10" w:history="1">
        <w:r w:rsidRPr="00194D5A">
          <w:rPr>
            <w:rStyle w:val="Hyperlink"/>
            <w:rFonts w:asciiTheme="minorHAnsi" w:hAnsiTheme="minorHAnsi" w:cstheme="minorHAnsi"/>
            <w:sz w:val="22"/>
            <w:szCs w:val="22"/>
          </w:rPr>
          <w:t>USDL-18-1499</w:t>
        </w:r>
      </w:hyperlink>
      <w:r w:rsidRPr="00194D5A">
        <w:rPr>
          <w:rFonts w:asciiTheme="minorHAnsi" w:hAnsiTheme="minorHAnsi" w:cstheme="minorHAnsi"/>
          <w:sz w:val="22"/>
          <w:szCs w:val="22"/>
        </w:rPr>
        <w:t>, March 19, 2019, Employer Costs for Employee Compensation—December 2018, resulting in an hourly cost factor of $105 (rounded).</w:t>
      </w:r>
    </w:p>
    <w:p w14:paraId="77E2F969" w14:textId="77777777" w:rsidR="00E96553" w:rsidRPr="00194D5A" w:rsidRDefault="00E96553" w:rsidP="00683926">
      <w:pPr>
        <w:tabs>
          <w:tab w:val="left" w:pos="720"/>
        </w:tabs>
        <w:suppressAutoHyphens/>
        <w:spacing w:line="276" w:lineRule="auto"/>
        <w:rPr>
          <w:rFonts w:asciiTheme="minorHAnsi" w:hAnsiTheme="minorHAnsi" w:cstheme="minorHAnsi"/>
          <w:sz w:val="22"/>
          <w:szCs w:val="22"/>
        </w:rPr>
      </w:pPr>
    </w:p>
    <w:p w14:paraId="46801604" w14:textId="77777777" w:rsidR="00907A5D" w:rsidRPr="00194D5A" w:rsidRDefault="00303F5F" w:rsidP="00683926">
      <w:pPr>
        <w:tabs>
          <w:tab w:val="left" w:pos="720"/>
        </w:tabs>
        <w:suppressAutoHyphens/>
        <w:spacing w:line="276" w:lineRule="auto"/>
        <w:rPr>
          <w:rFonts w:asciiTheme="minorHAnsi" w:hAnsiTheme="minorHAnsi" w:cstheme="minorHAnsi"/>
          <w:sz w:val="22"/>
          <w:szCs w:val="22"/>
        </w:rPr>
      </w:pPr>
      <w:r w:rsidRPr="00194D5A">
        <w:rPr>
          <w:rFonts w:asciiTheme="minorHAnsi" w:hAnsiTheme="minorHAnsi" w:cstheme="minorHAnsi"/>
          <w:sz w:val="22"/>
          <w:szCs w:val="22"/>
        </w:rPr>
        <w:t>Depending on the level of complexity of the proposed operation, a complete plan could consist of as little as 10 pages of text plus</w:t>
      </w:r>
      <w:r w:rsidRPr="00194D5A">
        <w:rPr>
          <w:rFonts w:asciiTheme="minorHAnsi" w:hAnsiTheme="minorHAnsi" w:cstheme="minorHAnsi"/>
          <w:i/>
          <w:sz w:val="22"/>
          <w:szCs w:val="22"/>
        </w:rPr>
        <w:t xml:space="preserve"> </w:t>
      </w:r>
      <w:r w:rsidRPr="00194D5A">
        <w:rPr>
          <w:rFonts w:asciiTheme="minorHAnsi" w:hAnsiTheme="minorHAnsi" w:cstheme="minorHAnsi"/>
          <w:sz w:val="22"/>
          <w:szCs w:val="22"/>
        </w:rPr>
        <w:t>2-10 pages of illustrations (inclusive of location maps, site plans and cross-sections) to as much as 100 pages of text plus several volumes of supporting material.   The time to prepare a plan range</w:t>
      </w:r>
      <w:r w:rsidR="00907A5D" w:rsidRPr="00194D5A">
        <w:rPr>
          <w:rFonts w:asciiTheme="minorHAnsi" w:hAnsiTheme="minorHAnsi" w:cstheme="minorHAnsi"/>
          <w:sz w:val="22"/>
          <w:szCs w:val="22"/>
        </w:rPr>
        <w:t>s</w:t>
      </w:r>
      <w:r w:rsidRPr="00194D5A">
        <w:rPr>
          <w:rFonts w:asciiTheme="minorHAnsi" w:hAnsiTheme="minorHAnsi" w:cstheme="minorHAnsi"/>
          <w:sz w:val="22"/>
          <w:szCs w:val="22"/>
        </w:rPr>
        <w:t xml:space="preserve"> from 24 hours to 6 months</w:t>
      </w:r>
      <w:r w:rsidR="00907A5D" w:rsidRPr="00194D5A">
        <w:rPr>
          <w:rFonts w:asciiTheme="minorHAnsi" w:hAnsiTheme="minorHAnsi" w:cstheme="minorHAnsi"/>
          <w:sz w:val="22"/>
          <w:szCs w:val="22"/>
        </w:rPr>
        <w:t>,</w:t>
      </w:r>
      <w:r w:rsidRPr="00194D5A">
        <w:rPr>
          <w:rFonts w:asciiTheme="minorHAnsi" w:hAnsiTheme="minorHAnsi" w:cstheme="minorHAnsi"/>
          <w:sz w:val="22"/>
          <w:szCs w:val="22"/>
        </w:rPr>
        <w:t xml:space="preserve"> depending on the complexity of the operation, including</w:t>
      </w:r>
      <w:r w:rsidR="00907A5D" w:rsidRPr="00194D5A">
        <w:rPr>
          <w:rFonts w:asciiTheme="minorHAnsi" w:hAnsiTheme="minorHAnsi" w:cstheme="minorHAnsi"/>
          <w:sz w:val="22"/>
          <w:szCs w:val="22"/>
        </w:rPr>
        <w:t>:</w:t>
      </w:r>
    </w:p>
    <w:p w14:paraId="331440B4" w14:textId="77777777" w:rsidR="00907A5D" w:rsidRPr="00194D5A" w:rsidRDefault="00907A5D" w:rsidP="00683926">
      <w:pPr>
        <w:pStyle w:val="ListParagraph"/>
        <w:numPr>
          <w:ilvl w:val="0"/>
          <w:numId w:val="21"/>
        </w:numPr>
        <w:tabs>
          <w:tab w:val="left" w:pos="720"/>
        </w:tabs>
        <w:suppressAutoHyphens/>
        <w:spacing w:line="276" w:lineRule="auto"/>
        <w:rPr>
          <w:rFonts w:asciiTheme="minorHAnsi" w:hAnsiTheme="minorHAnsi" w:cstheme="minorHAnsi"/>
          <w:sz w:val="22"/>
          <w:szCs w:val="22"/>
        </w:rPr>
      </w:pPr>
      <w:r w:rsidRPr="00194D5A">
        <w:rPr>
          <w:rFonts w:asciiTheme="minorHAnsi" w:hAnsiTheme="minorHAnsi" w:cstheme="minorHAnsi"/>
          <w:sz w:val="22"/>
          <w:szCs w:val="22"/>
        </w:rPr>
        <w:t>The d</w:t>
      </w:r>
      <w:r w:rsidR="00303F5F" w:rsidRPr="00194D5A">
        <w:rPr>
          <w:rFonts w:asciiTheme="minorHAnsi" w:hAnsiTheme="minorHAnsi" w:cstheme="minorHAnsi"/>
          <w:sz w:val="22"/>
          <w:szCs w:val="22"/>
        </w:rPr>
        <w:t>ifferences in types and numbers of operations that ma</w:t>
      </w:r>
      <w:r w:rsidRPr="00194D5A">
        <w:rPr>
          <w:rFonts w:asciiTheme="minorHAnsi" w:hAnsiTheme="minorHAnsi" w:cstheme="minorHAnsi"/>
          <w:sz w:val="22"/>
          <w:szCs w:val="22"/>
        </w:rPr>
        <w:t>y be included in a single plan;</w:t>
      </w:r>
    </w:p>
    <w:p w14:paraId="2559B76E" w14:textId="77777777" w:rsidR="00907A5D" w:rsidRPr="00194D5A" w:rsidRDefault="00907A5D" w:rsidP="00683926">
      <w:pPr>
        <w:pStyle w:val="ListParagraph"/>
        <w:numPr>
          <w:ilvl w:val="0"/>
          <w:numId w:val="21"/>
        </w:numPr>
        <w:tabs>
          <w:tab w:val="left" w:pos="720"/>
        </w:tabs>
        <w:suppressAutoHyphens/>
        <w:spacing w:line="276" w:lineRule="auto"/>
        <w:rPr>
          <w:rFonts w:asciiTheme="minorHAnsi" w:hAnsiTheme="minorHAnsi" w:cstheme="minorHAnsi"/>
          <w:sz w:val="22"/>
          <w:szCs w:val="22"/>
        </w:rPr>
      </w:pPr>
      <w:r w:rsidRPr="00194D5A">
        <w:rPr>
          <w:rFonts w:asciiTheme="minorHAnsi" w:hAnsiTheme="minorHAnsi" w:cstheme="minorHAnsi"/>
          <w:sz w:val="22"/>
          <w:szCs w:val="22"/>
        </w:rPr>
        <w:t>T</w:t>
      </w:r>
      <w:r w:rsidR="00303F5F" w:rsidRPr="00194D5A">
        <w:rPr>
          <w:rFonts w:asciiTheme="minorHAnsi" w:hAnsiTheme="minorHAnsi" w:cstheme="minorHAnsi"/>
          <w:sz w:val="22"/>
          <w:szCs w:val="22"/>
        </w:rPr>
        <w:t xml:space="preserve">he wide variations in the environmental settings in which non-Federal oil and </w:t>
      </w:r>
      <w:r w:rsidRPr="00194D5A">
        <w:rPr>
          <w:rFonts w:asciiTheme="minorHAnsi" w:hAnsiTheme="minorHAnsi" w:cstheme="minorHAnsi"/>
          <w:sz w:val="22"/>
          <w:szCs w:val="22"/>
        </w:rPr>
        <w:t xml:space="preserve">gas development occurs in parks; </w:t>
      </w:r>
      <w:r w:rsidR="00303F5F" w:rsidRPr="00194D5A">
        <w:rPr>
          <w:rFonts w:asciiTheme="minorHAnsi" w:hAnsiTheme="minorHAnsi" w:cstheme="minorHAnsi"/>
          <w:sz w:val="22"/>
          <w:szCs w:val="22"/>
        </w:rPr>
        <w:t>and</w:t>
      </w:r>
      <w:r w:rsidRPr="00194D5A">
        <w:rPr>
          <w:rFonts w:asciiTheme="minorHAnsi" w:hAnsiTheme="minorHAnsi" w:cstheme="minorHAnsi"/>
          <w:sz w:val="22"/>
          <w:szCs w:val="22"/>
        </w:rPr>
        <w:t>,</w:t>
      </w:r>
    </w:p>
    <w:p w14:paraId="21A0C98B" w14:textId="5886A042" w:rsidR="00907A5D" w:rsidRPr="00194D5A" w:rsidRDefault="00907A5D" w:rsidP="00683926">
      <w:pPr>
        <w:pStyle w:val="ListParagraph"/>
        <w:numPr>
          <w:ilvl w:val="0"/>
          <w:numId w:val="21"/>
        </w:numPr>
        <w:tabs>
          <w:tab w:val="left" w:pos="720"/>
        </w:tabs>
        <w:suppressAutoHyphens/>
        <w:spacing w:line="276" w:lineRule="auto"/>
        <w:rPr>
          <w:rFonts w:asciiTheme="minorHAnsi" w:hAnsiTheme="minorHAnsi" w:cstheme="minorHAnsi"/>
          <w:sz w:val="22"/>
          <w:szCs w:val="22"/>
        </w:rPr>
      </w:pPr>
      <w:r w:rsidRPr="00194D5A">
        <w:rPr>
          <w:rFonts w:asciiTheme="minorHAnsi" w:hAnsiTheme="minorHAnsi" w:cstheme="minorHAnsi"/>
          <w:sz w:val="22"/>
          <w:szCs w:val="22"/>
        </w:rPr>
        <w:t>T</w:t>
      </w:r>
      <w:r w:rsidR="00303F5F" w:rsidRPr="00194D5A">
        <w:rPr>
          <w:rFonts w:asciiTheme="minorHAnsi" w:hAnsiTheme="minorHAnsi" w:cstheme="minorHAnsi"/>
          <w:sz w:val="22"/>
          <w:szCs w:val="22"/>
        </w:rPr>
        <w:t>he availability of pre-existing e</w:t>
      </w:r>
      <w:r w:rsidRPr="00194D5A">
        <w:rPr>
          <w:rFonts w:asciiTheme="minorHAnsi" w:hAnsiTheme="minorHAnsi" w:cstheme="minorHAnsi"/>
          <w:sz w:val="22"/>
          <w:szCs w:val="22"/>
        </w:rPr>
        <w:t>nvironmental data from parks.</w:t>
      </w:r>
    </w:p>
    <w:p w14:paraId="70411124" w14:textId="77777777" w:rsidR="00907A5D" w:rsidRPr="00194D5A" w:rsidRDefault="00907A5D" w:rsidP="00683926">
      <w:pPr>
        <w:tabs>
          <w:tab w:val="left" w:pos="720"/>
        </w:tabs>
        <w:suppressAutoHyphens/>
        <w:spacing w:line="276" w:lineRule="auto"/>
        <w:rPr>
          <w:rFonts w:asciiTheme="minorHAnsi" w:hAnsiTheme="minorHAnsi" w:cstheme="minorHAnsi"/>
          <w:sz w:val="22"/>
          <w:szCs w:val="22"/>
        </w:rPr>
      </w:pPr>
    </w:p>
    <w:p w14:paraId="2F792ADC" w14:textId="0176A20B" w:rsidR="00303F5F" w:rsidRPr="00194D5A" w:rsidRDefault="00303F5F" w:rsidP="00683926">
      <w:pPr>
        <w:tabs>
          <w:tab w:val="left" w:pos="720"/>
        </w:tabs>
        <w:suppressAutoHyphens/>
        <w:spacing w:line="276" w:lineRule="auto"/>
        <w:rPr>
          <w:rFonts w:asciiTheme="minorHAnsi" w:hAnsiTheme="minorHAnsi" w:cstheme="minorHAnsi"/>
          <w:sz w:val="22"/>
          <w:szCs w:val="22"/>
        </w:rPr>
      </w:pPr>
      <w:r w:rsidRPr="00194D5A">
        <w:rPr>
          <w:rFonts w:asciiTheme="minorHAnsi" w:hAnsiTheme="minorHAnsi" w:cstheme="minorHAnsi"/>
          <w:sz w:val="22"/>
          <w:szCs w:val="22"/>
        </w:rPr>
        <w:t xml:space="preserve">For the purpose of this analysis, we are estimating 160 hours (4 weeks) as an average completion time for most plans.  We then added 10 percent (16 hours) to account for the time consumed by minor correspondence and other unplanned information exchange, resulting in a total completion time per response of 176 hours.  </w:t>
      </w:r>
    </w:p>
    <w:p w14:paraId="566E000E" w14:textId="77777777" w:rsidR="00EC78DD" w:rsidRPr="00194D5A" w:rsidRDefault="00EC78DD" w:rsidP="00683926">
      <w:pPr>
        <w:tabs>
          <w:tab w:val="left" w:pos="720"/>
        </w:tabs>
        <w:suppressAutoHyphens/>
        <w:spacing w:line="276" w:lineRule="auto"/>
        <w:rPr>
          <w:rFonts w:asciiTheme="minorHAnsi" w:hAnsiTheme="minorHAnsi" w:cstheme="minorHAnsi"/>
          <w:sz w:val="22"/>
          <w:szCs w:val="22"/>
        </w:rPr>
      </w:pPr>
    </w:p>
    <w:p w14:paraId="389BD2F8" w14:textId="77777777" w:rsidR="00907A5D" w:rsidRPr="00194D5A" w:rsidRDefault="00EC78DD" w:rsidP="00683926">
      <w:pPr>
        <w:tabs>
          <w:tab w:val="left" w:pos="0"/>
          <w:tab w:val="left" w:pos="1440"/>
        </w:tabs>
        <w:suppressAutoHyphens/>
        <w:spacing w:line="276" w:lineRule="auto"/>
        <w:rPr>
          <w:rFonts w:asciiTheme="minorHAnsi" w:hAnsiTheme="minorHAnsi" w:cstheme="minorHAnsi"/>
          <w:sz w:val="22"/>
          <w:szCs w:val="22"/>
        </w:rPr>
      </w:pPr>
      <w:r w:rsidRPr="00194D5A">
        <w:rPr>
          <w:rFonts w:asciiTheme="minorHAnsi" w:hAnsiTheme="minorHAnsi" w:cstheme="minorHAnsi"/>
          <w:sz w:val="22"/>
          <w:szCs w:val="22"/>
        </w:rPr>
        <w:t xml:space="preserve">Plans consist of materials that are both clerical in nature (e.g., photocopies of lease documents, other permits) and professional in nature (e.g., surveyed location plats, engineering design).  Thus, labor costs can range depending on the level of expertise.  The vast majority of respondents hire environmental and technical consulting firms to prepare plans of operations.  </w:t>
      </w:r>
    </w:p>
    <w:p w14:paraId="76A9C6F8" w14:textId="77777777" w:rsidR="00907A5D" w:rsidRPr="00194D5A" w:rsidRDefault="00907A5D" w:rsidP="00683926">
      <w:pPr>
        <w:tabs>
          <w:tab w:val="left" w:pos="0"/>
          <w:tab w:val="left" w:pos="1440"/>
        </w:tabs>
        <w:suppressAutoHyphens/>
        <w:spacing w:line="276" w:lineRule="auto"/>
        <w:rPr>
          <w:rFonts w:asciiTheme="minorHAnsi" w:hAnsiTheme="minorHAnsi" w:cstheme="minorHAnsi"/>
          <w:sz w:val="22"/>
          <w:szCs w:val="22"/>
        </w:rPr>
      </w:pPr>
    </w:p>
    <w:p w14:paraId="0E5D9007" w14:textId="5B4C079F" w:rsidR="00D702F8" w:rsidRPr="00194D5A" w:rsidRDefault="00594EBF" w:rsidP="00683926">
      <w:pPr>
        <w:widowControl w:val="0"/>
        <w:tabs>
          <w:tab w:val="left" w:pos="360"/>
          <w:tab w:val="left" w:pos="720"/>
        </w:tabs>
        <w:autoSpaceDE w:val="0"/>
        <w:autoSpaceDN w:val="0"/>
        <w:adjustRightInd w:val="0"/>
        <w:spacing w:line="276" w:lineRule="auto"/>
        <w:rPr>
          <w:rFonts w:asciiTheme="minorHAnsi" w:hAnsiTheme="minorHAnsi" w:cstheme="minorHAnsi"/>
          <w:b/>
          <w:sz w:val="22"/>
          <w:szCs w:val="22"/>
        </w:rPr>
      </w:pPr>
      <w:r w:rsidRPr="00194D5A">
        <w:rPr>
          <w:rFonts w:asciiTheme="minorHAnsi" w:hAnsiTheme="minorHAnsi" w:cstheme="minorHAnsi"/>
          <w:b/>
          <w:sz w:val="22"/>
          <w:szCs w:val="22"/>
        </w:rPr>
        <w:t>Table 12.1</w:t>
      </w:r>
      <w:r w:rsidR="00E02243" w:rsidRPr="00194D5A">
        <w:rPr>
          <w:rFonts w:asciiTheme="minorHAnsi" w:hAnsiTheme="minorHAnsi" w:cstheme="minorHAnsi"/>
          <w:b/>
          <w:sz w:val="22"/>
          <w:szCs w:val="22"/>
        </w:rPr>
        <w:t>. Estimates of the hour burden of the collection of information</w:t>
      </w:r>
    </w:p>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5"/>
        <w:gridCol w:w="1170"/>
        <w:gridCol w:w="1350"/>
        <w:gridCol w:w="1350"/>
        <w:gridCol w:w="1620"/>
      </w:tblGrid>
      <w:tr w:rsidR="006B0C8B" w:rsidRPr="00194D5A" w14:paraId="09ED163D" w14:textId="372A228D" w:rsidTr="00F003FC">
        <w:trPr>
          <w:trHeight w:val="1133"/>
        </w:trPr>
        <w:tc>
          <w:tcPr>
            <w:tcW w:w="3595" w:type="dxa"/>
            <w:vAlign w:val="bottom"/>
          </w:tcPr>
          <w:p w14:paraId="23A3B0DF" w14:textId="77777777" w:rsidR="006B0C8B" w:rsidRPr="00194D5A" w:rsidRDefault="006B0C8B" w:rsidP="00683926">
            <w:pPr>
              <w:widowControl w:val="0"/>
              <w:spacing w:line="276" w:lineRule="auto"/>
              <w:jc w:val="center"/>
              <w:rPr>
                <w:rFonts w:asciiTheme="minorHAnsi" w:hAnsiTheme="minorHAnsi" w:cstheme="minorHAnsi"/>
                <w:b/>
                <w:sz w:val="18"/>
                <w:szCs w:val="18"/>
              </w:rPr>
            </w:pPr>
            <w:r w:rsidRPr="00194D5A">
              <w:rPr>
                <w:rFonts w:asciiTheme="minorHAnsi" w:hAnsiTheme="minorHAnsi" w:cstheme="minorHAnsi"/>
                <w:sz w:val="18"/>
                <w:szCs w:val="18"/>
              </w:rPr>
              <w:br w:type="page"/>
            </w:r>
            <w:r w:rsidRPr="00194D5A">
              <w:rPr>
                <w:rFonts w:asciiTheme="minorHAnsi" w:hAnsiTheme="minorHAnsi" w:cstheme="minorHAnsi"/>
                <w:b/>
                <w:sz w:val="18"/>
                <w:szCs w:val="18"/>
              </w:rPr>
              <w:t>Activity/Requirement</w:t>
            </w:r>
          </w:p>
        </w:tc>
        <w:tc>
          <w:tcPr>
            <w:tcW w:w="1170" w:type="dxa"/>
            <w:vAlign w:val="center"/>
          </w:tcPr>
          <w:p w14:paraId="757F9318" w14:textId="280933D4" w:rsidR="006B0C8B" w:rsidRPr="00194D5A" w:rsidRDefault="006B0C8B" w:rsidP="00A8289E">
            <w:pPr>
              <w:widowControl w:val="0"/>
              <w:spacing w:line="276" w:lineRule="auto"/>
              <w:jc w:val="center"/>
              <w:rPr>
                <w:rFonts w:asciiTheme="minorHAnsi" w:hAnsiTheme="minorHAnsi" w:cstheme="minorHAnsi"/>
                <w:b/>
                <w:sz w:val="18"/>
                <w:szCs w:val="18"/>
              </w:rPr>
            </w:pPr>
            <w:r w:rsidRPr="00194D5A">
              <w:rPr>
                <w:rFonts w:asciiTheme="minorHAnsi" w:hAnsiTheme="minorHAnsi" w:cstheme="minorHAnsi"/>
                <w:b/>
                <w:sz w:val="18"/>
                <w:szCs w:val="18"/>
              </w:rPr>
              <w:t xml:space="preserve">Number of </w:t>
            </w:r>
          </w:p>
          <w:p w14:paraId="59C523FE" w14:textId="35CFA018" w:rsidR="00A8289E" w:rsidRPr="00194D5A" w:rsidRDefault="00A8289E" w:rsidP="00A8289E">
            <w:pPr>
              <w:widowControl w:val="0"/>
              <w:spacing w:line="276" w:lineRule="auto"/>
              <w:jc w:val="center"/>
              <w:rPr>
                <w:rFonts w:asciiTheme="minorHAnsi" w:hAnsiTheme="minorHAnsi" w:cstheme="minorHAnsi"/>
                <w:b/>
                <w:sz w:val="18"/>
                <w:szCs w:val="18"/>
              </w:rPr>
            </w:pPr>
            <w:r w:rsidRPr="00194D5A">
              <w:rPr>
                <w:rFonts w:asciiTheme="minorHAnsi" w:hAnsiTheme="minorHAnsi" w:cstheme="minorHAnsi"/>
                <w:b/>
                <w:sz w:val="18"/>
                <w:szCs w:val="18"/>
              </w:rPr>
              <w:t>ICs</w:t>
            </w:r>
          </w:p>
        </w:tc>
        <w:tc>
          <w:tcPr>
            <w:tcW w:w="1350" w:type="dxa"/>
            <w:vAlign w:val="center"/>
          </w:tcPr>
          <w:p w14:paraId="41A9A1D5" w14:textId="680D1841" w:rsidR="006B0C8B" w:rsidRPr="00194D5A" w:rsidRDefault="006B0C8B" w:rsidP="006B0C8B">
            <w:pPr>
              <w:widowControl w:val="0"/>
              <w:spacing w:line="276" w:lineRule="auto"/>
              <w:jc w:val="center"/>
              <w:rPr>
                <w:rFonts w:asciiTheme="minorHAnsi" w:hAnsiTheme="minorHAnsi" w:cstheme="minorHAnsi"/>
                <w:b/>
                <w:sz w:val="18"/>
                <w:szCs w:val="18"/>
              </w:rPr>
            </w:pPr>
            <w:r w:rsidRPr="00194D5A">
              <w:rPr>
                <w:rFonts w:asciiTheme="minorHAnsi" w:hAnsiTheme="minorHAnsi" w:cstheme="minorHAnsi"/>
                <w:b/>
                <w:sz w:val="18"/>
                <w:szCs w:val="18"/>
              </w:rPr>
              <w:t>Estimated Number of Annual Responses</w:t>
            </w:r>
          </w:p>
        </w:tc>
        <w:tc>
          <w:tcPr>
            <w:tcW w:w="1350" w:type="dxa"/>
            <w:vAlign w:val="center"/>
          </w:tcPr>
          <w:p w14:paraId="2E72ECA4" w14:textId="77777777" w:rsidR="006B0C8B" w:rsidRPr="00194D5A" w:rsidRDefault="006B0C8B" w:rsidP="006B0C8B">
            <w:pPr>
              <w:widowControl w:val="0"/>
              <w:spacing w:line="276" w:lineRule="auto"/>
              <w:jc w:val="center"/>
              <w:rPr>
                <w:rFonts w:asciiTheme="minorHAnsi" w:hAnsiTheme="minorHAnsi" w:cstheme="minorHAnsi"/>
                <w:b/>
                <w:sz w:val="18"/>
                <w:szCs w:val="18"/>
              </w:rPr>
            </w:pPr>
            <w:r w:rsidRPr="00194D5A">
              <w:rPr>
                <w:rFonts w:asciiTheme="minorHAnsi" w:hAnsiTheme="minorHAnsi" w:cstheme="minorHAnsi"/>
                <w:b/>
                <w:sz w:val="18"/>
                <w:szCs w:val="18"/>
              </w:rPr>
              <w:t>Estimated Total Annual Burden Hours</w:t>
            </w:r>
          </w:p>
        </w:tc>
        <w:tc>
          <w:tcPr>
            <w:tcW w:w="1620" w:type="dxa"/>
            <w:vAlign w:val="center"/>
          </w:tcPr>
          <w:p w14:paraId="58B26F5A" w14:textId="77777777" w:rsidR="006B0C8B" w:rsidRPr="00194D5A" w:rsidRDefault="006B0C8B" w:rsidP="006B0C8B">
            <w:pPr>
              <w:widowControl w:val="0"/>
              <w:spacing w:line="276" w:lineRule="auto"/>
              <w:jc w:val="center"/>
              <w:rPr>
                <w:rFonts w:asciiTheme="minorHAnsi" w:hAnsiTheme="minorHAnsi" w:cstheme="minorHAnsi"/>
                <w:b/>
                <w:sz w:val="18"/>
                <w:szCs w:val="18"/>
              </w:rPr>
            </w:pPr>
            <w:r w:rsidRPr="00194D5A">
              <w:rPr>
                <w:rFonts w:asciiTheme="minorHAnsi" w:hAnsiTheme="minorHAnsi" w:cstheme="minorHAnsi"/>
                <w:b/>
                <w:sz w:val="18"/>
                <w:szCs w:val="18"/>
              </w:rPr>
              <w:t>$ Value of Annual Burden Hours</w:t>
            </w:r>
          </w:p>
          <w:p w14:paraId="667C3CE5" w14:textId="0B9E514F" w:rsidR="006B0C8B" w:rsidRPr="00194D5A" w:rsidRDefault="006B0C8B" w:rsidP="006B0C8B">
            <w:pPr>
              <w:widowControl w:val="0"/>
              <w:spacing w:line="276" w:lineRule="auto"/>
              <w:jc w:val="center"/>
              <w:rPr>
                <w:rFonts w:asciiTheme="minorHAnsi" w:hAnsiTheme="minorHAnsi" w:cstheme="minorHAnsi"/>
                <w:b/>
                <w:sz w:val="18"/>
                <w:szCs w:val="18"/>
              </w:rPr>
            </w:pPr>
            <w:r w:rsidRPr="00194D5A">
              <w:rPr>
                <w:rFonts w:asciiTheme="minorHAnsi" w:hAnsiTheme="minorHAnsi" w:cstheme="minorHAnsi"/>
                <w:b/>
                <w:sz w:val="18"/>
                <w:szCs w:val="18"/>
              </w:rPr>
              <w:t>($105/hr)</w:t>
            </w:r>
          </w:p>
        </w:tc>
      </w:tr>
      <w:tr w:rsidR="006B0C8B" w:rsidRPr="002530E6" w14:paraId="23056B9D" w14:textId="24BF9078" w:rsidTr="00F003FC">
        <w:trPr>
          <w:trHeight w:val="395"/>
        </w:trPr>
        <w:tc>
          <w:tcPr>
            <w:tcW w:w="3595" w:type="dxa"/>
            <w:vAlign w:val="center"/>
          </w:tcPr>
          <w:p w14:paraId="2B0B6EC9" w14:textId="69B4D5BB" w:rsidR="006B0C8B" w:rsidRPr="002530E6" w:rsidRDefault="006B0C8B" w:rsidP="002530E6">
            <w:pPr>
              <w:spacing w:line="276" w:lineRule="auto"/>
              <w:rPr>
                <w:rFonts w:asciiTheme="minorHAnsi" w:hAnsiTheme="minorHAnsi" w:cstheme="minorHAnsi"/>
              </w:rPr>
            </w:pPr>
            <w:r w:rsidRPr="002530E6">
              <w:rPr>
                <w:rFonts w:asciiTheme="minorHAnsi" w:hAnsiTheme="minorHAnsi" w:cstheme="minorHAnsi"/>
              </w:rPr>
              <w:t>Mining and Mining Claims</w:t>
            </w:r>
            <w:r w:rsidR="007D15B4" w:rsidRPr="002530E6">
              <w:rPr>
                <w:rFonts w:asciiTheme="minorHAnsi" w:hAnsiTheme="minorHAnsi" w:cstheme="minorHAnsi"/>
              </w:rPr>
              <w:t xml:space="preserve"> </w:t>
            </w:r>
          </w:p>
        </w:tc>
        <w:tc>
          <w:tcPr>
            <w:tcW w:w="1170" w:type="dxa"/>
            <w:vAlign w:val="center"/>
          </w:tcPr>
          <w:p w14:paraId="70A5CD96" w14:textId="77777777" w:rsidR="006B0C8B" w:rsidRPr="002530E6" w:rsidRDefault="006B0C8B" w:rsidP="002530E6">
            <w:pPr>
              <w:spacing w:line="276" w:lineRule="auto"/>
              <w:jc w:val="center"/>
              <w:rPr>
                <w:rFonts w:asciiTheme="minorHAnsi" w:hAnsiTheme="minorHAnsi" w:cstheme="minorHAnsi"/>
              </w:rPr>
            </w:pPr>
            <w:r w:rsidRPr="002530E6">
              <w:rPr>
                <w:rFonts w:asciiTheme="minorHAnsi" w:hAnsiTheme="minorHAnsi" w:cstheme="minorHAnsi"/>
              </w:rPr>
              <w:t>1</w:t>
            </w:r>
          </w:p>
        </w:tc>
        <w:tc>
          <w:tcPr>
            <w:tcW w:w="1350" w:type="dxa"/>
            <w:vAlign w:val="center"/>
          </w:tcPr>
          <w:p w14:paraId="73FB3DCA" w14:textId="732495CF" w:rsidR="006B0C8B" w:rsidRPr="002530E6" w:rsidRDefault="006B0C8B" w:rsidP="002530E6">
            <w:pPr>
              <w:spacing w:line="276" w:lineRule="auto"/>
              <w:jc w:val="center"/>
              <w:rPr>
                <w:rFonts w:asciiTheme="minorHAnsi" w:hAnsiTheme="minorHAnsi" w:cstheme="minorHAnsi"/>
              </w:rPr>
            </w:pPr>
            <w:r w:rsidRPr="002530E6">
              <w:rPr>
                <w:rFonts w:asciiTheme="minorHAnsi" w:hAnsiTheme="minorHAnsi" w:cstheme="minorHAnsi"/>
              </w:rPr>
              <w:t>1</w:t>
            </w:r>
          </w:p>
        </w:tc>
        <w:tc>
          <w:tcPr>
            <w:tcW w:w="1350" w:type="dxa"/>
            <w:vAlign w:val="center"/>
          </w:tcPr>
          <w:p w14:paraId="0979DC4F" w14:textId="77777777" w:rsidR="006B0C8B" w:rsidRPr="002530E6" w:rsidRDefault="006B0C8B" w:rsidP="002530E6">
            <w:pPr>
              <w:spacing w:line="276" w:lineRule="auto"/>
              <w:jc w:val="center"/>
              <w:rPr>
                <w:rFonts w:asciiTheme="minorHAnsi" w:hAnsiTheme="minorHAnsi" w:cstheme="minorHAnsi"/>
              </w:rPr>
            </w:pPr>
            <w:r w:rsidRPr="002530E6">
              <w:rPr>
                <w:rFonts w:asciiTheme="minorHAnsi" w:hAnsiTheme="minorHAnsi" w:cstheme="minorHAnsi"/>
              </w:rPr>
              <w:t>176</w:t>
            </w:r>
          </w:p>
        </w:tc>
        <w:tc>
          <w:tcPr>
            <w:tcW w:w="1620" w:type="dxa"/>
            <w:vAlign w:val="center"/>
          </w:tcPr>
          <w:p w14:paraId="6416085C" w14:textId="2DC24BE8" w:rsidR="006B0C8B" w:rsidRPr="002530E6" w:rsidRDefault="006B0C8B" w:rsidP="002530E6">
            <w:pPr>
              <w:spacing w:line="276" w:lineRule="auto"/>
              <w:jc w:val="center"/>
              <w:rPr>
                <w:rFonts w:asciiTheme="minorHAnsi" w:hAnsiTheme="minorHAnsi" w:cstheme="minorHAnsi"/>
              </w:rPr>
            </w:pPr>
            <w:r w:rsidRPr="002530E6">
              <w:rPr>
                <w:rFonts w:asciiTheme="minorHAnsi" w:hAnsiTheme="minorHAnsi" w:cstheme="minorHAnsi"/>
              </w:rPr>
              <w:t>$18,480</w:t>
            </w:r>
          </w:p>
        </w:tc>
      </w:tr>
      <w:tr w:rsidR="00194D5A" w:rsidRPr="002530E6" w14:paraId="725D5815" w14:textId="77777777" w:rsidTr="00F003FC">
        <w:trPr>
          <w:trHeight w:val="323"/>
        </w:trPr>
        <w:tc>
          <w:tcPr>
            <w:tcW w:w="3595" w:type="dxa"/>
          </w:tcPr>
          <w:p w14:paraId="04F6E11E" w14:textId="1DE7EBD1" w:rsidR="00194D5A" w:rsidRPr="002530E6" w:rsidRDefault="00194D5A" w:rsidP="002530E6">
            <w:pPr>
              <w:spacing w:line="276" w:lineRule="auto"/>
              <w:rPr>
                <w:rFonts w:asciiTheme="minorHAnsi" w:hAnsiTheme="minorHAnsi" w:cstheme="minorHAnsi"/>
              </w:rPr>
            </w:pPr>
            <w:r w:rsidRPr="002530E6">
              <w:rPr>
                <w:rFonts w:asciiTheme="minorHAnsi" w:hAnsiTheme="minorHAnsi" w:cstheme="minorHAnsi"/>
              </w:rPr>
              <w:t>Non-Federal Oil and Gas Operations</w:t>
            </w:r>
          </w:p>
        </w:tc>
        <w:tc>
          <w:tcPr>
            <w:tcW w:w="1170" w:type="dxa"/>
            <w:vAlign w:val="center"/>
          </w:tcPr>
          <w:p w14:paraId="0E26F0CD" w14:textId="2C80C065" w:rsidR="00194D5A" w:rsidRPr="002530E6" w:rsidRDefault="00194D5A" w:rsidP="002530E6">
            <w:pPr>
              <w:spacing w:line="276" w:lineRule="auto"/>
              <w:jc w:val="center"/>
              <w:rPr>
                <w:rFonts w:asciiTheme="minorHAnsi" w:hAnsiTheme="minorHAnsi" w:cstheme="minorHAnsi"/>
              </w:rPr>
            </w:pPr>
            <w:r w:rsidRPr="002530E6">
              <w:rPr>
                <w:rFonts w:asciiTheme="minorHAnsi" w:hAnsiTheme="minorHAnsi" w:cstheme="minorHAnsi"/>
              </w:rPr>
              <w:t>1</w:t>
            </w:r>
          </w:p>
        </w:tc>
        <w:tc>
          <w:tcPr>
            <w:tcW w:w="1350" w:type="dxa"/>
            <w:vAlign w:val="center"/>
          </w:tcPr>
          <w:p w14:paraId="06F0A518" w14:textId="04B1ED2E" w:rsidR="00194D5A" w:rsidRPr="002530E6" w:rsidRDefault="00194D5A" w:rsidP="002530E6">
            <w:pPr>
              <w:spacing w:line="276" w:lineRule="auto"/>
              <w:jc w:val="center"/>
              <w:rPr>
                <w:rFonts w:asciiTheme="minorHAnsi" w:hAnsiTheme="minorHAnsi" w:cstheme="minorHAnsi"/>
              </w:rPr>
            </w:pPr>
            <w:r w:rsidRPr="002530E6">
              <w:rPr>
                <w:rFonts w:asciiTheme="minorHAnsi" w:hAnsiTheme="minorHAnsi" w:cstheme="minorHAnsi"/>
              </w:rPr>
              <w:t>20</w:t>
            </w:r>
          </w:p>
        </w:tc>
        <w:tc>
          <w:tcPr>
            <w:tcW w:w="1350" w:type="dxa"/>
            <w:vAlign w:val="center"/>
          </w:tcPr>
          <w:p w14:paraId="58FA3B2C" w14:textId="32102924" w:rsidR="00194D5A" w:rsidRPr="002530E6" w:rsidRDefault="00CD098B" w:rsidP="002530E6">
            <w:pPr>
              <w:spacing w:line="276" w:lineRule="auto"/>
              <w:jc w:val="center"/>
              <w:rPr>
                <w:rFonts w:asciiTheme="minorHAnsi" w:hAnsiTheme="minorHAnsi" w:cstheme="minorHAnsi"/>
              </w:rPr>
            </w:pPr>
            <w:r w:rsidRPr="002530E6">
              <w:rPr>
                <w:rFonts w:asciiTheme="minorHAnsi" w:hAnsiTheme="minorHAnsi" w:cstheme="minorHAnsi"/>
              </w:rPr>
              <w:t>3,520</w:t>
            </w:r>
          </w:p>
        </w:tc>
        <w:tc>
          <w:tcPr>
            <w:tcW w:w="1620" w:type="dxa"/>
            <w:vAlign w:val="center"/>
          </w:tcPr>
          <w:p w14:paraId="12BCDC55" w14:textId="48997161" w:rsidR="00194D5A" w:rsidRPr="002530E6" w:rsidRDefault="00CD098B" w:rsidP="002530E6">
            <w:pPr>
              <w:spacing w:line="276" w:lineRule="auto"/>
              <w:jc w:val="center"/>
              <w:rPr>
                <w:rFonts w:asciiTheme="minorHAnsi" w:hAnsiTheme="minorHAnsi" w:cstheme="minorHAnsi"/>
              </w:rPr>
            </w:pPr>
            <w:r w:rsidRPr="002530E6">
              <w:rPr>
                <w:rFonts w:asciiTheme="minorHAnsi" w:hAnsiTheme="minorHAnsi" w:cstheme="minorHAnsi"/>
              </w:rPr>
              <w:t>369,600</w:t>
            </w:r>
          </w:p>
        </w:tc>
      </w:tr>
      <w:tr w:rsidR="00194D5A" w:rsidRPr="002530E6" w14:paraId="2B768F02" w14:textId="3C4B972D" w:rsidTr="00F003FC">
        <w:trPr>
          <w:trHeight w:val="260"/>
        </w:trPr>
        <w:tc>
          <w:tcPr>
            <w:tcW w:w="3595" w:type="dxa"/>
            <w:vAlign w:val="center"/>
          </w:tcPr>
          <w:p w14:paraId="21FE2042" w14:textId="693881A0" w:rsidR="00194D5A" w:rsidRPr="002530E6" w:rsidRDefault="00194D5A" w:rsidP="002530E6">
            <w:pPr>
              <w:spacing w:line="276" w:lineRule="auto"/>
              <w:rPr>
                <w:rFonts w:asciiTheme="minorHAnsi" w:hAnsiTheme="minorHAnsi" w:cstheme="minorHAnsi"/>
              </w:rPr>
            </w:pPr>
            <w:r w:rsidRPr="002530E6">
              <w:rPr>
                <w:rFonts w:asciiTheme="minorHAnsi" w:hAnsiTheme="minorHAnsi" w:cstheme="minorHAnsi"/>
              </w:rPr>
              <w:t xml:space="preserve">Non-Federal Oil and Gas Rights  </w:t>
            </w:r>
          </w:p>
        </w:tc>
        <w:tc>
          <w:tcPr>
            <w:tcW w:w="1170" w:type="dxa"/>
            <w:vAlign w:val="center"/>
          </w:tcPr>
          <w:p w14:paraId="2D283CA0" w14:textId="744E6065" w:rsidR="00194D5A" w:rsidRPr="002530E6" w:rsidRDefault="00194D5A" w:rsidP="002530E6">
            <w:pPr>
              <w:spacing w:line="276" w:lineRule="auto"/>
              <w:jc w:val="center"/>
              <w:rPr>
                <w:rFonts w:asciiTheme="minorHAnsi" w:hAnsiTheme="minorHAnsi" w:cstheme="minorHAnsi"/>
              </w:rPr>
            </w:pPr>
            <w:r w:rsidRPr="002530E6">
              <w:rPr>
                <w:rFonts w:asciiTheme="minorHAnsi" w:hAnsiTheme="minorHAnsi" w:cstheme="minorHAnsi"/>
              </w:rPr>
              <w:t>25</w:t>
            </w:r>
          </w:p>
        </w:tc>
        <w:tc>
          <w:tcPr>
            <w:tcW w:w="1350" w:type="dxa"/>
            <w:vAlign w:val="center"/>
          </w:tcPr>
          <w:p w14:paraId="720F88B9" w14:textId="08281486" w:rsidR="00194D5A" w:rsidRPr="002530E6" w:rsidRDefault="00194D5A" w:rsidP="002530E6">
            <w:pPr>
              <w:spacing w:line="276" w:lineRule="auto"/>
              <w:jc w:val="center"/>
              <w:rPr>
                <w:rFonts w:asciiTheme="minorHAnsi" w:hAnsiTheme="minorHAnsi" w:cstheme="minorHAnsi"/>
              </w:rPr>
            </w:pPr>
            <w:r w:rsidRPr="002530E6">
              <w:rPr>
                <w:rFonts w:asciiTheme="minorHAnsi" w:hAnsiTheme="minorHAnsi" w:cstheme="minorHAnsi"/>
              </w:rPr>
              <w:t>1,430</w:t>
            </w:r>
          </w:p>
        </w:tc>
        <w:tc>
          <w:tcPr>
            <w:tcW w:w="1350" w:type="dxa"/>
            <w:vAlign w:val="center"/>
          </w:tcPr>
          <w:p w14:paraId="57DF4568" w14:textId="40654434" w:rsidR="00194D5A" w:rsidRPr="002530E6" w:rsidRDefault="00194D5A" w:rsidP="002530E6">
            <w:pPr>
              <w:spacing w:line="276" w:lineRule="auto"/>
              <w:jc w:val="center"/>
              <w:rPr>
                <w:rFonts w:asciiTheme="minorHAnsi" w:hAnsiTheme="minorHAnsi" w:cstheme="minorHAnsi"/>
              </w:rPr>
            </w:pPr>
            <w:r w:rsidRPr="002530E6">
              <w:rPr>
                <w:rFonts w:asciiTheme="minorHAnsi" w:hAnsiTheme="minorHAnsi" w:cstheme="minorHAnsi"/>
              </w:rPr>
              <w:t>7,056</w:t>
            </w:r>
          </w:p>
        </w:tc>
        <w:tc>
          <w:tcPr>
            <w:tcW w:w="1620" w:type="dxa"/>
            <w:vAlign w:val="center"/>
          </w:tcPr>
          <w:p w14:paraId="3AF36673" w14:textId="7A6CD4CA" w:rsidR="00194D5A" w:rsidRPr="002530E6" w:rsidRDefault="00194D5A" w:rsidP="002530E6">
            <w:pPr>
              <w:spacing w:line="276" w:lineRule="auto"/>
              <w:jc w:val="center"/>
              <w:rPr>
                <w:rFonts w:asciiTheme="minorHAnsi" w:hAnsiTheme="minorHAnsi" w:cstheme="minorHAnsi"/>
              </w:rPr>
            </w:pPr>
            <w:r w:rsidRPr="002530E6">
              <w:rPr>
                <w:rFonts w:asciiTheme="minorHAnsi" w:hAnsiTheme="minorHAnsi" w:cstheme="minorHAnsi"/>
              </w:rPr>
              <w:t>$740,880</w:t>
            </w:r>
          </w:p>
        </w:tc>
      </w:tr>
      <w:tr w:rsidR="00194D5A" w:rsidRPr="002530E6" w14:paraId="1D29BCAD" w14:textId="26AE2019" w:rsidTr="00F003FC">
        <w:trPr>
          <w:trHeight w:val="260"/>
        </w:trPr>
        <w:tc>
          <w:tcPr>
            <w:tcW w:w="3595" w:type="dxa"/>
            <w:tcBorders>
              <w:bottom w:val="single" w:sz="4" w:space="0" w:color="000000"/>
            </w:tcBorders>
            <w:vAlign w:val="center"/>
          </w:tcPr>
          <w:p w14:paraId="66BAA4E7" w14:textId="0C0DBB2C" w:rsidR="00194D5A" w:rsidRPr="002530E6" w:rsidRDefault="00194D5A" w:rsidP="002530E6">
            <w:pPr>
              <w:spacing w:line="276" w:lineRule="auto"/>
              <w:rPr>
                <w:rFonts w:asciiTheme="minorHAnsi" w:hAnsiTheme="minorHAnsi" w:cstheme="minorHAnsi"/>
                <w:b/>
              </w:rPr>
            </w:pPr>
            <w:r w:rsidRPr="002530E6">
              <w:rPr>
                <w:rFonts w:asciiTheme="minorHAnsi" w:hAnsiTheme="minorHAnsi" w:cstheme="minorHAnsi"/>
                <w:b/>
                <w:i/>
              </w:rPr>
              <w:t>Total</w:t>
            </w:r>
            <w:r w:rsidRPr="002530E6">
              <w:rPr>
                <w:rFonts w:asciiTheme="minorHAnsi" w:hAnsiTheme="minorHAnsi" w:cstheme="minorHAnsi"/>
                <w:b/>
              </w:rPr>
              <w:t xml:space="preserve"> </w:t>
            </w:r>
          </w:p>
        </w:tc>
        <w:tc>
          <w:tcPr>
            <w:tcW w:w="1170" w:type="dxa"/>
            <w:tcBorders>
              <w:bottom w:val="single" w:sz="4" w:space="0" w:color="000000"/>
            </w:tcBorders>
            <w:vAlign w:val="center"/>
          </w:tcPr>
          <w:p w14:paraId="21550E15" w14:textId="6FF2E6FF" w:rsidR="00194D5A" w:rsidRPr="002530E6" w:rsidRDefault="00194D5A" w:rsidP="002530E6">
            <w:pPr>
              <w:spacing w:line="276" w:lineRule="auto"/>
              <w:jc w:val="center"/>
              <w:rPr>
                <w:rFonts w:asciiTheme="minorHAnsi" w:hAnsiTheme="minorHAnsi" w:cstheme="minorHAnsi"/>
                <w:b/>
              </w:rPr>
            </w:pPr>
            <w:r w:rsidRPr="002530E6">
              <w:rPr>
                <w:rFonts w:asciiTheme="minorHAnsi" w:hAnsiTheme="minorHAnsi" w:cstheme="minorHAnsi"/>
                <w:b/>
              </w:rPr>
              <w:t>27</w:t>
            </w:r>
          </w:p>
        </w:tc>
        <w:tc>
          <w:tcPr>
            <w:tcW w:w="1350" w:type="dxa"/>
            <w:tcBorders>
              <w:bottom w:val="single" w:sz="4" w:space="0" w:color="000000"/>
            </w:tcBorders>
            <w:vAlign w:val="center"/>
          </w:tcPr>
          <w:p w14:paraId="7DB05C3C" w14:textId="4199C16A" w:rsidR="00194D5A" w:rsidRPr="002530E6" w:rsidRDefault="00194D5A" w:rsidP="002530E6">
            <w:pPr>
              <w:spacing w:line="276" w:lineRule="auto"/>
              <w:jc w:val="center"/>
              <w:rPr>
                <w:rFonts w:asciiTheme="minorHAnsi" w:hAnsiTheme="minorHAnsi" w:cstheme="minorHAnsi"/>
              </w:rPr>
            </w:pPr>
            <w:r w:rsidRPr="002530E6">
              <w:rPr>
                <w:rFonts w:asciiTheme="minorHAnsi" w:hAnsiTheme="minorHAnsi" w:cstheme="minorHAnsi"/>
              </w:rPr>
              <w:t>1,451</w:t>
            </w:r>
          </w:p>
        </w:tc>
        <w:tc>
          <w:tcPr>
            <w:tcW w:w="1350" w:type="dxa"/>
            <w:tcBorders>
              <w:bottom w:val="single" w:sz="4" w:space="0" w:color="000000"/>
            </w:tcBorders>
            <w:vAlign w:val="center"/>
          </w:tcPr>
          <w:p w14:paraId="358DD4CE" w14:textId="3B1AD2E6" w:rsidR="00194D5A" w:rsidRPr="002530E6" w:rsidRDefault="00AE15AA" w:rsidP="002530E6">
            <w:pPr>
              <w:spacing w:line="276" w:lineRule="auto"/>
              <w:jc w:val="center"/>
              <w:rPr>
                <w:rFonts w:asciiTheme="minorHAnsi" w:hAnsiTheme="minorHAnsi" w:cstheme="minorHAnsi"/>
                <w:b/>
              </w:rPr>
            </w:pPr>
            <w:r w:rsidRPr="002530E6">
              <w:rPr>
                <w:rFonts w:asciiTheme="minorHAnsi" w:hAnsiTheme="minorHAnsi" w:cstheme="minorHAnsi"/>
                <w:b/>
              </w:rPr>
              <w:t>10,752</w:t>
            </w:r>
          </w:p>
        </w:tc>
        <w:tc>
          <w:tcPr>
            <w:tcW w:w="1620" w:type="dxa"/>
            <w:tcBorders>
              <w:bottom w:val="single" w:sz="4" w:space="0" w:color="000000"/>
            </w:tcBorders>
            <w:vAlign w:val="center"/>
          </w:tcPr>
          <w:p w14:paraId="01121C27" w14:textId="2BCD88EE" w:rsidR="00194D5A" w:rsidRPr="002530E6" w:rsidRDefault="006A60A9" w:rsidP="002530E6">
            <w:pPr>
              <w:spacing w:line="276" w:lineRule="auto"/>
              <w:jc w:val="center"/>
              <w:rPr>
                <w:rFonts w:asciiTheme="minorHAnsi" w:hAnsiTheme="minorHAnsi" w:cstheme="minorHAnsi"/>
                <w:b/>
              </w:rPr>
            </w:pPr>
            <w:r w:rsidRPr="002530E6">
              <w:rPr>
                <w:rFonts w:asciiTheme="minorHAnsi" w:hAnsiTheme="minorHAnsi" w:cstheme="minorHAnsi"/>
                <w:b/>
              </w:rPr>
              <w:fldChar w:fldCharType="begin"/>
            </w:r>
            <w:r w:rsidRPr="002530E6">
              <w:rPr>
                <w:rFonts w:asciiTheme="minorHAnsi" w:hAnsiTheme="minorHAnsi" w:cstheme="minorHAnsi"/>
                <w:b/>
              </w:rPr>
              <w:instrText xml:space="preserve"> =SUM(ABOVE) </w:instrText>
            </w:r>
            <w:r w:rsidRPr="002530E6">
              <w:rPr>
                <w:rFonts w:asciiTheme="minorHAnsi" w:hAnsiTheme="minorHAnsi" w:cstheme="minorHAnsi"/>
                <w:b/>
              </w:rPr>
              <w:fldChar w:fldCharType="separate"/>
            </w:r>
            <w:r w:rsidRPr="002530E6">
              <w:rPr>
                <w:rFonts w:asciiTheme="minorHAnsi" w:hAnsiTheme="minorHAnsi" w:cstheme="minorHAnsi"/>
                <w:b/>
                <w:noProof/>
              </w:rPr>
              <w:t>$1,128,960</w:t>
            </w:r>
            <w:r w:rsidRPr="002530E6">
              <w:rPr>
                <w:rFonts w:asciiTheme="minorHAnsi" w:hAnsiTheme="minorHAnsi" w:cstheme="minorHAnsi"/>
                <w:b/>
              </w:rPr>
              <w:fldChar w:fldCharType="end"/>
            </w:r>
          </w:p>
        </w:tc>
      </w:tr>
    </w:tbl>
    <w:p w14:paraId="1AA45C58" w14:textId="6B78DBFC" w:rsidR="00D702F8" w:rsidRPr="002530E6" w:rsidRDefault="00594EBF" w:rsidP="00594EBF">
      <w:pPr>
        <w:tabs>
          <w:tab w:val="left" w:pos="0"/>
          <w:tab w:val="left" w:pos="1440"/>
        </w:tabs>
        <w:suppressAutoHyphens/>
        <w:spacing w:line="276" w:lineRule="auto"/>
        <w:rPr>
          <w:rFonts w:asciiTheme="minorHAnsi" w:hAnsiTheme="minorHAnsi" w:cstheme="minorHAnsi"/>
          <w:b/>
          <w:sz w:val="24"/>
          <w:szCs w:val="24"/>
        </w:rPr>
      </w:pPr>
      <w:r w:rsidRPr="002530E6">
        <w:rPr>
          <w:rFonts w:asciiTheme="minorHAnsi" w:hAnsiTheme="minorHAnsi" w:cstheme="minorHAnsi"/>
          <w:b/>
          <w:sz w:val="24"/>
          <w:szCs w:val="24"/>
        </w:rPr>
        <w:t>*</w:t>
      </w:r>
      <w:r w:rsidRPr="002530E6">
        <w:rPr>
          <w:rFonts w:asciiTheme="minorHAnsi" w:hAnsiTheme="minorHAnsi" w:cstheme="minorHAnsi"/>
          <w:sz w:val="18"/>
          <w:szCs w:val="18"/>
        </w:rPr>
        <w:t xml:space="preserve">see table 12.2 for a breakdown of burden estimates </w:t>
      </w:r>
      <w:r w:rsidR="00E02243" w:rsidRPr="002530E6">
        <w:rPr>
          <w:rFonts w:asciiTheme="minorHAnsi" w:hAnsiTheme="minorHAnsi" w:cstheme="minorHAnsi"/>
          <w:sz w:val="18"/>
          <w:szCs w:val="18"/>
        </w:rPr>
        <w:t xml:space="preserve">of the ICs </w:t>
      </w:r>
      <w:r w:rsidR="00A8289E" w:rsidRPr="002530E6">
        <w:rPr>
          <w:rFonts w:asciiTheme="minorHAnsi" w:hAnsiTheme="minorHAnsi" w:cstheme="minorHAnsi"/>
          <w:sz w:val="18"/>
          <w:szCs w:val="18"/>
        </w:rPr>
        <w:t xml:space="preserve">based upon </w:t>
      </w:r>
      <w:r w:rsidR="006B0C8B" w:rsidRPr="002530E6">
        <w:rPr>
          <w:rFonts w:asciiTheme="minorHAnsi" w:hAnsiTheme="minorHAnsi" w:cstheme="minorHAnsi"/>
          <w:b/>
          <w:sz w:val="18"/>
          <w:szCs w:val="18"/>
        </w:rPr>
        <w:t>Activity/Requirement</w:t>
      </w:r>
      <w:r w:rsidR="00E02243" w:rsidRPr="002530E6">
        <w:rPr>
          <w:rFonts w:asciiTheme="minorHAnsi" w:hAnsiTheme="minorHAnsi" w:cstheme="minorHAnsi"/>
          <w:sz w:val="18"/>
          <w:szCs w:val="18"/>
        </w:rPr>
        <w:t>.</w:t>
      </w:r>
      <w:r w:rsidRPr="002530E6">
        <w:rPr>
          <w:rFonts w:asciiTheme="minorHAnsi" w:hAnsiTheme="minorHAnsi" w:cstheme="minorHAnsi"/>
          <w:sz w:val="18"/>
          <w:szCs w:val="18"/>
        </w:rPr>
        <w:t xml:space="preserve"> </w:t>
      </w:r>
    </w:p>
    <w:p w14:paraId="6BD59578" w14:textId="77777777" w:rsidR="006B0C8B" w:rsidRPr="002530E6" w:rsidRDefault="006B0C8B" w:rsidP="00683926">
      <w:pPr>
        <w:tabs>
          <w:tab w:val="left" w:pos="0"/>
          <w:tab w:val="left" w:pos="1440"/>
        </w:tabs>
        <w:suppressAutoHyphens/>
        <w:spacing w:line="276" w:lineRule="auto"/>
        <w:rPr>
          <w:rFonts w:asciiTheme="minorHAnsi" w:hAnsiTheme="minorHAnsi" w:cstheme="minorHAnsi"/>
          <w:b/>
          <w:sz w:val="22"/>
          <w:szCs w:val="24"/>
        </w:rPr>
      </w:pPr>
    </w:p>
    <w:p w14:paraId="60AD5FD8" w14:textId="77777777" w:rsidR="00F003FC" w:rsidRDefault="00F003FC" w:rsidP="00683926">
      <w:pPr>
        <w:tabs>
          <w:tab w:val="left" w:pos="0"/>
          <w:tab w:val="left" w:pos="1440"/>
        </w:tabs>
        <w:suppressAutoHyphens/>
        <w:spacing w:line="276" w:lineRule="auto"/>
        <w:rPr>
          <w:rFonts w:asciiTheme="minorHAnsi" w:hAnsiTheme="minorHAnsi" w:cstheme="minorHAnsi"/>
          <w:b/>
          <w:sz w:val="22"/>
          <w:szCs w:val="24"/>
        </w:rPr>
      </w:pPr>
    </w:p>
    <w:p w14:paraId="762BF71F" w14:textId="77777777" w:rsidR="00F003FC" w:rsidRDefault="00F003FC">
      <w:pPr>
        <w:rPr>
          <w:rFonts w:asciiTheme="minorHAnsi" w:hAnsiTheme="minorHAnsi" w:cstheme="minorHAnsi"/>
          <w:b/>
          <w:sz w:val="22"/>
          <w:szCs w:val="24"/>
        </w:rPr>
      </w:pPr>
      <w:r>
        <w:rPr>
          <w:rFonts w:asciiTheme="minorHAnsi" w:hAnsiTheme="minorHAnsi" w:cstheme="minorHAnsi"/>
          <w:b/>
          <w:sz w:val="22"/>
          <w:szCs w:val="24"/>
        </w:rPr>
        <w:br w:type="page"/>
      </w:r>
    </w:p>
    <w:p w14:paraId="4BD5BB5E" w14:textId="68509333" w:rsidR="00594EBF" w:rsidRPr="002530E6" w:rsidRDefault="00E02243" w:rsidP="00683926">
      <w:pPr>
        <w:tabs>
          <w:tab w:val="left" w:pos="0"/>
          <w:tab w:val="left" w:pos="1440"/>
        </w:tabs>
        <w:suppressAutoHyphens/>
        <w:spacing w:line="276" w:lineRule="auto"/>
        <w:rPr>
          <w:rFonts w:asciiTheme="minorHAnsi" w:hAnsiTheme="minorHAnsi" w:cstheme="minorHAnsi"/>
          <w:b/>
          <w:sz w:val="22"/>
          <w:szCs w:val="24"/>
        </w:rPr>
      </w:pPr>
      <w:r w:rsidRPr="002530E6">
        <w:rPr>
          <w:rFonts w:asciiTheme="minorHAnsi" w:hAnsiTheme="minorHAnsi" w:cstheme="minorHAnsi"/>
          <w:b/>
          <w:sz w:val="22"/>
          <w:szCs w:val="24"/>
        </w:rPr>
        <w:t xml:space="preserve">Table </w:t>
      </w:r>
      <w:r w:rsidR="00594EBF" w:rsidRPr="002530E6">
        <w:rPr>
          <w:rFonts w:asciiTheme="minorHAnsi" w:hAnsiTheme="minorHAnsi" w:cstheme="minorHAnsi"/>
          <w:b/>
          <w:sz w:val="22"/>
          <w:szCs w:val="24"/>
        </w:rPr>
        <w:t>12.2</w:t>
      </w:r>
      <w:r w:rsidRPr="002530E6">
        <w:rPr>
          <w:rFonts w:asciiTheme="minorHAnsi" w:hAnsiTheme="minorHAnsi" w:cstheme="minorHAnsi"/>
          <w:b/>
          <w:sz w:val="22"/>
          <w:szCs w:val="24"/>
        </w:rPr>
        <w:t>.</w:t>
      </w:r>
      <w:r w:rsidR="00594EBF" w:rsidRPr="002530E6">
        <w:rPr>
          <w:rFonts w:asciiTheme="minorHAnsi" w:hAnsiTheme="minorHAnsi" w:cstheme="minorHAnsi"/>
          <w:b/>
          <w:sz w:val="22"/>
          <w:szCs w:val="24"/>
        </w:rPr>
        <w:t xml:space="preserve"> Burden estimate breakdown for </w:t>
      </w:r>
      <w:r w:rsidR="006B0C8B" w:rsidRPr="002530E6">
        <w:rPr>
          <w:rFonts w:asciiTheme="minorHAnsi" w:hAnsiTheme="minorHAnsi" w:cstheme="minorHAnsi"/>
          <w:b/>
          <w:sz w:val="22"/>
          <w:szCs w:val="24"/>
        </w:rPr>
        <w:t xml:space="preserve">Activity/Requirement </w:t>
      </w:r>
    </w:p>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1350"/>
        <w:gridCol w:w="1170"/>
        <w:gridCol w:w="1260"/>
      </w:tblGrid>
      <w:tr w:rsidR="007256B8" w:rsidRPr="002530E6" w14:paraId="261E2730" w14:textId="77777777" w:rsidTr="00F003FC">
        <w:trPr>
          <w:tblHeader/>
        </w:trPr>
        <w:tc>
          <w:tcPr>
            <w:tcW w:w="5305" w:type="dxa"/>
            <w:vAlign w:val="bottom"/>
          </w:tcPr>
          <w:p w14:paraId="13D1BE62" w14:textId="0AC2EFD7" w:rsidR="007256B8" w:rsidRPr="002530E6" w:rsidRDefault="007256B8" w:rsidP="00563736">
            <w:pPr>
              <w:widowControl w:val="0"/>
              <w:jc w:val="center"/>
              <w:rPr>
                <w:rFonts w:asciiTheme="minorHAnsi" w:hAnsiTheme="minorHAnsi" w:cstheme="minorHAnsi"/>
                <w:b/>
                <w:sz w:val="18"/>
                <w:szCs w:val="18"/>
              </w:rPr>
            </w:pPr>
            <w:r w:rsidRPr="002530E6">
              <w:rPr>
                <w:rFonts w:asciiTheme="minorHAnsi" w:hAnsiTheme="minorHAnsi" w:cstheme="minorHAnsi"/>
                <w:sz w:val="22"/>
                <w:szCs w:val="22"/>
              </w:rPr>
              <w:br w:type="page"/>
            </w:r>
            <w:r w:rsidRPr="002530E6">
              <w:rPr>
                <w:rFonts w:asciiTheme="minorHAnsi" w:hAnsiTheme="minorHAnsi" w:cstheme="minorHAnsi"/>
                <w:b/>
                <w:sz w:val="18"/>
                <w:szCs w:val="18"/>
              </w:rPr>
              <w:t xml:space="preserve">Activity/Requirement </w:t>
            </w:r>
          </w:p>
        </w:tc>
        <w:tc>
          <w:tcPr>
            <w:tcW w:w="1350" w:type="dxa"/>
            <w:vAlign w:val="bottom"/>
          </w:tcPr>
          <w:p w14:paraId="70818027" w14:textId="77777777" w:rsidR="007256B8" w:rsidRPr="002530E6" w:rsidRDefault="007256B8" w:rsidP="007256B8">
            <w:pPr>
              <w:widowControl w:val="0"/>
              <w:jc w:val="center"/>
              <w:rPr>
                <w:rFonts w:asciiTheme="minorHAnsi" w:hAnsiTheme="minorHAnsi" w:cstheme="minorHAnsi"/>
                <w:b/>
                <w:sz w:val="18"/>
                <w:szCs w:val="18"/>
              </w:rPr>
            </w:pPr>
            <w:r w:rsidRPr="002530E6">
              <w:rPr>
                <w:rFonts w:asciiTheme="minorHAnsi" w:hAnsiTheme="minorHAnsi" w:cstheme="minorHAnsi"/>
                <w:b/>
                <w:sz w:val="18"/>
                <w:szCs w:val="18"/>
              </w:rPr>
              <w:t>Estimated Number of Annual Responses</w:t>
            </w:r>
          </w:p>
        </w:tc>
        <w:tc>
          <w:tcPr>
            <w:tcW w:w="1170" w:type="dxa"/>
            <w:vAlign w:val="bottom"/>
          </w:tcPr>
          <w:p w14:paraId="331E4E1B" w14:textId="77777777" w:rsidR="007256B8" w:rsidRPr="002530E6" w:rsidRDefault="007256B8" w:rsidP="007256B8">
            <w:pPr>
              <w:widowControl w:val="0"/>
              <w:jc w:val="center"/>
              <w:rPr>
                <w:rFonts w:asciiTheme="minorHAnsi" w:hAnsiTheme="minorHAnsi" w:cstheme="minorHAnsi"/>
                <w:b/>
                <w:sz w:val="18"/>
                <w:szCs w:val="18"/>
              </w:rPr>
            </w:pPr>
            <w:r w:rsidRPr="002530E6">
              <w:rPr>
                <w:rFonts w:asciiTheme="minorHAnsi" w:hAnsiTheme="minorHAnsi" w:cstheme="minorHAnsi"/>
                <w:b/>
                <w:sz w:val="18"/>
                <w:szCs w:val="18"/>
              </w:rPr>
              <w:t>Completion Time per Response (Hours)</w:t>
            </w:r>
          </w:p>
        </w:tc>
        <w:tc>
          <w:tcPr>
            <w:tcW w:w="1260" w:type="dxa"/>
            <w:vAlign w:val="bottom"/>
          </w:tcPr>
          <w:p w14:paraId="2CA7380D" w14:textId="77777777" w:rsidR="007256B8" w:rsidRPr="002530E6" w:rsidRDefault="007256B8" w:rsidP="007256B8">
            <w:pPr>
              <w:widowControl w:val="0"/>
              <w:jc w:val="center"/>
              <w:rPr>
                <w:rFonts w:asciiTheme="minorHAnsi" w:hAnsiTheme="minorHAnsi" w:cstheme="minorHAnsi"/>
                <w:b/>
                <w:sz w:val="18"/>
                <w:szCs w:val="18"/>
              </w:rPr>
            </w:pPr>
            <w:r w:rsidRPr="002530E6">
              <w:rPr>
                <w:rFonts w:asciiTheme="minorHAnsi" w:hAnsiTheme="minorHAnsi" w:cstheme="minorHAnsi"/>
                <w:b/>
                <w:sz w:val="18"/>
                <w:szCs w:val="18"/>
              </w:rPr>
              <w:t>Estimated Total Annual Burden Hours</w:t>
            </w:r>
          </w:p>
        </w:tc>
      </w:tr>
      <w:tr w:rsidR="00194D5A" w:rsidRPr="002530E6" w14:paraId="58890EC4" w14:textId="77777777" w:rsidTr="00F003FC">
        <w:tc>
          <w:tcPr>
            <w:tcW w:w="9085" w:type="dxa"/>
            <w:gridSpan w:val="4"/>
            <w:shd w:val="clear" w:color="auto" w:fill="D9D9D9" w:themeFill="background1" w:themeFillShade="D9"/>
            <w:vAlign w:val="bottom"/>
          </w:tcPr>
          <w:p w14:paraId="32BB5A6E" w14:textId="4AEB57E4" w:rsidR="00194D5A" w:rsidRPr="002530E6" w:rsidRDefault="00194D5A" w:rsidP="00194D5A">
            <w:pPr>
              <w:widowControl w:val="0"/>
              <w:rPr>
                <w:rFonts w:asciiTheme="minorHAnsi" w:hAnsiTheme="minorHAnsi" w:cstheme="minorHAnsi"/>
                <w:b/>
                <w:sz w:val="18"/>
                <w:szCs w:val="18"/>
              </w:rPr>
            </w:pPr>
            <w:r w:rsidRPr="002530E6">
              <w:rPr>
                <w:rFonts w:asciiTheme="minorHAnsi" w:hAnsiTheme="minorHAnsi" w:cstheme="minorHAnsi"/>
                <w:b/>
                <w:sz w:val="18"/>
                <w:szCs w:val="22"/>
              </w:rPr>
              <w:t xml:space="preserve">9A Regulations </w:t>
            </w:r>
          </w:p>
        </w:tc>
      </w:tr>
      <w:tr w:rsidR="00563736" w:rsidRPr="002530E6" w14:paraId="40ACD37C" w14:textId="77777777" w:rsidTr="00F003FC">
        <w:trPr>
          <w:trHeight w:val="260"/>
        </w:trPr>
        <w:tc>
          <w:tcPr>
            <w:tcW w:w="5305" w:type="dxa"/>
            <w:vAlign w:val="bottom"/>
          </w:tcPr>
          <w:p w14:paraId="15530D6D" w14:textId="6657BC5B" w:rsidR="00563736" w:rsidRPr="002530E6" w:rsidRDefault="00563736" w:rsidP="00A8289E">
            <w:pPr>
              <w:widowControl w:val="0"/>
              <w:ind w:left="241"/>
              <w:rPr>
                <w:rFonts w:asciiTheme="minorHAnsi" w:hAnsiTheme="minorHAnsi" w:cstheme="minorHAnsi"/>
                <w:sz w:val="22"/>
                <w:szCs w:val="22"/>
              </w:rPr>
            </w:pPr>
            <w:r w:rsidRPr="002530E6">
              <w:rPr>
                <w:rFonts w:asciiTheme="minorHAnsi" w:hAnsiTheme="minorHAnsi" w:cstheme="minorHAnsi"/>
                <w:sz w:val="18"/>
                <w:szCs w:val="22"/>
              </w:rPr>
              <w:t>Mining and Mining Claims</w:t>
            </w:r>
            <w:r w:rsidR="00657158" w:rsidRPr="002530E6">
              <w:rPr>
                <w:rFonts w:asciiTheme="minorHAnsi" w:hAnsiTheme="minorHAnsi" w:cstheme="minorHAnsi"/>
                <w:sz w:val="18"/>
                <w:szCs w:val="22"/>
              </w:rPr>
              <w:t>*</w:t>
            </w:r>
          </w:p>
        </w:tc>
        <w:tc>
          <w:tcPr>
            <w:tcW w:w="1350" w:type="dxa"/>
            <w:vAlign w:val="bottom"/>
          </w:tcPr>
          <w:p w14:paraId="2E36CFF0" w14:textId="4C08228D" w:rsidR="00563736" w:rsidRPr="002530E6" w:rsidRDefault="00563736" w:rsidP="00563736">
            <w:pPr>
              <w:widowControl w:val="0"/>
              <w:jc w:val="right"/>
              <w:rPr>
                <w:rFonts w:asciiTheme="minorHAnsi" w:hAnsiTheme="minorHAnsi" w:cstheme="minorHAnsi"/>
                <w:sz w:val="18"/>
                <w:szCs w:val="18"/>
              </w:rPr>
            </w:pPr>
            <w:r w:rsidRPr="002530E6">
              <w:rPr>
                <w:rFonts w:asciiTheme="minorHAnsi" w:hAnsiTheme="minorHAnsi" w:cstheme="minorHAnsi"/>
                <w:sz w:val="18"/>
                <w:szCs w:val="18"/>
              </w:rPr>
              <w:t>1</w:t>
            </w:r>
          </w:p>
        </w:tc>
        <w:tc>
          <w:tcPr>
            <w:tcW w:w="1170" w:type="dxa"/>
            <w:vAlign w:val="bottom"/>
          </w:tcPr>
          <w:p w14:paraId="07D3ECA7" w14:textId="283DF449" w:rsidR="00563736" w:rsidRPr="002530E6" w:rsidRDefault="00563736" w:rsidP="00563736">
            <w:pPr>
              <w:widowControl w:val="0"/>
              <w:jc w:val="right"/>
              <w:rPr>
                <w:rFonts w:asciiTheme="minorHAnsi" w:hAnsiTheme="minorHAnsi" w:cstheme="minorHAnsi"/>
                <w:sz w:val="18"/>
                <w:szCs w:val="18"/>
              </w:rPr>
            </w:pPr>
            <w:r w:rsidRPr="002530E6">
              <w:rPr>
                <w:rFonts w:asciiTheme="minorHAnsi" w:hAnsiTheme="minorHAnsi" w:cstheme="minorHAnsi"/>
                <w:sz w:val="18"/>
                <w:szCs w:val="18"/>
              </w:rPr>
              <w:t>176</w:t>
            </w:r>
          </w:p>
        </w:tc>
        <w:tc>
          <w:tcPr>
            <w:tcW w:w="1260" w:type="dxa"/>
            <w:vAlign w:val="bottom"/>
          </w:tcPr>
          <w:p w14:paraId="682A7A90" w14:textId="3916B34C" w:rsidR="00563736" w:rsidRPr="002530E6" w:rsidRDefault="00563736" w:rsidP="00563736">
            <w:pPr>
              <w:widowControl w:val="0"/>
              <w:jc w:val="right"/>
              <w:rPr>
                <w:rFonts w:asciiTheme="minorHAnsi" w:hAnsiTheme="minorHAnsi" w:cstheme="minorHAnsi"/>
                <w:sz w:val="18"/>
                <w:szCs w:val="18"/>
              </w:rPr>
            </w:pPr>
            <w:r w:rsidRPr="002530E6">
              <w:rPr>
                <w:rFonts w:asciiTheme="minorHAnsi" w:hAnsiTheme="minorHAnsi" w:cstheme="minorHAnsi"/>
                <w:sz w:val="18"/>
                <w:szCs w:val="18"/>
              </w:rPr>
              <w:t>176</w:t>
            </w:r>
          </w:p>
        </w:tc>
      </w:tr>
      <w:tr w:rsidR="002530E6" w:rsidRPr="002530E6" w14:paraId="667459FC" w14:textId="77777777" w:rsidTr="00F003FC">
        <w:trPr>
          <w:trHeight w:val="287"/>
        </w:trPr>
        <w:tc>
          <w:tcPr>
            <w:tcW w:w="9085" w:type="dxa"/>
            <w:gridSpan w:val="4"/>
            <w:shd w:val="clear" w:color="auto" w:fill="D9D9D9" w:themeFill="background1" w:themeFillShade="D9"/>
          </w:tcPr>
          <w:p w14:paraId="37E4FAC0" w14:textId="63A1CA7C" w:rsidR="002530E6" w:rsidRPr="002530E6" w:rsidRDefault="002530E6" w:rsidP="002530E6">
            <w:pPr>
              <w:widowControl w:val="0"/>
              <w:rPr>
                <w:rFonts w:asciiTheme="minorHAnsi" w:hAnsiTheme="minorHAnsi" w:cstheme="minorHAnsi"/>
                <w:b/>
                <w:sz w:val="18"/>
                <w:szCs w:val="18"/>
              </w:rPr>
            </w:pPr>
            <w:r w:rsidRPr="002530E6">
              <w:rPr>
                <w:rFonts w:asciiTheme="minorHAnsi" w:hAnsiTheme="minorHAnsi" w:cstheme="minorHAnsi"/>
                <w:b/>
                <w:sz w:val="18"/>
                <w:szCs w:val="18"/>
              </w:rPr>
              <w:t>9B Regulations</w:t>
            </w:r>
          </w:p>
        </w:tc>
      </w:tr>
      <w:tr w:rsidR="002530E6" w:rsidRPr="002530E6" w14:paraId="6CADEE6C" w14:textId="77777777" w:rsidTr="00F003FC">
        <w:trPr>
          <w:trHeight w:val="278"/>
        </w:trPr>
        <w:tc>
          <w:tcPr>
            <w:tcW w:w="5305" w:type="dxa"/>
            <w:vAlign w:val="bottom"/>
          </w:tcPr>
          <w:p w14:paraId="3A2E2819" w14:textId="1C31F801" w:rsidR="002530E6" w:rsidRPr="002530E6" w:rsidRDefault="002530E6" w:rsidP="002530E6">
            <w:pPr>
              <w:widowControl w:val="0"/>
              <w:rPr>
                <w:rFonts w:asciiTheme="minorHAnsi" w:hAnsiTheme="minorHAnsi" w:cstheme="minorHAnsi"/>
                <w:sz w:val="18"/>
                <w:szCs w:val="18"/>
              </w:rPr>
            </w:pPr>
            <w:r w:rsidRPr="002530E6">
              <w:rPr>
                <w:rFonts w:asciiTheme="minorHAnsi" w:hAnsiTheme="minorHAnsi" w:cstheme="minorHAnsi"/>
                <w:sz w:val="18"/>
                <w:szCs w:val="18"/>
              </w:rPr>
              <w:t>Non-Federal Oil and Gas Operations*</w:t>
            </w:r>
          </w:p>
        </w:tc>
        <w:tc>
          <w:tcPr>
            <w:tcW w:w="1350" w:type="dxa"/>
          </w:tcPr>
          <w:p w14:paraId="17C52C17" w14:textId="4403F6B6" w:rsidR="002530E6" w:rsidRPr="002530E6" w:rsidRDefault="002530E6" w:rsidP="002530E6">
            <w:pPr>
              <w:widowControl w:val="0"/>
              <w:jc w:val="right"/>
              <w:rPr>
                <w:rFonts w:asciiTheme="minorHAnsi" w:hAnsiTheme="minorHAnsi" w:cstheme="minorHAnsi"/>
                <w:sz w:val="18"/>
                <w:szCs w:val="18"/>
              </w:rPr>
            </w:pPr>
            <w:r w:rsidRPr="002530E6">
              <w:rPr>
                <w:rFonts w:asciiTheme="minorHAnsi" w:hAnsiTheme="minorHAnsi" w:cstheme="minorHAnsi"/>
                <w:sz w:val="18"/>
                <w:szCs w:val="18"/>
              </w:rPr>
              <w:t>20</w:t>
            </w:r>
          </w:p>
        </w:tc>
        <w:tc>
          <w:tcPr>
            <w:tcW w:w="1170" w:type="dxa"/>
          </w:tcPr>
          <w:p w14:paraId="02391C24" w14:textId="671C6E5E" w:rsidR="002530E6" w:rsidRPr="002530E6" w:rsidRDefault="002530E6" w:rsidP="002530E6">
            <w:pPr>
              <w:widowControl w:val="0"/>
              <w:jc w:val="right"/>
              <w:rPr>
                <w:rFonts w:asciiTheme="minorHAnsi" w:hAnsiTheme="minorHAnsi" w:cstheme="minorHAnsi"/>
                <w:sz w:val="18"/>
                <w:szCs w:val="18"/>
              </w:rPr>
            </w:pPr>
            <w:r w:rsidRPr="002530E6">
              <w:rPr>
                <w:rFonts w:asciiTheme="minorHAnsi" w:hAnsiTheme="minorHAnsi" w:cstheme="minorHAnsi"/>
                <w:sz w:val="18"/>
                <w:szCs w:val="18"/>
              </w:rPr>
              <w:t>176</w:t>
            </w:r>
          </w:p>
        </w:tc>
        <w:tc>
          <w:tcPr>
            <w:tcW w:w="1260" w:type="dxa"/>
          </w:tcPr>
          <w:p w14:paraId="63F943E1" w14:textId="48C30C93" w:rsidR="002530E6" w:rsidRPr="002530E6" w:rsidRDefault="002530E6" w:rsidP="002530E6">
            <w:pPr>
              <w:widowControl w:val="0"/>
              <w:jc w:val="right"/>
              <w:rPr>
                <w:rFonts w:asciiTheme="minorHAnsi" w:hAnsiTheme="minorHAnsi" w:cstheme="minorHAnsi"/>
                <w:sz w:val="18"/>
                <w:szCs w:val="18"/>
              </w:rPr>
            </w:pPr>
            <w:r w:rsidRPr="002530E6">
              <w:rPr>
                <w:rFonts w:asciiTheme="minorHAnsi" w:hAnsiTheme="minorHAnsi" w:cstheme="minorHAnsi"/>
                <w:sz w:val="18"/>
                <w:szCs w:val="18"/>
              </w:rPr>
              <w:t>3,520</w:t>
            </w:r>
          </w:p>
        </w:tc>
      </w:tr>
      <w:tr w:rsidR="002530E6" w:rsidRPr="002530E6" w14:paraId="4B9319CC" w14:textId="77777777" w:rsidTr="00F003FC">
        <w:trPr>
          <w:trHeight w:val="278"/>
        </w:trPr>
        <w:tc>
          <w:tcPr>
            <w:tcW w:w="5305" w:type="dxa"/>
          </w:tcPr>
          <w:p w14:paraId="26F303EA" w14:textId="7FB05D62" w:rsidR="002530E6" w:rsidRPr="002530E6" w:rsidRDefault="002530E6" w:rsidP="002530E6">
            <w:pPr>
              <w:widowControl w:val="0"/>
              <w:rPr>
                <w:rFonts w:asciiTheme="minorHAnsi" w:hAnsiTheme="minorHAnsi" w:cstheme="minorHAnsi"/>
                <w:sz w:val="18"/>
                <w:szCs w:val="18"/>
              </w:rPr>
            </w:pPr>
            <w:r w:rsidRPr="002530E6">
              <w:rPr>
                <w:rFonts w:asciiTheme="minorHAnsi" w:hAnsiTheme="minorHAnsi" w:cstheme="minorHAnsi"/>
                <w:sz w:val="18"/>
                <w:szCs w:val="18"/>
              </w:rPr>
              <w:t>Previously Exempt Operations (§§ 9.50 – 9.53)</w:t>
            </w:r>
          </w:p>
        </w:tc>
        <w:tc>
          <w:tcPr>
            <w:tcW w:w="1350" w:type="dxa"/>
          </w:tcPr>
          <w:p w14:paraId="53EA00B9" w14:textId="2BFB7EBA" w:rsidR="002530E6" w:rsidRPr="002530E6" w:rsidRDefault="002530E6" w:rsidP="002530E6">
            <w:pPr>
              <w:widowControl w:val="0"/>
              <w:jc w:val="right"/>
              <w:rPr>
                <w:rFonts w:asciiTheme="minorHAnsi" w:hAnsiTheme="minorHAnsi" w:cstheme="minorHAnsi"/>
                <w:sz w:val="18"/>
                <w:szCs w:val="18"/>
              </w:rPr>
            </w:pPr>
            <w:r w:rsidRPr="002530E6">
              <w:rPr>
                <w:rFonts w:asciiTheme="minorHAnsi" w:hAnsiTheme="minorHAnsi" w:cstheme="minorHAnsi"/>
                <w:sz w:val="18"/>
                <w:szCs w:val="18"/>
              </w:rPr>
              <w:t>106</w:t>
            </w:r>
          </w:p>
        </w:tc>
        <w:tc>
          <w:tcPr>
            <w:tcW w:w="1170" w:type="dxa"/>
          </w:tcPr>
          <w:p w14:paraId="532A9571" w14:textId="6A395E70" w:rsidR="002530E6" w:rsidRPr="002530E6" w:rsidRDefault="002530E6" w:rsidP="002530E6">
            <w:pPr>
              <w:widowControl w:val="0"/>
              <w:jc w:val="right"/>
              <w:rPr>
                <w:rFonts w:asciiTheme="minorHAnsi" w:hAnsiTheme="minorHAnsi" w:cstheme="minorHAnsi"/>
                <w:sz w:val="18"/>
                <w:szCs w:val="18"/>
              </w:rPr>
            </w:pPr>
            <w:r w:rsidRPr="002530E6">
              <w:rPr>
                <w:rFonts w:asciiTheme="minorHAnsi" w:hAnsiTheme="minorHAnsi" w:cstheme="minorHAnsi"/>
                <w:sz w:val="18"/>
                <w:szCs w:val="18"/>
              </w:rPr>
              <w:t>10</w:t>
            </w:r>
          </w:p>
        </w:tc>
        <w:tc>
          <w:tcPr>
            <w:tcW w:w="1260" w:type="dxa"/>
          </w:tcPr>
          <w:p w14:paraId="23B400E5" w14:textId="35E8E9B8" w:rsidR="002530E6" w:rsidRPr="002530E6" w:rsidRDefault="002530E6" w:rsidP="002530E6">
            <w:pPr>
              <w:widowControl w:val="0"/>
              <w:jc w:val="right"/>
              <w:rPr>
                <w:rFonts w:asciiTheme="minorHAnsi" w:hAnsiTheme="minorHAnsi" w:cstheme="minorHAnsi"/>
                <w:sz w:val="18"/>
                <w:szCs w:val="18"/>
              </w:rPr>
            </w:pPr>
            <w:r w:rsidRPr="002530E6">
              <w:rPr>
                <w:rFonts w:asciiTheme="minorHAnsi" w:hAnsiTheme="minorHAnsi" w:cstheme="minorHAnsi"/>
                <w:sz w:val="18"/>
                <w:szCs w:val="18"/>
              </w:rPr>
              <w:t>1,060</w:t>
            </w:r>
          </w:p>
        </w:tc>
      </w:tr>
      <w:tr w:rsidR="002530E6" w:rsidRPr="002530E6" w14:paraId="1C4D14D2" w14:textId="77777777" w:rsidTr="00F003FC">
        <w:trPr>
          <w:trHeight w:val="260"/>
        </w:trPr>
        <w:tc>
          <w:tcPr>
            <w:tcW w:w="5305" w:type="dxa"/>
          </w:tcPr>
          <w:p w14:paraId="75259F74" w14:textId="2FE79739" w:rsidR="002530E6" w:rsidRPr="002530E6" w:rsidRDefault="002530E6" w:rsidP="002530E6">
            <w:pPr>
              <w:widowControl w:val="0"/>
              <w:rPr>
                <w:rFonts w:asciiTheme="minorHAnsi" w:hAnsiTheme="minorHAnsi" w:cstheme="minorHAnsi"/>
                <w:sz w:val="18"/>
                <w:szCs w:val="18"/>
              </w:rPr>
            </w:pPr>
            <w:r w:rsidRPr="002530E6">
              <w:rPr>
                <w:rFonts w:asciiTheme="minorHAnsi" w:hAnsiTheme="minorHAnsi" w:cstheme="minorHAnsi"/>
                <w:sz w:val="18"/>
                <w:szCs w:val="18"/>
              </w:rPr>
              <w:t>Application for Temporary Access Permit (§§ 9.60 – 9.63)</w:t>
            </w:r>
          </w:p>
        </w:tc>
        <w:tc>
          <w:tcPr>
            <w:tcW w:w="1350" w:type="dxa"/>
          </w:tcPr>
          <w:p w14:paraId="3F63154F" w14:textId="5FE745D5" w:rsidR="002530E6" w:rsidRPr="002530E6" w:rsidRDefault="002530E6" w:rsidP="002530E6">
            <w:pPr>
              <w:widowControl w:val="0"/>
              <w:jc w:val="right"/>
              <w:rPr>
                <w:rFonts w:asciiTheme="minorHAnsi" w:hAnsiTheme="minorHAnsi" w:cstheme="minorHAnsi"/>
                <w:sz w:val="18"/>
                <w:szCs w:val="18"/>
              </w:rPr>
            </w:pPr>
            <w:r w:rsidRPr="002530E6">
              <w:rPr>
                <w:rFonts w:asciiTheme="minorHAnsi" w:hAnsiTheme="minorHAnsi" w:cstheme="minorHAnsi"/>
                <w:sz w:val="18"/>
                <w:szCs w:val="18"/>
              </w:rPr>
              <w:t>5</w:t>
            </w:r>
          </w:p>
        </w:tc>
        <w:tc>
          <w:tcPr>
            <w:tcW w:w="1170" w:type="dxa"/>
          </w:tcPr>
          <w:p w14:paraId="57354E64" w14:textId="77777777" w:rsidR="002530E6" w:rsidRPr="002530E6" w:rsidRDefault="002530E6" w:rsidP="002530E6">
            <w:pPr>
              <w:widowControl w:val="0"/>
              <w:jc w:val="right"/>
              <w:rPr>
                <w:rFonts w:asciiTheme="minorHAnsi" w:hAnsiTheme="minorHAnsi" w:cstheme="minorHAnsi"/>
                <w:sz w:val="18"/>
                <w:szCs w:val="18"/>
              </w:rPr>
            </w:pPr>
            <w:r w:rsidRPr="002530E6">
              <w:rPr>
                <w:rFonts w:asciiTheme="minorHAnsi" w:hAnsiTheme="minorHAnsi" w:cstheme="minorHAnsi"/>
                <w:sz w:val="18"/>
                <w:szCs w:val="18"/>
              </w:rPr>
              <w:t>15</w:t>
            </w:r>
          </w:p>
        </w:tc>
        <w:tc>
          <w:tcPr>
            <w:tcW w:w="1260" w:type="dxa"/>
          </w:tcPr>
          <w:p w14:paraId="330D323D" w14:textId="24B8588B" w:rsidR="002530E6" w:rsidRPr="002530E6" w:rsidRDefault="002530E6" w:rsidP="002530E6">
            <w:pPr>
              <w:widowControl w:val="0"/>
              <w:jc w:val="right"/>
              <w:rPr>
                <w:rFonts w:asciiTheme="minorHAnsi" w:hAnsiTheme="minorHAnsi" w:cstheme="minorHAnsi"/>
                <w:sz w:val="18"/>
                <w:szCs w:val="18"/>
              </w:rPr>
            </w:pPr>
            <w:r w:rsidRPr="002530E6">
              <w:rPr>
                <w:rFonts w:asciiTheme="minorHAnsi" w:hAnsiTheme="minorHAnsi" w:cstheme="minorHAnsi"/>
                <w:sz w:val="18"/>
                <w:szCs w:val="18"/>
              </w:rPr>
              <w:t>75</w:t>
            </w:r>
          </w:p>
        </w:tc>
      </w:tr>
      <w:tr w:rsidR="002530E6" w:rsidRPr="002530E6" w14:paraId="03E714F6" w14:textId="77777777" w:rsidTr="00F003FC">
        <w:tc>
          <w:tcPr>
            <w:tcW w:w="5305" w:type="dxa"/>
          </w:tcPr>
          <w:p w14:paraId="54247AC7" w14:textId="77777777" w:rsidR="002530E6" w:rsidRPr="002530E6" w:rsidRDefault="002530E6" w:rsidP="002530E6">
            <w:pPr>
              <w:widowControl w:val="0"/>
              <w:rPr>
                <w:rFonts w:asciiTheme="minorHAnsi" w:hAnsiTheme="minorHAnsi" w:cstheme="minorHAnsi"/>
                <w:sz w:val="18"/>
                <w:szCs w:val="18"/>
              </w:rPr>
            </w:pPr>
            <w:r w:rsidRPr="002530E6">
              <w:rPr>
                <w:rFonts w:asciiTheme="minorHAnsi" w:hAnsiTheme="minorHAnsi" w:cstheme="minorHAnsi"/>
                <w:sz w:val="18"/>
                <w:szCs w:val="18"/>
              </w:rPr>
              <w:t>Extension of Temporary Access Permit</w:t>
            </w:r>
          </w:p>
        </w:tc>
        <w:tc>
          <w:tcPr>
            <w:tcW w:w="1350" w:type="dxa"/>
          </w:tcPr>
          <w:p w14:paraId="168710DE" w14:textId="77777777" w:rsidR="002530E6" w:rsidRPr="002530E6" w:rsidRDefault="002530E6" w:rsidP="002530E6">
            <w:pPr>
              <w:widowControl w:val="0"/>
              <w:jc w:val="right"/>
              <w:rPr>
                <w:rFonts w:asciiTheme="minorHAnsi" w:hAnsiTheme="minorHAnsi" w:cstheme="minorHAnsi"/>
                <w:sz w:val="18"/>
                <w:szCs w:val="18"/>
              </w:rPr>
            </w:pPr>
            <w:r w:rsidRPr="002530E6">
              <w:rPr>
                <w:rFonts w:asciiTheme="minorHAnsi" w:hAnsiTheme="minorHAnsi" w:cstheme="minorHAnsi"/>
                <w:sz w:val="18"/>
                <w:szCs w:val="18"/>
              </w:rPr>
              <w:t>1</w:t>
            </w:r>
          </w:p>
        </w:tc>
        <w:tc>
          <w:tcPr>
            <w:tcW w:w="1170" w:type="dxa"/>
          </w:tcPr>
          <w:p w14:paraId="569ECFB1" w14:textId="77777777" w:rsidR="002530E6" w:rsidRPr="002530E6" w:rsidRDefault="002530E6" w:rsidP="002530E6">
            <w:pPr>
              <w:widowControl w:val="0"/>
              <w:jc w:val="right"/>
              <w:rPr>
                <w:rFonts w:asciiTheme="minorHAnsi" w:hAnsiTheme="minorHAnsi" w:cstheme="minorHAnsi"/>
                <w:sz w:val="18"/>
                <w:szCs w:val="18"/>
              </w:rPr>
            </w:pPr>
            <w:r w:rsidRPr="002530E6">
              <w:rPr>
                <w:rFonts w:asciiTheme="minorHAnsi" w:hAnsiTheme="minorHAnsi" w:cstheme="minorHAnsi"/>
                <w:sz w:val="18"/>
                <w:szCs w:val="18"/>
              </w:rPr>
              <w:t>1</w:t>
            </w:r>
          </w:p>
        </w:tc>
        <w:tc>
          <w:tcPr>
            <w:tcW w:w="1260" w:type="dxa"/>
          </w:tcPr>
          <w:p w14:paraId="2592983D" w14:textId="77777777" w:rsidR="002530E6" w:rsidRPr="002530E6" w:rsidRDefault="002530E6" w:rsidP="002530E6">
            <w:pPr>
              <w:widowControl w:val="0"/>
              <w:jc w:val="right"/>
              <w:rPr>
                <w:rFonts w:asciiTheme="minorHAnsi" w:hAnsiTheme="minorHAnsi" w:cstheme="minorHAnsi"/>
                <w:sz w:val="18"/>
                <w:szCs w:val="18"/>
              </w:rPr>
            </w:pPr>
            <w:r w:rsidRPr="002530E6">
              <w:rPr>
                <w:rFonts w:asciiTheme="minorHAnsi" w:hAnsiTheme="minorHAnsi" w:cstheme="minorHAnsi"/>
                <w:sz w:val="18"/>
                <w:szCs w:val="18"/>
              </w:rPr>
              <w:t>1</w:t>
            </w:r>
          </w:p>
        </w:tc>
      </w:tr>
      <w:tr w:rsidR="002530E6" w:rsidRPr="002530E6" w14:paraId="41EA9123" w14:textId="77777777" w:rsidTr="00F003FC">
        <w:tc>
          <w:tcPr>
            <w:tcW w:w="5305" w:type="dxa"/>
          </w:tcPr>
          <w:p w14:paraId="531BC8B4" w14:textId="4F299CAB" w:rsidR="002530E6" w:rsidRPr="002530E6" w:rsidRDefault="002530E6" w:rsidP="002530E6">
            <w:pPr>
              <w:widowControl w:val="0"/>
              <w:rPr>
                <w:rFonts w:asciiTheme="minorHAnsi" w:hAnsiTheme="minorHAnsi" w:cstheme="minorHAnsi"/>
                <w:sz w:val="18"/>
                <w:szCs w:val="18"/>
              </w:rPr>
            </w:pPr>
            <w:r w:rsidRPr="002530E6">
              <w:rPr>
                <w:rFonts w:asciiTheme="minorHAnsi" w:hAnsiTheme="minorHAnsi" w:cstheme="minorHAnsi"/>
                <w:sz w:val="18"/>
                <w:szCs w:val="18"/>
              </w:rPr>
              <w:t>Accessing Oil and Gas Rights From a Surface Location Outside the Park Boundary – Application for Exemption (§§ 9.70-9.73)</w:t>
            </w:r>
          </w:p>
        </w:tc>
        <w:tc>
          <w:tcPr>
            <w:tcW w:w="1350" w:type="dxa"/>
          </w:tcPr>
          <w:p w14:paraId="6BEF8917" w14:textId="74044880" w:rsidR="002530E6" w:rsidRPr="002530E6" w:rsidRDefault="002530E6" w:rsidP="002530E6">
            <w:pPr>
              <w:widowControl w:val="0"/>
              <w:jc w:val="right"/>
              <w:rPr>
                <w:rFonts w:asciiTheme="minorHAnsi" w:hAnsiTheme="minorHAnsi" w:cstheme="minorHAnsi"/>
                <w:sz w:val="18"/>
                <w:szCs w:val="18"/>
              </w:rPr>
            </w:pPr>
            <w:r w:rsidRPr="002530E6">
              <w:rPr>
                <w:rFonts w:asciiTheme="minorHAnsi" w:hAnsiTheme="minorHAnsi" w:cstheme="minorHAnsi"/>
                <w:sz w:val="18"/>
                <w:szCs w:val="18"/>
              </w:rPr>
              <w:t>3</w:t>
            </w:r>
          </w:p>
        </w:tc>
        <w:tc>
          <w:tcPr>
            <w:tcW w:w="1170" w:type="dxa"/>
          </w:tcPr>
          <w:p w14:paraId="5F6B202E" w14:textId="77777777" w:rsidR="002530E6" w:rsidRPr="002530E6" w:rsidRDefault="002530E6" w:rsidP="002530E6">
            <w:pPr>
              <w:widowControl w:val="0"/>
              <w:jc w:val="right"/>
              <w:rPr>
                <w:rFonts w:asciiTheme="minorHAnsi" w:hAnsiTheme="minorHAnsi" w:cstheme="minorHAnsi"/>
                <w:sz w:val="18"/>
                <w:szCs w:val="18"/>
              </w:rPr>
            </w:pPr>
            <w:r w:rsidRPr="002530E6">
              <w:rPr>
                <w:rFonts w:asciiTheme="minorHAnsi" w:hAnsiTheme="minorHAnsi" w:cstheme="minorHAnsi"/>
                <w:sz w:val="18"/>
                <w:szCs w:val="18"/>
              </w:rPr>
              <w:t>80</w:t>
            </w:r>
          </w:p>
        </w:tc>
        <w:tc>
          <w:tcPr>
            <w:tcW w:w="1260" w:type="dxa"/>
          </w:tcPr>
          <w:p w14:paraId="2BBE630C" w14:textId="31F52E62" w:rsidR="002530E6" w:rsidRPr="002530E6" w:rsidRDefault="002530E6" w:rsidP="002530E6">
            <w:pPr>
              <w:widowControl w:val="0"/>
              <w:jc w:val="right"/>
              <w:rPr>
                <w:rFonts w:asciiTheme="minorHAnsi" w:hAnsiTheme="minorHAnsi" w:cstheme="minorHAnsi"/>
                <w:sz w:val="18"/>
                <w:szCs w:val="18"/>
              </w:rPr>
            </w:pPr>
            <w:r w:rsidRPr="002530E6">
              <w:rPr>
                <w:rFonts w:asciiTheme="minorHAnsi" w:hAnsiTheme="minorHAnsi" w:cstheme="minorHAnsi"/>
                <w:sz w:val="18"/>
                <w:szCs w:val="18"/>
              </w:rPr>
              <w:t>240</w:t>
            </w:r>
          </w:p>
        </w:tc>
      </w:tr>
      <w:tr w:rsidR="002530E6" w:rsidRPr="002530E6" w14:paraId="725ADD48" w14:textId="77777777" w:rsidTr="00F003FC">
        <w:tc>
          <w:tcPr>
            <w:tcW w:w="5305" w:type="dxa"/>
          </w:tcPr>
          <w:p w14:paraId="5ECEB405" w14:textId="77777777" w:rsidR="002530E6" w:rsidRPr="002530E6" w:rsidRDefault="002530E6" w:rsidP="002530E6">
            <w:pPr>
              <w:widowControl w:val="0"/>
              <w:rPr>
                <w:rFonts w:asciiTheme="minorHAnsi" w:hAnsiTheme="minorHAnsi" w:cstheme="minorHAnsi"/>
                <w:sz w:val="18"/>
                <w:szCs w:val="18"/>
              </w:rPr>
            </w:pPr>
            <w:r w:rsidRPr="002530E6">
              <w:rPr>
                <w:rFonts w:asciiTheme="minorHAnsi" w:hAnsiTheme="minorHAnsi" w:cstheme="minorHAnsi"/>
                <w:sz w:val="18"/>
                <w:szCs w:val="18"/>
              </w:rPr>
              <w:t>Accessing Oil and Gas Rights From a Surface Location Outside the Park Boundary – Notice of change (§§ 9.70-9.73)</w:t>
            </w:r>
          </w:p>
        </w:tc>
        <w:tc>
          <w:tcPr>
            <w:tcW w:w="1350" w:type="dxa"/>
          </w:tcPr>
          <w:p w14:paraId="3ADD0885" w14:textId="77777777" w:rsidR="002530E6" w:rsidRPr="002530E6" w:rsidRDefault="002530E6" w:rsidP="002530E6">
            <w:pPr>
              <w:widowControl w:val="0"/>
              <w:jc w:val="right"/>
              <w:rPr>
                <w:rFonts w:asciiTheme="minorHAnsi" w:hAnsiTheme="minorHAnsi" w:cstheme="minorHAnsi"/>
                <w:sz w:val="18"/>
                <w:szCs w:val="18"/>
              </w:rPr>
            </w:pPr>
            <w:r w:rsidRPr="002530E6">
              <w:rPr>
                <w:rFonts w:asciiTheme="minorHAnsi" w:hAnsiTheme="minorHAnsi" w:cstheme="minorHAnsi"/>
                <w:sz w:val="18"/>
                <w:szCs w:val="18"/>
              </w:rPr>
              <w:t>1</w:t>
            </w:r>
          </w:p>
        </w:tc>
        <w:tc>
          <w:tcPr>
            <w:tcW w:w="1170" w:type="dxa"/>
          </w:tcPr>
          <w:p w14:paraId="4C9CB4F3" w14:textId="77777777" w:rsidR="002530E6" w:rsidRPr="002530E6" w:rsidRDefault="002530E6" w:rsidP="002530E6">
            <w:pPr>
              <w:widowControl w:val="0"/>
              <w:jc w:val="right"/>
              <w:rPr>
                <w:rFonts w:asciiTheme="minorHAnsi" w:hAnsiTheme="minorHAnsi" w:cstheme="minorHAnsi"/>
                <w:sz w:val="18"/>
                <w:szCs w:val="18"/>
              </w:rPr>
            </w:pPr>
            <w:r w:rsidRPr="002530E6">
              <w:rPr>
                <w:rFonts w:asciiTheme="minorHAnsi" w:hAnsiTheme="minorHAnsi" w:cstheme="minorHAnsi"/>
                <w:sz w:val="18"/>
                <w:szCs w:val="18"/>
              </w:rPr>
              <w:t>2</w:t>
            </w:r>
          </w:p>
        </w:tc>
        <w:tc>
          <w:tcPr>
            <w:tcW w:w="1260" w:type="dxa"/>
          </w:tcPr>
          <w:p w14:paraId="32D6B7ED" w14:textId="77777777" w:rsidR="002530E6" w:rsidRPr="002530E6" w:rsidRDefault="002530E6" w:rsidP="002530E6">
            <w:pPr>
              <w:widowControl w:val="0"/>
              <w:jc w:val="right"/>
              <w:rPr>
                <w:rFonts w:asciiTheme="minorHAnsi" w:hAnsiTheme="minorHAnsi" w:cstheme="minorHAnsi"/>
                <w:sz w:val="18"/>
                <w:szCs w:val="18"/>
              </w:rPr>
            </w:pPr>
            <w:r w:rsidRPr="002530E6">
              <w:rPr>
                <w:rFonts w:asciiTheme="minorHAnsi" w:hAnsiTheme="minorHAnsi" w:cstheme="minorHAnsi"/>
                <w:sz w:val="18"/>
                <w:szCs w:val="18"/>
              </w:rPr>
              <w:t>2</w:t>
            </w:r>
          </w:p>
        </w:tc>
      </w:tr>
      <w:tr w:rsidR="002530E6" w:rsidRPr="00194D5A" w14:paraId="38560EF8" w14:textId="77777777" w:rsidTr="00F003FC">
        <w:tc>
          <w:tcPr>
            <w:tcW w:w="9085" w:type="dxa"/>
            <w:gridSpan w:val="4"/>
            <w:shd w:val="clear" w:color="auto" w:fill="D9D9D9" w:themeFill="background1" w:themeFillShade="D9"/>
          </w:tcPr>
          <w:p w14:paraId="22E7F95C" w14:textId="77777777" w:rsidR="002530E6" w:rsidRPr="00194D5A" w:rsidRDefault="002530E6" w:rsidP="002530E6">
            <w:pPr>
              <w:widowControl w:val="0"/>
              <w:ind w:left="-29"/>
              <w:rPr>
                <w:rFonts w:asciiTheme="minorHAnsi" w:hAnsiTheme="minorHAnsi" w:cstheme="minorHAnsi"/>
                <w:b/>
                <w:sz w:val="18"/>
                <w:szCs w:val="18"/>
              </w:rPr>
            </w:pPr>
            <w:r w:rsidRPr="002530E6">
              <w:rPr>
                <w:rFonts w:asciiTheme="minorHAnsi" w:hAnsiTheme="minorHAnsi" w:cstheme="minorHAnsi"/>
                <w:b/>
                <w:sz w:val="18"/>
                <w:szCs w:val="18"/>
              </w:rPr>
              <w:t>Operations Permit (New Operations)</w:t>
            </w:r>
          </w:p>
        </w:tc>
      </w:tr>
      <w:tr w:rsidR="002530E6" w:rsidRPr="00194D5A" w14:paraId="2DE336A3" w14:textId="77777777" w:rsidTr="00F003FC">
        <w:tc>
          <w:tcPr>
            <w:tcW w:w="5305" w:type="dxa"/>
          </w:tcPr>
          <w:p w14:paraId="5889240C" w14:textId="366481A7" w:rsidR="002530E6" w:rsidRPr="00194D5A" w:rsidRDefault="002530E6" w:rsidP="002530E6">
            <w:pPr>
              <w:widowControl w:val="0"/>
              <w:rPr>
                <w:rFonts w:asciiTheme="minorHAnsi" w:hAnsiTheme="minorHAnsi" w:cstheme="minorHAnsi"/>
                <w:sz w:val="18"/>
                <w:szCs w:val="18"/>
              </w:rPr>
            </w:pPr>
            <w:r w:rsidRPr="00194D5A">
              <w:rPr>
                <w:rFonts w:asciiTheme="minorHAnsi" w:hAnsiTheme="minorHAnsi" w:cstheme="minorHAnsi"/>
                <w:sz w:val="18"/>
                <w:szCs w:val="18"/>
              </w:rPr>
              <w:t xml:space="preserve">  Application – (§§ 9.80 – 9.90)</w:t>
            </w:r>
          </w:p>
        </w:tc>
        <w:tc>
          <w:tcPr>
            <w:tcW w:w="1350" w:type="dxa"/>
          </w:tcPr>
          <w:p w14:paraId="2038C60A" w14:textId="54158995"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5</w:t>
            </w:r>
          </w:p>
        </w:tc>
        <w:tc>
          <w:tcPr>
            <w:tcW w:w="1170" w:type="dxa"/>
          </w:tcPr>
          <w:p w14:paraId="3D1233C4" w14:textId="77777777"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140</w:t>
            </w:r>
          </w:p>
        </w:tc>
        <w:tc>
          <w:tcPr>
            <w:tcW w:w="1260" w:type="dxa"/>
          </w:tcPr>
          <w:p w14:paraId="7E58C0A3" w14:textId="54E10C79"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700</w:t>
            </w:r>
          </w:p>
        </w:tc>
      </w:tr>
      <w:tr w:rsidR="002530E6" w:rsidRPr="00194D5A" w14:paraId="0B6AD52F" w14:textId="77777777" w:rsidTr="00F003FC">
        <w:trPr>
          <w:trHeight w:val="260"/>
        </w:trPr>
        <w:tc>
          <w:tcPr>
            <w:tcW w:w="9085" w:type="dxa"/>
            <w:gridSpan w:val="4"/>
          </w:tcPr>
          <w:p w14:paraId="00B3C3CA" w14:textId="77777777" w:rsidR="002530E6" w:rsidRPr="00194D5A" w:rsidRDefault="002530E6" w:rsidP="002530E6">
            <w:pPr>
              <w:widowControl w:val="0"/>
              <w:ind w:left="-29"/>
              <w:rPr>
                <w:rFonts w:asciiTheme="minorHAnsi" w:hAnsiTheme="minorHAnsi" w:cstheme="minorHAnsi"/>
                <w:b/>
                <w:sz w:val="18"/>
                <w:szCs w:val="18"/>
              </w:rPr>
            </w:pPr>
            <w:r w:rsidRPr="00194D5A">
              <w:rPr>
                <w:rFonts w:asciiTheme="minorHAnsi" w:hAnsiTheme="minorHAnsi" w:cstheme="minorHAnsi"/>
                <w:b/>
                <w:sz w:val="18"/>
                <w:szCs w:val="18"/>
              </w:rPr>
              <w:t>Operating Standards – Simulation Operations (</w:t>
            </w:r>
            <w:r w:rsidRPr="00194D5A">
              <w:rPr>
                <w:rFonts w:asciiTheme="minorHAnsi" w:hAnsiTheme="minorHAnsi" w:cstheme="minorHAnsi"/>
                <w:sz w:val="18"/>
                <w:szCs w:val="18"/>
              </w:rPr>
              <w:t>§ 9.118(b))</w:t>
            </w:r>
          </w:p>
        </w:tc>
      </w:tr>
      <w:tr w:rsidR="002530E6" w:rsidRPr="00194D5A" w14:paraId="520A9928" w14:textId="77777777" w:rsidTr="00F003FC">
        <w:tc>
          <w:tcPr>
            <w:tcW w:w="5305" w:type="dxa"/>
          </w:tcPr>
          <w:p w14:paraId="1C81136A" w14:textId="77777777" w:rsidR="002530E6" w:rsidRPr="00194D5A" w:rsidRDefault="002530E6" w:rsidP="002530E6">
            <w:pPr>
              <w:widowControl w:val="0"/>
              <w:rPr>
                <w:rFonts w:asciiTheme="minorHAnsi" w:hAnsiTheme="minorHAnsi" w:cstheme="minorHAnsi"/>
                <w:sz w:val="18"/>
                <w:szCs w:val="18"/>
              </w:rPr>
            </w:pPr>
            <w:r w:rsidRPr="00194D5A">
              <w:rPr>
                <w:rFonts w:asciiTheme="minorHAnsi" w:hAnsiTheme="minorHAnsi" w:cstheme="minorHAnsi"/>
                <w:sz w:val="18"/>
                <w:szCs w:val="18"/>
              </w:rPr>
              <w:t xml:space="preserve">  Demonstrate mechanical integrity </w:t>
            </w:r>
          </w:p>
        </w:tc>
        <w:tc>
          <w:tcPr>
            <w:tcW w:w="1350" w:type="dxa"/>
          </w:tcPr>
          <w:p w14:paraId="1ED29659" w14:textId="4C7C6772"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5</w:t>
            </w:r>
          </w:p>
        </w:tc>
        <w:tc>
          <w:tcPr>
            <w:tcW w:w="1170" w:type="dxa"/>
          </w:tcPr>
          <w:p w14:paraId="0FDEA572" w14:textId="77777777"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4</w:t>
            </w:r>
          </w:p>
        </w:tc>
        <w:tc>
          <w:tcPr>
            <w:tcW w:w="1260" w:type="dxa"/>
          </w:tcPr>
          <w:p w14:paraId="6B7DBEB8" w14:textId="26395500"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20</w:t>
            </w:r>
          </w:p>
        </w:tc>
      </w:tr>
      <w:tr w:rsidR="002530E6" w:rsidRPr="00194D5A" w14:paraId="7ECFF04E" w14:textId="77777777" w:rsidTr="00F003FC">
        <w:tc>
          <w:tcPr>
            <w:tcW w:w="5305" w:type="dxa"/>
          </w:tcPr>
          <w:p w14:paraId="7BA282F2" w14:textId="77777777" w:rsidR="002530E6" w:rsidRPr="00194D5A" w:rsidRDefault="002530E6" w:rsidP="002530E6">
            <w:pPr>
              <w:widowControl w:val="0"/>
              <w:rPr>
                <w:rFonts w:asciiTheme="minorHAnsi" w:hAnsiTheme="minorHAnsi" w:cstheme="minorHAnsi"/>
                <w:sz w:val="18"/>
                <w:szCs w:val="18"/>
              </w:rPr>
            </w:pPr>
            <w:r w:rsidRPr="00194D5A">
              <w:rPr>
                <w:rFonts w:asciiTheme="minorHAnsi" w:hAnsiTheme="minorHAnsi" w:cstheme="minorHAnsi"/>
                <w:sz w:val="18"/>
                <w:szCs w:val="18"/>
              </w:rPr>
              <w:t xml:space="preserve">  Record treating pressures and all annular pressures</w:t>
            </w:r>
          </w:p>
        </w:tc>
        <w:tc>
          <w:tcPr>
            <w:tcW w:w="1350" w:type="dxa"/>
          </w:tcPr>
          <w:p w14:paraId="248681F1" w14:textId="17938A23"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5</w:t>
            </w:r>
          </w:p>
        </w:tc>
        <w:tc>
          <w:tcPr>
            <w:tcW w:w="1170" w:type="dxa"/>
          </w:tcPr>
          <w:p w14:paraId="5733B020" w14:textId="77777777"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4</w:t>
            </w:r>
          </w:p>
        </w:tc>
        <w:tc>
          <w:tcPr>
            <w:tcW w:w="1260" w:type="dxa"/>
          </w:tcPr>
          <w:p w14:paraId="74F89097" w14:textId="7FBD1ECA"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20</w:t>
            </w:r>
          </w:p>
        </w:tc>
      </w:tr>
      <w:tr w:rsidR="002530E6" w:rsidRPr="00194D5A" w14:paraId="5605AE79" w14:textId="77777777" w:rsidTr="00F003FC">
        <w:tc>
          <w:tcPr>
            <w:tcW w:w="5305" w:type="dxa"/>
          </w:tcPr>
          <w:p w14:paraId="0A42DF7E" w14:textId="77777777" w:rsidR="002530E6" w:rsidRPr="00194D5A" w:rsidRDefault="002530E6" w:rsidP="002530E6">
            <w:pPr>
              <w:widowControl w:val="0"/>
              <w:rPr>
                <w:rFonts w:asciiTheme="minorHAnsi" w:hAnsiTheme="minorHAnsi" w:cstheme="minorHAnsi"/>
                <w:sz w:val="18"/>
                <w:szCs w:val="18"/>
              </w:rPr>
            </w:pPr>
            <w:r w:rsidRPr="00194D5A">
              <w:rPr>
                <w:rFonts w:asciiTheme="minorHAnsi" w:hAnsiTheme="minorHAnsi" w:cstheme="minorHAnsi"/>
                <w:sz w:val="18"/>
                <w:szCs w:val="18"/>
              </w:rPr>
              <w:t xml:space="preserve">  Notify Superintendent if mechanical integrity is lost</w:t>
            </w:r>
          </w:p>
        </w:tc>
        <w:tc>
          <w:tcPr>
            <w:tcW w:w="1350" w:type="dxa"/>
          </w:tcPr>
          <w:p w14:paraId="4284A1B1" w14:textId="77777777"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1</w:t>
            </w:r>
          </w:p>
        </w:tc>
        <w:tc>
          <w:tcPr>
            <w:tcW w:w="1170" w:type="dxa"/>
          </w:tcPr>
          <w:p w14:paraId="753BD0A0" w14:textId="77777777"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1</w:t>
            </w:r>
          </w:p>
        </w:tc>
        <w:tc>
          <w:tcPr>
            <w:tcW w:w="1260" w:type="dxa"/>
          </w:tcPr>
          <w:p w14:paraId="12BF755A" w14:textId="77777777"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1</w:t>
            </w:r>
          </w:p>
        </w:tc>
      </w:tr>
      <w:tr w:rsidR="002530E6" w:rsidRPr="00194D5A" w14:paraId="1843E21C" w14:textId="77777777" w:rsidTr="00F003FC">
        <w:tc>
          <w:tcPr>
            <w:tcW w:w="5305" w:type="dxa"/>
          </w:tcPr>
          <w:p w14:paraId="33033B50" w14:textId="77777777" w:rsidR="002530E6" w:rsidRPr="00194D5A" w:rsidRDefault="002530E6" w:rsidP="002530E6">
            <w:pPr>
              <w:widowControl w:val="0"/>
              <w:rPr>
                <w:rFonts w:asciiTheme="minorHAnsi" w:hAnsiTheme="minorHAnsi" w:cstheme="minorHAnsi"/>
                <w:sz w:val="18"/>
                <w:szCs w:val="18"/>
              </w:rPr>
            </w:pPr>
            <w:r w:rsidRPr="00194D5A">
              <w:rPr>
                <w:rFonts w:asciiTheme="minorHAnsi" w:hAnsiTheme="minorHAnsi" w:cstheme="minorHAnsi"/>
                <w:sz w:val="18"/>
                <w:szCs w:val="18"/>
              </w:rPr>
              <w:t xml:space="preserve">  Report of accident</w:t>
            </w:r>
          </w:p>
        </w:tc>
        <w:tc>
          <w:tcPr>
            <w:tcW w:w="1350" w:type="dxa"/>
          </w:tcPr>
          <w:p w14:paraId="1E07405C" w14:textId="77777777"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2</w:t>
            </w:r>
          </w:p>
        </w:tc>
        <w:tc>
          <w:tcPr>
            <w:tcW w:w="1170" w:type="dxa"/>
          </w:tcPr>
          <w:p w14:paraId="173CCA2A" w14:textId="77777777"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1</w:t>
            </w:r>
          </w:p>
        </w:tc>
        <w:tc>
          <w:tcPr>
            <w:tcW w:w="1260" w:type="dxa"/>
          </w:tcPr>
          <w:p w14:paraId="12245E57" w14:textId="77777777"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2</w:t>
            </w:r>
          </w:p>
        </w:tc>
      </w:tr>
      <w:tr w:rsidR="002530E6" w:rsidRPr="00194D5A" w14:paraId="3DDFF8C9" w14:textId="77777777" w:rsidTr="00F003FC">
        <w:trPr>
          <w:trHeight w:val="242"/>
        </w:trPr>
        <w:tc>
          <w:tcPr>
            <w:tcW w:w="9085" w:type="dxa"/>
            <w:gridSpan w:val="4"/>
          </w:tcPr>
          <w:p w14:paraId="7F460FFA" w14:textId="77777777" w:rsidR="002530E6" w:rsidRPr="00194D5A" w:rsidRDefault="002530E6" w:rsidP="002530E6">
            <w:pPr>
              <w:widowControl w:val="0"/>
              <w:rPr>
                <w:rFonts w:asciiTheme="minorHAnsi" w:hAnsiTheme="minorHAnsi" w:cstheme="minorHAnsi"/>
                <w:sz w:val="18"/>
                <w:szCs w:val="18"/>
              </w:rPr>
            </w:pPr>
            <w:r w:rsidRPr="00194D5A">
              <w:rPr>
                <w:rFonts w:asciiTheme="minorHAnsi" w:hAnsiTheme="minorHAnsi" w:cstheme="minorHAnsi"/>
                <w:b/>
                <w:sz w:val="18"/>
                <w:szCs w:val="18"/>
              </w:rPr>
              <w:t>Operating Standards – Production (</w:t>
            </w:r>
            <w:r w:rsidRPr="00194D5A">
              <w:rPr>
                <w:rFonts w:asciiTheme="minorHAnsi" w:hAnsiTheme="minorHAnsi" w:cstheme="minorHAnsi"/>
                <w:sz w:val="18"/>
                <w:szCs w:val="18"/>
              </w:rPr>
              <w:t>§9.118(c))</w:t>
            </w:r>
          </w:p>
        </w:tc>
      </w:tr>
      <w:tr w:rsidR="002530E6" w:rsidRPr="00194D5A" w14:paraId="62498120" w14:textId="77777777" w:rsidTr="00F003FC">
        <w:tc>
          <w:tcPr>
            <w:tcW w:w="5305" w:type="dxa"/>
          </w:tcPr>
          <w:p w14:paraId="54580060" w14:textId="77777777" w:rsidR="002530E6" w:rsidRPr="00194D5A" w:rsidRDefault="002530E6" w:rsidP="002530E6">
            <w:pPr>
              <w:widowControl w:val="0"/>
              <w:rPr>
                <w:rFonts w:asciiTheme="minorHAnsi" w:hAnsiTheme="minorHAnsi" w:cstheme="minorHAnsi"/>
                <w:sz w:val="18"/>
                <w:szCs w:val="18"/>
              </w:rPr>
            </w:pPr>
            <w:r w:rsidRPr="00194D5A">
              <w:rPr>
                <w:rFonts w:asciiTheme="minorHAnsi" w:hAnsiTheme="minorHAnsi" w:cstheme="minorHAnsi"/>
                <w:sz w:val="18"/>
                <w:szCs w:val="18"/>
              </w:rPr>
              <w:t xml:space="preserve">  Document maintenance of mechanical integrity</w:t>
            </w:r>
          </w:p>
        </w:tc>
        <w:tc>
          <w:tcPr>
            <w:tcW w:w="1350" w:type="dxa"/>
          </w:tcPr>
          <w:p w14:paraId="4F13360B" w14:textId="71F92D27"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534</w:t>
            </w:r>
          </w:p>
        </w:tc>
        <w:tc>
          <w:tcPr>
            <w:tcW w:w="1170" w:type="dxa"/>
          </w:tcPr>
          <w:p w14:paraId="2F0D35AA" w14:textId="77777777"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2</w:t>
            </w:r>
          </w:p>
        </w:tc>
        <w:tc>
          <w:tcPr>
            <w:tcW w:w="1260" w:type="dxa"/>
          </w:tcPr>
          <w:p w14:paraId="28D0834A" w14:textId="43D25065"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1,068</w:t>
            </w:r>
          </w:p>
        </w:tc>
      </w:tr>
      <w:tr w:rsidR="002530E6" w:rsidRPr="00194D5A" w14:paraId="30B17782" w14:textId="77777777" w:rsidTr="00F003FC">
        <w:tc>
          <w:tcPr>
            <w:tcW w:w="5305" w:type="dxa"/>
          </w:tcPr>
          <w:p w14:paraId="38EBA143" w14:textId="77777777" w:rsidR="002530E6" w:rsidRPr="00194D5A" w:rsidRDefault="002530E6" w:rsidP="002530E6">
            <w:pPr>
              <w:widowControl w:val="0"/>
              <w:rPr>
                <w:rFonts w:asciiTheme="minorHAnsi" w:hAnsiTheme="minorHAnsi" w:cstheme="minorHAnsi"/>
                <w:sz w:val="18"/>
                <w:szCs w:val="18"/>
              </w:rPr>
            </w:pPr>
            <w:r w:rsidRPr="00194D5A">
              <w:rPr>
                <w:rFonts w:asciiTheme="minorHAnsi" w:hAnsiTheme="minorHAnsi" w:cstheme="minorHAnsi"/>
                <w:sz w:val="18"/>
                <w:szCs w:val="18"/>
              </w:rPr>
              <w:t xml:space="preserve">  Signage to identify wells</w:t>
            </w:r>
          </w:p>
        </w:tc>
        <w:tc>
          <w:tcPr>
            <w:tcW w:w="1350" w:type="dxa"/>
          </w:tcPr>
          <w:p w14:paraId="42964BC0" w14:textId="77777777"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5</w:t>
            </w:r>
          </w:p>
        </w:tc>
        <w:tc>
          <w:tcPr>
            <w:tcW w:w="1170" w:type="dxa"/>
          </w:tcPr>
          <w:p w14:paraId="1AE4D85F" w14:textId="77777777"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4</w:t>
            </w:r>
          </w:p>
        </w:tc>
        <w:tc>
          <w:tcPr>
            <w:tcW w:w="1260" w:type="dxa"/>
          </w:tcPr>
          <w:p w14:paraId="584D8343" w14:textId="77777777"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20</w:t>
            </w:r>
          </w:p>
        </w:tc>
      </w:tr>
      <w:tr w:rsidR="002530E6" w:rsidRPr="00194D5A" w14:paraId="4AF6F559" w14:textId="77777777" w:rsidTr="00F003FC">
        <w:trPr>
          <w:trHeight w:val="278"/>
        </w:trPr>
        <w:tc>
          <w:tcPr>
            <w:tcW w:w="9085" w:type="dxa"/>
            <w:gridSpan w:val="4"/>
          </w:tcPr>
          <w:p w14:paraId="23428BB9" w14:textId="77777777" w:rsidR="002530E6" w:rsidRPr="00194D5A" w:rsidRDefault="002530E6" w:rsidP="002530E6">
            <w:pPr>
              <w:widowControl w:val="0"/>
              <w:rPr>
                <w:rFonts w:asciiTheme="minorHAnsi" w:hAnsiTheme="minorHAnsi" w:cstheme="minorHAnsi"/>
                <w:sz w:val="18"/>
                <w:szCs w:val="18"/>
              </w:rPr>
            </w:pPr>
            <w:r w:rsidRPr="00194D5A">
              <w:rPr>
                <w:rFonts w:asciiTheme="minorHAnsi" w:hAnsiTheme="minorHAnsi" w:cstheme="minorHAnsi"/>
                <w:b/>
                <w:sz w:val="18"/>
                <w:szCs w:val="18"/>
              </w:rPr>
              <w:t>General</w:t>
            </w:r>
            <w:r w:rsidRPr="00194D5A">
              <w:rPr>
                <w:rFonts w:asciiTheme="minorHAnsi" w:hAnsiTheme="minorHAnsi" w:cstheme="minorHAnsi"/>
                <w:sz w:val="18"/>
                <w:szCs w:val="18"/>
              </w:rPr>
              <w:t xml:space="preserve"> </w:t>
            </w:r>
            <w:r w:rsidRPr="00194D5A">
              <w:rPr>
                <w:rFonts w:asciiTheme="minorHAnsi" w:hAnsiTheme="minorHAnsi" w:cstheme="minorHAnsi"/>
                <w:b/>
                <w:sz w:val="18"/>
                <w:szCs w:val="18"/>
              </w:rPr>
              <w:t>Terms and Conditions (§§ 9.120 – 9.122)</w:t>
            </w:r>
          </w:p>
        </w:tc>
      </w:tr>
      <w:tr w:rsidR="002530E6" w:rsidRPr="00194D5A" w14:paraId="110F34BB" w14:textId="77777777" w:rsidTr="00F003FC">
        <w:tc>
          <w:tcPr>
            <w:tcW w:w="5305" w:type="dxa"/>
          </w:tcPr>
          <w:p w14:paraId="7F2F398F" w14:textId="12360A4C" w:rsidR="002530E6" w:rsidRPr="00194D5A" w:rsidRDefault="002530E6" w:rsidP="002530E6">
            <w:pPr>
              <w:widowControl w:val="0"/>
              <w:ind w:left="186" w:hanging="180"/>
              <w:rPr>
                <w:rFonts w:asciiTheme="minorHAnsi" w:hAnsiTheme="minorHAnsi" w:cstheme="minorHAnsi"/>
                <w:sz w:val="18"/>
                <w:szCs w:val="18"/>
              </w:rPr>
            </w:pPr>
            <w:r w:rsidRPr="00194D5A">
              <w:rPr>
                <w:rFonts w:asciiTheme="minorHAnsi" w:hAnsiTheme="minorHAnsi" w:cstheme="minorHAnsi"/>
                <w:sz w:val="18"/>
                <w:szCs w:val="18"/>
              </w:rPr>
              <w:t xml:space="preserve">  Affidavit that proposed operations are in compliance with all laws and that information submitted to NPS is accurate</w:t>
            </w:r>
          </w:p>
        </w:tc>
        <w:tc>
          <w:tcPr>
            <w:tcW w:w="1350" w:type="dxa"/>
          </w:tcPr>
          <w:p w14:paraId="51C0282C" w14:textId="77777777"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111</w:t>
            </w:r>
          </w:p>
        </w:tc>
        <w:tc>
          <w:tcPr>
            <w:tcW w:w="1170" w:type="dxa"/>
          </w:tcPr>
          <w:p w14:paraId="53D1F853" w14:textId="77777777"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1</w:t>
            </w:r>
          </w:p>
        </w:tc>
        <w:tc>
          <w:tcPr>
            <w:tcW w:w="1260" w:type="dxa"/>
          </w:tcPr>
          <w:p w14:paraId="393067E9" w14:textId="77777777"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111</w:t>
            </w:r>
          </w:p>
        </w:tc>
      </w:tr>
      <w:tr w:rsidR="002530E6" w:rsidRPr="00194D5A" w14:paraId="5D8E05FE" w14:textId="77777777" w:rsidTr="00F003FC">
        <w:tc>
          <w:tcPr>
            <w:tcW w:w="5305" w:type="dxa"/>
          </w:tcPr>
          <w:p w14:paraId="0F66B0AB" w14:textId="3175D72E" w:rsidR="002530E6" w:rsidRPr="00194D5A" w:rsidRDefault="002530E6" w:rsidP="002530E6">
            <w:pPr>
              <w:widowControl w:val="0"/>
              <w:ind w:left="186" w:hanging="180"/>
              <w:rPr>
                <w:rFonts w:asciiTheme="minorHAnsi" w:hAnsiTheme="minorHAnsi" w:cstheme="minorHAnsi"/>
                <w:sz w:val="18"/>
                <w:szCs w:val="18"/>
              </w:rPr>
            </w:pPr>
            <w:r w:rsidRPr="00194D5A">
              <w:rPr>
                <w:rFonts w:asciiTheme="minorHAnsi" w:hAnsiTheme="minorHAnsi" w:cstheme="minorHAnsi"/>
                <w:sz w:val="18"/>
                <w:szCs w:val="18"/>
              </w:rPr>
              <w:t xml:space="preserve">  Third-Party Monitor Report</w:t>
            </w:r>
          </w:p>
        </w:tc>
        <w:tc>
          <w:tcPr>
            <w:tcW w:w="1350" w:type="dxa"/>
          </w:tcPr>
          <w:p w14:paraId="71945594" w14:textId="28393B7F"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60</w:t>
            </w:r>
          </w:p>
        </w:tc>
        <w:tc>
          <w:tcPr>
            <w:tcW w:w="1170" w:type="dxa"/>
          </w:tcPr>
          <w:p w14:paraId="62A3F737" w14:textId="77777777"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17</w:t>
            </w:r>
          </w:p>
        </w:tc>
        <w:tc>
          <w:tcPr>
            <w:tcW w:w="1260" w:type="dxa"/>
          </w:tcPr>
          <w:p w14:paraId="474FDAE9" w14:textId="36AC4969"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1,020</w:t>
            </w:r>
          </w:p>
        </w:tc>
      </w:tr>
      <w:tr w:rsidR="002530E6" w:rsidRPr="00194D5A" w14:paraId="49C44F6F" w14:textId="77777777" w:rsidTr="00F003FC">
        <w:tc>
          <w:tcPr>
            <w:tcW w:w="5305" w:type="dxa"/>
          </w:tcPr>
          <w:p w14:paraId="2C88C9F3" w14:textId="1271D885" w:rsidR="002530E6" w:rsidRPr="00194D5A" w:rsidRDefault="002530E6" w:rsidP="002530E6">
            <w:pPr>
              <w:widowControl w:val="0"/>
              <w:ind w:left="186" w:hanging="180"/>
              <w:rPr>
                <w:rFonts w:asciiTheme="minorHAnsi" w:hAnsiTheme="minorHAnsi" w:cstheme="minorHAnsi"/>
                <w:sz w:val="18"/>
                <w:szCs w:val="18"/>
              </w:rPr>
            </w:pPr>
            <w:r w:rsidRPr="00194D5A">
              <w:rPr>
                <w:rFonts w:asciiTheme="minorHAnsi" w:hAnsiTheme="minorHAnsi" w:cstheme="minorHAnsi"/>
                <w:sz w:val="18"/>
                <w:szCs w:val="18"/>
              </w:rPr>
              <w:t xml:space="preserve">  Notification - Accidents involving Serious Personal Injuries/Death and Fires/Spills</w:t>
            </w:r>
          </w:p>
        </w:tc>
        <w:tc>
          <w:tcPr>
            <w:tcW w:w="1350" w:type="dxa"/>
          </w:tcPr>
          <w:p w14:paraId="16B83F9A" w14:textId="77777777"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2</w:t>
            </w:r>
          </w:p>
        </w:tc>
        <w:tc>
          <w:tcPr>
            <w:tcW w:w="1170" w:type="dxa"/>
          </w:tcPr>
          <w:p w14:paraId="356CC5FF" w14:textId="77777777"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1</w:t>
            </w:r>
          </w:p>
        </w:tc>
        <w:tc>
          <w:tcPr>
            <w:tcW w:w="1260" w:type="dxa"/>
          </w:tcPr>
          <w:p w14:paraId="28F49351" w14:textId="77777777"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2</w:t>
            </w:r>
          </w:p>
        </w:tc>
      </w:tr>
      <w:tr w:rsidR="002530E6" w:rsidRPr="00194D5A" w14:paraId="104647D2" w14:textId="77777777" w:rsidTr="00F003FC">
        <w:tc>
          <w:tcPr>
            <w:tcW w:w="5305" w:type="dxa"/>
          </w:tcPr>
          <w:p w14:paraId="6DF94B08" w14:textId="77777777" w:rsidR="002530E6" w:rsidRPr="00194D5A" w:rsidRDefault="002530E6" w:rsidP="002530E6">
            <w:pPr>
              <w:widowControl w:val="0"/>
              <w:ind w:left="186" w:hanging="180"/>
              <w:rPr>
                <w:rFonts w:asciiTheme="minorHAnsi" w:hAnsiTheme="minorHAnsi" w:cstheme="minorHAnsi"/>
                <w:sz w:val="18"/>
                <w:szCs w:val="18"/>
              </w:rPr>
            </w:pPr>
            <w:r w:rsidRPr="00194D5A">
              <w:rPr>
                <w:rFonts w:asciiTheme="minorHAnsi" w:hAnsiTheme="minorHAnsi" w:cstheme="minorHAnsi"/>
                <w:sz w:val="18"/>
                <w:szCs w:val="18"/>
              </w:rPr>
              <w:t xml:space="preserve">  Written Report - Accidents Involving Serious Injuries/Deaths</w:t>
            </w:r>
          </w:p>
          <w:p w14:paraId="21527CAA" w14:textId="5F4C5922" w:rsidR="002530E6" w:rsidRPr="00194D5A" w:rsidRDefault="002530E6" w:rsidP="002530E6">
            <w:pPr>
              <w:widowControl w:val="0"/>
              <w:ind w:left="186" w:hanging="180"/>
              <w:rPr>
                <w:rFonts w:asciiTheme="minorHAnsi" w:hAnsiTheme="minorHAnsi" w:cstheme="minorHAnsi"/>
                <w:sz w:val="18"/>
                <w:szCs w:val="18"/>
              </w:rPr>
            </w:pPr>
            <w:r w:rsidRPr="00194D5A">
              <w:rPr>
                <w:rFonts w:asciiTheme="minorHAnsi" w:hAnsiTheme="minorHAnsi" w:cstheme="minorHAnsi"/>
                <w:sz w:val="18"/>
                <w:szCs w:val="18"/>
              </w:rPr>
              <w:t xml:space="preserve">   and Fires/Spills</w:t>
            </w:r>
          </w:p>
        </w:tc>
        <w:tc>
          <w:tcPr>
            <w:tcW w:w="1350" w:type="dxa"/>
          </w:tcPr>
          <w:p w14:paraId="7485388E" w14:textId="77777777"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2</w:t>
            </w:r>
          </w:p>
        </w:tc>
        <w:tc>
          <w:tcPr>
            <w:tcW w:w="1170" w:type="dxa"/>
          </w:tcPr>
          <w:p w14:paraId="35D7A5A2" w14:textId="77777777"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16</w:t>
            </w:r>
          </w:p>
        </w:tc>
        <w:tc>
          <w:tcPr>
            <w:tcW w:w="1260" w:type="dxa"/>
          </w:tcPr>
          <w:p w14:paraId="2CFA100B" w14:textId="77777777"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32</w:t>
            </w:r>
          </w:p>
        </w:tc>
      </w:tr>
      <w:tr w:rsidR="002530E6" w:rsidRPr="00194D5A" w14:paraId="4457E2EA" w14:textId="77777777" w:rsidTr="00F003FC">
        <w:tc>
          <w:tcPr>
            <w:tcW w:w="5305" w:type="dxa"/>
          </w:tcPr>
          <w:p w14:paraId="733E0440" w14:textId="2E61C6FB" w:rsidR="002530E6" w:rsidRPr="00194D5A" w:rsidRDefault="002530E6" w:rsidP="002530E6">
            <w:pPr>
              <w:widowControl w:val="0"/>
              <w:ind w:left="186" w:hanging="180"/>
              <w:rPr>
                <w:rFonts w:asciiTheme="minorHAnsi" w:hAnsiTheme="minorHAnsi" w:cstheme="minorHAnsi"/>
                <w:sz w:val="18"/>
                <w:szCs w:val="18"/>
              </w:rPr>
            </w:pPr>
            <w:r w:rsidRPr="00194D5A">
              <w:rPr>
                <w:rFonts w:asciiTheme="minorHAnsi" w:hAnsiTheme="minorHAnsi" w:cstheme="minorHAnsi"/>
                <w:sz w:val="18"/>
                <w:szCs w:val="18"/>
              </w:rPr>
              <w:t xml:space="preserve">  Notification – Discovery of any cultural or scientific resources</w:t>
            </w:r>
          </w:p>
        </w:tc>
        <w:tc>
          <w:tcPr>
            <w:tcW w:w="1350" w:type="dxa"/>
          </w:tcPr>
          <w:p w14:paraId="2D35F799" w14:textId="77777777"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1</w:t>
            </w:r>
          </w:p>
        </w:tc>
        <w:tc>
          <w:tcPr>
            <w:tcW w:w="1170" w:type="dxa"/>
          </w:tcPr>
          <w:p w14:paraId="0A68753D" w14:textId="77777777"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1</w:t>
            </w:r>
          </w:p>
        </w:tc>
        <w:tc>
          <w:tcPr>
            <w:tcW w:w="1260" w:type="dxa"/>
          </w:tcPr>
          <w:p w14:paraId="646651AA" w14:textId="77777777"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1</w:t>
            </w:r>
          </w:p>
        </w:tc>
      </w:tr>
      <w:tr w:rsidR="002530E6" w:rsidRPr="00194D5A" w14:paraId="4A41BBB0" w14:textId="77777777" w:rsidTr="00F003FC">
        <w:tc>
          <w:tcPr>
            <w:tcW w:w="5305" w:type="dxa"/>
          </w:tcPr>
          <w:p w14:paraId="7AA90405" w14:textId="57957213" w:rsidR="002530E6" w:rsidRPr="00194D5A" w:rsidRDefault="002530E6" w:rsidP="002530E6">
            <w:pPr>
              <w:widowControl w:val="0"/>
              <w:ind w:left="186" w:hanging="180"/>
              <w:rPr>
                <w:rFonts w:asciiTheme="minorHAnsi" w:hAnsiTheme="minorHAnsi" w:cstheme="minorHAnsi"/>
                <w:sz w:val="18"/>
                <w:szCs w:val="18"/>
              </w:rPr>
            </w:pPr>
            <w:r w:rsidRPr="00194D5A">
              <w:rPr>
                <w:rFonts w:asciiTheme="minorHAnsi" w:hAnsiTheme="minorHAnsi" w:cstheme="minorHAnsi"/>
                <w:sz w:val="18"/>
                <w:szCs w:val="18"/>
              </w:rPr>
              <w:t xml:space="preserve">  Report - Verify Compliance with Permits</w:t>
            </w:r>
          </w:p>
        </w:tc>
        <w:tc>
          <w:tcPr>
            <w:tcW w:w="1350" w:type="dxa"/>
          </w:tcPr>
          <w:p w14:paraId="410C2BED" w14:textId="0A89058F"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534</w:t>
            </w:r>
          </w:p>
        </w:tc>
        <w:tc>
          <w:tcPr>
            <w:tcW w:w="1170" w:type="dxa"/>
          </w:tcPr>
          <w:p w14:paraId="0AFE0389" w14:textId="77777777"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4</w:t>
            </w:r>
          </w:p>
        </w:tc>
        <w:tc>
          <w:tcPr>
            <w:tcW w:w="1260" w:type="dxa"/>
          </w:tcPr>
          <w:p w14:paraId="4DDA497A" w14:textId="2FC07C01"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2,136</w:t>
            </w:r>
          </w:p>
        </w:tc>
      </w:tr>
      <w:tr w:rsidR="002530E6" w:rsidRPr="00194D5A" w14:paraId="57376E53" w14:textId="77777777" w:rsidTr="00F003FC">
        <w:tc>
          <w:tcPr>
            <w:tcW w:w="5305" w:type="dxa"/>
          </w:tcPr>
          <w:p w14:paraId="56CA3E21" w14:textId="0675453A" w:rsidR="002530E6" w:rsidRPr="00194D5A" w:rsidRDefault="002530E6" w:rsidP="002530E6">
            <w:pPr>
              <w:widowControl w:val="0"/>
              <w:rPr>
                <w:rFonts w:asciiTheme="minorHAnsi" w:hAnsiTheme="minorHAnsi" w:cstheme="minorHAnsi"/>
                <w:sz w:val="18"/>
                <w:szCs w:val="18"/>
              </w:rPr>
            </w:pPr>
            <w:r w:rsidRPr="00194D5A">
              <w:rPr>
                <w:rFonts w:asciiTheme="minorHAnsi" w:hAnsiTheme="minorHAnsi" w:cstheme="minorHAnsi"/>
                <w:sz w:val="18"/>
                <w:szCs w:val="18"/>
              </w:rPr>
              <w:t xml:space="preserve">  Reporting for Hydraulic Fracturing</w:t>
            </w:r>
          </w:p>
        </w:tc>
        <w:tc>
          <w:tcPr>
            <w:tcW w:w="1350" w:type="dxa"/>
          </w:tcPr>
          <w:p w14:paraId="27BE671C" w14:textId="77777777"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1</w:t>
            </w:r>
          </w:p>
        </w:tc>
        <w:tc>
          <w:tcPr>
            <w:tcW w:w="1170" w:type="dxa"/>
          </w:tcPr>
          <w:p w14:paraId="4E865EF5" w14:textId="77777777"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2</w:t>
            </w:r>
          </w:p>
        </w:tc>
        <w:tc>
          <w:tcPr>
            <w:tcW w:w="1260" w:type="dxa"/>
          </w:tcPr>
          <w:p w14:paraId="13F5C947" w14:textId="77777777"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2</w:t>
            </w:r>
          </w:p>
        </w:tc>
      </w:tr>
      <w:tr w:rsidR="002530E6" w:rsidRPr="00194D5A" w14:paraId="278A0956" w14:textId="77777777" w:rsidTr="00F003FC">
        <w:tc>
          <w:tcPr>
            <w:tcW w:w="5305" w:type="dxa"/>
          </w:tcPr>
          <w:p w14:paraId="04905593" w14:textId="77777777" w:rsidR="002530E6" w:rsidRPr="00194D5A" w:rsidRDefault="002530E6" w:rsidP="002530E6">
            <w:pPr>
              <w:widowControl w:val="0"/>
              <w:rPr>
                <w:rFonts w:asciiTheme="minorHAnsi" w:hAnsiTheme="minorHAnsi" w:cstheme="minorHAnsi"/>
                <w:sz w:val="18"/>
                <w:szCs w:val="18"/>
              </w:rPr>
            </w:pPr>
            <w:r w:rsidRPr="00194D5A">
              <w:rPr>
                <w:rFonts w:asciiTheme="minorHAnsi" w:hAnsiTheme="minorHAnsi" w:cstheme="minorHAnsi"/>
                <w:sz w:val="18"/>
                <w:szCs w:val="18"/>
              </w:rPr>
              <w:t>Financial Assurance (§§ 9.140 – 9.144)</w:t>
            </w:r>
          </w:p>
        </w:tc>
        <w:tc>
          <w:tcPr>
            <w:tcW w:w="1350" w:type="dxa"/>
          </w:tcPr>
          <w:p w14:paraId="302F9FB3" w14:textId="77777777"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5</w:t>
            </w:r>
          </w:p>
        </w:tc>
        <w:tc>
          <w:tcPr>
            <w:tcW w:w="1170" w:type="dxa"/>
          </w:tcPr>
          <w:p w14:paraId="2E0E71D1" w14:textId="77777777"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1</w:t>
            </w:r>
          </w:p>
        </w:tc>
        <w:tc>
          <w:tcPr>
            <w:tcW w:w="1260" w:type="dxa"/>
          </w:tcPr>
          <w:p w14:paraId="7B3125F4" w14:textId="77777777"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5</w:t>
            </w:r>
          </w:p>
        </w:tc>
      </w:tr>
      <w:tr w:rsidR="002530E6" w:rsidRPr="00194D5A" w14:paraId="156CF7A4" w14:textId="77777777" w:rsidTr="00F003FC">
        <w:tc>
          <w:tcPr>
            <w:tcW w:w="5305" w:type="dxa"/>
          </w:tcPr>
          <w:p w14:paraId="75950048" w14:textId="77777777" w:rsidR="002530E6" w:rsidRPr="00194D5A" w:rsidRDefault="002530E6" w:rsidP="002530E6">
            <w:pPr>
              <w:widowControl w:val="0"/>
              <w:rPr>
                <w:rFonts w:asciiTheme="minorHAnsi" w:hAnsiTheme="minorHAnsi" w:cstheme="minorHAnsi"/>
                <w:sz w:val="18"/>
                <w:szCs w:val="18"/>
              </w:rPr>
            </w:pPr>
            <w:r w:rsidRPr="00194D5A">
              <w:rPr>
                <w:rFonts w:asciiTheme="minorHAnsi" w:hAnsiTheme="minorHAnsi" w:cstheme="minorHAnsi"/>
                <w:sz w:val="18"/>
                <w:szCs w:val="18"/>
              </w:rPr>
              <w:t>Modification to an Operation (§ 9.150)</w:t>
            </w:r>
          </w:p>
        </w:tc>
        <w:tc>
          <w:tcPr>
            <w:tcW w:w="1350" w:type="dxa"/>
          </w:tcPr>
          <w:p w14:paraId="7038B467" w14:textId="77777777"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1</w:t>
            </w:r>
          </w:p>
        </w:tc>
        <w:tc>
          <w:tcPr>
            <w:tcW w:w="1170" w:type="dxa"/>
          </w:tcPr>
          <w:p w14:paraId="4A6DC323" w14:textId="77777777"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16</w:t>
            </w:r>
          </w:p>
        </w:tc>
        <w:tc>
          <w:tcPr>
            <w:tcW w:w="1260" w:type="dxa"/>
          </w:tcPr>
          <w:p w14:paraId="6FE3E8F5" w14:textId="77777777"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16</w:t>
            </w:r>
          </w:p>
        </w:tc>
      </w:tr>
      <w:tr w:rsidR="002530E6" w:rsidRPr="00194D5A" w14:paraId="269E6E43" w14:textId="77777777" w:rsidTr="00F003FC">
        <w:tc>
          <w:tcPr>
            <w:tcW w:w="5305" w:type="dxa"/>
          </w:tcPr>
          <w:p w14:paraId="10651324" w14:textId="77777777" w:rsidR="002530E6" w:rsidRPr="00194D5A" w:rsidRDefault="002530E6" w:rsidP="002530E6">
            <w:pPr>
              <w:widowControl w:val="0"/>
              <w:rPr>
                <w:rFonts w:asciiTheme="minorHAnsi" w:hAnsiTheme="minorHAnsi" w:cstheme="minorHAnsi"/>
                <w:sz w:val="18"/>
                <w:szCs w:val="18"/>
              </w:rPr>
            </w:pPr>
            <w:r w:rsidRPr="00194D5A">
              <w:rPr>
                <w:rFonts w:asciiTheme="minorHAnsi" w:hAnsiTheme="minorHAnsi" w:cstheme="minorHAnsi"/>
                <w:sz w:val="18"/>
                <w:szCs w:val="18"/>
              </w:rPr>
              <w:t>Change of Operator (§§ 9.160 – 9.161)</w:t>
            </w:r>
          </w:p>
        </w:tc>
        <w:tc>
          <w:tcPr>
            <w:tcW w:w="1350" w:type="dxa"/>
          </w:tcPr>
          <w:p w14:paraId="109C0746" w14:textId="77777777"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5</w:t>
            </w:r>
          </w:p>
        </w:tc>
        <w:tc>
          <w:tcPr>
            <w:tcW w:w="1170" w:type="dxa"/>
          </w:tcPr>
          <w:p w14:paraId="4CCFCEF0" w14:textId="77777777"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8</w:t>
            </w:r>
          </w:p>
        </w:tc>
        <w:tc>
          <w:tcPr>
            <w:tcW w:w="1260" w:type="dxa"/>
          </w:tcPr>
          <w:p w14:paraId="5B42A41A" w14:textId="77777777"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40</w:t>
            </w:r>
          </w:p>
        </w:tc>
      </w:tr>
      <w:tr w:rsidR="002530E6" w:rsidRPr="00194D5A" w14:paraId="5784C1FB" w14:textId="77777777" w:rsidTr="00F003FC">
        <w:tc>
          <w:tcPr>
            <w:tcW w:w="5305" w:type="dxa"/>
          </w:tcPr>
          <w:p w14:paraId="26F8BAA3" w14:textId="77777777" w:rsidR="002530E6" w:rsidRPr="00194D5A" w:rsidRDefault="002530E6" w:rsidP="002530E6">
            <w:pPr>
              <w:widowControl w:val="0"/>
              <w:rPr>
                <w:rFonts w:asciiTheme="minorHAnsi" w:hAnsiTheme="minorHAnsi" w:cstheme="minorHAnsi"/>
                <w:sz w:val="18"/>
                <w:szCs w:val="18"/>
              </w:rPr>
            </w:pPr>
            <w:r w:rsidRPr="00194D5A">
              <w:rPr>
                <w:rFonts w:asciiTheme="minorHAnsi" w:hAnsiTheme="minorHAnsi" w:cstheme="minorHAnsi"/>
                <w:sz w:val="18"/>
                <w:szCs w:val="18"/>
              </w:rPr>
              <w:t>Well Plugging (§§ 9.170 – 9.171)</w:t>
            </w:r>
          </w:p>
        </w:tc>
        <w:tc>
          <w:tcPr>
            <w:tcW w:w="1350" w:type="dxa"/>
          </w:tcPr>
          <w:p w14:paraId="2F1CBED5" w14:textId="79EE1EE5"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33</w:t>
            </w:r>
          </w:p>
        </w:tc>
        <w:tc>
          <w:tcPr>
            <w:tcW w:w="1170" w:type="dxa"/>
          </w:tcPr>
          <w:p w14:paraId="7CD1AD05" w14:textId="77777777"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14</w:t>
            </w:r>
          </w:p>
        </w:tc>
        <w:tc>
          <w:tcPr>
            <w:tcW w:w="1260" w:type="dxa"/>
          </w:tcPr>
          <w:p w14:paraId="12E78923" w14:textId="3F24410F"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462</w:t>
            </w:r>
          </w:p>
        </w:tc>
      </w:tr>
      <w:tr w:rsidR="002530E6" w:rsidRPr="00194D5A" w14:paraId="07952BE6" w14:textId="77777777" w:rsidTr="00F003FC">
        <w:tc>
          <w:tcPr>
            <w:tcW w:w="5305" w:type="dxa"/>
            <w:tcBorders>
              <w:bottom w:val="single" w:sz="4" w:space="0" w:color="000000"/>
            </w:tcBorders>
          </w:tcPr>
          <w:p w14:paraId="1B1291DA" w14:textId="77777777" w:rsidR="002530E6" w:rsidRPr="00194D5A" w:rsidRDefault="002530E6" w:rsidP="002530E6">
            <w:pPr>
              <w:widowControl w:val="0"/>
              <w:rPr>
                <w:rFonts w:asciiTheme="minorHAnsi" w:hAnsiTheme="minorHAnsi" w:cstheme="minorHAnsi"/>
                <w:sz w:val="18"/>
                <w:szCs w:val="18"/>
              </w:rPr>
            </w:pPr>
            <w:r w:rsidRPr="00194D5A">
              <w:rPr>
                <w:rFonts w:asciiTheme="minorHAnsi" w:hAnsiTheme="minorHAnsi" w:cstheme="minorHAnsi"/>
                <w:sz w:val="18"/>
                <w:szCs w:val="18"/>
              </w:rPr>
              <w:t>Reconsideration and Appeals (§§ 9.190 – 9.194)</w:t>
            </w:r>
          </w:p>
        </w:tc>
        <w:tc>
          <w:tcPr>
            <w:tcW w:w="1350" w:type="dxa"/>
            <w:tcBorders>
              <w:bottom w:val="single" w:sz="4" w:space="0" w:color="000000"/>
            </w:tcBorders>
          </w:tcPr>
          <w:p w14:paraId="32721F9A" w14:textId="77777777"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1</w:t>
            </w:r>
          </w:p>
        </w:tc>
        <w:tc>
          <w:tcPr>
            <w:tcW w:w="1170" w:type="dxa"/>
            <w:tcBorders>
              <w:bottom w:val="single" w:sz="4" w:space="0" w:color="000000"/>
            </w:tcBorders>
          </w:tcPr>
          <w:p w14:paraId="5F3334C1" w14:textId="77777777"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16</w:t>
            </w:r>
          </w:p>
        </w:tc>
        <w:tc>
          <w:tcPr>
            <w:tcW w:w="1260" w:type="dxa"/>
            <w:tcBorders>
              <w:bottom w:val="single" w:sz="4" w:space="0" w:color="000000"/>
            </w:tcBorders>
          </w:tcPr>
          <w:p w14:paraId="4A7BB9D6" w14:textId="77777777"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16</w:t>
            </w:r>
          </w:p>
        </w:tc>
      </w:tr>
      <w:tr w:rsidR="002530E6" w:rsidRPr="00194D5A" w14:paraId="16A93DEF" w14:textId="77777777" w:rsidTr="00F003FC">
        <w:tc>
          <w:tcPr>
            <w:tcW w:w="5305" w:type="dxa"/>
            <w:tcBorders>
              <w:bottom w:val="single" w:sz="4" w:space="0" w:color="000000"/>
            </w:tcBorders>
          </w:tcPr>
          <w:p w14:paraId="00C1D247" w14:textId="77777777" w:rsidR="002530E6" w:rsidRPr="00194D5A" w:rsidRDefault="002530E6" w:rsidP="002530E6">
            <w:pPr>
              <w:widowControl w:val="0"/>
              <w:rPr>
                <w:rFonts w:asciiTheme="minorHAnsi" w:hAnsiTheme="minorHAnsi" w:cstheme="minorHAnsi"/>
                <w:sz w:val="18"/>
                <w:szCs w:val="18"/>
              </w:rPr>
            </w:pPr>
            <w:r w:rsidRPr="00194D5A">
              <w:rPr>
                <w:rFonts w:asciiTheme="minorHAnsi" w:hAnsiTheme="minorHAnsi" w:cstheme="minorHAnsi"/>
                <w:sz w:val="18"/>
                <w:szCs w:val="18"/>
              </w:rPr>
              <w:t>Public Participation (§ 9.200)</w:t>
            </w:r>
          </w:p>
        </w:tc>
        <w:tc>
          <w:tcPr>
            <w:tcW w:w="1350" w:type="dxa"/>
            <w:tcBorders>
              <w:bottom w:val="single" w:sz="4" w:space="0" w:color="000000"/>
            </w:tcBorders>
          </w:tcPr>
          <w:p w14:paraId="26AC985B" w14:textId="77777777"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1</w:t>
            </w:r>
          </w:p>
        </w:tc>
        <w:tc>
          <w:tcPr>
            <w:tcW w:w="1170" w:type="dxa"/>
            <w:tcBorders>
              <w:bottom w:val="single" w:sz="4" w:space="0" w:color="000000"/>
            </w:tcBorders>
          </w:tcPr>
          <w:p w14:paraId="465D9521" w14:textId="77777777"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4</w:t>
            </w:r>
          </w:p>
        </w:tc>
        <w:tc>
          <w:tcPr>
            <w:tcW w:w="1260" w:type="dxa"/>
            <w:tcBorders>
              <w:bottom w:val="single" w:sz="4" w:space="0" w:color="000000"/>
            </w:tcBorders>
          </w:tcPr>
          <w:p w14:paraId="0F2EEF91" w14:textId="77777777" w:rsidR="002530E6" w:rsidRPr="00194D5A" w:rsidRDefault="002530E6" w:rsidP="002530E6">
            <w:pPr>
              <w:widowControl w:val="0"/>
              <w:jc w:val="right"/>
              <w:rPr>
                <w:rFonts w:asciiTheme="minorHAnsi" w:hAnsiTheme="minorHAnsi" w:cstheme="minorHAnsi"/>
                <w:sz w:val="18"/>
                <w:szCs w:val="18"/>
              </w:rPr>
            </w:pPr>
            <w:r w:rsidRPr="00194D5A">
              <w:rPr>
                <w:rFonts w:asciiTheme="minorHAnsi" w:hAnsiTheme="minorHAnsi" w:cstheme="minorHAnsi"/>
                <w:sz w:val="18"/>
                <w:szCs w:val="18"/>
              </w:rPr>
              <w:t>4</w:t>
            </w:r>
          </w:p>
        </w:tc>
      </w:tr>
      <w:tr w:rsidR="002530E6" w:rsidRPr="00194D5A" w14:paraId="06CA60DD" w14:textId="77777777" w:rsidTr="00F003FC">
        <w:tc>
          <w:tcPr>
            <w:tcW w:w="5305" w:type="dxa"/>
            <w:shd w:val="clear" w:color="auto" w:fill="D9D9D9"/>
          </w:tcPr>
          <w:p w14:paraId="75B9AC66" w14:textId="77777777" w:rsidR="002530E6" w:rsidRPr="00194D5A" w:rsidRDefault="002530E6" w:rsidP="002530E6">
            <w:pPr>
              <w:widowControl w:val="0"/>
              <w:jc w:val="both"/>
              <w:rPr>
                <w:rFonts w:asciiTheme="minorHAnsi" w:hAnsiTheme="minorHAnsi" w:cstheme="minorHAnsi"/>
                <w:b/>
                <w:sz w:val="18"/>
                <w:szCs w:val="18"/>
              </w:rPr>
            </w:pPr>
            <w:r w:rsidRPr="00194D5A">
              <w:rPr>
                <w:rFonts w:asciiTheme="minorHAnsi" w:hAnsiTheme="minorHAnsi" w:cstheme="minorHAnsi"/>
                <w:b/>
                <w:sz w:val="18"/>
                <w:szCs w:val="18"/>
              </w:rPr>
              <w:t>Total</w:t>
            </w:r>
          </w:p>
        </w:tc>
        <w:tc>
          <w:tcPr>
            <w:tcW w:w="1350" w:type="dxa"/>
            <w:shd w:val="clear" w:color="auto" w:fill="D9D9D9"/>
          </w:tcPr>
          <w:p w14:paraId="6F17B632" w14:textId="34692668" w:rsidR="002530E6" w:rsidRPr="00194D5A" w:rsidRDefault="002530E6" w:rsidP="002530E6">
            <w:pPr>
              <w:widowControl w:val="0"/>
              <w:jc w:val="right"/>
              <w:rPr>
                <w:rFonts w:asciiTheme="minorHAnsi" w:hAnsiTheme="minorHAnsi" w:cstheme="minorHAnsi"/>
                <w:b/>
                <w:sz w:val="18"/>
                <w:szCs w:val="18"/>
              </w:rPr>
            </w:pPr>
            <w:r w:rsidRPr="00194D5A">
              <w:rPr>
                <w:rFonts w:asciiTheme="minorHAnsi" w:hAnsiTheme="minorHAnsi" w:cstheme="minorHAnsi"/>
                <w:b/>
                <w:sz w:val="18"/>
                <w:szCs w:val="18"/>
              </w:rPr>
              <w:t>1,451</w:t>
            </w:r>
          </w:p>
        </w:tc>
        <w:tc>
          <w:tcPr>
            <w:tcW w:w="1170" w:type="dxa"/>
            <w:shd w:val="clear" w:color="auto" w:fill="D9D9D9"/>
          </w:tcPr>
          <w:p w14:paraId="7BB580CA" w14:textId="77777777" w:rsidR="002530E6" w:rsidRPr="00194D5A" w:rsidRDefault="002530E6" w:rsidP="002530E6">
            <w:pPr>
              <w:widowControl w:val="0"/>
              <w:jc w:val="right"/>
              <w:rPr>
                <w:rFonts w:asciiTheme="minorHAnsi" w:hAnsiTheme="minorHAnsi" w:cstheme="minorHAnsi"/>
                <w:b/>
                <w:sz w:val="18"/>
                <w:szCs w:val="18"/>
              </w:rPr>
            </w:pPr>
          </w:p>
        </w:tc>
        <w:tc>
          <w:tcPr>
            <w:tcW w:w="1260" w:type="dxa"/>
            <w:shd w:val="clear" w:color="auto" w:fill="D9D9D9"/>
          </w:tcPr>
          <w:p w14:paraId="7D1AC37C" w14:textId="0341CC7A" w:rsidR="002530E6" w:rsidRPr="00194D5A" w:rsidRDefault="002530E6" w:rsidP="002530E6">
            <w:pPr>
              <w:widowControl w:val="0"/>
              <w:jc w:val="right"/>
              <w:rPr>
                <w:rFonts w:asciiTheme="minorHAnsi" w:hAnsiTheme="minorHAnsi" w:cstheme="minorHAnsi"/>
                <w:b/>
                <w:sz w:val="18"/>
                <w:szCs w:val="18"/>
              </w:rPr>
            </w:pPr>
            <w:r w:rsidRPr="00194D5A">
              <w:rPr>
                <w:rFonts w:asciiTheme="minorHAnsi" w:hAnsiTheme="minorHAnsi" w:cstheme="minorHAnsi"/>
                <w:b/>
                <w:sz w:val="18"/>
                <w:szCs w:val="18"/>
              </w:rPr>
              <w:t>10,752</w:t>
            </w:r>
          </w:p>
        </w:tc>
      </w:tr>
    </w:tbl>
    <w:p w14:paraId="7DA10EC9" w14:textId="04A93E19" w:rsidR="00194D5A" w:rsidRPr="00657158" w:rsidRDefault="00657158" w:rsidP="00683926">
      <w:pPr>
        <w:tabs>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i/>
          <w:sz w:val="18"/>
          <w:szCs w:val="22"/>
        </w:rPr>
      </w:pPr>
      <w:r w:rsidRPr="00657158">
        <w:rPr>
          <w:rFonts w:asciiTheme="minorHAnsi" w:hAnsiTheme="minorHAnsi" w:cstheme="minorHAnsi"/>
          <w:i/>
          <w:sz w:val="18"/>
          <w:szCs w:val="22"/>
        </w:rPr>
        <w:t>*This estimate includes the IC requirements from 1024-0274</w:t>
      </w:r>
    </w:p>
    <w:p w14:paraId="028C4820" w14:textId="77777777" w:rsidR="00194D5A" w:rsidRPr="00657158" w:rsidRDefault="00194D5A" w:rsidP="00683926">
      <w:pPr>
        <w:tabs>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i/>
          <w:sz w:val="18"/>
          <w:szCs w:val="22"/>
        </w:rPr>
      </w:pPr>
    </w:p>
    <w:p w14:paraId="4FF87B9F" w14:textId="77777777" w:rsidR="00F003FC" w:rsidRDefault="00F003FC">
      <w:pPr>
        <w:rPr>
          <w:rFonts w:asciiTheme="minorHAnsi" w:hAnsiTheme="minorHAnsi" w:cstheme="minorHAnsi"/>
          <w:b/>
          <w:sz w:val="22"/>
          <w:szCs w:val="22"/>
        </w:rPr>
      </w:pPr>
      <w:r>
        <w:rPr>
          <w:rFonts w:asciiTheme="minorHAnsi" w:hAnsiTheme="minorHAnsi" w:cstheme="minorHAnsi"/>
          <w:b/>
          <w:sz w:val="22"/>
          <w:szCs w:val="22"/>
        </w:rPr>
        <w:br w:type="page"/>
      </w:r>
    </w:p>
    <w:p w14:paraId="1F10457C" w14:textId="76F5D4FA" w:rsidR="00303F5F" w:rsidRPr="00194D5A" w:rsidRDefault="00303F5F" w:rsidP="00683926">
      <w:pPr>
        <w:tabs>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194D5A">
        <w:rPr>
          <w:rFonts w:asciiTheme="minorHAnsi" w:hAnsiTheme="minorHAnsi" w:cstheme="minorHAnsi"/>
          <w:b/>
          <w:sz w:val="22"/>
          <w:szCs w:val="22"/>
        </w:rPr>
        <w:t>13.</w:t>
      </w:r>
      <w:r w:rsidRPr="00194D5A">
        <w:rPr>
          <w:rFonts w:asciiTheme="minorHAnsi" w:hAnsiTheme="minorHAnsi" w:cstheme="minorHAnsi"/>
          <w:b/>
          <w:sz w:val="22"/>
          <w:szCs w:val="22"/>
        </w:rPr>
        <w:tab/>
        <w:t>Provide an estimate of the total annual non-hour cost burden to respondents or recordkeepers resulting from the collection of information.  (Do not include the cost of any hour burden already reflected in item 12.)</w:t>
      </w:r>
    </w:p>
    <w:p w14:paraId="4E467818" w14:textId="77777777" w:rsidR="00303F5F" w:rsidRPr="00194D5A" w:rsidRDefault="00303F5F" w:rsidP="00683926">
      <w:pPr>
        <w:tabs>
          <w:tab w:val="left" w:pos="720"/>
          <w:tab w:val="left" w:pos="14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080" w:hanging="360"/>
        <w:rPr>
          <w:rFonts w:asciiTheme="minorHAnsi" w:hAnsiTheme="minorHAnsi" w:cstheme="minorHAnsi"/>
          <w:b/>
          <w:sz w:val="22"/>
          <w:szCs w:val="22"/>
        </w:rPr>
      </w:pPr>
      <w:r w:rsidRPr="00194D5A">
        <w:rPr>
          <w:rFonts w:asciiTheme="minorHAnsi" w:hAnsiTheme="minorHAnsi" w:cstheme="minorHAnsi"/>
          <w:b/>
          <w:sz w:val="22"/>
          <w:szCs w:val="22"/>
        </w:rPr>
        <w:t>*</w:t>
      </w:r>
      <w:r w:rsidRPr="00194D5A">
        <w:rPr>
          <w:rFonts w:asciiTheme="minorHAnsi" w:hAnsiTheme="minorHAnsi" w:cstheme="minorHAnsi"/>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07A0697" w14:textId="77777777" w:rsidR="00303F5F" w:rsidRPr="00194D5A" w:rsidRDefault="00303F5F" w:rsidP="00683926">
      <w:pPr>
        <w:tabs>
          <w:tab w:val="left" w:pos="720"/>
          <w:tab w:val="left" w:pos="14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080" w:hanging="360"/>
        <w:rPr>
          <w:rFonts w:asciiTheme="minorHAnsi" w:hAnsiTheme="minorHAnsi" w:cstheme="minorHAnsi"/>
          <w:b/>
          <w:sz w:val="22"/>
          <w:szCs w:val="22"/>
        </w:rPr>
      </w:pPr>
      <w:r w:rsidRPr="00194D5A">
        <w:rPr>
          <w:rFonts w:asciiTheme="minorHAnsi" w:hAnsiTheme="minorHAnsi" w:cstheme="minorHAnsi"/>
          <w:b/>
          <w:sz w:val="22"/>
          <w:szCs w:val="22"/>
        </w:rPr>
        <w:t>*</w:t>
      </w:r>
      <w:r w:rsidRPr="00194D5A">
        <w:rPr>
          <w:rFonts w:asciiTheme="minorHAnsi" w:hAnsiTheme="minorHAnsi" w:cstheme="minorHAnsi"/>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45B8879" w14:textId="77777777" w:rsidR="00303F5F" w:rsidRPr="00194D5A" w:rsidRDefault="00303F5F" w:rsidP="00683926">
      <w:pPr>
        <w:tabs>
          <w:tab w:val="left" w:pos="720"/>
          <w:tab w:val="left" w:pos="14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080" w:hanging="720"/>
        <w:rPr>
          <w:rFonts w:asciiTheme="minorHAnsi" w:hAnsiTheme="minorHAnsi" w:cstheme="minorHAnsi"/>
          <w:sz w:val="22"/>
          <w:szCs w:val="22"/>
        </w:rPr>
      </w:pPr>
      <w:r w:rsidRPr="00194D5A">
        <w:rPr>
          <w:rFonts w:asciiTheme="minorHAnsi" w:hAnsiTheme="minorHAnsi" w:cstheme="minorHAnsi"/>
          <w:b/>
          <w:sz w:val="22"/>
          <w:szCs w:val="22"/>
        </w:rPr>
        <w:tab/>
        <w:t>*</w:t>
      </w:r>
      <w:r w:rsidRPr="00194D5A">
        <w:rPr>
          <w:rFonts w:asciiTheme="minorHAnsi" w:hAnsiTheme="minorHAnsi" w:cstheme="minorHAnsi"/>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268F7DF3" w14:textId="77777777" w:rsidR="00303F5F" w:rsidRPr="00194D5A" w:rsidRDefault="00303F5F" w:rsidP="00683926">
      <w:pPr>
        <w:tabs>
          <w:tab w:val="left" w:pos="-720"/>
          <w:tab w:val="left" w:pos="720"/>
        </w:tabs>
        <w:suppressAutoHyphens/>
        <w:spacing w:line="276" w:lineRule="auto"/>
        <w:ind w:left="720" w:hanging="720"/>
        <w:rPr>
          <w:rFonts w:asciiTheme="minorHAnsi" w:hAnsiTheme="minorHAnsi" w:cstheme="minorHAnsi"/>
          <w:sz w:val="22"/>
          <w:szCs w:val="22"/>
        </w:rPr>
      </w:pPr>
    </w:p>
    <w:p w14:paraId="70A1DBAB" w14:textId="77777777" w:rsidR="008E2B35" w:rsidRPr="00194D5A" w:rsidRDefault="008E2B35" w:rsidP="00683926">
      <w:pPr>
        <w:tabs>
          <w:tab w:val="left" w:pos="720"/>
        </w:tabs>
        <w:suppressAutoHyphens/>
        <w:spacing w:line="276" w:lineRule="auto"/>
        <w:ind w:left="720" w:hanging="720"/>
        <w:rPr>
          <w:rFonts w:asciiTheme="minorHAnsi" w:hAnsiTheme="minorHAnsi" w:cstheme="minorHAnsi"/>
          <w:b/>
          <w:sz w:val="22"/>
          <w:szCs w:val="22"/>
          <w:u w:val="single"/>
        </w:rPr>
      </w:pPr>
      <w:r w:rsidRPr="00194D5A">
        <w:rPr>
          <w:rFonts w:asciiTheme="minorHAnsi" w:hAnsiTheme="minorHAnsi" w:cstheme="minorHAnsi"/>
          <w:b/>
          <w:sz w:val="22"/>
          <w:szCs w:val="22"/>
          <w:u w:val="single"/>
        </w:rPr>
        <w:t>Cost Recovery</w:t>
      </w:r>
    </w:p>
    <w:p w14:paraId="0799A9D6" w14:textId="77777777" w:rsidR="008E2B35" w:rsidRPr="00194D5A" w:rsidRDefault="008E2B35" w:rsidP="00683926">
      <w:pPr>
        <w:suppressAutoHyphens/>
        <w:spacing w:line="276" w:lineRule="auto"/>
        <w:rPr>
          <w:rFonts w:asciiTheme="minorHAnsi" w:hAnsiTheme="minorHAnsi" w:cstheme="minorHAnsi"/>
          <w:sz w:val="22"/>
          <w:szCs w:val="22"/>
        </w:rPr>
      </w:pPr>
      <w:r w:rsidRPr="00194D5A">
        <w:rPr>
          <w:rFonts w:asciiTheme="minorHAnsi" w:hAnsiTheme="minorHAnsi" w:cstheme="minorHAnsi"/>
          <w:sz w:val="22"/>
          <w:szCs w:val="22"/>
        </w:rPr>
        <w:t xml:space="preserve">The NPS is allowing System units the option of seeking cost recovery for the cost to the NPS of providing necessary services associated with special use permits.  The annual amount of cost recovery would be consistent with the annual cost to the federal government as described below in question 14. The numbers are different however, because not all costs to the NPS will be able to be recovered. For example, if the NPS reviews right to operate documentation and finds that a right does not exist and the applicant fails to then move forward in the permitting process, the NPS cannot seek cost recovery from the applicant.  However, NPS staff time to make this determination would be expended at a cost to the federal government. </w:t>
      </w:r>
    </w:p>
    <w:p w14:paraId="1F2FA175" w14:textId="4B2E50F5" w:rsidR="008E2B35" w:rsidRPr="00194D5A" w:rsidRDefault="008E2B35" w:rsidP="00683926">
      <w:pPr>
        <w:suppressAutoHyphens/>
        <w:spacing w:line="276" w:lineRule="auto"/>
        <w:rPr>
          <w:rFonts w:asciiTheme="minorHAnsi" w:hAnsiTheme="minorHAnsi" w:cstheme="minorHAnsi"/>
          <w:b/>
          <w:sz w:val="22"/>
          <w:szCs w:val="22"/>
          <w:u w:val="single"/>
        </w:rPr>
      </w:pPr>
      <w:r w:rsidRPr="00194D5A">
        <w:rPr>
          <w:rFonts w:asciiTheme="minorHAnsi" w:hAnsiTheme="minorHAnsi" w:cstheme="minorHAnsi"/>
          <w:b/>
          <w:sz w:val="22"/>
          <w:szCs w:val="22"/>
          <w:u w:val="single"/>
        </w:rPr>
        <w:t>Processing New Operations Permits</w:t>
      </w:r>
    </w:p>
    <w:p w14:paraId="3BF7EFE4" w14:textId="77777777" w:rsidR="008E2B35" w:rsidRPr="00194D5A" w:rsidRDefault="008E2B35" w:rsidP="00683926">
      <w:pPr>
        <w:suppressAutoHyphens/>
        <w:spacing w:line="276" w:lineRule="auto"/>
        <w:rPr>
          <w:rFonts w:asciiTheme="minorHAnsi" w:hAnsiTheme="minorHAnsi" w:cstheme="minorHAnsi"/>
          <w:sz w:val="22"/>
          <w:szCs w:val="22"/>
        </w:rPr>
      </w:pPr>
      <w:r w:rsidRPr="00194D5A">
        <w:rPr>
          <w:rFonts w:asciiTheme="minorHAnsi" w:hAnsiTheme="minorHAnsi" w:cstheme="minorHAnsi"/>
          <w:sz w:val="22"/>
          <w:szCs w:val="22"/>
        </w:rPr>
        <w:t>The service costs associated with administering a permit consist of a one-time fee for processing a permit application, and then a reoccurring annual fee for monitoring operations for compliance with the permit.</w:t>
      </w:r>
    </w:p>
    <w:p w14:paraId="31BAE47B" w14:textId="77777777" w:rsidR="008E2B35" w:rsidRPr="00194D5A" w:rsidRDefault="008E2B35" w:rsidP="00683926">
      <w:pPr>
        <w:tabs>
          <w:tab w:val="left" w:pos="720"/>
        </w:tabs>
        <w:suppressAutoHyphens/>
        <w:spacing w:line="276" w:lineRule="auto"/>
        <w:ind w:left="720" w:hanging="720"/>
        <w:rPr>
          <w:rFonts w:asciiTheme="minorHAnsi" w:hAnsiTheme="minorHAnsi" w:cstheme="minorHAnsi"/>
          <w:sz w:val="22"/>
          <w:szCs w:val="22"/>
        </w:rPr>
      </w:pPr>
    </w:p>
    <w:p w14:paraId="69DC2224" w14:textId="77777777" w:rsidR="008E2B35" w:rsidRPr="00194D5A" w:rsidRDefault="008E2B35" w:rsidP="00683926">
      <w:pPr>
        <w:suppressAutoHyphens/>
        <w:spacing w:line="276" w:lineRule="auto"/>
        <w:rPr>
          <w:rFonts w:asciiTheme="minorHAnsi" w:hAnsiTheme="minorHAnsi" w:cstheme="minorHAnsi"/>
          <w:sz w:val="22"/>
          <w:szCs w:val="22"/>
        </w:rPr>
      </w:pPr>
      <w:r w:rsidRPr="00194D5A">
        <w:rPr>
          <w:rFonts w:asciiTheme="minorHAnsi" w:hAnsiTheme="minorHAnsi" w:cstheme="minorHAnsi"/>
          <w:sz w:val="22"/>
          <w:szCs w:val="22"/>
        </w:rPr>
        <w:t>The one-time fee for processing permits would vary largely depending on the complexity of the permit, site location, and proximity to sensitive resources (i.e., species habitat, wetlands and water features, cultural resources, etc.). The NPS estimates this one-time fee to range from $500 to $5,000, but trend towards the high-end of the range since most operations will have notable implications on park resources and visitor values. The NPS expects an average of 5 permit applications per year (4 new drills and 1 seismic survey). Using the high-end estimate of $5,000 per permit application, the average annual cost to operators is expected to be approximately $25,000 per year.</w:t>
      </w:r>
    </w:p>
    <w:p w14:paraId="38005C04" w14:textId="77777777" w:rsidR="00281A51" w:rsidRPr="00194D5A" w:rsidRDefault="00281A51" w:rsidP="00683926">
      <w:pPr>
        <w:tabs>
          <w:tab w:val="left" w:pos="720"/>
        </w:tabs>
        <w:suppressAutoHyphens/>
        <w:spacing w:line="276" w:lineRule="auto"/>
        <w:ind w:left="720" w:hanging="720"/>
        <w:rPr>
          <w:rFonts w:asciiTheme="minorHAnsi" w:hAnsiTheme="minorHAnsi" w:cstheme="minorHAnsi"/>
          <w:sz w:val="22"/>
          <w:szCs w:val="22"/>
        </w:rPr>
      </w:pPr>
    </w:p>
    <w:p w14:paraId="0230FCFF" w14:textId="39F8E124" w:rsidR="008E2B35" w:rsidRPr="00194D5A" w:rsidRDefault="008E2B35" w:rsidP="00683926">
      <w:pPr>
        <w:tabs>
          <w:tab w:val="left" w:pos="720"/>
        </w:tabs>
        <w:suppressAutoHyphens/>
        <w:spacing w:line="276" w:lineRule="auto"/>
        <w:rPr>
          <w:rFonts w:asciiTheme="minorHAnsi" w:hAnsiTheme="minorHAnsi" w:cstheme="minorHAnsi"/>
          <w:b/>
          <w:sz w:val="22"/>
          <w:szCs w:val="22"/>
          <w:u w:val="single"/>
        </w:rPr>
      </w:pPr>
      <w:r w:rsidRPr="00194D5A">
        <w:rPr>
          <w:rFonts w:asciiTheme="minorHAnsi" w:hAnsiTheme="minorHAnsi" w:cstheme="minorHAnsi"/>
          <w:b/>
          <w:sz w:val="22"/>
          <w:szCs w:val="22"/>
          <w:u w:val="single"/>
        </w:rPr>
        <w:t>Ongoing Monitoring of Operations</w:t>
      </w:r>
    </w:p>
    <w:p w14:paraId="6F9D816D" w14:textId="25B37F74" w:rsidR="008E2B35" w:rsidRPr="00194D5A" w:rsidRDefault="008E2B35" w:rsidP="00683926">
      <w:pPr>
        <w:pStyle w:val="Default"/>
        <w:spacing w:line="276" w:lineRule="auto"/>
        <w:rPr>
          <w:rFonts w:asciiTheme="minorHAnsi" w:hAnsiTheme="minorHAnsi" w:cstheme="minorHAnsi"/>
          <w:color w:val="auto"/>
          <w:sz w:val="22"/>
          <w:szCs w:val="22"/>
        </w:rPr>
      </w:pPr>
      <w:r w:rsidRPr="00194D5A">
        <w:rPr>
          <w:rFonts w:asciiTheme="minorHAnsi" w:hAnsiTheme="minorHAnsi" w:cstheme="minorHAnsi"/>
          <w:color w:val="auto"/>
          <w:sz w:val="22"/>
          <w:szCs w:val="22"/>
        </w:rPr>
        <w:t>Annual monitoring costs consist of staff time to visit and document conditions at operations sites, compile information into a monitoring report, and conduct follow up correspondence with operators where conditions of non-compliance exist. These costs will also vary depending on complexity of operations, ease of access, and rates of non-compliance issues. The NPS estimates the range to be between $120 and $500 (based on an hourly cost factor of $80.2</w:t>
      </w:r>
      <w:r w:rsidR="00203072" w:rsidRPr="00194D5A">
        <w:rPr>
          <w:rFonts w:asciiTheme="minorHAnsi" w:hAnsiTheme="minorHAnsi" w:cstheme="minorHAnsi"/>
          <w:color w:val="auto"/>
          <w:sz w:val="22"/>
          <w:szCs w:val="22"/>
        </w:rPr>
        <w:t>2</w:t>
      </w:r>
      <w:r w:rsidRPr="00194D5A">
        <w:rPr>
          <w:rFonts w:asciiTheme="minorHAnsi" w:hAnsiTheme="minorHAnsi" w:cstheme="minorHAnsi"/>
          <w:color w:val="auto"/>
          <w:sz w:val="22"/>
          <w:szCs w:val="22"/>
        </w:rPr>
        <w:t>/hour) with the average trending towards the low side. Most operations are simple, easily accessible, and expected to have fairly low rates of non-compliance. For this analysis, the NPS uses a cost of $250 per well per year, or $1</w:t>
      </w:r>
      <w:r w:rsidR="000566CA" w:rsidRPr="00194D5A">
        <w:rPr>
          <w:rFonts w:asciiTheme="minorHAnsi" w:hAnsiTheme="minorHAnsi" w:cstheme="minorHAnsi"/>
          <w:color w:val="auto"/>
          <w:sz w:val="22"/>
          <w:szCs w:val="22"/>
        </w:rPr>
        <w:t>33</w:t>
      </w:r>
      <w:r w:rsidR="00281A51" w:rsidRPr="00194D5A">
        <w:rPr>
          <w:rFonts w:asciiTheme="minorHAnsi" w:hAnsiTheme="minorHAnsi" w:cstheme="minorHAnsi"/>
          <w:color w:val="auto"/>
          <w:sz w:val="22"/>
          <w:szCs w:val="22"/>
        </w:rPr>
        <w:t>,</w:t>
      </w:r>
      <w:r w:rsidR="000566CA" w:rsidRPr="00194D5A">
        <w:rPr>
          <w:rFonts w:asciiTheme="minorHAnsi" w:hAnsiTheme="minorHAnsi" w:cstheme="minorHAnsi"/>
          <w:color w:val="auto"/>
          <w:sz w:val="22"/>
          <w:szCs w:val="22"/>
        </w:rPr>
        <w:t>5</w:t>
      </w:r>
      <w:r w:rsidRPr="00194D5A">
        <w:rPr>
          <w:rFonts w:asciiTheme="minorHAnsi" w:hAnsiTheme="minorHAnsi" w:cstheme="minorHAnsi"/>
          <w:color w:val="auto"/>
          <w:sz w:val="22"/>
          <w:szCs w:val="22"/>
        </w:rPr>
        <w:t xml:space="preserve">00 annually for monitoring </w:t>
      </w:r>
      <w:r w:rsidR="000566CA" w:rsidRPr="00194D5A">
        <w:rPr>
          <w:rFonts w:asciiTheme="minorHAnsi" w:hAnsiTheme="minorHAnsi" w:cstheme="minorHAnsi"/>
          <w:color w:val="auto"/>
          <w:sz w:val="22"/>
          <w:szCs w:val="22"/>
        </w:rPr>
        <w:t>5</w:t>
      </w:r>
      <w:r w:rsidRPr="00194D5A">
        <w:rPr>
          <w:rFonts w:asciiTheme="minorHAnsi" w:hAnsiTheme="minorHAnsi" w:cstheme="minorHAnsi"/>
          <w:color w:val="auto"/>
          <w:sz w:val="22"/>
          <w:szCs w:val="22"/>
        </w:rPr>
        <w:t xml:space="preserve">34 wells. </w:t>
      </w:r>
    </w:p>
    <w:p w14:paraId="087B20F9" w14:textId="77777777" w:rsidR="008E2B35" w:rsidRPr="00194D5A" w:rsidRDefault="008E2B35" w:rsidP="00683926">
      <w:pPr>
        <w:pStyle w:val="Default"/>
        <w:spacing w:line="276" w:lineRule="auto"/>
        <w:rPr>
          <w:rFonts w:asciiTheme="minorHAnsi" w:hAnsiTheme="minorHAnsi" w:cstheme="minorHAnsi"/>
          <w:color w:val="auto"/>
          <w:sz w:val="22"/>
          <w:szCs w:val="22"/>
        </w:rPr>
      </w:pPr>
    </w:p>
    <w:p w14:paraId="76AC92FF" w14:textId="77777777" w:rsidR="008E2B35" w:rsidRPr="00194D5A" w:rsidRDefault="008E2B35" w:rsidP="00683926">
      <w:pPr>
        <w:pStyle w:val="Default"/>
        <w:spacing w:line="276" w:lineRule="auto"/>
        <w:rPr>
          <w:rFonts w:asciiTheme="minorHAnsi" w:hAnsiTheme="minorHAnsi" w:cstheme="minorHAnsi"/>
          <w:b/>
          <w:color w:val="auto"/>
          <w:sz w:val="22"/>
          <w:szCs w:val="22"/>
          <w:u w:val="single"/>
        </w:rPr>
      </w:pPr>
      <w:r w:rsidRPr="00194D5A">
        <w:rPr>
          <w:rFonts w:asciiTheme="minorHAnsi" w:hAnsiTheme="minorHAnsi" w:cstheme="minorHAnsi"/>
          <w:b/>
          <w:color w:val="auto"/>
          <w:sz w:val="22"/>
          <w:szCs w:val="22"/>
          <w:u w:val="single"/>
        </w:rPr>
        <w:t>Total Costs</w:t>
      </w:r>
    </w:p>
    <w:p w14:paraId="18903B3D" w14:textId="47DE0941" w:rsidR="008E2B35" w:rsidRPr="00194D5A" w:rsidRDefault="008E2B35" w:rsidP="00683926">
      <w:pPr>
        <w:pStyle w:val="Default"/>
        <w:spacing w:line="276" w:lineRule="auto"/>
        <w:rPr>
          <w:rFonts w:asciiTheme="minorHAnsi" w:hAnsiTheme="minorHAnsi" w:cstheme="minorHAnsi"/>
          <w:color w:val="auto"/>
          <w:sz w:val="22"/>
          <w:szCs w:val="22"/>
        </w:rPr>
      </w:pPr>
      <w:r w:rsidRPr="00194D5A">
        <w:rPr>
          <w:rFonts w:asciiTheme="minorHAnsi" w:hAnsiTheme="minorHAnsi" w:cstheme="minorHAnsi"/>
          <w:color w:val="auto"/>
          <w:sz w:val="22"/>
          <w:szCs w:val="22"/>
        </w:rPr>
        <w:t xml:space="preserve">Summing the costs above equals total </w:t>
      </w:r>
      <w:r w:rsidR="003B000A" w:rsidRPr="00194D5A">
        <w:rPr>
          <w:rFonts w:asciiTheme="minorHAnsi" w:hAnsiTheme="minorHAnsi" w:cstheme="minorHAnsi"/>
          <w:color w:val="auto"/>
          <w:sz w:val="22"/>
          <w:szCs w:val="22"/>
        </w:rPr>
        <w:t xml:space="preserve">annual </w:t>
      </w:r>
      <w:r w:rsidRPr="00194D5A">
        <w:rPr>
          <w:rFonts w:asciiTheme="minorHAnsi" w:hAnsiTheme="minorHAnsi" w:cstheme="minorHAnsi"/>
          <w:color w:val="auto"/>
          <w:sz w:val="22"/>
          <w:szCs w:val="22"/>
        </w:rPr>
        <w:t>permitting and monitoring costs of $1</w:t>
      </w:r>
      <w:r w:rsidR="000566CA" w:rsidRPr="00194D5A">
        <w:rPr>
          <w:rFonts w:asciiTheme="minorHAnsi" w:hAnsiTheme="minorHAnsi" w:cstheme="minorHAnsi"/>
          <w:color w:val="auto"/>
          <w:sz w:val="22"/>
          <w:szCs w:val="22"/>
        </w:rPr>
        <w:t>58</w:t>
      </w:r>
      <w:r w:rsidR="00281A51" w:rsidRPr="00194D5A">
        <w:rPr>
          <w:rFonts w:asciiTheme="minorHAnsi" w:hAnsiTheme="minorHAnsi" w:cstheme="minorHAnsi"/>
          <w:color w:val="auto"/>
          <w:sz w:val="22"/>
          <w:szCs w:val="22"/>
        </w:rPr>
        <w:t>,</w:t>
      </w:r>
      <w:r w:rsidR="000566CA" w:rsidRPr="00194D5A">
        <w:rPr>
          <w:rFonts w:asciiTheme="minorHAnsi" w:hAnsiTheme="minorHAnsi" w:cstheme="minorHAnsi"/>
          <w:color w:val="auto"/>
          <w:sz w:val="22"/>
          <w:szCs w:val="22"/>
        </w:rPr>
        <w:t>5</w:t>
      </w:r>
      <w:r w:rsidRPr="00194D5A">
        <w:rPr>
          <w:rFonts w:asciiTheme="minorHAnsi" w:hAnsiTheme="minorHAnsi" w:cstheme="minorHAnsi"/>
          <w:color w:val="auto"/>
          <w:sz w:val="22"/>
          <w:szCs w:val="22"/>
        </w:rPr>
        <w:t>00</w:t>
      </w:r>
      <w:r w:rsidR="003B000A" w:rsidRPr="00194D5A">
        <w:rPr>
          <w:rFonts w:asciiTheme="minorHAnsi" w:hAnsiTheme="minorHAnsi" w:cstheme="minorHAnsi"/>
          <w:color w:val="auto"/>
          <w:sz w:val="22"/>
          <w:szCs w:val="22"/>
        </w:rPr>
        <w:t>.</w:t>
      </w:r>
      <w:r w:rsidRPr="00194D5A">
        <w:rPr>
          <w:rFonts w:asciiTheme="minorHAnsi" w:hAnsiTheme="minorHAnsi" w:cstheme="minorHAnsi"/>
          <w:color w:val="auto"/>
          <w:sz w:val="22"/>
          <w:szCs w:val="22"/>
        </w:rPr>
        <w:t xml:space="preserve"> </w:t>
      </w:r>
    </w:p>
    <w:p w14:paraId="703D5971" w14:textId="77777777" w:rsidR="008E2B35" w:rsidRPr="00194D5A" w:rsidRDefault="008E2B35" w:rsidP="00683926">
      <w:pPr>
        <w:pStyle w:val="Default"/>
        <w:spacing w:line="276" w:lineRule="auto"/>
        <w:rPr>
          <w:rFonts w:asciiTheme="minorHAnsi" w:hAnsiTheme="minorHAnsi" w:cstheme="minorHAnsi"/>
          <w:color w:val="auto"/>
          <w:sz w:val="22"/>
          <w:szCs w:val="22"/>
        </w:rPr>
      </w:pPr>
    </w:p>
    <w:p w14:paraId="7EBD779F" w14:textId="77777777" w:rsidR="008E2B35" w:rsidRPr="00194D5A" w:rsidRDefault="008E2B35" w:rsidP="00683926">
      <w:pPr>
        <w:tabs>
          <w:tab w:val="left" w:pos="720"/>
        </w:tabs>
        <w:suppressAutoHyphens/>
        <w:spacing w:line="276" w:lineRule="auto"/>
        <w:ind w:left="720" w:hanging="720"/>
        <w:rPr>
          <w:rFonts w:asciiTheme="minorHAnsi" w:hAnsiTheme="minorHAnsi" w:cstheme="minorHAnsi"/>
          <w:b/>
          <w:sz w:val="22"/>
          <w:szCs w:val="22"/>
          <w:u w:val="single"/>
        </w:rPr>
      </w:pPr>
      <w:r w:rsidRPr="00194D5A">
        <w:rPr>
          <w:rFonts w:asciiTheme="minorHAnsi" w:hAnsiTheme="minorHAnsi" w:cstheme="minorHAnsi"/>
          <w:b/>
          <w:sz w:val="22"/>
          <w:szCs w:val="22"/>
          <w:u w:val="single"/>
        </w:rPr>
        <w:t>Access Fees</w:t>
      </w:r>
    </w:p>
    <w:p w14:paraId="19966185" w14:textId="262FC864" w:rsidR="008E2B35" w:rsidRPr="00194D5A" w:rsidRDefault="00067AE4" w:rsidP="00683926">
      <w:pPr>
        <w:pStyle w:val="Default"/>
        <w:spacing w:line="276" w:lineRule="auto"/>
        <w:rPr>
          <w:rFonts w:asciiTheme="minorHAnsi" w:hAnsiTheme="minorHAnsi" w:cstheme="minorHAnsi"/>
          <w:color w:val="auto"/>
          <w:sz w:val="22"/>
          <w:szCs w:val="22"/>
        </w:rPr>
      </w:pPr>
      <w:r w:rsidRPr="00194D5A">
        <w:rPr>
          <w:rFonts w:asciiTheme="minorHAnsi" w:hAnsiTheme="minorHAnsi" w:cstheme="minorHAnsi"/>
          <w:color w:val="auto"/>
          <w:sz w:val="22"/>
          <w:szCs w:val="22"/>
        </w:rPr>
        <w:t>The</w:t>
      </w:r>
      <w:r w:rsidR="008E2B35" w:rsidRPr="00194D5A">
        <w:rPr>
          <w:rFonts w:asciiTheme="minorHAnsi" w:hAnsiTheme="minorHAnsi" w:cstheme="minorHAnsi"/>
          <w:color w:val="auto"/>
          <w:sz w:val="22"/>
          <w:szCs w:val="22"/>
        </w:rPr>
        <w:t xml:space="preserve"> NPS charge</w:t>
      </w:r>
      <w:r w:rsidRPr="00194D5A">
        <w:rPr>
          <w:rFonts w:asciiTheme="minorHAnsi" w:hAnsiTheme="minorHAnsi" w:cstheme="minorHAnsi"/>
          <w:color w:val="auto"/>
          <w:sz w:val="22"/>
          <w:szCs w:val="22"/>
        </w:rPr>
        <w:t>s</w:t>
      </w:r>
      <w:r w:rsidR="008E2B35" w:rsidRPr="00194D5A">
        <w:rPr>
          <w:rFonts w:asciiTheme="minorHAnsi" w:hAnsiTheme="minorHAnsi" w:cstheme="minorHAnsi"/>
          <w:color w:val="auto"/>
          <w:sz w:val="22"/>
          <w:szCs w:val="22"/>
        </w:rPr>
        <w:t xml:space="preserve"> access fees consistent with those authorized under NPS’ Part 14 Rights-of-Way regulations (see 36 CFR 14.26 and RM-53 Special Park Uses (Appendix 5, Exhibit 2) (guidance to calculate fees). </w:t>
      </w:r>
    </w:p>
    <w:p w14:paraId="3927EC81" w14:textId="77777777" w:rsidR="008E2B35" w:rsidRPr="00194D5A" w:rsidRDefault="008E2B35" w:rsidP="00683926">
      <w:pPr>
        <w:pStyle w:val="Default"/>
        <w:spacing w:line="276" w:lineRule="auto"/>
        <w:rPr>
          <w:rFonts w:asciiTheme="minorHAnsi" w:hAnsiTheme="minorHAnsi" w:cstheme="minorHAnsi"/>
          <w:color w:val="auto"/>
          <w:sz w:val="22"/>
          <w:szCs w:val="22"/>
        </w:rPr>
      </w:pPr>
    </w:p>
    <w:p w14:paraId="4BA8EBC0" w14:textId="77777777" w:rsidR="008E2B35" w:rsidRPr="00194D5A" w:rsidRDefault="008E2B35" w:rsidP="00683926">
      <w:pPr>
        <w:suppressAutoHyphens/>
        <w:spacing w:line="276" w:lineRule="auto"/>
        <w:rPr>
          <w:rFonts w:asciiTheme="minorHAnsi" w:hAnsiTheme="minorHAnsi" w:cstheme="minorHAnsi"/>
          <w:sz w:val="22"/>
          <w:szCs w:val="22"/>
        </w:rPr>
      </w:pPr>
      <w:r w:rsidRPr="00194D5A">
        <w:rPr>
          <w:rFonts w:asciiTheme="minorHAnsi" w:hAnsiTheme="minorHAnsi" w:cstheme="minorHAnsi"/>
          <w:sz w:val="22"/>
          <w:szCs w:val="22"/>
        </w:rPr>
        <w:t>The method the NPS used to estimate access fees is based on the methodology used by both the Bureau of Land Management (BLM) and the United States Forest Service (USFS) in their Linear Rights-of-Way Rental Fee Schedules. The fee schedules are based on 1) land values established by the National Agricultural Statistics Service (NASS), 2) an encumbrance factor of 50%, and 3) a 10-year average Treasury Security-based amortization rate. Applying data in tables published by NASS and BLM to specific land use in counties where privileged access under the 9B regulation is occurring yields an estimate of service-wide access fees of $6,000 annually, or an average of just $67/acre/year.</w:t>
      </w:r>
    </w:p>
    <w:p w14:paraId="2A690B41" w14:textId="77777777" w:rsidR="008E2B35" w:rsidRPr="00194D5A" w:rsidRDefault="008E2B35" w:rsidP="00683926">
      <w:pPr>
        <w:tabs>
          <w:tab w:val="left" w:pos="720"/>
        </w:tabs>
        <w:suppressAutoHyphens/>
        <w:spacing w:line="276" w:lineRule="auto"/>
        <w:ind w:left="720" w:hanging="720"/>
        <w:rPr>
          <w:rFonts w:asciiTheme="minorHAnsi" w:hAnsiTheme="minorHAnsi" w:cstheme="minorHAnsi"/>
          <w:sz w:val="22"/>
          <w:szCs w:val="22"/>
        </w:rPr>
      </w:pPr>
    </w:p>
    <w:p w14:paraId="1AE182AC" w14:textId="77777777" w:rsidR="008E2B35" w:rsidRPr="00194D5A" w:rsidRDefault="008E2B35" w:rsidP="00683926">
      <w:pPr>
        <w:tabs>
          <w:tab w:val="left" w:pos="720"/>
        </w:tabs>
        <w:suppressAutoHyphens/>
        <w:spacing w:line="276" w:lineRule="auto"/>
        <w:ind w:left="720" w:hanging="720"/>
        <w:rPr>
          <w:rFonts w:asciiTheme="minorHAnsi" w:hAnsiTheme="minorHAnsi" w:cstheme="minorHAnsi"/>
          <w:sz w:val="22"/>
          <w:szCs w:val="22"/>
        </w:rPr>
      </w:pPr>
      <w:r w:rsidRPr="00194D5A">
        <w:rPr>
          <w:rFonts w:asciiTheme="minorHAnsi" w:hAnsiTheme="minorHAnsi" w:cstheme="minorHAnsi"/>
          <w:sz w:val="22"/>
          <w:szCs w:val="22"/>
        </w:rPr>
        <w:t>It should be noted here that fees on a per operator basis vary widely (i.e., costs ranging from</w:t>
      </w:r>
    </w:p>
    <w:p w14:paraId="69DF991C" w14:textId="36C8BD1A" w:rsidR="00303F5F" w:rsidRPr="00194D5A" w:rsidRDefault="008E2B35" w:rsidP="00683926">
      <w:pPr>
        <w:tabs>
          <w:tab w:val="left" w:pos="720"/>
        </w:tabs>
        <w:suppressAutoHyphens/>
        <w:spacing w:line="276" w:lineRule="auto"/>
        <w:rPr>
          <w:rFonts w:asciiTheme="minorHAnsi" w:hAnsiTheme="minorHAnsi" w:cstheme="minorHAnsi"/>
          <w:sz w:val="22"/>
          <w:szCs w:val="22"/>
        </w:rPr>
      </w:pPr>
      <w:r w:rsidRPr="00194D5A">
        <w:rPr>
          <w:rFonts w:asciiTheme="minorHAnsi" w:hAnsiTheme="minorHAnsi" w:cstheme="minorHAnsi"/>
          <w:sz w:val="22"/>
          <w:szCs w:val="22"/>
        </w:rPr>
        <w:t>$30 to $3,000 per year) from use of just fractions of an acre where a road may cut across a corner of federal land to over 30 acres in the case of large access road construction.</w:t>
      </w:r>
    </w:p>
    <w:p w14:paraId="5996FE6B" w14:textId="77777777" w:rsidR="00F003FC" w:rsidRDefault="00F003FC" w:rsidP="00683926">
      <w:pPr>
        <w:numPr>
          <w:ilvl w:val="0"/>
          <w:numId w:val="1"/>
        </w:num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p>
    <w:p w14:paraId="666603E5" w14:textId="77777777" w:rsidR="00F003FC" w:rsidRDefault="00F003FC">
      <w:pPr>
        <w:rPr>
          <w:rFonts w:asciiTheme="minorHAnsi" w:hAnsiTheme="minorHAnsi" w:cstheme="minorHAnsi"/>
          <w:b/>
          <w:sz w:val="22"/>
          <w:szCs w:val="22"/>
        </w:rPr>
      </w:pPr>
      <w:r>
        <w:rPr>
          <w:rFonts w:asciiTheme="minorHAnsi" w:hAnsiTheme="minorHAnsi" w:cstheme="minorHAnsi"/>
          <w:b/>
          <w:sz w:val="22"/>
          <w:szCs w:val="22"/>
        </w:rPr>
        <w:br w:type="page"/>
      </w:r>
    </w:p>
    <w:p w14:paraId="55342E9F" w14:textId="020DCC5F" w:rsidR="00303F5F" w:rsidRPr="00194D5A" w:rsidRDefault="00303F5F" w:rsidP="00683926">
      <w:pPr>
        <w:numPr>
          <w:ilvl w:val="0"/>
          <w:numId w:val="1"/>
        </w:num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194D5A">
        <w:rPr>
          <w:rFonts w:asciiTheme="minorHAnsi" w:hAnsiTheme="minorHAnsi" w:cstheme="minorHAnsi"/>
          <w:b/>
          <w:sz w:val="22"/>
          <w:szCs w:val="22"/>
        </w:rPr>
        <w:t>14.</w:t>
      </w:r>
      <w:r w:rsidRPr="00194D5A">
        <w:rPr>
          <w:rFonts w:asciiTheme="minorHAnsi" w:hAnsiTheme="minorHAnsi" w:cstheme="minorHAnsi"/>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47A79586" w14:textId="77777777" w:rsidR="007D15B4" w:rsidRPr="00194D5A" w:rsidRDefault="007D15B4" w:rsidP="00683926">
      <w:pPr>
        <w:numPr>
          <w:ilvl w:val="0"/>
          <w:numId w:val="1"/>
        </w:numPr>
        <w:spacing w:line="276" w:lineRule="auto"/>
        <w:rPr>
          <w:rFonts w:asciiTheme="minorHAnsi" w:hAnsiTheme="minorHAnsi" w:cstheme="minorHAnsi"/>
          <w:sz w:val="22"/>
          <w:szCs w:val="22"/>
        </w:rPr>
      </w:pPr>
    </w:p>
    <w:p w14:paraId="5386EB3E" w14:textId="6AB54867" w:rsidR="008E2B35" w:rsidRPr="00194D5A" w:rsidRDefault="008E2B35" w:rsidP="00683926">
      <w:pPr>
        <w:numPr>
          <w:ilvl w:val="0"/>
          <w:numId w:val="1"/>
        </w:numPr>
        <w:spacing w:line="276" w:lineRule="auto"/>
        <w:rPr>
          <w:rFonts w:asciiTheme="minorHAnsi" w:hAnsiTheme="minorHAnsi" w:cstheme="minorHAnsi"/>
          <w:sz w:val="22"/>
          <w:szCs w:val="22"/>
        </w:rPr>
      </w:pPr>
      <w:r w:rsidRPr="00194D5A">
        <w:rPr>
          <w:rFonts w:asciiTheme="minorHAnsi" w:hAnsiTheme="minorHAnsi" w:cstheme="minorHAnsi"/>
          <w:sz w:val="22"/>
          <w:szCs w:val="22"/>
        </w:rPr>
        <w:t xml:space="preserve">We estimate that the total annual cost to the Federal Government to administer this </w:t>
      </w:r>
      <w:r w:rsidR="00496CB3" w:rsidRPr="00194D5A">
        <w:rPr>
          <w:rFonts w:asciiTheme="minorHAnsi" w:hAnsiTheme="minorHAnsi" w:cstheme="minorHAnsi"/>
          <w:sz w:val="22"/>
          <w:szCs w:val="22"/>
        </w:rPr>
        <w:t>information collection will be $</w:t>
      </w:r>
      <w:r w:rsidR="00AE4970" w:rsidRPr="00194D5A">
        <w:rPr>
          <w:rFonts w:asciiTheme="minorHAnsi" w:hAnsiTheme="minorHAnsi" w:cstheme="minorHAnsi"/>
          <w:sz w:val="22"/>
          <w:szCs w:val="22"/>
        </w:rPr>
        <w:t>2</w:t>
      </w:r>
      <w:r w:rsidR="004F69F1" w:rsidRPr="00194D5A">
        <w:rPr>
          <w:rFonts w:asciiTheme="minorHAnsi" w:hAnsiTheme="minorHAnsi" w:cstheme="minorHAnsi"/>
          <w:sz w:val="22"/>
          <w:szCs w:val="22"/>
        </w:rPr>
        <w:t xml:space="preserve">32,140.68 </w:t>
      </w:r>
      <w:r w:rsidR="00D652C5" w:rsidRPr="00194D5A">
        <w:rPr>
          <w:rFonts w:asciiTheme="minorHAnsi" w:hAnsiTheme="minorHAnsi" w:cstheme="minorHAnsi"/>
          <w:sz w:val="22"/>
          <w:szCs w:val="22"/>
        </w:rPr>
        <w:t>($</w:t>
      </w:r>
      <w:r w:rsidR="004F69F1" w:rsidRPr="00194D5A">
        <w:rPr>
          <w:rFonts w:asciiTheme="minorHAnsi" w:hAnsiTheme="minorHAnsi" w:cstheme="minorHAnsi"/>
          <w:sz w:val="22"/>
          <w:szCs w:val="22"/>
        </w:rPr>
        <w:t>195,140.68</w:t>
      </w:r>
      <w:r w:rsidR="00496CB3" w:rsidRPr="00194D5A">
        <w:rPr>
          <w:rFonts w:asciiTheme="minorHAnsi" w:hAnsiTheme="minorHAnsi" w:cstheme="minorHAnsi"/>
          <w:sz w:val="22"/>
          <w:szCs w:val="22"/>
        </w:rPr>
        <w:t xml:space="preserve"> in salaries and $37</w:t>
      </w:r>
      <w:r w:rsidR="00D652C5" w:rsidRPr="00194D5A">
        <w:rPr>
          <w:rFonts w:asciiTheme="minorHAnsi" w:hAnsiTheme="minorHAnsi" w:cstheme="minorHAnsi"/>
          <w:sz w:val="22"/>
          <w:szCs w:val="22"/>
        </w:rPr>
        <w:t>,</w:t>
      </w:r>
      <w:r w:rsidR="00496CB3" w:rsidRPr="00194D5A">
        <w:rPr>
          <w:rFonts w:asciiTheme="minorHAnsi" w:hAnsiTheme="minorHAnsi" w:cstheme="minorHAnsi"/>
          <w:sz w:val="22"/>
          <w:szCs w:val="22"/>
        </w:rPr>
        <w:t>000</w:t>
      </w:r>
      <w:r w:rsidR="00D652C5" w:rsidRPr="00194D5A">
        <w:rPr>
          <w:rFonts w:asciiTheme="minorHAnsi" w:hAnsiTheme="minorHAnsi" w:cstheme="minorHAnsi"/>
          <w:sz w:val="22"/>
          <w:szCs w:val="22"/>
        </w:rPr>
        <w:t xml:space="preserve"> in other costs)</w:t>
      </w:r>
      <w:r w:rsidRPr="00194D5A">
        <w:rPr>
          <w:rFonts w:asciiTheme="minorHAnsi" w:hAnsiTheme="minorHAnsi" w:cstheme="minorHAnsi"/>
          <w:sz w:val="22"/>
          <w:szCs w:val="22"/>
        </w:rPr>
        <w:t>.</w:t>
      </w:r>
    </w:p>
    <w:p w14:paraId="79FB94E4" w14:textId="77777777" w:rsidR="008E2B35" w:rsidRPr="00194D5A" w:rsidRDefault="008E2B35" w:rsidP="00683926">
      <w:pPr>
        <w:spacing w:line="276" w:lineRule="auto"/>
        <w:ind w:left="720"/>
        <w:rPr>
          <w:rFonts w:asciiTheme="minorHAnsi" w:hAnsiTheme="minorHAnsi" w:cstheme="minorHAnsi"/>
          <w:sz w:val="22"/>
          <w:szCs w:val="22"/>
        </w:rPr>
      </w:pPr>
    </w:p>
    <w:p w14:paraId="1AE13FFF" w14:textId="3B7FE314" w:rsidR="008E2B35" w:rsidRPr="00194D5A" w:rsidRDefault="008E2B35" w:rsidP="00E02243">
      <w:pPr>
        <w:numPr>
          <w:ilvl w:val="2"/>
          <w:numId w:val="1"/>
        </w:numPr>
        <w:spacing w:line="276" w:lineRule="auto"/>
        <w:ind w:left="810"/>
        <w:rPr>
          <w:rFonts w:asciiTheme="minorHAnsi" w:hAnsiTheme="minorHAnsi" w:cstheme="minorHAnsi"/>
          <w:b/>
          <w:sz w:val="22"/>
          <w:szCs w:val="22"/>
        </w:rPr>
      </w:pPr>
      <w:r w:rsidRPr="00194D5A">
        <w:rPr>
          <w:rFonts w:asciiTheme="minorHAnsi" w:hAnsiTheme="minorHAnsi" w:cstheme="minorHAnsi"/>
          <w:b/>
          <w:sz w:val="22"/>
          <w:szCs w:val="22"/>
        </w:rPr>
        <w:t>Salary Costs - $</w:t>
      </w:r>
      <w:r w:rsidR="008F45BF" w:rsidRPr="00194D5A">
        <w:rPr>
          <w:rFonts w:asciiTheme="minorHAnsi" w:hAnsiTheme="minorHAnsi" w:cstheme="minorHAnsi"/>
          <w:sz w:val="22"/>
          <w:szCs w:val="22"/>
        </w:rPr>
        <w:t>178,935</w:t>
      </w:r>
      <w:r w:rsidR="00C7307A" w:rsidRPr="00194D5A">
        <w:rPr>
          <w:rFonts w:asciiTheme="minorHAnsi" w:hAnsiTheme="minorHAnsi" w:cstheme="minorHAnsi"/>
          <w:sz w:val="22"/>
          <w:szCs w:val="22"/>
        </w:rPr>
        <w:t xml:space="preserve"> </w:t>
      </w:r>
      <w:r w:rsidRPr="00194D5A">
        <w:rPr>
          <w:rFonts w:asciiTheme="minorHAnsi" w:hAnsiTheme="minorHAnsi" w:cstheme="minorHAnsi"/>
          <w:sz w:val="22"/>
          <w:szCs w:val="22"/>
        </w:rPr>
        <w:t xml:space="preserve">(rounded) </w:t>
      </w:r>
      <w:r w:rsidR="00D7658C" w:rsidRPr="00194D5A">
        <w:rPr>
          <w:rFonts w:asciiTheme="minorHAnsi" w:hAnsiTheme="minorHAnsi" w:cstheme="minorHAnsi"/>
          <w:sz w:val="22"/>
          <w:szCs w:val="22"/>
        </w:rPr>
        <w:t>($</w:t>
      </w:r>
      <w:r w:rsidR="007A3A01" w:rsidRPr="00194D5A">
        <w:rPr>
          <w:rFonts w:asciiTheme="minorHAnsi" w:hAnsiTheme="minorHAnsi" w:cstheme="minorHAnsi"/>
          <w:sz w:val="22"/>
          <w:szCs w:val="22"/>
        </w:rPr>
        <w:t>81.76</w:t>
      </w:r>
      <w:r w:rsidR="00F003FC">
        <w:rPr>
          <w:rFonts w:asciiTheme="minorHAnsi" w:hAnsiTheme="minorHAnsi" w:cstheme="minorHAnsi"/>
          <w:sz w:val="22"/>
          <w:szCs w:val="22"/>
        </w:rPr>
        <w:t>/hr</w:t>
      </w:r>
      <w:r w:rsidR="00D7658C" w:rsidRPr="00194D5A">
        <w:rPr>
          <w:rFonts w:asciiTheme="minorHAnsi" w:hAnsiTheme="minorHAnsi" w:cstheme="minorHAnsi"/>
          <w:sz w:val="22"/>
          <w:szCs w:val="22"/>
        </w:rPr>
        <w:t xml:space="preserve">* </w:t>
      </w:r>
      <w:r w:rsidR="00AE4970" w:rsidRPr="00194D5A">
        <w:rPr>
          <w:rFonts w:asciiTheme="minorHAnsi" w:hAnsiTheme="minorHAnsi" w:cstheme="minorHAnsi"/>
          <w:sz w:val="22"/>
          <w:szCs w:val="22"/>
        </w:rPr>
        <w:t>2,</w:t>
      </w:r>
      <w:r w:rsidR="008F45BF" w:rsidRPr="00194D5A">
        <w:rPr>
          <w:rFonts w:asciiTheme="minorHAnsi" w:hAnsiTheme="minorHAnsi" w:cstheme="minorHAnsi"/>
          <w:sz w:val="22"/>
          <w:szCs w:val="22"/>
        </w:rPr>
        <w:t>386.75</w:t>
      </w:r>
      <w:r w:rsidR="00D7658C" w:rsidRPr="00194D5A">
        <w:rPr>
          <w:rFonts w:asciiTheme="minorHAnsi" w:hAnsiTheme="minorHAnsi" w:cstheme="minorHAnsi"/>
          <w:sz w:val="22"/>
          <w:szCs w:val="22"/>
        </w:rPr>
        <w:t xml:space="preserve"> hours = $</w:t>
      </w:r>
      <w:r w:rsidR="007A3A01" w:rsidRPr="00194D5A">
        <w:rPr>
          <w:rFonts w:asciiTheme="minorHAnsi" w:hAnsiTheme="minorHAnsi" w:cstheme="minorHAnsi"/>
          <w:sz w:val="22"/>
          <w:szCs w:val="22"/>
        </w:rPr>
        <w:t>1</w:t>
      </w:r>
      <w:r w:rsidR="004F69F1" w:rsidRPr="00194D5A">
        <w:rPr>
          <w:rFonts w:asciiTheme="minorHAnsi" w:hAnsiTheme="minorHAnsi" w:cstheme="minorHAnsi"/>
          <w:sz w:val="22"/>
          <w:szCs w:val="22"/>
        </w:rPr>
        <w:t>95,</w:t>
      </w:r>
      <w:r w:rsidR="007A3A01" w:rsidRPr="00194D5A">
        <w:rPr>
          <w:rFonts w:asciiTheme="minorHAnsi" w:hAnsiTheme="minorHAnsi" w:cstheme="minorHAnsi"/>
          <w:sz w:val="22"/>
          <w:szCs w:val="22"/>
        </w:rPr>
        <w:t>140.68</w:t>
      </w:r>
      <w:r w:rsidR="00D7658C" w:rsidRPr="00194D5A">
        <w:rPr>
          <w:rFonts w:asciiTheme="minorHAnsi" w:hAnsiTheme="minorHAnsi" w:cstheme="minorHAnsi"/>
          <w:sz w:val="22"/>
          <w:szCs w:val="22"/>
        </w:rPr>
        <w:t>)</w:t>
      </w:r>
    </w:p>
    <w:p w14:paraId="3E089D7E" w14:textId="77777777" w:rsidR="008E2B35" w:rsidRPr="00194D5A" w:rsidRDefault="008E2B35" w:rsidP="00683926">
      <w:pPr>
        <w:numPr>
          <w:ilvl w:val="0"/>
          <w:numId w:val="1"/>
        </w:numPr>
        <w:spacing w:line="276" w:lineRule="auto"/>
        <w:rPr>
          <w:rFonts w:asciiTheme="minorHAnsi" w:hAnsiTheme="minorHAnsi" w:cstheme="minorHAnsi"/>
          <w:b/>
          <w:sz w:val="22"/>
          <w:szCs w:val="22"/>
        </w:rPr>
      </w:pPr>
    </w:p>
    <w:p w14:paraId="438BFA32" w14:textId="2CBBBEAC" w:rsidR="008E2B35" w:rsidRPr="00194D5A" w:rsidRDefault="008E2B35" w:rsidP="00683926">
      <w:pPr>
        <w:numPr>
          <w:ilvl w:val="0"/>
          <w:numId w:val="1"/>
        </w:numPr>
        <w:spacing w:line="276" w:lineRule="auto"/>
        <w:rPr>
          <w:rFonts w:asciiTheme="minorHAnsi" w:hAnsiTheme="minorHAnsi" w:cstheme="minorHAnsi"/>
          <w:b/>
          <w:sz w:val="22"/>
          <w:szCs w:val="22"/>
        </w:rPr>
      </w:pPr>
      <w:r w:rsidRPr="00194D5A">
        <w:rPr>
          <w:rFonts w:asciiTheme="minorHAnsi" w:hAnsiTheme="minorHAnsi" w:cstheme="minorHAnsi"/>
          <w:sz w:val="22"/>
          <w:szCs w:val="22"/>
        </w:rPr>
        <w:t>Nationwide, we estimate receiving 1,4</w:t>
      </w:r>
      <w:r w:rsidR="00441FCE" w:rsidRPr="00194D5A">
        <w:rPr>
          <w:rFonts w:asciiTheme="minorHAnsi" w:hAnsiTheme="minorHAnsi" w:cstheme="minorHAnsi"/>
          <w:sz w:val="22"/>
          <w:szCs w:val="22"/>
        </w:rPr>
        <w:t>3</w:t>
      </w:r>
      <w:r w:rsidRPr="00194D5A">
        <w:rPr>
          <w:rFonts w:asciiTheme="minorHAnsi" w:hAnsiTheme="minorHAnsi" w:cstheme="minorHAnsi"/>
          <w:sz w:val="22"/>
          <w:szCs w:val="22"/>
        </w:rPr>
        <w:t xml:space="preserve">1 responses for the various information collection requirements.  We estimate that Federal staff will spend </w:t>
      </w:r>
      <w:r w:rsidR="008F45BF" w:rsidRPr="00194D5A">
        <w:rPr>
          <w:rFonts w:asciiTheme="minorHAnsi" w:hAnsiTheme="minorHAnsi" w:cstheme="minorHAnsi"/>
          <w:sz w:val="22"/>
          <w:szCs w:val="22"/>
        </w:rPr>
        <w:t>2,386.75</w:t>
      </w:r>
      <w:r w:rsidR="00AE4970" w:rsidRPr="00194D5A">
        <w:rPr>
          <w:rFonts w:asciiTheme="minorHAnsi" w:hAnsiTheme="minorHAnsi" w:cstheme="minorHAnsi"/>
          <w:sz w:val="22"/>
          <w:szCs w:val="22"/>
        </w:rPr>
        <w:t xml:space="preserve"> h</w:t>
      </w:r>
      <w:r w:rsidRPr="00194D5A">
        <w:rPr>
          <w:rFonts w:asciiTheme="minorHAnsi" w:hAnsiTheme="minorHAnsi" w:cstheme="minorHAnsi"/>
          <w:sz w:val="22"/>
          <w:szCs w:val="22"/>
        </w:rPr>
        <w:t>ours review</w:t>
      </w:r>
      <w:r w:rsidR="00D7658C" w:rsidRPr="00194D5A">
        <w:rPr>
          <w:rFonts w:asciiTheme="minorHAnsi" w:hAnsiTheme="minorHAnsi" w:cstheme="minorHAnsi"/>
          <w:sz w:val="22"/>
          <w:szCs w:val="22"/>
        </w:rPr>
        <w:t>ing</w:t>
      </w:r>
      <w:r w:rsidRPr="00194D5A">
        <w:rPr>
          <w:rFonts w:asciiTheme="minorHAnsi" w:hAnsiTheme="minorHAnsi" w:cstheme="minorHAnsi"/>
          <w:sz w:val="22"/>
          <w:szCs w:val="22"/>
        </w:rPr>
        <w:t xml:space="preserve"> and process</w:t>
      </w:r>
      <w:r w:rsidR="00D7658C" w:rsidRPr="00194D5A">
        <w:rPr>
          <w:rFonts w:asciiTheme="minorHAnsi" w:hAnsiTheme="minorHAnsi" w:cstheme="minorHAnsi"/>
          <w:sz w:val="22"/>
          <w:szCs w:val="22"/>
        </w:rPr>
        <w:t>ing</w:t>
      </w:r>
      <w:r w:rsidRPr="00194D5A">
        <w:rPr>
          <w:rFonts w:asciiTheme="minorHAnsi" w:hAnsiTheme="minorHAnsi" w:cstheme="minorHAnsi"/>
          <w:sz w:val="22"/>
          <w:szCs w:val="22"/>
        </w:rPr>
        <w:t xml:space="preserve"> applications and reports.</w:t>
      </w:r>
    </w:p>
    <w:p w14:paraId="49A9D51E" w14:textId="77777777" w:rsidR="008E2B35" w:rsidRPr="00194D5A" w:rsidRDefault="008E2B35" w:rsidP="00683926">
      <w:pPr>
        <w:numPr>
          <w:ilvl w:val="0"/>
          <w:numId w:val="1"/>
        </w:numPr>
        <w:spacing w:line="276" w:lineRule="auto"/>
        <w:rPr>
          <w:rFonts w:asciiTheme="minorHAnsi" w:hAnsiTheme="minorHAnsi" w:cstheme="minorHAnsi"/>
          <w:sz w:val="22"/>
          <w:szCs w:val="22"/>
        </w:rPr>
      </w:pPr>
    </w:p>
    <w:p w14:paraId="56B17316" w14:textId="42CC4544" w:rsidR="007A3A01" w:rsidRPr="00194D5A" w:rsidRDefault="007A3A01" w:rsidP="00683926">
      <w:pPr>
        <w:spacing w:line="276" w:lineRule="auto"/>
        <w:rPr>
          <w:rFonts w:asciiTheme="minorHAnsi" w:hAnsiTheme="minorHAnsi" w:cstheme="minorHAnsi"/>
          <w:sz w:val="22"/>
          <w:szCs w:val="22"/>
        </w:rPr>
      </w:pPr>
      <w:r w:rsidRPr="00194D5A">
        <w:rPr>
          <w:rFonts w:asciiTheme="minorHAnsi" w:hAnsiTheme="minorHAnsi" w:cstheme="minorHAnsi"/>
          <w:sz w:val="22"/>
          <w:szCs w:val="22"/>
        </w:rPr>
        <w:t xml:space="preserve">To calculate salary costs, we used the Office of Personnel Management Salary Table </w:t>
      </w:r>
      <w:r w:rsidR="009A072A" w:rsidRPr="00194D5A">
        <w:rPr>
          <w:rFonts w:asciiTheme="minorHAnsi" w:hAnsiTheme="minorHAnsi" w:cstheme="minorHAnsi"/>
          <w:sz w:val="22"/>
          <w:szCs w:val="22"/>
        </w:rPr>
        <w:t>2019</w:t>
      </w:r>
      <w:r w:rsidRPr="00194D5A">
        <w:rPr>
          <w:rFonts w:asciiTheme="minorHAnsi" w:hAnsiTheme="minorHAnsi" w:cstheme="minorHAnsi"/>
          <w:sz w:val="22"/>
          <w:szCs w:val="22"/>
        </w:rPr>
        <w:t>-DEN (https://www.opm.gov/policy-data-oversight/pay-leave/salaries-wages/salary-tables/pdf/201</w:t>
      </w:r>
      <w:r w:rsidR="009A072A" w:rsidRPr="00194D5A">
        <w:rPr>
          <w:rFonts w:asciiTheme="minorHAnsi" w:hAnsiTheme="minorHAnsi" w:cstheme="minorHAnsi"/>
          <w:sz w:val="22"/>
          <w:szCs w:val="22"/>
        </w:rPr>
        <w:t>9</w:t>
      </w:r>
      <w:r w:rsidRPr="00194D5A">
        <w:rPr>
          <w:rFonts w:asciiTheme="minorHAnsi" w:hAnsiTheme="minorHAnsi" w:cstheme="minorHAnsi"/>
          <w:sz w:val="22"/>
          <w:szCs w:val="22"/>
        </w:rPr>
        <w:t>/DEN_h.pdf) to determine the hourly rate.   We multiplied the rate by 1.5 to account for benefits, in accordance with BLS news release USDL 19-0049, March 19,2019, (</w:t>
      </w:r>
      <w:hyperlink r:id="rId11" w:history="1">
        <w:r w:rsidRPr="00194D5A">
          <w:rPr>
            <w:rStyle w:val="Hyperlink"/>
            <w:rFonts w:asciiTheme="minorHAnsi" w:hAnsiTheme="minorHAnsi" w:cstheme="minorHAnsi"/>
            <w:color w:val="auto"/>
            <w:sz w:val="22"/>
            <w:szCs w:val="22"/>
          </w:rPr>
          <w:t>http://www.bls.gov/news.release/pdf/ecec.pdf</w:t>
        </w:r>
      </w:hyperlink>
      <w:r w:rsidRPr="00194D5A">
        <w:rPr>
          <w:rFonts w:asciiTheme="minorHAnsi" w:hAnsiTheme="minorHAnsi" w:cstheme="minorHAnsi"/>
          <w:sz w:val="22"/>
          <w:szCs w:val="22"/>
        </w:rPr>
        <w:t>). Employer Costs for Employee Compensation—December 2018, to calculate the fully burdened rate.</w:t>
      </w:r>
    </w:p>
    <w:p w14:paraId="28F3E441" w14:textId="26126F97" w:rsidR="008E2B35" w:rsidRPr="00194D5A" w:rsidRDefault="008E2B35" w:rsidP="00683926">
      <w:pPr>
        <w:spacing w:line="276" w:lineRule="auto"/>
        <w:rPr>
          <w:rFonts w:asciiTheme="minorHAnsi" w:hAnsiTheme="minorHAnsi" w:cstheme="minorHAnsi"/>
          <w:sz w:val="22"/>
          <w:szCs w:val="22"/>
        </w:rPr>
      </w:pPr>
    </w:p>
    <w:p w14:paraId="2C4FB0B3" w14:textId="202EB05F" w:rsidR="00E02243" w:rsidRPr="00194D5A" w:rsidRDefault="00E02243" w:rsidP="00683926">
      <w:pPr>
        <w:spacing w:line="276" w:lineRule="auto"/>
        <w:rPr>
          <w:rFonts w:asciiTheme="minorHAnsi" w:hAnsiTheme="minorHAnsi" w:cstheme="minorHAnsi"/>
          <w:b/>
          <w:sz w:val="22"/>
          <w:szCs w:val="22"/>
        </w:rPr>
      </w:pPr>
      <w:r w:rsidRPr="00194D5A">
        <w:rPr>
          <w:rFonts w:asciiTheme="minorHAnsi" w:hAnsiTheme="minorHAnsi" w:cstheme="minorHAnsi"/>
          <w:b/>
          <w:sz w:val="22"/>
          <w:szCs w:val="22"/>
        </w:rPr>
        <w:t>Table 14.1. Estimated annualized cost to the Federal government</w:t>
      </w:r>
    </w:p>
    <w:tbl>
      <w:tblPr>
        <w:tblW w:w="909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1170"/>
        <w:gridCol w:w="2430"/>
        <w:gridCol w:w="1800"/>
        <w:gridCol w:w="1620"/>
      </w:tblGrid>
      <w:tr w:rsidR="00E02243" w:rsidRPr="00194D5A" w14:paraId="0C135D69" w14:textId="77777777" w:rsidTr="00F003FC">
        <w:tc>
          <w:tcPr>
            <w:tcW w:w="2070" w:type="dxa"/>
            <w:vAlign w:val="bottom"/>
          </w:tcPr>
          <w:p w14:paraId="2F885773" w14:textId="77777777" w:rsidR="008E2B35" w:rsidRPr="00194D5A" w:rsidRDefault="008E2B35" w:rsidP="00683926">
            <w:pPr>
              <w:suppressAutoHyphens/>
              <w:spacing w:line="276" w:lineRule="auto"/>
              <w:jc w:val="center"/>
              <w:rPr>
                <w:rFonts w:asciiTheme="minorHAnsi" w:hAnsiTheme="minorHAnsi" w:cstheme="minorHAnsi"/>
                <w:b/>
                <w:sz w:val="18"/>
                <w:szCs w:val="18"/>
              </w:rPr>
            </w:pPr>
            <w:r w:rsidRPr="00194D5A">
              <w:rPr>
                <w:rFonts w:asciiTheme="minorHAnsi" w:hAnsiTheme="minorHAnsi" w:cstheme="minorHAnsi"/>
                <w:b/>
                <w:sz w:val="18"/>
                <w:szCs w:val="18"/>
              </w:rPr>
              <w:t>Grade/</w:t>
            </w:r>
          </w:p>
          <w:p w14:paraId="1C8F9558" w14:textId="77777777" w:rsidR="008E2B35" w:rsidRPr="00194D5A" w:rsidRDefault="008E2B35" w:rsidP="00683926">
            <w:pPr>
              <w:suppressAutoHyphens/>
              <w:spacing w:line="276" w:lineRule="auto"/>
              <w:jc w:val="center"/>
              <w:rPr>
                <w:rFonts w:asciiTheme="minorHAnsi" w:hAnsiTheme="minorHAnsi" w:cstheme="minorHAnsi"/>
                <w:b/>
                <w:sz w:val="18"/>
                <w:szCs w:val="18"/>
              </w:rPr>
            </w:pPr>
            <w:r w:rsidRPr="00194D5A">
              <w:rPr>
                <w:rFonts w:asciiTheme="minorHAnsi" w:hAnsiTheme="minorHAnsi" w:cstheme="minorHAnsi"/>
                <w:b/>
                <w:sz w:val="18"/>
                <w:szCs w:val="18"/>
              </w:rPr>
              <w:t>Step</w:t>
            </w:r>
          </w:p>
        </w:tc>
        <w:tc>
          <w:tcPr>
            <w:tcW w:w="1170" w:type="dxa"/>
            <w:vAlign w:val="bottom"/>
          </w:tcPr>
          <w:p w14:paraId="4B611E25" w14:textId="77777777" w:rsidR="008E2B35" w:rsidRPr="00194D5A" w:rsidRDefault="008E2B35" w:rsidP="00683926">
            <w:pPr>
              <w:suppressAutoHyphens/>
              <w:spacing w:line="276" w:lineRule="auto"/>
              <w:jc w:val="center"/>
              <w:rPr>
                <w:rFonts w:asciiTheme="minorHAnsi" w:hAnsiTheme="minorHAnsi" w:cstheme="minorHAnsi"/>
                <w:b/>
                <w:sz w:val="18"/>
                <w:szCs w:val="18"/>
              </w:rPr>
            </w:pPr>
            <w:r w:rsidRPr="00194D5A">
              <w:rPr>
                <w:rFonts w:asciiTheme="minorHAnsi" w:hAnsiTheme="minorHAnsi" w:cstheme="minorHAnsi"/>
                <w:b/>
                <w:sz w:val="18"/>
                <w:szCs w:val="18"/>
              </w:rPr>
              <w:t>Hourly Rate</w:t>
            </w:r>
          </w:p>
        </w:tc>
        <w:tc>
          <w:tcPr>
            <w:tcW w:w="2430" w:type="dxa"/>
            <w:vAlign w:val="bottom"/>
          </w:tcPr>
          <w:p w14:paraId="67CE4EBA" w14:textId="384F9203" w:rsidR="008E2B35" w:rsidRPr="00194D5A" w:rsidRDefault="008E2B35" w:rsidP="007A3A01">
            <w:pPr>
              <w:suppressAutoHyphens/>
              <w:spacing w:line="276" w:lineRule="auto"/>
              <w:jc w:val="center"/>
              <w:rPr>
                <w:rFonts w:asciiTheme="minorHAnsi" w:hAnsiTheme="minorHAnsi" w:cstheme="minorHAnsi"/>
                <w:b/>
                <w:sz w:val="18"/>
                <w:szCs w:val="18"/>
              </w:rPr>
            </w:pPr>
            <w:r w:rsidRPr="00194D5A">
              <w:rPr>
                <w:rFonts w:asciiTheme="minorHAnsi" w:hAnsiTheme="minorHAnsi" w:cstheme="minorHAnsi"/>
                <w:b/>
                <w:sz w:val="18"/>
                <w:szCs w:val="18"/>
              </w:rPr>
              <w:t xml:space="preserve">Hourly Rate Including Benefits (Multiplier of </w:t>
            </w:r>
            <w:r w:rsidR="007A3A01" w:rsidRPr="00194D5A">
              <w:rPr>
                <w:rFonts w:asciiTheme="minorHAnsi" w:hAnsiTheme="minorHAnsi" w:cstheme="minorHAnsi"/>
                <w:b/>
                <w:sz w:val="18"/>
                <w:szCs w:val="18"/>
              </w:rPr>
              <w:t>1.5</w:t>
            </w:r>
            <w:r w:rsidRPr="00194D5A">
              <w:rPr>
                <w:rFonts w:asciiTheme="minorHAnsi" w:hAnsiTheme="minorHAnsi" w:cstheme="minorHAnsi"/>
                <w:b/>
                <w:sz w:val="18"/>
                <w:szCs w:val="18"/>
              </w:rPr>
              <w:t>)</w:t>
            </w:r>
          </w:p>
        </w:tc>
        <w:tc>
          <w:tcPr>
            <w:tcW w:w="1800" w:type="dxa"/>
            <w:vAlign w:val="bottom"/>
          </w:tcPr>
          <w:p w14:paraId="70AF14E0" w14:textId="77777777" w:rsidR="008E2B35" w:rsidRPr="00194D5A" w:rsidRDefault="008E2B35" w:rsidP="00683926">
            <w:pPr>
              <w:suppressAutoHyphens/>
              <w:spacing w:line="276" w:lineRule="auto"/>
              <w:ind w:left="-18" w:firstLine="18"/>
              <w:jc w:val="center"/>
              <w:rPr>
                <w:rFonts w:asciiTheme="minorHAnsi" w:hAnsiTheme="minorHAnsi" w:cstheme="minorHAnsi"/>
                <w:b/>
                <w:sz w:val="18"/>
                <w:szCs w:val="18"/>
              </w:rPr>
            </w:pPr>
            <w:r w:rsidRPr="00194D5A">
              <w:rPr>
                <w:rFonts w:asciiTheme="minorHAnsi" w:hAnsiTheme="minorHAnsi" w:cstheme="minorHAnsi"/>
                <w:b/>
                <w:sz w:val="18"/>
                <w:szCs w:val="18"/>
              </w:rPr>
              <w:t>Percent of time spent on collection</w:t>
            </w:r>
          </w:p>
        </w:tc>
        <w:tc>
          <w:tcPr>
            <w:tcW w:w="1620" w:type="dxa"/>
            <w:vAlign w:val="bottom"/>
          </w:tcPr>
          <w:p w14:paraId="07C0D761" w14:textId="77777777" w:rsidR="008E2B35" w:rsidRPr="00194D5A" w:rsidRDefault="008E2B35" w:rsidP="00683926">
            <w:pPr>
              <w:suppressAutoHyphens/>
              <w:spacing w:line="276" w:lineRule="auto"/>
              <w:ind w:left="-18" w:firstLine="18"/>
              <w:jc w:val="center"/>
              <w:rPr>
                <w:rFonts w:asciiTheme="minorHAnsi" w:hAnsiTheme="minorHAnsi" w:cstheme="minorHAnsi"/>
                <w:b/>
                <w:sz w:val="18"/>
                <w:szCs w:val="18"/>
              </w:rPr>
            </w:pPr>
            <w:r w:rsidRPr="00194D5A">
              <w:rPr>
                <w:rFonts w:asciiTheme="minorHAnsi" w:hAnsiTheme="minorHAnsi" w:cstheme="minorHAnsi"/>
                <w:b/>
                <w:sz w:val="18"/>
                <w:szCs w:val="18"/>
              </w:rPr>
              <w:t>Weighted Average ($/hr)</w:t>
            </w:r>
          </w:p>
        </w:tc>
      </w:tr>
      <w:tr w:rsidR="00E02243" w:rsidRPr="00194D5A" w14:paraId="5968132F" w14:textId="77777777" w:rsidTr="00F003FC">
        <w:trPr>
          <w:trHeight w:val="548"/>
        </w:trPr>
        <w:tc>
          <w:tcPr>
            <w:tcW w:w="2070" w:type="dxa"/>
            <w:tcBorders>
              <w:bottom w:val="single" w:sz="4" w:space="0" w:color="auto"/>
            </w:tcBorders>
            <w:vAlign w:val="center"/>
          </w:tcPr>
          <w:p w14:paraId="5DF34F52" w14:textId="77777777" w:rsidR="008E2B35" w:rsidRPr="00194D5A" w:rsidRDefault="008E2B35" w:rsidP="00683926">
            <w:pPr>
              <w:suppressAutoHyphens/>
              <w:spacing w:line="276" w:lineRule="auto"/>
              <w:jc w:val="center"/>
              <w:rPr>
                <w:rFonts w:asciiTheme="minorHAnsi" w:hAnsiTheme="minorHAnsi" w:cstheme="minorHAnsi"/>
                <w:sz w:val="18"/>
                <w:szCs w:val="18"/>
              </w:rPr>
            </w:pPr>
            <w:r w:rsidRPr="00194D5A">
              <w:rPr>
                <w:rFonts w:asciiTheme="minorHAnsi" w:hAnsiTheme="minorHAnsi" w:cstheme="minorHAnsi"/>
                <w:sz w:val="18"/>
                <w:szCs w:val="18"/>
              </w:rPr>
              <w:t>GS-13/5</w:t>
            </w:r>
          </w:p>
          <w:p w14:paraId="5A36F63F" w14:textId="77777777" w:rsidR="008E2B35" w:rsidRPr="00194D5A" w:rsidRDefault="008E2B35" w:rsidP="00683926">
            <w:pPr>
              <w:suppressAutoHyphens/>
              <w:spacing w:line="276" w:lineRule="auto"/>
              <w:jc w:val="center"/>
              <w:rPr>
                <w:rFonts w:asciiTheme="minorHAnsi" w:hAnsiTheme="minorHAnsi" w:cstheme="minorHAnsi"/>
                <w:sz w:val="18"/>
                <w:szCs w:val="18"/>
              </w:rPr>
            </w:pPr>
            <w:r w:rsidRPr="00194D5A">
              <w:rPr>
                <w:rFonts w:asciiTheme="minorHAnsi" w:hAnsiTheme="minorHAnsi" w:cstheme="minorHAnsi"/>
                <w:sz w:val="18"/>
                <w:szCs w:val="18"/>
              </w:rPr>
              <w:t>GS-14/5</w:t>
            </w:r>
          </w:p>
        </w:tc>
        <w:tc>
          <w:tcPr>
            <w:tcW w:w="1170" w:type="dxa"/>
            <w:tcBorders>
              <w:bottom w:val="single" w:sz="4" w:space="0" w:color="auto"/>
            </w:tcBorders>
            <w:vAlign w:val="center"/>
          </w:tcPr>
          <w:p w14:paraId="0991B997" w14:textId="434BA748" w:rsidR="008E2B35" w:rsidRPr="00194D5A" w:rsidRDefault="008E2B35" w:rsidP="00683926">
            <w:pPr>
              <w:suppressAutoHyphens/>
              <w:spacing w:line="276" w:lineRule="auto"/>
              <w:jc w:val="center"/>
              <w:rPr>
                <w:rFonts w:asciiTheme="minorHAnsi" w:hAnsiTheme="minorHAnsi" w:cstheme="minorHAnsi"/>
                <w:sz w:val="18"/>
                <w:szCs w:val="18"/>
              </w:rPr>
            </w:pPr>
            <w:r w:rsidRPr="00194D5A">
              <w:rPr>
                <w:rFonts w:asciiTheme="minorHAnsi" w:hAnsiTheme="minorHAnsi" w:cstheme="minorHAnsi"/>
                <w:sz w:val="18"/>
                <w:szCs w:val="18"/>
              </w:rPr>
              <w:t>$</w:t>
            </w:r>
            <w:r w:rsidR="00865791" w:rsidRPr="00194D5A">
              <w:rPr>
                <w:rFonts w:asciiTheme="minorHAnsi" w:hAnsiTheme="minorHAnsi" w:cstheme="minorHAnsi"/>
                <w:sz w:val="18"/>
                <w:szCs w:val="18"/>
              </w:rPr>
              <w:t>5</w:t>
            </w:r>
            <w:r w:rsidR="00203072" w:rsidRPr="00194D5A">
              <w:rPr>
                <w:rFonts w:asciiTheme="minorHAnsi" w:hAnsiTheme="minorHAnsi" w:cstheme="minorHAnsi"/>
                <w:sz w:val="18"/>
                <w:szCs w:val="18"/>
              </w:rPr>
              <w:t>2</w:t>
            </w:r>
            <w:r w:rsidR="00865791" w:rsidRPr="00194D5A">
              <w:rPr>
                <w:rFonts w:asciiTheme="minorHAnsi" w:hAnsiTheme="minorHAnsi" w:cstheme="minorHAnsi"/>
                <w:sz w:val="18"/>
                <w:szCs w:val="18"/>
              </w:rPr>
              <w:t>.</w:t>
            </w:r>
            <w:r w:rsidR="00203072" w:rsidRPr="00194D5A">
              <w:rPr>
                <w:rFonts w:asciiTheme="minorHAnsi" w:hAnsiTheme="minorHAnsi" w:cstheme="minorHAnsi"/>
                <w:sz w:val="18"/>
                <w:szCs w:val="18"/>
              </w:rPr>
              <w:t>60</w:t>
            </w:r>
          </w:p>
          <w:p w14:paraId="36897C25" w14:textId="4041AC13" w:rsidR="008E2B35" w:rsidRPr="00194D5A" w:rsidRDefault="00865791" w:rsidP="00683926">
            <w:pPr>
              <w:suppressAutoHyphens/>
              <w:spacing w:line="276" w:lineRule="auto"/>
              <w:jc w:val="center"/>
              <w:rPr>
                <w:rFonts w:asciiTheme="minorHAnsi" w:hAnsiTheme="minorHAnsi" w:cstheme="minorHAnsi"/>
                <w:sz w:val="18"/>
                <w:szCs w:val="18"/>
              </w:rPr>
            </w:pPr>
            <w:r w:rsidRPr="00194D5A">
              <w:rPr>
                <w:rFonts w:asciiTheme="minorHAnsi" w:hAnsiTheme="minorHAnsi" w:cstheme="minorHAnsi"/>
                <w:sz w:val="18"/>
                <w:szCs w:val="18"/>
              </w:rPr>
              <w:t>$6</w:t>
            </w:r>
            <w:r w:rsidR="00203072" w:rsidRPr="00194D5A">
              <w:rPr>
                <w:rFonts w:asciiTheme="minorHAnsi" w:hAnsiTheme="minorHAnsi" w:cstheme="minorHAnsi"/>
                <w:sz w:val="18"/>
                <w:szCs w:val="18"/>
              </w:rPr>
              <w:t>2</w:t>
            </w:r>
            <w:r w:rsidRPr="00194D5A">
              <w:rPr>
                <w:rFonts w:asciiTheme="minorHAnsi" w:hAnsiTheme="minorHAnsi" w:cstheme="minorHAnsi"/>
                <w:sz w:val="18"/>
                <w:szCs w:val="18"/>
              </w:rPr>
              <w:t>.</w:t>
            </w:r>
            <w:r w:rsidR="00203072" w:rsidRPr="00194D5A">
              <w:rPr>
                <w:rFonts w:asciiTheme="minorHAnsi" w:hAnsiTheme="minorHAnsi" w:cstheme="minorHAnsi"/>
                <w:sz w:val="18"/>
                <w:szCs w:val="18"/>
              </w:rPr>
              <w:t>15</w:t>
            </w:r>
          </w:p>
        </w:tc>
        <w:tc>
          <w:tcPr>
            <w:tcW w:w="2430" w:type="dxa"/>
            <w:tcBorders>
              <w:bottom w:val="single" w:sz="4" w:space="0" w:color="auto"/>
            </w:tcBorders>
            <w:vAlign w:val="center"/>
          </w:tcPr>
          <w:p w14:paraId="536C6A50" w14:textId="78D9A496" w:rsidR="008E2B35" w:rsidRPr="00194D5A" w:rsidRDefault="00865791" w:rsidP="00683926">
            <w:pPr>
              <w:suppressAutoHyphens/>
              <w:spacing w:line="276" w:lineRule="auto"/>
              <w:jc w:val="center"/>
              <w:rPr>
                <w:rFonts w:asciiTheme="minorHAnsi" w:hAnsiTheme="minorHAnsi" w:cstheme="minorHAnsi"/>
                <w:sz w:val="18"/>
                <w:szCs w:val="18"/>
              </w:rPr>
            </w:pPr>
            <w:r w:rsidRPr="00194D5A">
              <w:rPr>
                <w:rFonts w:asciiTheme="minorHAnsi" w:hAnsiTheme="minorHAnsi" w:cstheme="minorHAnsi"/>
                <w:sz w:val="18"/>
                <w:szCs w:val="18"/>
              </w:rPr>
              <w:t>$</w:t>
            </w:r>
            <w:r w:rsidR="007A3A01" w:rsidRPr="00194D5A">
              <w:rPr>
                <w:rFonts w:asciiTheme="minorHAnsi" w:hAnsiTheme="minorHAnsi" w:cstheme="minorHAnsi"/>
                <w:sz w:val="18"/>
                <w:szCs w:val="18"/>
              </w:rPr>
              <w:t>78.90</w:t>
            </w:r>
            <w:r w:rsidRPr="00194D5A">
              <w:rPr>
                <w:rFonts w:asciiTheme="minorHAnsi" w:hAnsiTheme="minorHAnsi" w:cstheme="minorHAnsi"/>
                <w:sz w:val="18"/>
                <w:szCs w:val="18"/>
              </w:rPr>
              <w:t>.</w:t>
            </w:r>
          </w:p>
          <w:p w14:paraId="013754DC" w14:textId="236BCA1D" w:rsidR="008E2B35" w:rsidRPr="00194D5A" w:rsidRDefault="008E2B35" w:rsidP="007A3A01">
            <w:pPr>
              <w:suppressAutoHyphens/>
              <w:spacing w:line="276" w:lineRule="auto"/>
              <w:jc w:val="center"/>
              <w:rPr>
                <w:rFonts w:asciiTheme="minorHAnsi" w:hAnsiTheme="minorHAnsi" w:cstheme="minorHAnsi"/>
                <w:sz w:val="18"/>
                <w:szCs w:val="18"/>
              </w:rPr>
            </w:pPr>
            <w:r w:rsidRPr="00194D5A">
              <w:rPr>
                <w:rFonts w:asciiTheme="minorHAnsi" w:hAnsiTheme="minorHAnsi" w:cstheme="minorHAnsi"/>
                <w:sz w:val="18"/>
                <w:szCs w:val="18"/>
              </w:rPr>
              <w:t>$</w:t>
            </w:r>
            <w:r w:rsidR="007A3A01" w:rsidRPr="00194D5A">
              <w:rPr>
                <w:rFonts w:asciiTheme="minorHAnsi" w:hAnsiTheme="minorHAnsi" w:cstheme="minorHAnsi"/>
                <w:sz w:val="18"/>
                <w:szCs w:val="18"/>
              </w:rPr>
              <w:t>93.22</w:t>
            </w:r>
          </w:p>
        </w:tc>
        <w:tc>
          <w:tcPr>
            <w:tcW w:w="1800" w:type="dxa"/>
            <w:tcBorders>
              <w:bottom w:val="single" w:sz="4" w:space="0" w:color="auto"/>
            </w:tcBorders>
            <w:vAlign w:val="center"/>
          </w:tcPr>
          <w:p w14:paraId="42BF2E93" w14:textId="77777777" w:rsidR="008E2B35" w:rsidRPr="00194D5A" w:rsidRDefault="008E2B35" w:rsidP="00683926">
            <w:pPr>
              <w:suppressAutoHyphens/>
              <w:spacing w:line="276" w:lineRule="auto"/>
              <w:ind w:left="-18" w:firstLine="18"/>
              <w:jc w:val="center"/>
              <w:rPr>
                <w:rFonts w:asciiTheme="minorHAnsi" w:hAnsiTheme="minorHAnsi" w:cstheme="minorHAnsi"/>
                <w:sz w:val="18"/>
                <w:szCs w:val="18"/>
              </w:rPr>
            </w:pPr>
            <w:r w:rsidRPr="00194D5A">
              <w:rPr>
                <w:rFonts w:asciiTheme="minorHAnsi" w:hAnsiTheme="minorHAnsi" w:cstheme="minorHAnsi"/>
                <w:sz w:val="18"/>
                <w:szCs w:val="18"/>
              </w:rPr>
              <w:t>80%</w:t>
            </w:r>
          </w:p>
          <w:p w14:paraId="3B6A8F27" w14:textId="77777777" w:rsidR="008E2B35" w:rsidRPr="00194D5A" w:rsidRDefault="008E2B35" w:rsidP="00683926">
            <w:pPr>
              <w:suppressAutoHyphens/>
              <w:spacing w:line="276" w:lineRule="auto"/>
              <w:ind w:left="-18" w:firstLine="18"/>
              <w:jc w:val="center"/>
              <w:rPr>
                <w:rFonts w:asciiTheme="minorHAnsi" w:hAnsiTheme="minorHAnsi" w:cstheme="minorHAnsi"/>
                <w:sz w:val="18"/>
                <w:szCs w:val="18"/>
              </w:rPr>
            </w:pPr>
            <w:r w:rsidRPr="00194D5A">
              <w:rPr>
                <w:rFonts w:asciiTheme="minorHAnsi" w:hAnsiTheme="minorHAnsi" w:cstheme="minorHAnsi"/>
                <w:sz w:val="18"/>
                <w:szCs w:val="18"/>
              </w:rPr>
              <w:t>20%</w:t>
            </w:r>
          </w:p>
        </w:tc>
        <w:tc>
          <w:tcPr>
            <w:tcW w:w="1620" w:type="dxa"/>
            <w:tcBorders>
              <w:bottom w:val="single" w:sz="4" w:space="0" w:color="auto"/>
            </w:tcBorders>
            <w:vAlign w:val="center"/>
          </w:tcPr>
          <w:p w14:paraId="020290A1" w14:textId="3C8C4EA8" w:rsidR="008E2B35" w:rsidRPr="00194D5A" w:rsidRDefault="00865791" w:rsidP="00683926">
            <w:pPr>
              <w:suppressAutoHyphens/>
              <w:spacing w:line="276" w:lineRule="auto"/>
              <w:ind w:left="-18" w:firstLine="18"/>
              <w:jc w:val="center"/>
              <w:rPr>
                <w:rFonts w:asciiTheme="minorHAnsi" w:hAnsiTheme="minorHAnsi" w:cstheme="minorHAnsi"/>
                <w:sz w:val="18"/>
                <w:szCs w:val="18"/>
              </w:rPr>
            </w:pPr>
            <w:r w:rsidRPr="00194D5A">
              <w:rPr>
                <w:rFonts w:asciiTheme="minorHAnsi" w:hAnsiTheme="minorHAnsi" w:cstheme="minorHAnsi"/>
                <w:sz w:val="18"/>
                <w:szCs w:val="18"/>
              </w:rPr>
              <w:t>$</w:t>
            </w:r>
            <w:r w:rsidR="007A3A01" w:rsidRPr="00194D5A">
              <w:rPr>
                <w:rFonts w:asciiTheme="minorHAnsi" w:hAnsiTheme="minorHAnsi" w:cstheme="minorHAnsi"/>
                <w:sz w:val="18"/>
                <w:szCs w:val="18"/>
              </w:rPr>
              <w:t>63.12</w:t>
            </w:r>
          </w:p>
          <w:p w14:paraId="37733293" w14:textId="41FBB880" w:rsidR="008E2B35" w:rsidRPr="00194D5A" w:rsidRDefault="00865791" w:rsidP="007A3A01">
            <w:pPr>
              <w:suppressAutoHyphens/>
              <w:spacing w:line="276" w:lineRule="auto"/>
              <w:ind w:left="-18" w:firstLine="18"/>
              <w:jc w:val="center"/>
              <w:rPr>
                <w:rFonts w:asciiTheme="minorHAnsi" w:hAnsiTheme="minorHAnsi" w:cstheme="minorHAnsi"/>
                <w:sz w:val="18"/>
                <w:szCs w:val="18"/>
              </w:rPr>
            </w:pPr>
            <w:r w:rsidRPr="00194D5A">
              <w:rPr>
                <w:rFonts w:asciiTheme="minorHAnsi" w:hAnsiTheme="minorHAnsi" w:cstheme="minorHAnsi"/>
                <w:sz w:val="18"/>
                <w:szCs w:val="18"/>
              </w:rPr>
              <w:t>$</w:t>
            </w:r>
            <w:r w:rsidR="007A3A01" w:rsidRPr="00194D5A">
              <w:rPr>
                <w:rFonts w:asciiTheme="minorHAnsi" w:hAnsiTheme="minorHAnsi" w:cstheme="minorHAnsi"/>
                <w:sz w:val="18"/>
                <w:szCs w:val="18"/>
              </w:rPr>
              <w:t>18.64</w:t>
            </w:r>
          </w:p>
        </w:tc>
      </w:tr>
      <w:tr w:rsidR="00E02243" w:rsidRPr="00194D5A" w14:paraId="788E4DF2" w14:textId="77777777" w:rsidTr="00F003FC">
        <w:trPr>
          <w:trHeight w:val="305"/>
        </w:trPr>
        <w:tc>
          <w:tcPr>
            <w:tcW w:w="2070" w:type="dxa"/>
            <w:shd w:val="clear" w:color="auto" w:fill="auto"/>
            <w:vAlign w:val="center"/>
          </w:tcPr>
          <w:p w14:paraId="08B4E47E" w14:textId="77777777" w:rsidR="008E2B35" w:rsidRPr="00194D5A" w:rsidRDefault="008E2B35" w:rsidP="00683926">
            <w:pPr>
              <w:suppressAutoHyphens/>
              <w:spacing w:line="276" w:lineRule="auto"/>
              <w:rPr>
                <w:rFonts w:asciiTheme="minorHAnsi" w:hAnsiTheme="minorHAnsi" w:cstheme="minorHAnsi"/>
                <w:b/>
                <w:sz w:val="18"/>
                <w:szCs w:val="18"/>
              </w:rPr>
            </w:pPr>
            <w:r w:rsidRPr="00194D5A">
              <w:rPr>
                <w:rFonts w:asciiTheme="minorHAnsi" w:hAnsiTheme="minorHAnsi" w:cstheme="minorHAnsi"/>
                <w:b/>
                <w:sz w:val="18"/>
                <w:szCs w:val="18"/>
              </w:rPr>
              <w:t>Total</w:t>
            </w:r>
          </w:p>
        </w:tc>
        <w:tc>
          <w:tcPr>
            <w:tcW w:w="1170" w:type="dxa"/>
            <w:shd w:val="thinDiagCross" w:color="auto" w:fill="E7E6E6" w:themeFill="background2"/>
            <w:vAlign w:val="center"/>
          </w:tcPr>
          <w:p w14:paraId="1EAE7743" w14:textId="77777777" w:rsidR="008E2B35" w:rsidRPr="00194D5A" w:rsidRDefault="008E2B35" w:rsidP="00683926">
            <w:pPr>
              <w:suppressAutoHyphens/>
              <w:spacing w:line="276" w:lineRule="auto"/>
              <w:jc w:val="center"/>
              <w:rPr>
                <w:rFonts w:asciiTheme="minorHAnsi" w:hAnsiTheme="minorHAnsi" w:cstheme="minorHAnsi"/>
                <w:sz w:val="18"/>
                <w:szCs w:val="18"/>
              </w:rPr>
            </w:pPr>
          </w:p>
        </w:tc>
        <w:tc>
          <w:tcPr>
            <w:tcW w:w="2430" w:type="dxa"/>
            <w:shd w:val="thinDiagCross" w:color="auto" w:fill="E7E6E6" w:themeFill="background2"/>
            <w:vAlign w:val="center"/>
          </w:tcPr>
          <w:p w14:paraId="262215BD" w14:textId="77777777" w:rsidR="008E2B35" w:rsidRPr="00194D5A" w:rsidRDefault="008E2B35" w:rsidP="00683926">
            <w:pPr>
              <w:suppressAutoHyphens/>
              <w:spacing w:line="276" w:lineRule="auto"/>
              <w:jc w:val="center"/>
              <w:rPr>
                <w:rFonts w:asciiTheme="minorHAnsi" w:hAnsiTheme="minorHAnsi" w:cstheme="minorHAnsi"/>
                <w:sz w:val="18"/>
                <w:szCs w:val="18"/>
              </w:rPr>
            </w:pPr>
          </w:p>
        </w:tc>
        <w:tc>
          <w:tcPr>
            <w:tcW w:w="1800" w:type="dxa"/>
            <w:shd w:val="thinDiagCross" w:color="auto" w:fill="E7E6E6" w:themeFill="background2"/>
            <w:vAlign w:val="center"/>
          </w:tcPr>
          <w:p w14:paraId="04A8C9AF" w14:textId="77777777" w:rsidR="008E2B35" w:rsidRPr="00194D5A" w:rsidRDefault="008E2B35" w:rsidP="00683926">
            <w:pPr>
              <w:suppressAutoHyphens/>
              <w:spacing w:line="276" w:lineRule="auto"/>
              <w:ind w:left="-18" w:firstLine="18"/>
              <w:jc w:val="center"/>
              <w:rPr>
                <w:rFonts w:asciiTheme="minorHAnsi" w:hAnsiTheme="minorHAnsi" w:cstheme="minorHAnsi"/>
                <w:sz w:val="18"/>
                <w:szCs w:val="18"/>
              </w:rPr>
            </w:pPr>
          </w:p>
        </w:tc>
        <w:tc>
          <w:tcPr>
            <w:tcW w:w="1620" w:type="dxa"/>
            <w:shd w:val="clear" w:color="auto" w:fill="auto"/>
            <w:vAlign w:val="center"/>
          </w:tcPr>
          <w:p w14:paraId="5A4DDFC4" w14:textId="7FB9C560" w:rsidR="008E2B35" w:rsidRPr="00194D5A" w:rsidRDefault="00865791" w:rsidP="007A3A01">
            <w:pPr>
              <w:suppressAutoHyphens/>
              <w:spacing w:line="276" w:lineRule="auto"/>
              <w:ind w:left="-18" w:firstLine="18"/>
              <w:jc w:val="center"/>
              <w:rPr>
                <w:rFonts w:asciiTheme="minorHAnsi" w:hAnsiTheme="minorHAnsi" w:cstheme="minorHAnsi"/>
                <w:b/>
                <w:sz w:val="18"/>
                <w:szCs w:val="18"/>
              </w:rPr>
            </w:pPr>
            <w:r w:rsidRPr="00194D5A">
              <w:rPr>
                <w:rFonts w:asciiTheme="minorHAnsi" w:hAnsiTheme="minorHAnsi" w:cstheme="minorHAnsi"/>
                <w:b/>
                <w:sz w:val="18"/>
                <w:szCs w:val="18"/>
              </w:rPr>
              <w:t>$</w:t>
            </w:r>
            <w:r w:rsidR="007A3A01" w:rsidRPr="00194D5A">
              <w:rPr>
                <w:rFonts w:asciiTheme="minorHAnsi" w:hAnsiTheme="minorHAnsi" w:cstheme="minorHAnsi"/>
                <w:b/>
                <w:sz w:val="18"/>
                <w:szCs w:val="18"/>
              </w:rPr>
              <w:t xml:space="preserve">81.76 </w:t>
            </w:r>
          </w:p>
        </w:tc>
      </w:tr>
    </w:tbl>
    <w:p w14:paraId="065144C3" w14:textId="77777777" w:rsidR="008E2B35" w:rsidRPr="00194D5A" w:rsidRDefault="008E2B35" w:rsidP="00683926">
      <w:pPr>
        <w:numPr>
          <w:ilvl w:val="0"/>
          <w:numId w:val="1"/>
        </w:numPr>
        <w:spacing w:line="276" w:lineRule="auto"/>
        <w:rPr>
          <w:rFonts w:asciiTheme="minorHAnsi" w:hAnsiTheme="minorHAnsi" w:cstheme="minorHAnsi"/>
          <w:sz w:val="22"/>
          <w:szCs w:val="22"/>
        </w:rPr>
      </w:pPr>
    </w:p>
    <w:p w14:paraId="76C7AC73" w14:textId="77777777" w:rsidR="008E2B35" w:rsidRPr="00194D5A" w:rsidRDefault="008E2B35" w:rsidP="00683926">
      <w:pPr>
        <w:numPr>
          <w:ilvl w:val="0"/>
          <w:numId w:val="1"/>
        </w:numPr>
        <w:tabs>
          <w:tab w:val="left" w:pos="-720"/>
          <w:tab w:val="left" w:pos="0"/>
        </w:tabs>
        <w:suppressAutoHyphens/>
        <w:spacing w:line="276" w:lineRule="auto"/>
        <w:rPr>
          <w:rFonts w:asciiTheme="minorHAnsi" w:hAnsiTheme="minorHAnsi" w:cstheme="minorHAnsi"/>
          <w:sz w:val="22"/>
          <w:szCs w:val="22"/>
        </w:rPr>
      </w:pPr>
      <w:r w:rsidRPr="00194D5A">
        <w:rPr>
          <w:rFonts w:asciiTheme="minorHAnsi" w:hAnsiTheme="minorHAnsi" w:cstheme="minorHAnsi"/>
          <w:b/>
          <w:sz w:val="22"/>
          <w:szCs w:val="22"/>
        </w:rPr>
        <w:t>Other Costs - $37,000</w:t>
      </w:r>
      <w:r w:rsidRPr="00194D5A">
        <w:rPr>
          <w:rFonts w:asciiTheme="minorHAnsi" w:hAnsiTheme="minorHAnsi" w:cstheme="minorHAnsi"/>
          <w:sz w:val="22"/>
          <w:szCs w:val="22"/>
        </w:rPr>
        <w:t xml:space="preserve"> - We estimate approximately $37,000 for equipment and other incidental costs.</w:t>
      </w:r>
    </w:p>
    <w:p w14:paraId="652FC025" w14:textId="77777777" w:rsidR="008E2B35" w:rsidRPr="00194D5A" w:rsidRDefault="008E2B35" w:rsidP="00683926">
      <w:pPr>
        <w:tabs>
          <w:tab w:val="left" w:pos="720"/>
        </w:tabs>
        <w:suppressAutoHyphens/>
        <w:spacing w:line="276" w:lineRule="auto"/>
        <w:rPr>
          <w:rFonts w:asciiTheme="minorHAnsi" w:hAnsiTheme="minorHAnsi" w:cstheme="minorHAnsi"/>
          <w:sz w:val="22"/>
          <w:szCs w:val="22"/>
          <w:u w:val="single"/>
        </w:rPr>
      </w:pPr>
    </w:p>
    <w:p w14:paraId="741FBB01" w14:textId="77777777" w:rsidR="00303F5F" w:rsidRPr="00194D5A" w:rsidRDefault="00303F5F" w:rsidP="00683926">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194D5A">
        <w:rPr>
          <w:rFonts w:asciiTheme="minorHAnsi" w:hAnsiTheme="minorHAnsi" w:cstheme="minorHAnsi"/>
          <w:b/>
          <w:sz w:val="22"/>
          <w:szCs w:val="22"/>
        </w:rPr>
        <w:t>15.</w:t>
      </w:r>
      <w:r w:rsidRPr="00194D5A">
        <w:rPr>
          <w:rFonts w:asciiTheme="minorHAnsi" w:hAnsiTheme="minorHAnsi" w:cstheme="minorHAnsi"/>
          <w:b/>
          <w:sz w:val="22"/>
          <w:szCs w:val="22"/>
        </w:rPr>
        <w:tab/>
        <w:t>Explain the reasons for any program changes or adjustments in hour or cost burden.</w:t>
      </w:r>
    </w:p>
    <w:p w14:paraId="00560024" w14:textId="2AA37602" w:rsidR="00303F5F" w:rsidRPr="00194D5A" w:rsidRDefault="00303F5F" w:rsidP="00683926">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p>
    <w:p w14:paraId="37862741" w14:textId="31F34AA4" w:rsidR="00C42FAF" w:rsidRPr="00194D5A" w:rsidRDefault="00495B09" w:rsidP="00683926">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eastAsia="Arial" w:hAnsiTheme="minorHAnsi" w:cstheme="minorHAnsi"/>
          <w:sz w:val="22"/>
          <w:szCs w:val="22"/>
        </w:rPr>
      </w:pPr>
      <w:r w:rsidRPr="00194D5A">
        <w:rPr>
          <w:rFonts w:asciiTheme="minorHAnsi" w:eastAsia="Arial" w:hAnsiTheme="minorHAnsi" w:cstheme="minorHAnsi"/>
          <w:sz w:val="22"/>
          <w:szCs w:val="22"/>
        </w:rPr>
        <w:t>With this request, we are asking OMB to approve our request to consolidate the information collection requirements approved under OMB Control Number 1024-0274 (“Non-Federal Oil and Gas Rights, 36 CFR Part 9, Subpart</w:t>
      </w:r>
      <w:r w:rsidR="00657158">
        <w:rPr>
          <w:rFonts w:asciiTheme="minorHAnsi" w:eastAsia="Arial" w:hAnsiTheme="minorHAnsi" w:cstheme="minorHAnsi"/>
          <w:sz w:val="22"/>
          <w:szCs w:val="22"/>
        </w:rPr>
        <w:t xml:space="preserve">s </w:t>
      </w:r>
      <w:r w:rsidR="00F003FC">
        <w:rPr>
          <w:rFonts w:asciiTheme="minorHAnsi" w:eastAsia="Arial" w:hAnsiTheme="minorHAnsi" w:cstheme="minorHAnsi"/>
          <w:sz w:val="22"/>
          <w:szCs w:val="22"/>
        </w:rPr>
        <w:t>“</w:t>
      </w:r>
      <w:r w:rsidRPr="00194D5A">
        <w:rPr>
          <w:rFonts w:asciiTheme="minorHAnsi" w:eastAsia="Arial" w:hAnsiTheme="minorHAnsi" w:cstheme="minorHAnsi"/>
          <w:sz w:val="22"/>
          <w:szCs w:val="22"/>
        </w:rPr>
        <w:t>B”</w:t>
      </w:r>
      <w:r w:rsidR="00A8289E" w:rsidRPr="00194D5A">
        <w:rPr>
          <w:rFonts w:asciiTheme="minorHAnsi" w:eastAsia="Arial" w:hAnsiTheme="minorHAnsi" w:cstheme="minorHAnsi"/>
          <w:sz w:val="22"/>
          <w:szCs w:val="22"/>
        </w:rPr>
        <w:t>)</w:t>
      </w:r>
      <w:r w:rsidRPr="00194D5A">
        <w:rPr>
          <w:rFonts w:asciiTheme="minorHAnsi" w:eastAsia="Arial" w:hAnsiTheme="minorHAnsi" w:cstheme="minorHAnsi"/>
          <w:sz w:val="22"/>
          <w:szCs w:val="22"/>
        </w:rPr>
        <w:t xml:space="preserve"> into collection 1024-0064</w:t>
      </w:r>
      <w:r w:rsidR="00A8289E" w:rsidRPr="00194D5A">
        <w:rPr>
          <w:rFonts w:asciiTheme="minorHAnsi" w:eastAsia="Arial" w:hAnsiTheme="minorHAnsi" w:cstheme="minorHAnsi"/>
          <w:sz w:val="22"/>
          <w:szCs w:val="22"/>
        </w:rPr>
        <w:t xml:space="preserve"> (Mining Claims)</w:t>
      </w:r>
      <w:r w:rsidRPr="00194D5A">
        <w:rPr>
          <w:rFonts w:asciiTheme="minorHAnsi" w:eastAsia="Arial" w:hAnsiTheme="minorHAnsi" w:cstheme="minorHAnsi"/>
          <w:sz w:val="22"/>
          <w:szCs w:val="22"/>
        </w:rPr>
        <w:t>.</w:t>
      </w:r>
      <w:r w:rsidR="00A8289E" w:rsidRPr="00194D5A">
        <w:rPr>
          <w:rFonts w:asciiTheme="minorHAnsi" w:eastAsia="Arial" w:hAnsiTheme="minorHAnsi" w:cstheme="minorHAnsi"/>
          <w:sz w:val="22"/>
          <w:szCs w:val="22"/>
        </w:rPr>
        <w:t xml:space="preserve"> </w:t>
      </w:r>
      <w:r w:rsidR="00A243E3" w:rsidRPr="00194D5A">
        <w:rPr>
          <w:rFonts w:asciiTheme="minorHAnsi" w:eastAsia="Arial" w:hAnsiTheme="minorHAnsi" w:cstheme="minorHAnsi"/>
          <w:sz w:val="22"/>
          <w:szCs w:val="22"/>
        </w:rPr>
        <w:t>Overall, t</w:t>
      </w:r>
      <w:r w:rsidR="00A8289E" w:rsidRPr="00194D5A">
        <w:rPr>
          <w:rFonts w:asciiTheme="minorHAnsi" w:eastAsia="Arial" w:hAnsiTheme="minorHAnsi" w:cstheme="minorHAnsi"/>
          <w:sz w:val="22"/>
          <w:szCs w:val="22"/>
        </w:rPr>
        <w:t xml:space="preserve">here are no changes in the burden hour estimates or number of respondents for either collection since the last OMB approval. </w:t>
      </w:r>
      <w:r w:rsidR="00A243E3" w:rsidRPr="00194D5A">
        <w:rPr>
          <w:rFonts w:asciiTheme="minorHAnsi" w:eastAsia="Arial" w:hAnsiTheme="minorHAnsi" w:cstheme="minorHAnsi"/>
          <w:sz w:val="22"/>
          <w:szCs w:val="22"/>
        </w:rPr>
        <w:t xml:space="preserve">However, </w:t>
      </w:r>
      <w:r w:rsidR="0060693C" w:rsidRPr="00194D5A">
        <w:rPr>
          <w:rFonts w:asciiTheme="minorHAnsi" w:eastAsia="Arial" w:hAnsiTheme="minorHAnsi" w:cstheme="minorHAnsi"/>
          <w:sz w:val="22"/>
          <w:szCs w:val="22"/>
        </w:rPr>
        <w:t xml:space="preserve">the program change </w:t>
      </w:r>
      <w:r w:rsidR="00657158">
        <w:rPr>
          <w:rFonts w:asciiTheme="minorHAnsi" w:eastAsia="Arial" w:hAnsiTheme="minorHAnsi" w:cstheme="minorHAnsi"/>
          <w:sz w:val="22"/>
          <w:szCs w:val="22"/>
        </w:rPr>
        <w:t>is</w:t>
      </w:r>
      <w:r w:rsidR="00A243E3" w:rsidRPr="00194D5A">
        <w:rPr>
          <w:rFonts w:asciiTheme="minorHAnsi" w:eastAsia="Arial" w:hAnsiTheme="minorHAnsi" w:cstheme="minorHAnsi"/>
          <w:sz w:val="22"/>
          <w:szCs w:val="22"/>
        </w:rPr>
        <w:t xml:space="preserve"> the result of discontinuing 1024-0274 and moving th</w:t>
      </w:r>
      <w:r w:rsidR="00657158">
        <w:rPr>
          <w:rFonts w:asciiTheme="minorHAnsi" w:eastAsia="Arial" w:hAnsiTheme="minorHAnsi" w:cstheme="minorHAnsi"/>
          <w:sz w:val="22"/>
          <w:szCs w:val="22"/>
        </w:rPr>
        <w:t>at combined</w:t>
      </w:r>
      <w:r w:rsidR="00A243E3" w:rsidRPr="00194D5A">
        <w:rPr>
          <w:rFonts w:asciiTheme="minorHAnsi" w:eastAsia="Arial" w:hAnsiTheme="minorHAnsi" w:cstheme="minorHAnsi"/>
          <w:sz w:val="22"/>
          <w:szCs w:val="22"/>
        </w:rPr>
        <w:t xml:space="preserve"> burden to 1024-0064. </w:t>
      </w:r>
      <w:r w:rsidR="002530E6">
        <w:rPr>
          <w:rFonts w:asciiTheme="minorHAnsi" w:eastAsia="Arial" w:hAnsiTheme="minorHAnsi" w:cstheme="minorHAnsi"/>
          <w:sz w:val="22"/>
          <w:szCs w:val="22"/>
        </w:rPr>
        <w:t xml:space="preserve"> The program change will cause a net increase of 1,4</w:t>
      </w:r>
      <w:r w:rsidR="00DA0A73">
        <w:rPr>
          <w:rFonts w:asciiTheme="minorHAnsi" w:eastAsia="Arial" w:hAnsiTheme="minorHAnsi" w:cstheme="minorHAnsi"/>
          <w:sz w:val="22"/>
          <w:szCs w:val="22"/>
        </w:rPr>
        <w:t>3</w:t>
      </w:r>
      <w:r w:rsidR="002530E6">
        <w:rPr>
          <w:rFonts w:asciiTheme="minorHAnsi" w:eastAsia="Arial" w:hAnsiTheme="minorHAnsi" w:cstheme="minorHAnsi"/>
          <w:sz w:val="22"/>
          <w:szCs w:val="22"/>
        </w:rPr>
        <w:t>0 responses and 3,696 burden hours.</w:t>
      </w:r>
    </w:p>
    <w:p w14:paraId="319FA080" w14:textId="51496A50" w:rsidR="00C42FAF" w:rsidRPr="00194D5A" w:rsidRDefault="00C42FAF" w:rsidP="00683926">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eastAsia="Arial" w:hAnsiTheme="minorHAnsi" w:cstheme="minorHAnsi"/>
          <w:sz w:val="22"/>
          <w:szCs w:val="22"/>
        </w:rPr>
      </w:pPr>
    </w:p>
    <w:p w14:paraId="1239638C" w14:textId="77777777" w:rsidR="007D15B4" w:rsidRPr="00194D5A" w:rsidRDefault="007D15B4">
      <w:pPr>
        <w:rPr>
          <w:rFonts w:asciiTheme="minorHAnsi" w:eastAsia="Arial" w:hAnsiTheme="minorHAnsi" w:cstheme="minorHAnsi"/>
          <w:b/>
          <w:sz w:val="22"/>
          <w:szCs w:val="22"/>
        </w:rPr>
      </w:pPr>
      <w:r w:rsidRPr="00194D5A">
        <w:rPr>
          <w:rFonts w:asciiTheme="minorHAnsi" w:eastAsia="Arial" w:hAnsiTheme="minorHAnsi" w:cstheme="minorHAnsi"/>
          <w:b/>
          <w:sz w:val="22"/>
          <w:szCs w:val="22"/>
        </w:rPr>
        <w:br w:type="page"/>
      </w:r>
    </w:p>
    <w:p w14:paraId="08805F0D" w14:textId="7C8EED7A" w:rsidR="0060693C" w:rsidRPr="00194D5A" w:rsidRDefault="0060693C" w:rsidP="00683926">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eastAsia="Arial" w:hAnsiTheme="minorHAnsi" w:cstheme="minorHAnsi"/>
          <w:b/>
          <w:sz w:val="22"/>
          <w:szCs w:val="22"/>
        </w:rPr>
      </w:pPr>
      <w:r w:rsidRPr="00194D5A">
        <w:rPr>
          <w:rFonts w:asciiTheme="minorHAnsi" w:eastAsia="Arial" w:hAnsiTheme="minorHAnsi" w:cstheme="minorHAnsi"/>
          <w:b/>
          <w:sz w:val="22"/>
          <w:szCs w:val="22"/>
        </w:rPr>
        <w:t xml:space="preserve">Table 15.1 Estimated </w:t>
      </w:r>
      <w:r w:rsidR="00E02243" w:rsidRPr="00194D5A">
        <w:rPr>
          <w:rFonts w:asciiTheme="minorHAnsi" w:eastAsia="Arial" w:hAnsiTheme="minorHAnsi" w:cstheme="minorHAnsi"/>
          <w:b/>
          <w:sz w:val="22"/>
          <w:szCs w:val="22"/>
        </w:rPr>
        <w:t xml:space="preserve">program changes </w:t>
      </w:r>
    </w:p>
    <w:tbl>
      <w:tblPr>
        <w:tblStyle w:val="TableGrid"/>
        <w:tblW w:w="0" w:type="auto"/>
        <w:tblInd w:w="175" w:type="dxa"/>
        <w:tblLayout w:type="fixed"/>
        <w:tblLook w:val="04A0" w:firstRow="1" w:lastRow="0" w:firstColumn="1" w:lastColumn="0" w:noHBand="0" w:noVBand="1"/>
      </w:tblPr>
      <w:tblGrid>
        <w:gridCol w:w="3240"/>
        <w:gridCol w:w="1080"/>
        <w:gridCol w:w="990"/>
        <w:gridCol w:w="1080"/>
        <w:gridCol w:w="1080"/>
      </w:tblGrid>
      <w:tr w:rsidR="00657158" w:rsidRPr="00194D5A" w14:paraId="1FA2277A" w14:textId="77777777" w:rsidTr="00F003FC">
        <w:tc>
          <w:tcPr>
            <w:tcW w:w="3240" w:type="dxa"/>
          </w:tcPr>
          <w:p w14:paraId="0D55DD15" w14:textId="77777777" w:rsidR="00657158" w:rsidRPr="00194D5A" w:rsidRDefault="00657158" w:rsidP="00D07BBA">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eastAsia="Arial" w:hAnsiTheme="minorHAnsi" w:cstheme="minorHAnsi"/>
                <w:sz w:val="22"/>
                <w:szCs w:val="22"/>
              </w:rPr>
            </w:pPr>
          </w:p>
        </w:tc>
        <w:tc>
          <w:tcPr>
            <w:tcW w:w="2070" w:type="dxa"/>
            <w:gridSpan w:val="2"/>
            <w:shd w:val="clear" w:color="auto" w:fill="D9D9D9" w:themeFill="background1" w:themeFillShade="D9"/>
            <w:vAlign w:val="center"/>
          </w:tcPr>
          <w:p w14:paraId="320F2B79" w14:textId="77777777" w:rsidR="00657158" w:rsidRPr="00194D5A" w:rsidRDefault="00657158" w:rsidP="00D07BBA">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asciiTheme="minorHAnsi" w:eastAsia="Arial" w:hAnsiTheme="minorHAnsi" w:cstheme="minorHAnsi"/>
                <w:sz w:val="18"/>
                <w:szCs w:val="22"/>
              </w:rPr>
            </w:pPr>
            <w:r w:rsidRPr="00194D5A">
              <w:rPr>
                <w:rFonts w:asciiTheme="minorHAnsi" w:eastAsia="Arial" w:hAnsiTheme="minorHAnsi" w:cstheme="minorHAnsi"/>
                <w:sz w:val="18"/>
                <w:szCs w:val="22"/>
              </w:rPr>
              <w:t>Previously Approved</w:t>
            </w:r>
          </w:p>
        </w:tc>
        <w:tc>
          <w:tcPr>
            <w:tcW w:w="2160" w:type="dxa"/>
            <w:gridSpan w:val="2"/>
          </w:tcPr>
          <w:p w14:paraId="216AF768" w14:textId="3F454A68" w:rsidR="00657158" w:rsidRPr="00194D5A" w:rsidRDefault="00657158" w:rsidP="00D07BBA">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asciiTheme="minorHAnsi" w:eastAsia="Arial" w:hAnsiTheme="minorHAnsi" w:cstheme="minorHAnsi"/>
                <w:sz w:val="18"/>
                <w:szCs w:val="22"/>
              </w:rPr>
            </w:pPr>
            <w:r w:rsidRPr="00194D5A">
              <w:rPr>
                <w:rFonts w:asciiTheme="minorHAnsi" w:eastAsia="Arial" w:hAnsiTheme="minorHAnsi" w:cstheme="minorHAnsi"/>
                <w:sz w:val="18"/>
                <w:szCs w:val="22"/>
              </w:rPr>
              <w:t>Ne</w:t>
            </w:r>
            <w:r w:rsidR="00F003FC">
              <w:rPr>
                <w:rFonts w:asciiTheme="minorHAnsi" w:eastAsia="Arial" w:hAnsiTheme="minorHAnsi" w:cstheme="minorHAnsi"/>
                <w:sz w:val="18"/>
                <w:szCs w:val="22"/>
              </w:rPr>
              <w:t>t C</w:t>
            </w:r>
            <w:r w:rsidRPr="00194D5A">
              <w:rPr>
                <w:rFonts w:asciiTheme="minorHAnsi" w:eastAsia="Arial" w:hAnsiTheme="minorHAnsi" w:cstheme="minorHAnsi"/>
                <w:sz w:val="18"/>
                <w:szCs w:val="22"/>
              </w:rPr>
              <w:t>hange</w:t>
            </w:r>
          </w:p>
        </w:tc>
      </w:tr>
      <w:tr w:rsidR="00657158" w:rsidRPr="00194D5A" w14:paraId="3A0706EA" w14:textId="77777777" w:rsidTr="00F003FC">
        <w:tc>
          <w:tcPr>
            <w:tcW w:w="3240" w:type="dxa"/>
          </w:tcPr>
          <w:p w14:paraId="2AD12CDE" w14:textId="77777777" w:rsidR="00657158" w:rsidRPr="00194D5A" w:rsidRDefault="00657158" w:rsidP="00D07BBA">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eastAsia="Arial" w:hAnsiTheme="minorHAnsi" w:cstheme="minorHAnsi"/>
                <w:sz w:val="22"/>
                <w:szCs w:val="22"/>
              </w:rPr>
            </w:pPr>
          </w:p>
        </w:tc>
        <w:tc>
          <w:tcPr>
            <w:tcW w:w="1080" w:type="dxa"/>
            <w:shd w:val="clear" w:color="auto" w:fill="D9D9D9" w:themeFill="background1" w:themeFillShade="D9"/>
            <w:vAlign w:val="center"/>
          </w:tcPr>
          <w:p w14:paraId="35B3074F" w14:textId="77777777" w:rsidR="00657158" w:rsidRPr="00194D5A" w:rsidRDefault="00657158" w:rsidP="00D07BBA">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asciiTheme="minorHAnsi" w:eastAsia="Arial" w:hAnsiTheme="minorHAnsi" w:cstheme="minorHAnsi"/>
                <w:sz w:val="18"/>
                <w:szCs w:val="22"/>
              </w:rPr>
            </w:pPr>
            <w:r w:rsidRPr="00194D5A">
              <w:rPr>
                <w:rFonts w:asciiTheme="minorHAnsi" w:eastAsia="Arial" w:hAnsiTheme="minorHAnsi" w:cstheme="minorHAnsi"/>
                <w:sz w:val="18"/>
                <w:szCs w:val="22"/>
              </w:rPr>
              <w:t>Responses</w:t>
            </w:r>
          </w:p>
        </w:tc>
        <w:tc>
          <w:tcPr>
            <w:tcW w:w="990" w:type="dxa"/>
            <w:shd w:val="clear" w:color="auto" w:fill="D9D9D9" w:themeFill="background1" w:themeFillShade="D9"/>
            <w:vAlign w:val="center"/>
          </w:tcPr>
          <w:p w14:paraId="302C2031" w14:textId="77777777" w:rsidR="00657158" w:rsidRPr="00194D5A" w:rsidRDefault="00657158" w:rsidP="00D07BBA">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asciiTheme="minorHAnsi" w:eastAsia="Arial" w:hAnsiTheme="minorHAnsi" w:cstheme="minorHAnsi"/>
                <w:sz w:val="18"/>
                <w:szCs w:val="22"/>
              </w:rPr>
            </w:pPr>
            <w:r w:rsidRPr="00194D5A">
              <w:rPr>
                <w:rFonts w:asciiTheme="minorHAnsi" w:eastAsia="Arial" w:hAnsiTheme="minorHAnsi" w:cstheme="minorHAnsi"/>
                <w:sz w:val="18"/>
                <w:szCs w:val="22"/>
              </w:rPr>
              <w:t>Burden</w:t>
            </w:r>
          </w:p>
        </w:tc>
        <w:tc>
          <w:tcPr>
            <w:tcW w:w="1080" w:type="dxa"/>
          </w:tcPr>
          <w:p w14:paraId="2C7DDB4A" w14:textId="77777777" w:rsidR="00657158" w:rsidRPr="00194D5A" w:rsidRDefault="00657158" w:rsidP="00D07BBA">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asciiTheme="minorHAnsi" w:eastAsia="Arial" w:hAnsiTheme="minorHAnsi" w:cstheme="minorHAnsi"/>
                <w:sz w:val="18"/>
                <w:szCs w:val="22"/>
              </w:rPr>
            </w:pPr>
            <w:r w:rsidRPr="00194D5A">
              <w:rPr>
                <w:rFonts w:asciiTheme="minorHAnsi" w:eastAsia="Arial" w:hAnsiTheme="minorHAnsi" w:cstheme="minorHAnsi"/>
                <w:sz w:val="18"/>
                <w:szCs w:val="22"/>
              </w:rPr>
              <w:t>Response</w:t>
            </w:r>
          </w:p>
        </w:tc>
        <w:tc>
          <w:tcPr>
            <w:tcW w:w="1080" w:type="dxa"/>
          </w:tcPr>
          <w:p w14:paraId="73525EAD" w14:textId="77777777" w:rsidR="00657158" w:rsidRPr="00194D5A" w:rsidRDefault="00657158" w:rsidP="00D07BBA">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asciiTheme="minorHAnsi" w:eastAsia="Arial" w:hAnsiTheme="minorHAnsi" w:cstheme="minorHAnsi"/>
                <w:sz w:val="18"/>
                <w:szCs w:val="22"/>
              </w:rPr>
            </w:pPr>
            <w:r w:rsidRPr="00194D5A">
              <w:rPr>
                <w:rFonts w:asciiTheme="minorHAnsi" w:eastAsia="Arial" w:hAnsiTheme="minorHAnsi" w:cstheme="minorHAnsi"/>
                <w:sz w:val="18"/>
                <w:szCs w:val="22"/>
              </w:rPr>
              <w:t>Burden</w:t>
            </w:r>
          </w:p>
        </w:tc>
      </w:tr>
      <w:tr w:rsidR="00657158" w:rsidRPr="00194D5A" w14:paraId="775BF946" w14:textId="77777777" w:rsidTr="00F003FC">
        <w:tc>
          <w:tcPr>
            <w:tcW w:w="3240" w:type="dxa"/>
          </w:tcPr>
          <w:p w14:paraId="3AA1006C" w14:textId="77777777" w:rsidR="00657158" w:rsidRPr="00194D5A" w:rsidRDefault="00657158" w:rsidP="00D07BBA">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eastAsia="Arial" w:hAnsiTheme="minorHAnsi" w:cstheme="minorHAnsi"/>
                <w:sz w:val="18"/>
              </w:rPr>
            </w:pPr>
            <w:r w:rsidRPr="00194D5A">
              <w:rPr>
                <w:rFonts w:asciiTheme="minorHAnsi" w:eastAsia="Arial" w:hAnsiTheme="minorHAnsi" w:cstheme="minorHAnsi"/>
                <w:sz w:val="18"/>
              </w:rPr>
              <w:t>OMB Control Number 1024-0274</w:t>
            </w:r>
          </w:p>
        </w:tc>
        <w:tc>
          <w:tcPr>
            <w:tcW w:w="1080" w:type="dxa"/>
            <w:shd w:val="clear" w:color="auto" w:fill="D9D9D9" w:themeFill="background1" w:themeFillShade="D9"/>
          </w:tcPr>
          <w:p w14:paraId="4D99F8AA" w14:textId="267396A6" w:rsidR="00657158" w:rsidRPr="00194D5A" w:rsidRDefault="00657158" w:rsidP="006B0C8B">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asciiTheme="minorHAnsi" w:eastAsia="Arial" w:hAnsiTheme="minorHAnsi" w:cstheme="minorHAnsi"/>
                <w:sz w:val="18"/>
              </w:rPr>
            </w:pPr>
            <w:r w:rsidRPr="00194D5A">
              <w:rPr>
                <w:rFonts w:asciiTheme="minorHAnsi" w:eastAsia="Arial" w:hAnsiTheme="minorHAnsi" w:cstheme="minorHAnsi"/>
                <w:sz w:val="18"/>
              </w:rPr>
              <w:t>1,430</w:t>
            </w:r>
          </w:p>
        </w:tc>
        <w:tc>
          <w:tcPr>
            <w:tcW w:w="990" w:type="dxa"/>
            <w:shd w:val="clear" w:color="auto" w:fill="D9D9D9" w:themeFill="background1" w:themeFillShade="D9"/>
          </w:tcPr>
          <w:p w14:paraId="26E56BE6" w14:textId="482FE72F" w:rsidR="00657158" w:rsidRPr="00194D5A" w:rsidRDefault="00657158" w:rsidP="00D07BBA">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asciiTheme="minorHAnsi" w:eastAsia="Arial" w:hAnsiTheme="minorHAnsi" w:cstheme="minorHAnsi"/>
                <w:sz w:val="18"/>
              </w:rPr>
            </w:pPr>
            <w:r w:rsidRPr="00194D5A">
              <w:rPr>
                <w:rFonts w:asciiTheme="minorHAnsi" w:eastAsia="Arial" w:hAnsiTheme="minorHAnsi" w:cstheme="minorHAnsi"/>
                <w:sz w:val="18"/>
              </w:rPr>
              <w:t>7,056</w:t>
            </w:r>
          </w:p>
        </w:tc>
        <w:tc>
          <w:tcPr>
            <w:tcW w:w="1080" w:type="dxa"/>
          </w:tcPr>
          <w:p w14:paraId="3D041E66" w14:textId="1738593B" w:rsidR="00657158" w:rsidRPr="00194D5A" w:rsidRDefault="002530E6" w:rsidP="00657158">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asciiTheme="minorHAnsi" w:eastAsia="Arial" w:hAnsiTheme="minorHAnsi" w:cstheme="minorHAnsi"/>
                <w:sz w:val="18"/>
              </w:rPr>
            </w:pPr>
            <w:r>
              <w:rPr>
                <w:rFonts w:asciiTheme="minorHAnsi" w:eastAsia="Arial" w:hAnsiTheme="minorHAnsi" w:cstheme="minorHAnsi"/>
                <w:sz w:val="18"/>
              </w:rPr>
              <w:t>1,451</w:t>
            </w:r>
          </w:p>
        </w:tc>
        <w:tc>
          <w:tcPr>
            <w:tcW w:w="1080" w:type="dxa"/>
          </w:tcPr>
          <w:p w14:paraId="620F1315" w14:textId="6205C810" w:rsidR="00657158" w:rsidRPr="00194D5A" w:rsidRDefault="002530E6" w:rsidP="00A243E3">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asciiTheme="minorHAnsi" w:eastAsia="Arial" w:hAnsiTheme="minorHAnsi" w:cstheme="minorHAnsi"/>
                <w:sz w:val="18"/>
              </w:rPr>
            </w:pPr>
            <w:r w:rsidRPr="00194D5A">
              <w:rPr>
                <w:rFonts w:asciiTheme="minorHAnsi" w:eastAsia="Arial" w:hAnsiTheme="minorHAnsi" w:cstheme="minorHAnsi"/>
                <w:sz w:val="18"/>
              </w:rPr>
              <w:fldChar w:fldCharType="begin"/>
            </w:r>
            <w:r w:rsidRPr="00194D5A">
              <w:rPr>
                <w:rFonts w:asciiTheme="minorHAnsi" w:eastAsia="Arial" w:hAnsiTheme="minorHAnsi" w:cstheme="minorHAnsi"/>
                <w:sz w:val="18"/>
              </w:rPr>
              <w:instrText xml:space="preserve"> =SUM(ABOVE) </w:instrText>
            </w:r>
            <w:r w:rsidRPr="00194D5A">
              <w:rPr>
                <w:rFonts w:asciiTheme="minorHAnsi" w:eastAsia="Arial" w:hAnsiTheme="minorHAnsi" w:cstheme="minorHAnsi"/>
                <w:sz w:val="18"/>
              </w:rPr>
              <w:fldChar w:fldCharType="separate"/>
            </w:r>
            <w:r w:rsidRPr="00194D5A">
              <w:rPr>
                <w:rFonts w:asciiTheme="minorHAnsi" w:eastAsia="Arial" w:hAnsiTheme="minorHAnsi" w:cstheme="minorHAnsi"/>
                <w:noProof/>
                <w:sz w:val="18"/>
              </w:rPr>
              <w:t>10,752</w:t>
            </w:r>
            <w:r w:rsidRPr="00194D5A">
              <w:rPr>
                <w:rFonts w:asciiTheme="minorHAnsi" w:eastAsia="Arial" w:hAnsiTheme="minorHAnsi" w:cstheme="minorHAnsi"/>
                <w:sz w:val="18"/>
              </w:rPr>
              <w:fldChar w:fldCharType="end"/>
            </w:r>
          </w:p>
        </w:tc>
      </w:tr>
      <w:tr w:rsidR="00657158" w:rsidRPr="00194D5A" w14:paraId="0F30E52D" w14:textId="77777777" w:rsidTr="00F003FC">
        <w:tc>
          <w:tcPr>
            <w:tcW w:w="3240" w:type="dxa"/>
          </w:tcPr>
          <w:p w14:paraId="1E76DACF" w14:textId="77777777" w:rsidR="00657158" w:rsidRPr="00194D5A" w:rsidRDefault="00657158" w:rsidP="00D07BBA">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eastAsia="Arial" w:hAnsiTheme="minorHAnsi" w:cstheme="minorHAnsi"/>
                <w:sz w:val="18"/>
              </w:rPr>
            </w:pPr>
            <w:r w:rsidRPr="00194D5A">
              <w:rPr>
                <w:rFonts w:asciiTheme="minorHAnsi" w:eastAsia="Arial" w:hAnsiTheme="minorHAnsi" w:cstheme="minorHAnsi"/>
                <w:sz w:val="18"/>
              </w:rPr>
              <w:t>OMB Control Number 1024-0064</w:t>
            </w:r>
          </w:p>
        </w:tc>
        <w:tc>
          <w:tcPr>
            <w:tcW w:w="1080" w:type="dxa"/>
            <w:shd w:val="clear" w:color="auto" w:fill="D9D9D9" w:themeFill="background1" w:themeFillShade="D9"/>
          </w:tcPr>
          <w:p w14:paraId="50B4EBB9" w14:textId="746059B1" w:rsidR="00657158" w:rsidRPr="00194D5A" w:rsidRDefault="00657158" w:rsidP="00D07BBA">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asciiTheme="minorHAnsi" w:eastAsia="Arial" w:hAnsiTheme="minorHAnsi" w:cstheme="minorHAnsi"/>
                <w:sz w:val="18"/>
              </w:rPr>
            </w:pPr>
            <w:r w:rsidRPr="00194D5A">
              <w:rPr>
                <w:rFonts w:asciiTheme="minorHAnsi" w:eastAsia="Arial" w:hAnsiTheme="minorHAnsi" w:cstheme="minorHAnsi"/>
                <w:sz w:val="18"/>
              </w:rPr>
              <w:t>21</w:t>
            </w:r>
          </w:p>
        </w:tc>
        <w:tc>
          <w:tcPr>
            <w:tcW w:w="990" w:type="dxa"/>
            <w:shd w:val="clear" w:color="auto" w:fill="D9D9D9" w:themeFill="background1" w:themeFillShade="D9"/>
          </w:tcPr>
          <w:p w14:paraId="47C3FEB5" w14:textId="280F6DA3" w:rsidR="00657158" w:rsidRPr="00194D5A" w:rsidRDefault="00657158" w:rsidP="00D07BBA">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asciiTheme="minorHAnsi" w:eastAsia="Arial" w:hAnsiTheme="minorHAnsi" w:cstheme="minorHAnsi"/>
                <w:sz w:val="18"/>
              </w:rPr>
            </w:pPr>
            <w:r w:rsidRPr="00194D5A">
              <w:rPr>
                <w:rFonts w:asciiTheme="minorHAnsi" w:eastAsia="Arial" w:hAnsiTheme="minorHAnsi" w:cstheme="minorHAnsi"/>
                <w:sz w:val="18"/>
              </w:rPr>
              <w:t>3,696</w:t>
            </w:r>
          </w:p>
        </w:tc>
        <w:tc>
          <w:tcPr>
            <w:tcW w:w="1080" w:type="dxa"/>
          </w:tcPr>
          <w:p w14:paraId="0F5F481B" w14:textId="482824F9" w:rsidR="00657158" w:rsidRPr="00194D5A" w:rsidRDefault="00657158" w:rsidP="00D07BBA">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asciiTheme="minorHAnsi" w:eastAsia="Arial" w:hAnsiTheme="minorHAnsi" w:cstheme="minorHAnsi"/>
                <w:sz w:val="18"/>
              </w:rPr>
            </w:pPr>
            <w:r w:rsidRPr="00194D5A">
              <w:rPr>
                <w:rFonts w:asciiTheme="minorHAnsi" w:eastAsia="Arial" w:hAnsiTheme="minorHAnsi" w:cstheme="minorHAnsi"/>
                <w:sz w:val="18"/>
              </w:rPr>
              <w:t>-21</w:t>
            </w:r>
          </w:p>
        </w:tc>
        <w:tc>
          <w:tcPr>
            <w:tcW w:w="1080" w:type="dxa"/>
          </w:tcPr>
          <w:p w14:paraId="555DEBEE" w14:textId="66A7001E" w:rsidR="00657158" w:rsidRPr="00194D5A" w:rsidRDefault="002530E6" w:rsidP="00C7609C">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asciiTheme="minorHAnsi" w:eastAsia="Arial" w:hAnsiTheme="minorHAnsi" w:cstheme="minorHAnsi"/>
                <w:sz w:val="18"/>
              </w:rPr>
            </w:pPr>
            <w:r>
              <w:rPr>
                <w:rFonts w:asciiTheme="minorHAnsi" w:eastAsia="Arial" w:hAnsiTheme="minorHAnsi" w:cstheme="minorHAnsi"/>
                <w:sz w:val="18"/>
              </w:rPr>
              <w:t>-</w:t>
            </w:r>
            <w:r w:rsidRPr="002530E6">
              <w:rPr>
                <w:rFonts w:asciiTheme="minorHAnsi" w:eastAsia="Arial" w:hAnsiTheme="minorHAnsi" w:cstheme="minorHAnsi"/>
                <w:sz w:val="18"/>
              </w:rPr>
              <w:t>7,056</w:t>
            </w:r>
          </w:p>
        </w:tc>
      </w:tr>
      <w:tr w:rsidR="00657158" w:rsidRPr="00194D5A" w14:paraId="756FE089" w14:textId="77777777" w:rsidTr="00F003FC">
        <w:tc>
          <w:tcPr>
            <w:tcW w:w="3240" w:type="dxa"/>
            <w:vAlign w:val="center"/>
          </w:tcPr>
          <w:p w14:paraId="61D4AF69" w14:textId="77777777" w:rsidR="00657158" w:rsidRPr="00194D5A" w:rsidRDefault="00657158" w:rsidP="00657158">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right"/>
              <w:rPr>
                <w:rFonts w:asciiTheme="minorHAnsi" w:eastAsia="Arial" w:hAnsiTheme="minorHAnsi" w:cstheme="minorHAnsi"/>
                <w:sz w:val="18"/>
              </w:rPr>
            </w:pPr>
            <w:r w:rsidRPr="00194D5A">
              <w:rPr>
                <w:rFonts w:asciiTheme="minorHAnsi" w:eastAsia="Arial" w:hAnsiTheme="minorHAnsi" w:cstheme="minorHAnsi"/>
                <w:sz w:val="18"/>
              </w:rPr>
              <w:t>Total</w:t>
            </w:r>
          </w:p>
        </w:tc>
        <w:tc>
          <w:tcPr>
            <w:tcW w:w="1080" w:type="dxa"/>
            <w:shd w:val="clear" w:color="auto" w:fill="D9D9D9" w:themeFill="background1" w:themeFillShade="D9"/>
          </w:tcPr>
          <w:p w14:paraId="375A3499" w14:textId="67C2C032" w:rsidR="00657158" w:rsidRPr="00194D5A" w:rsidRDefault="00657158" w:rsidP="00657158">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asciiTheme="minorHAnsi" w:eastAsia="Arial" w:hAnsiTheme="minorHAnsi" w:cstheme="minorHAnsi"/>
                <w:sz w:val="18"/>
              </w:rPr>
            </w:pPr>
            <w:r w:rsidRPr="00194D5A">
              <w:rPr>
                <w:rFonts w:asciiTheme="minorHAnsi" w:eastAsia="Arial" w:hAnsiTheme="minorHAnsi" w:cstheme="minorHAnsi"/>
                <w:sz w:val="18"/>
              </w:rPr>
              <w:t>1,451</w:t>
            </w:r>
          </w:p>
        </w:tc>
        <w:tc>
          <w:tcPr>
            <w:tcW w:w="990" w:type="dxa"/>
            <w:shd w:val="clear" w:color="auto" w:fill="D9D9D9" w:themeFill="background1" w:themeFillShade="D9"/>
          </w:tcPr>
          <w:p w14:paraId="1AA0A92D" w14:textId="702918FC" w:rsidR="00657158" w:rsidRPr="00194D5A" w:rsidRDefault="00657158" w:rsidP="00657158">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asciiTheme="minorHAnsi" w:eastAsia="Arial" w:hAnsiTheme="minorHAnsi" w:cstheme="minorHAnsi"/>
                <w:sz w:val="18"/>
              </w:rPr>
            </w:pPr>
            <w:r w:rsidRPr="00194D5A">
              <w:rPr>
                <w:rFonts w:asciiTheme="minorHAnsi" w:eastAsia="Arial" w:hAnsiTheme="minorHAnsi" w:cstheme="minorHAnsi"/>
                <w:sz w:val="18"/>
              </w:rPr>
              <w:fldChar w:fldCharType="begin"/>
            </w:r>
            <w:r w:rsidRPr="00194D5A">
              <w:rPr>
                <w:rFonts w:asciiTheme="minorHAnsi" w:eastAsia="Arial" w:hAnsiTheme="minorHAnsi" w:cstheme="minorHAnsi"/>
                <w:sz w:val="18"/>
              </w:rPr>
              <w:instrText xml:space="preserve"> =SUM(ABOVE) </w:instrText>
            </w:r>
            <w:r w:rsidRPr="00194D5A">
              <w:rPr>
                <w:rFonts w:asciiTheme="minorHAnsi" w:eastAsia="Arial" w:hAnsiTheme="minorHAnsi" w:cstheme="minorHAnsi"/>
                <w:sz w:val="18"/>
              </w:rPr>
              <w:fldChar w:fldCharType="separate"/>
            </w:r>
            <w:r w:rsidRPr="00194D5A">
              <w:rPr>
                <w:rFonts w:asciiTheme="minorHAnsi" w:eastAsia="Arial" w:hAnsiTheme="minorHAnsi" w:cstheme="minorHAnsi"/>
                <w:noProof/>
                <w:sz w:val="18"/>
              </w:rPr>
              <w:t>10,752</w:t>
            </w:r>
            <w:r w:rsidRPr="00194D5A">
              <w:rPr>
                <w:rFonts w:asciiTheme="minorHAnsi" w:eastAsia="Arial" w:hAnsiTheme="minorHAnsi" w:cstheme="minorHAnsi"/>
                <w:sz w:val="18"/>
              </w:rPr>
              <w:fldChar w:fldCharType="end"/>
            </w:r>
          </w:p>
        </w:tc>
        <w:tc>
          <w:tcPr>
            <w:tcW w:w="1080" w:type="dxa"/>
          </w:tcPr>
          <w:p w14:paraId="584F8EA0" w14:textId="74C0BC72" w:rsidR="00657158" w:rsidRPr="00194D5A" w:rsidRDefault="00DA0A73" w:rsidP="00657158">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asciiTheme="minorHAnsi" w:eastAsia="Arial" w:hAnsiTheme="minorHAnsi" w:cstheme="minorHAnsi"/>
                <w:sz w:val="18"/>
              </w:rPr>
            </w:pPr>
            <w:r>
              <w:rPr>
                <w:rFonts w:asciiTheme="minorHAnsi" w:eastAsia="Arial" w:hAnsiTheme="minorHAnsi" w:cstheme="minorHAnsi"/>
                <w:sz w:val="18"/>
              </w:rPr>
              <w:t>1,43</w:t>
            </w:r>
            <w:r w:rsidR="00657158" w:rsidRPr="00194D5A">
              <w:rPr>
                <w:rFonts w:asciiTheme="minorHAnsi" w:eastAsia="Arial" w:hAnsiTheme="minorHAnsi" w:cstheme="minorHAnsi"/>
                <w:sz w:val="18"/>
              </w:rPr>
              <w:t>0</w:t>
            </w:r>
          </w:p>
        </w:tc>
        <w:tc>
          <w:tcPr>
            <w:tcW w:w="1080" w:type="dxa"/>
          </w:tcPr>
          <w:p w14:paraId="7F1F78F2" w14:textId="2E7CB7FD" w:rsidR="00657158" w:rsidRPr="00194D5A" w:rsidRDefault="002530E6" w:rsidP="00657158">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asciiTheme="minorHAnsi" w:eastAsia="Arial" w:hAnsiTheme="minorHAnsi" w:cstheme="minorHAnsi"/>
                <w:sz w:val="18"/>
              </w:rPr>
            </w:pPr>
            <w:r>
              <w:rPr>
                <w:rFonts w:asciiTheme="minorHAnsi" w:eastAsia="Arial" w:hAnsiTheme="minorHAnsi" w:cstheme="minorHAnsi"/>
                <w:sz w:val="18"/>
              </w:rPr>
              <w:fldChar w:fldCharType="begin"/>
            </w:r>
            <w:r>
              <w:rPr>
                <w:rFonts w:asciiTheme="minorHAnsi" w:eastAsia="Arial" w:hAnsiTheme="minorHAnsi" w:cstheme="minorHAnsi"/>
                <w:sz w:val="18"/>
              </w:rPr>
              <w:instrText xml:space="preserve"> =SUM(ABOVE) </w:instrText>
            </w:r>
            <w:r>
              <w:rPr>
                <w:rFonts w:asciiTheme="minorHAnsi" w:eastAsia="Arial" w:hAnsiTheme="minorHAnsi" w:cstheme="minorHAnsi"/>
                <w:sz w:val="18"/>
              </w:rPr>
              <w:fldChar w:fldCharType="separate"/>
            </w:r>
            <w:r>
              <w:rPr>
                <w:rFonts w:asciiTheme="minorHAnsi" w:eastAsia="Arial" w:hAnsiTheme="minorHAnsi" w:cstheme="minorHAnsi"/>
                <w:noProof/>
                <w:sz w:val="18"/>
              </w:rPr>
              <w:t>3,696</w:t>
            </w:r>
            <w:r>
              <w:rPr>
                <w:rFonts w:asciiTheme="minorHAnsi" w:eastAsia="Arial" w:hAnsiTheme="minorHAnsi" w:cstheme="minorHAnsi"/>
                <w:sz w:val="18"/>
              </w:rPr>
              <w:fldChar w:fldCharType="end"/>
            </w:r>
          </w:p>
        </w:tc>
      </w:tr>
    </w:tbl>
    <w:p w14:paraId="6A28FEE6" w14:textId="77777777" w:rsidR="00A8289E" w:rsidRPr="00194D5A" w:rsidRDefault="00A8289E" w:rsidP="00683926">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p>
    <w:p w14:paraId="6A3CCDB7" w14:textId="54736650" w:rsidR="00303F5F" w:rsidRPr="00194D5A" w:rsidRDefault="00303F5F" w:rsidP="00683926">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194D5A">
        <w:rPr>
          <w:rFonts w:asciiTheme="minorHAnsi" w:hAnsiTheme="minorHAnsi" w:cstheme="minorHAnsi"/>
          <w:b/>
          <w:sz w:val="22"/>
          <w:szCs w:val="22"/>
        </w:rPr>
        <w:t>16.</w:t>
      </w:r>
      <w:r w:rsidRPr="00194D5A">
        <w:rPr>
          <w:rFonts w:asciiTheme="minorHAnsi" w:hAnsiTheme="minorHAnsi" w:cstheme="minorHAnsi"/>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9ACDCEB" w14:textId="77777777" w:rsidR="00303F5F" w:rsidRPr="00194D5A" w:rsidRDefault="00303F5F" w:rsidP="00683926">
      <w:pPr>
        <w:tabs>
          <w:tab w:val="left" w:pos="720"/>
        </w:tabs>
        <w:suppressAutoHyphens/>
        <w:spacing w:line="276" w:lineRule="auto"/>
        <w:ind w:left="720" w:hanging="720"/>
        <w:rPr>
          <w:rFonts w:asciiTheme="minorHAnsi" w:hAnsiTheme="minorHAnsi" w:cstheme="minorHAnsi"/>
          <w:sz w:val="22"/>
          <w:szCs w:val="22"/>
        </w:rPr>
      </w:pPr>
    </w:p>
    <w:p w14:paraId="37A3EB61" w14:textId="77777777" w:rsidR="00303F5F" w:rsidRPr="00194D5A" w:rsidRDefault="00303F5F" w:rsidP="00683926">
      <w:pPr>
        <w:tabs>
          <w:tab w:val="left" w:pos="720"/>
        </w:tabs>
        <w:suppressAutoHyphens/>
        <w:spacing w:line="276" w:lineRule="auto"/>
        <w:ind w:left="720" w:hanging="720"/>
        <w:rPr>
          <w:rFonts w:asciiTheme="minorHAnsi" w:hAnsiTheme="minorHAnsi" w:cstheme="minorHAnsi"/>
          <w:sz w:val="22"/>
          <w:szCs w:val="22"/>
        </w:rPr>
      </w:pPr>
      <w:r w:rsidRPr="00194D5A">
        <w:rPr>
          <w:rFonts w:asciiTheme="minorHAnsi" w:hAnsiTheme="minorHAnsi" w:cstheme="minorHAnsi"/>
          <w:sz w:val="22"/>
          <w:szCs w:val="22"/>
        </w:rPr>
        <w:t xml:space="preserve">We do not publish the results of this information collection.  </w:t>
      </w:r>
    </w:p>
    <w:p w14:paraId="2689B112" w14:textId="77777777" w:rsidR="00303F5F" w:rsidRPr="00194D5A" w:rsidRDefault="00303F5F" w:rsidP="00683926">
      <w:pPr>
        <w:tabs>
          <w:tab w:val="left" w:pos="720"/>
        </w:tabs>
        <w:suppressAutoHyphens/>
        <w:spacing w:line="276" w:lineRule="auto"/>
        <w:ind w:left="720" w:hanging="720"/>
        <w:rPr>
          <w:rFonts w:asciiTheme="minorHAnsi" w:hAnsiTheme="minorHAnsi" w:cstheme="minorHAnsi"/>
          <w:sz w:val="22"/>
          <w:szCs w:val="22"/>
        </w:rPr>
      </w:pPr>
    </w:p>
    <w:p w14:paraId="0B5AC84C" w14:textId="77777777" w:rsidR="00303F5F" w:rsidRPr="00194D5A" w:rsidRDefault="00303F5F" w:rsidP="00683926">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194D5A">
        <w:rPr>
          <w:rFonts w:asciiTheme="minorHAnsi" w:hAnsiTheme="minorHAnsi" w:cstheme="minorHAnsi"/>
          <w:b/>
          <w:sz w:val="22"/>
          <w:szCs w:val="22"/>
        </w:rPr>
        <w:t>17.</w:t>
      </w:r>
      <w:r w:rsidRPr="00194D5A">
        <w:rPr>
          <w:rFonts w:asciiTheme="minorHAnsi" w:hAnsiTheme="minorHAnsi" w:cstheme="minorHAnsi"/>
          <w:b/>
          <w:sz w:val="22"/>
          <w:szCs w:val="22"/>
        </w:rPr>
        <w:tab/>
        <w:t>If seeking approval to not display the expiration date for OMB approval of the information collection, explain the reasons that display would be inappropriate.</w:t>
      </w:r>
    </w:p>
    <w:p w14:paraId="34C2CD66" w14:textId="77777777" w:rsidR="00303F5F" w:rsidRPr="00194D5A" w:rsidRDefault="00303F5F" w:rsidP="00683926">
      <w:pPr>
        <w:tabs>
          <w:tab w:val="left" w:pos="720"/>
        </w:tabs>
        <w:suppressAutoHyphens/>
        <w:spacing w:line="276" w:lineRule="auto"/>
        <w:ind w:left="720" w:hanging="720"/>
        <w:rPr>
          <w:rFonts w:asciiTheme="minorHAnsi" w:hAnsiTheme="minorHAnsi" w:cstheme="minorHAnsi"/>
          <w:sz w:val="22"/>
          <w:szCs w:val="22"/>
        </w:rPr>
      </w:pPr>
    </w:p>
    <w:p w14:paraId="304E87F7" w14:textId="7069AABE" w:rsidR="00303F5F" w:rsidRPr="00194D5A" w:rsidRDefault="00303F5F" w:rsidP="00683926">
      <w:pPr>
        <w:tabs>
          <w:tab w:val="left" w:pos="720"/>
        </w:tabs>
        <w:suppressAutoHyphens/>
        <w:spacing w:line="276" w:lineRule="auto"/>
        <w:rPr>
          <w:rFonts w:asciiTheme="minorHAnsi" w:hAnsiTheme="minorHAnsi" w:cstheme="minorHAnsi"/>
          <w:sz w:val="22"/>
          <w:szCs w:val="22"/>
        </w:rPr>
      </w:pPr>
      <w:r w:rsidRPr="00194D5A">
        <w:rPr>
          <w:rFonts w:asciiTheme="minorHAnsi" w:hAnsiTheme="minorHAnsi" w:cstheme="minorHAnsi"/>
          <w:sz w:val="22"/>
          <w:szCs w:val="22"/>
        </w:rPr>
        <w:t xml:space="preserve">There are no forms for submitting information.  However, we will display the OMB control number and expiration date on </w:t>
      </w:r>
      <w:r w:rsidR="005113D3" w:rsidRPr="00194D5A">
        <w:rPr>
          <w:rFonts w:asciiTheme="minorHAnsi" w:hAnsiTheme="minorHAnsi" w:cstheme="minorHAnsi"/>
          <w:sz w:val="22"/>
          <w:szCs w:val="22"/>
        </w:rPr>
        <w:t xml:space="preserve">the instructions and </w:t>
      </w:r>
      <w:r w:rsidRPr="00194D5A">
        <w:rPr>
          <w:rFonts w:asciiTheme="minorHAnsi" w:hAnsiTheme="minorHAnsi" w:cstheme="minorHAnsi"/>
          <w:sz w:val="22"/>
          <w:szCs w:val="22"/>
        </w:rPr>
        <w:t>other appropriate materials.</w:t>
      </w:r>
    </w:p>
    <w:p w14:paraId="4FC2D443" w14:textId="77777777" w:rsidR="00303F5F" w:rsidRPr="00194D5A" w:rsidRDefault="00303F5F" w:rsidP="00683926">
      <w:pPr>
        <w:tabs>
          <w:tab w:val="left" w:pos="720"/>
        </w:tabs>
        <w:suppressAutoHyphens/>
        <w:spacing w:line="276" w:lineRule="auto"/>
        <w:ind w:left="720" w:hanging="720"/>
        <w:rPr>
          <w:rFonts w:asciiTheme="minorHAnsi" w:hAnsiTheme="minorHAnsi" w:cstheme="minorHAnsi"/>
          <w:sz w:val="22"/>
          <w:szCs w:val="22"/>
        </w:rPr>
      </w:pPr>
    </w:p>
    <w:p w14:paraId="0055FDC3" w14:textId="77777777" w:rsidR="00303F5F" w:rsidRPr="00194D5A" w:rsidRDefault="00303F5F" w:rsidP="00683926">
      <w:pPr>
        <w:tabs>
          <w:tab w:val="left" w:pos="450"/>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194D5A">
        <w:rPr>
          <w:rFonts w:asciiTheme="minorHAnsi" w:hAnsiTheme="minorHAnsi" w:cstheme="minorHAnsi"/>
          <w:b/>
          <w:sz w:val="22"/>
          <w:szCs w:val="22"/>
        </w:rPr>
        <w:t>18.</w:t>
      </w:r>
      <w:r w:rsidRPr="00194D5A">
        <w:rPr>
          <w:rFonts w:asciiTheme="minorHAnsi" w:hAnsiTheme="minorHAnsi" w:cstheme="minorHAnsi"/>
          <w:b/>
          <w:sz w:val="22"/>
          <w:szCs w:val="22"/>
        </w:rPr>
        <w:tab/>
        <w:t>Explain each exception to the topics of the certification statement identified in "Certification for Paperwork Reduction Act Submissions."</w:t>
      </w:r>
    </w:p>
    <w:p w14:paraId="7DF4D922" w14:textId="77777777" w:rsidR="00303F5F" w:rsidRPr="00194D5A" w:rsidRDefault="00303F5F" w:rsidP="00683926">
      <w:pPr>
        <w:tabs>
          <w:tab w:val="left" w:pos="720"/>
        </w:tabs>
        <w:suppressAutoHyphens/>
        <w:spacing w:line="276" w:lineRule="auto"/>
        <w:ind w:left="720" w:hanging="720"/>
        <w:rPr>
          <w:rFonts w:asciiTheme="minorHAnsi" w:hAnsiTheme="minorHAnsi" w:cstheme="minorHAnsi"/>
          <w:sz w:val="22"/>
          <w:szCs w:val="22"/>
        </w:rPr>
      </w:pPr>
    </w:p>
    <w:p w14:paraId="353AEF81" w14:textId="7F538071" w:rsidR="00303F5F" w:rsidRPr="00194D5A" w:rsidRDefault="00303F5F" w:rsidP="00683926">
      <w:pPr>
        <w:tabs>
          <w:tab w:val="left" w:pos="-720"/>
          <w:tab w:val="left" w:pos="0"/>
          <w:tab w:val="left" w:pos="450"/>
        </w:tabs>
        <w:suppressAutoHyphens/>
        <w:spacing w:line="276" w:lineRule="auto"/>
        <w:rPr>
          <w:rFonts w:asciiTheme="minorHAnsi" w:hAnsiTheme="minorHAnsi" w:cstheme="minorHAnsi"/>
          <w:sz w:val="22"/>
          <w:szCs w:val="22"/>
        </w:rPr>
      </w:pPr>
      <w:r w:rsidRPr="00194D5A">
        <w:rPr>
          <w:rFonts w:asciiTheme="minorHAnsi" w:hAnsiTheme="minorHAnsi" w:cstheme="minorHAnsi"/>
          <w:sz w:val="22"/>
          <w:szCs w:val="22"/>
        </w:rPr>
        <w:t xml:space="preserve">There are no exceptions </w:t>
      </w:r>
      <w:r w:rsidR="00117B05" w:rsidRPr="00194D5A">
        <w:rPr>
          <w:rFonts w:asciiTheme="minorHAnsi" w:hAnsiTheme="minorHAnsi" w:cstheme="minorHAnsi"/>
          <w:sz w:val="22"/>
          <w:szCs w:val="22"/>
        </w:rPr>
        <w:t>to the certification statement.</w:t>
      </w:r>
    </w:p>
    <w:p w14:paraId="3102FD5C" w14:textId="77777777" w:rsidR="00303F5F" w:rsidRPr="00194D5A" w:rsidRDefault="00303F5F" w:rsidP="00683926">
      <w:pPr>
        <w:tabs>
          <w:tab w:val="left" w:pos="-720"/>
          <w:tab w:val="left" w:pos="720"/>
        </w:tabs>
        <w:suppressAutoHyphens/>
        <w:spacing w:line="276" w:lineRule="auto"/>
        <w:ind w:left="720" w:hanging="720"/>
        <w:rPr>
          <w:rFonts w:asciiTheme="minorHAnsi" w:hAnsiTheme="minorHAnsi" w:cstheme="minorHAnsi"/>
          <w:sz w:val="22"/>
          <w:szCs w:val="22"/>
        </w:rPr>
      </w:pPr>
    </w:p>
    <w:p w14:paraId="5ABE6F90" w14:textId="77777777" w:rsidR="00303F5F" w:rsidRPr="00194D5A" w:rsidRDefault="00303F5F" w:rsidP="00683926">
      <w:pPr>
        <w:tabs>
          <w:tab w:val="left" w:pos="-720"/>
          <w:tab w:val="left" w:pos="720"/>
        </w:tabs>
        <w:suppressAutoHyphens/>
        <w:spacing w:line="276" w:lineRule="auto"/>
        <w:ind w:left="720" w:hanging="720"/>
        <w:rPr>
          <w:rFonts w:asciiTheme="minorHAnsi" w:hAnsiTheme="minorHAnsi" w:cstheme="minorHAnsi"/>
          <w:sz w:val="22"/>
          <w:szCs w:val="22"/>
        </w:rPr>
      </w:pPr>
    </w:p>
    <w:p w14:paraId="56CAC98B" w14:textId="77777777" w:rsidR="00303F5F" w:rsidRPr="00194D5A" w:rsidRDefault="00303F5F" w:rsidP="00683926">
      <w:pPr>
        <w:tabs>
          <w:tab w:val="left" w:pos="720"/>
        </w:tabs>
        <w:suppressAutoHyphens/>
        <w:spacing w:line="276" w:lineRule="auto"/>
        <w:rPr>
          <w:rFonts w:asciiTheme="minorHAnsi" w:hAnsiTheme="minorHAnsi" w:cstheme="minorHAnsi"/>
          <w:sz w:val="24"/>
          <w:szCs w:val="24"/>
        </w:rPr>
      </w:pPr>
    </w:p>
    <w:sectPr w:rsidR="00303F5F" w:rsidRPr="00194D5A" w:rsidSect="003D1A4A">
      <w:footerReference w:type="even" r:id="rId12"/>
      <w:footerReference w:type="default" r:id="rId13"/>
      <w:pgSz w:w="12240" w:h="15840" w:code="1"/>
      <w:pgMar w:top="126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529AC9" w14:textId="77777777" w:rsidR="00583EDC" w:rsidRDefault="00583EDC">
      <w:r>
        <w:separator/>
      </w:r>
    </w:p>
  </w:endnote>
  <w:endnote w:type="continuationSeparator" w:id="0">
    <w:p w14:paraId="0616916F" w14:textId="77777777" w:rsidR="00583EDC" w:rsidRDefault="00583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A9DE3" w14:textId="77777777" w:rsidR="00A243E3" w:rsidRDefault="00A243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7480BF2" w14:textId="77777777" w:rsidR="00A243E3" w:rsidRDefault="00A243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003A7" w14:textId="5BF33C2E" w:rsidR="00A243E3" w:rsidRDefault="00A243E3">
    <w:pPr>
      <w:pStyle w:val="Footer"/>
      <w:framePr w:wrap="around" w:vAnchor="text" w:hAnchor="margin" w:xAlign="center"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2D4372">
      <w:rPr>
        <w:rStyle w:val="PageNumber"/>
        <w:rFonts w:ascii="Times New Roman" w:hAnsi="Times New Roman"/>
        <w:noProof/>
        <w:sz w:val="24"/>
      </w:rPr>
      <w:t>2</w:t>
    </w:r>
    <w:r>
      <w:rPr>
        <w:rStyle w:val="PageNumber"/>
        <w:rFonts w:ascii="Times New Roman" w:hAnsi="Times New Roman"/>
        <w:sz w:val="24"/>
      </w:rPr>
      <w:fldChar w:fldCharType="end"/>
    </w:r>
  </w:p>
  <w:p w14:paraId="3158E347" w14:textId="77777777" w:rsidR="00A243E3" w:rsidRDefault="00A243E3">
    <w:pPr>
      <w:spacing w:before="428" w:line="100" w:lineRule="exact"/>
      <w:rPr>
        <w:rFonts w:ascii="Arial" w:hAnsi="Arial"/>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DB96A" w14:textId="77777777" w:rsidR="00583EDC" w:rsidRPr="0001006D" w:rsidRDefault="00583EDC" w:rsidP="00303F5F">
      <w:pPr>
        <w:pStyle w:val="Footer"/>
      </w:pPr>
    </w:p>
  </w:footnote>
  <w:footnote w:type="continuationSeparator" w:id="0">
    <w:p w14:paraId="0459A051" w14:textId="77777777" w:rsidR="00583EDC" w:rsidRDefault="00583E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1ABD"/>
    <w:multiLevelType w:val="hybridMultilevel"/>
    <w:tmpl w:val="DC402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51024"/>
    <w:multiLevelType w:val="hybridMultilevel"/>
    <w:tmpl w:val="B2806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2871EF"/>
    <w:multiLevelType w:val="hybridMultilevel"/>
    <w:tmpl w:val="4260D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C93410"/>
    <w:multiLevelType w:val="hybridMultilevel"/>
    <w:tmpl w:val="FA728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D778A0"/>
    <w:multiLevelType w:val="hybridMultilevel"/>
    <w:tmpl w:val="C30AD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B53549"/>
    <w:multiLevelType w:val="hybridMultilevel"/>
    <w:tmpl w:val="FC54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5A2A45"/>
    <w:multiLevelType w:val="hybridMultilevel"/>
    <w:tmpl w:val="8356F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D7BF739"/>
    <w:multiLevelType w:val="hybridMultilevel"/>
    <w:tmpl w:val="91FEEE3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2D0420E"/>
    <w:multiLevelType w:val="hybridMultilevel"/>
    <w:tmpl w:val="9CBEA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3C701E"/>
    <w:multiLevelType w:val="hybridMultilevel"/>
    <w:tmpl w:val="DF8CB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672164"/>
    <w:multiLevelType w:val="hybridMultilevel"/>
    <w:tmpl w:val="74240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9A2E21"/>
    <w:multiLevelType w:val="hybridMultilevel"/>
    <w:tmpl w:val="C07AA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C5173B"/>
    <w:multiLevelType w:val="hybridMultilevel"/>
    <w:tmpl w:val="E7DA4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980E26"/>
    <w:multiLevelType w:val="hybridMultilevel"/>
    <w:tmpl w:val="DE609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B86D9E"/>
    <w:multiLevelType w:val="hybridMultilevel"/>
    <w:tmpl w:val="96A49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9E1678"/>
    <w:multiLevelType w:val="hybridMultilevel"/>
    <w:tmpl w:val="59881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872C9C"/>
    <w:multiLevelType w:val="hybridMultilevel"/>
    <w:tmpl w:val="4118B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5D38B8"/>
    <w:multiLevelType w:val="hybridMultilevel"/>
    <w:tmpl w:val="5A504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BF54FC"/>
    <w:multiLevelType w:val="hybridMultilevel"/>
    <w:tmpl w:val="041E3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AC2E8A"/>
    <w:multiLevelType w:val="hybridMultilevel"/>
    <w:tmpl w:val="65889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305462"/>
    <w:multiLevelType w:val="hybridMultilevel"/>
    <w:tmpl w:val="D9C27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462723"/>
    <w:multiLevelType w:val="hybridMultilevel"/>
    <w:tmpl w:val="597C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69249E"/>
    <w:multiLevelType w:val="hybridMultilevel"/>
    <w:tmpl w:val="0AD26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3622ED"/>
    <w:multiLevelType w:val="hybridMultilevel"/>
    <w:tmpl w:val="10E2343A"/>
    <w:lvl w:ilvl="0" w:tplc="BB24EF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8"/>
  </w:num>
  <w:num w:numId="3">
    <w:abstractNumId w:val="17"/>
  </w:num>
  <w:num w:numId="4">
    <w:abstractNumId w:val="22"/>
  </w:num>
  <w:num w:numId="5">
    <w:abstractNumId w:val="23"/>
  </w:num>
  <w:num w:numId="6">
    <w:abstractNumId w:val="4"/>
  </w:num>
  <w:num w:numId="7">
    <w:abstractNumId w:val="16"/>
  </w:num>
  <w:num w:numId="8">
    <w:abstractNumId w:val="13"/>
  </w:num>
  <w:num w:numId="9">
    <w:abstractNumId w:val="5"/>
  </w:num>
  <w:num w:numId="10">
    <w:abstractNumId w:val="9"/>
  </w:num>
  <w:num w:numId="11">
    <w:abstractNumId w:val="21"/>
  </w:num>
  <w:num w:numId="12">
    <w:abstractNumId w:val="20"/>
  </w:num>
  <w:num w:numId="13">
    <w:abstractNumId w:val="1"/>
  </w:num>
  <w:num w:numId="14">
    <w:abstractNumId w:val="19"/>
  </w:num>
  <w:num w:numId="15">
    <w:abstractNumId w:val="0"/>
  </w:num>
  <w:num w:numId="16">
    <w:abstractNumId w:val="6"/>
  </w:num>
  <w:num w:numId="17">
    <w:abstractNumId w:val="15"/>
  </w:num>
  <w:num w:numId="18">
    <w:abstractNumId w:val="2"/>
  </w:num>
  <w:num w:numId="19">
    <w:abstractNumId w:val="12"/>
  </w:num>
  <w:num w:numId="20">
    <w:abstractNumId w:val="10"/>
  </w:num>
  <w:num w:numId="21">
    <w:abstractNumId w:val="14"/>
  </w:num>
  <w:num w:numId="22">
    <w:abstractNumId w:val="8"/>
  </w:num>
  <w:num w:numId="23">
    <w:abstractNumId w:val="24"/>
  </w:num>
  <w:num w:numId="24">
    <w:abstractNumId w:val="3"/>
  </w:num>
  <w:num w:numId="25">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5F7"/>
    <w:rsid w:val="00005BBE"/>
    <w:rsid w:val="0001482B"/>
    <w:rsid w:val="00044330"/>
    <w:rsid w:val="000566CA"/>
    <w:rsid w:val="000611F4"/>
    <w:rsid w:val="00067AE4"/>
    <w:rsid w:val="00086BE6"/>
    <w:rsid w:val="000B203F"/>
    <w:rsid w:val="000B65CC"/>
    <w:rsid w:val="000C2CA3"/>
    <w:rsid w:val="000E02B5"/>
    <w:rsid w:val="000E194B"/>
    <w:rsid w:val="000E3929"/>
    <w:rsid w:val="0010243E"/>
    <w:rsid w:val="00117B05"/>
    <w:rsid w:val="00131635"/>
    <w:rsid w:val="001353BF"/>
    <w:rsid w:val="0014697A"/>
    <w:rsid w:val="00147750"/>
    <w:rsid w:val="0016123E"/>
    <w:rsid w:val="00161CB9"/>
    <w:rsid w:val="00180986"/>
    <w:rsid w:val="001928C9"/>
    <w:rsid w:val="00193CCF"/>
    <w:rsid w:val="00194D5A"/>
    <w:rsid w:val="001950BE"/>
    <w:rsid w:val="001B3F3E"/>
    <w:rsid w:val="001B5B4E"/>
    <w:rsid w:val="001D2C6F"/>
    <w:rsid w:val="001E2E4B"/>
    <w:rsid w:val="001F1978"/>
    <w:rsid w:val="001F62C9"/>
    <w:rsid w:val="00203072"/>
    <w:rsid w:val="0020766C"/>
    <w:rsid w:val="002113A3"/>
    <w:rsid w:val="00216D94"/>
    <w:rsid w:val="00252024"/>
    <w:rsid w:val="002530E6"/>
    <w:rsid w:val="00253872"/>
    <w:rsid w:val="00262418"/>
    <w:rsid w:val="00281A51"/>
    <w:rsid w:val="00290D6A"/>
    <w:rsid w:val="002B0222"/>
    <w:rsid w:val="002C4B2C"/>
    <w:rsid w:val="002D4372"/>
    <w:rsid w:val="002F3901"/>
    <w:rsid w:val="00300273"/>
    <w:rsid w:val="00303F5F"/>
    <w:rsid w:val="003236B6"/>
    <w:rsid w:val="003557A6"/>
    <w:rsid w:val="00356C29"/>
    <w:rsid w:val="00363884"/>
    <w:rsid w:val="00370A8E"/>
    <w:rsid w:val="00370B85"/>
    <w:rsid w:val="003748C5"/>
    <w:rsid w:val="0039117D"/>
    <w:rsid w:val="003912C5"/>
    <w:rsid w:val="00394789"/>
    <w:rsid w:val="003A2437"/>
    <w:rsid w:val="003B000A"/>
    <w:rsid w:val="003C2935"/>
    <w:rsid w:val="003C4258"/>
    <w:rsid w:val="003D13FC"/>
    <w:rsid w:val="003D1A4A"/>
    <w:rsid w:val="003D28B3"/>
    <w:rsid w:val="003E1DA4"/>
    <w:rsid w:val="003E3B88"/>
    <w:rsid w:val="003E4032"/>
    <w:rsid w:val="00410FC3"/>
    <w:rsid w:val="00412BE6"/>
    <w:rsid w:val="004302A4"/>
    <w:rsid w:val="00430FED"/>
    <w:rsid w:val="00441FCE"/>
    <w:rsid w:val="00456E29"/>
    <w:rsid w:val="00460123"/>
    <w:rsid w:val="0046543F"/>
    <w:rsid w:val="00476C18"/>
    <w:rsid w:val="0047739C"/>
    <w:rsid w:val="00495B09"/>
    <w:rsid w:val="00496CB3"/>
    <w:rsid w:val="004A789C"/>
    <w:rsid w:val="004B6025"/>
    <w:rsid w:val="004F69F1"/>
    <w:rsid w:val="004F7E9E"/>
    <w:rsid w:val="0050027F"/>
    <w:rsid w:val="0050756D"/>
    <w:rsid w:val="005113D3"/>
    <w:rsid w:val="00512363"/>
    <w:rsid w:val="0052119B"/>
    <w:rsid w:val="00545E01"/>
    <w:rsid w:val="00553FA0"/>
    <w:rsid w:val="00555967"/>
    <w:rsid w:val="00563736"/>
    <w:rsid w:val="00572EAE"/>
    <w:rsid w:val="005745A8"/>
    <w:rsid w:val="00574734"/>
    <w:rsid w:val="00583DB8"/>
    <w:rsid w:val="00583EDC"/>
    <w:rsid w:val="0059020D"/>
    <w:rsid w:val="00594BC7"/>
    <w:rsid w:val="00594EBF"/>
    <w:rsid w:val="005C724C"/>
    <w:rsid w:val="005C7EC9"/>
    <w:rsid w:val="005D70AF"/>
    <w:rsid w:val="005E1D0F"/>
    <w:rsid w:val="005F4B3A"/>
    <w:rsid w:val="0060693C"/>
    <w:rsid w:val="00616697"/>
    <w:rsid w:val="00624534"/>
    <w:rsid w:val="00631B8C"/>
    <w:rsid w:val="00642C0C"/>
    <w:rsid w:val="00657158"/>
    <w:rsid w:val="006657B7"/>
    <w:rsid w:val="006737F2"/>
    <w:rsid w:val="00683926"/>
    <w:rsid w:val="00694CC2"/>
    <w:rsid w:val="006A2402"/>
    <w:rsid w:val="006A60A9"/>
    <w:rsid w:val="006A65AB"/>
    <w:rsid w:val="006B0C8B"/>
    <w:rsid w:val="006B16F9"/>
    <w:rsid w:val="006B57F7"/>
    <w:rsid w:val="006B6A26"/>
    <w:rsid w:val="006C1F0A"/>
    <w:rsid w:val="006E3A54"/>
    <w:rsid w:val="006F5127"/>
    <w:rsid w:val="006F7B22"/>
    <w:rsid w:val="00703543"/>
    <w:rsid w:val="007256B8"/>
    <w:rsid w:val="00734B72"/>
    <w:rsid w:val="00743ADE"/>
    <w:rsid w:val="00752680"/>
    <w:rsid w:val="00757CA8"/>
    <w:rsid w:val="00775CC9"/>
    <w:rsid w:val="00780E78"/>
    <w:rsid w:val="00786192"/>
    <w:rsid w:val="00787123"/>
    <w:rsid w:val="007A2378"/>
    <w:rsid w:val="007A3657"/>
    <w:rsid w:val="007A3A01"/>
    <w:rsid w:val="007A64C5"/>
    <w:rsid w:val="007C09E3"/>
    <w:rsid w:val="007C2DA8"/>
    <w:rsid w:val="007D15B4"/>
    <w:rsid w:val="007D2D6D"/>
    <w:rsid w:val="007D5140"/>
    <w:rsid w:val="007E6131"/>
    <w:rsid w:val="008046DF"/>
    <w:rsid w:val="00815E93"/>
    <w:rsid w:val="008366C7"/>
    <w:rsid w:val="008450D0"/>
    <w:rsid w:val="008474E6"/>
    <w:rsid w:val="00853427"/>
    <w:rsid w:val="00862573"/>
    <w:rsid w:val="00865791"/>
    <w:rsid w:val="008868B6"/>
    <w:rsid w:val="00893341"/>
    <w:rsid w:val="00893B91"/>
    <w:rsid w:val="008C1545"/>
    <w:rsid w:val="008D7E1D"/>
    <w:rsid w:val="008E2B35"/>
    <w:rsid w:val="008E402D"/>
    <w:rsid w:val="008E68A8"/>
    <w:rsid w:val="008F18D4"/>
    <w:rsid w:val="008F3E3A"/>
    <w:rsid w:val="008F45BF"/>
    <w:rsid w:val="008F48AA"/>
    <w:rsid w:val="0090742C"/>
    <w:rsid w:val="00907A5D"/>
    <w:rsid w:val="00924235"/>
    <w:rsid w:val="0092749F"/>
    <w:rsid w:val="00931576"/>
    <w:rsid w:val="00931922"/>
    <w:rsid w:val="00942F03"/>
    <w:rsid w:val="00952410"/>
    <w:rsid w:val="009609AD"/>
    <w:rsid w:val="009627D7"/>
    <w:rsid w:val="009662EA"/>
    <w:rsid w:val="009669CB"/>
    <w:rsid w:val="00993340"/>
    <w:rsid w:val="00994E6C"/>
    <w:rsid w:val="009A072A"/>
    <w:rsid w:val="009A3F76"/>
    <w:rsid w:val="009B02B3"/>
    <w:rsid w:val="009C472B"/>
    <w:rsid w:val="009C4750"/>
    <w:rsid w:val="009D5E5F"/>
    <w:rsid w:val="009E463E"/>
    <w:rsid w:val="009F065F"/>
    <w:rsid w:val="009F3F38"/>
    <w:rsid w:val="009F49B3"/>
    <w:rsid w:val="009F7A03"/>
    <w:rsid w:val="00A013D8"/>
    <w:rsid w:val="00A243E3"/>
    <w:rsid w:val="00A443D0"/>
    <w:rsid w:val="00A56718"/>
    <w:rsid w:val="00A60B7C"/>
    <w:rsid w:val="00A71F08"/>
    <w:rsid w:val="00A740F3"/>
    <w:rsid w:val="00A745A3"/>
    <w:rsid w:val="00A81366"/>
    <w:rsid w:val="00A8289E"/>
    <w:rsid w:val="00A93CBA"/>
    <w:rsid w:val="00AA3274"/>
    <w:rsid w:val="00AB1013"/>
    <w:rsid w:val="00AE15AA"/>
    <w:rsid w:val="00AE4970"/>
    <w:rsid w:val="00AF59DE"/>
    <w:rsid w:val="00B01050"/>
    <w:rsid w:val="00B03114"/>
    <w:rsid w:val="00B06E99"/>
    <w:rsid w:val="00B21DB5"/>
    <w:rsid w:val="00B259DC"/>
    <w:rsid w:val="00B27A5D"/>
    <w:rsid w:val="00B31678"/>
    <w:rsid w:val="00B351C3"/>
    <w:rsid w:val="00B41094"/>
    <w:rsid w:val="00B45E3E"/>
    <w:rsid w:val="00B62F15"/>
    <w:rsid w:val="00B6558C"/>
    <w:rsid w:val="00B65C2D"/>
    <w:rsid w:val="00B714F3"/>
    <w:rsid w:val="00B734A0"/>
    <w:rsid w:val="00B74AD5"/>
    <w:rsid w:val="00B762A9"/>
    <w:rsid w:val="00B93662"/>
    <w:rsid w:val="00BA4132"/>
    <w:rsid w:val="00BB17BB"/>
    <w:rsid w:val="00BB65CE"/>
    <w:rsid w:val="00BD4DE4"/>
    <w:rsid w:val="00BD6903"/>
    <w:rsid w:val="00BF2191"/>
    <w:rsid w:val="00BF4FA6"/>
    <w:rsid w:val="00C05B68"/>
    <w:rsid w:val="00C20988"/>
    <w:rsid w:val="00C20DBA"/>
    <w:rsid w:val="00C35155"/>
    <w:rsid w:val="00C42FAF"/>
    <w:rsid w:val="00C7307A"/>
    <w:rsid w:val="00C738D4"/>
    <w:rsid w:val="00C7609C"/>
    <w:rsid w:val="00C801BD"/>
    <w:rsid w:val="00C83F1F"/>
    <w:rsid w:val="00C84C3F"/>
    <w:rsid w:val="00C96CC2"/>
    <w:rsid w:val="00C97083"/>
    <w:rsid w:val="00CA639F"/>
    <w:rsid w:val="00CA7BDB"/>
    <w:rsid w:val="00CD098B"/>
    <w:rsid w:val="00D035F7"/>
    <w:rsid w:val="00D07BBA"/>
    <w:rsid w:val="00D15A7B"/>
    <w:rsid w:val="00D3579A"/>
    <w:rsid w:val="00D409D9"/>
    <w:rsid w:val="00D413F4"/>
    <w:rsid w:val="00D45E43"/>
    <w:rsid w:val="00D46622"/>
    <w:rsid w:val="00D62E34"/>
    <w:rsid w:val="00D652C5"/>
    <w:rsid w:val="00D702F8"/>
    <w:rsid w:val="00D7570F"/>
    <w:rsid w:val="00D7658C"/>
    <w:rsid w:val="00D77269"/>
    <w:rsid w:val="00D77BC3"/>
    <w:rsid w:val="00D8024E"/>
    <w:rsid w:val="00D82715"/>
    <w:rsid w:val="00D868CB"/>
    <w:rsid w:val="00D92CE6"/>
    <w:rsid w:val="00D97AAA"/>
    <w:rsid w:val="00DA0A73"/>
    <w:rsid w:val="00DB3294"/>
    <w:rsid w:val="00DC1D0A"/>
    <w:rsid w:val="00DC41EC"/>
    <w:rsid w:val="00DD1136"/>
    <w:rsid w:val="00DE1FFD"/>
    <w:rsid w:val="00DE6075"/>
    <w:rsid w:val="00E02243"/>
    <w:rsid w:val="00E06A86"/>
    <w:rsid w:val="00E07DC1"/>
    <w:rsid w:val="00E2258E"/>
    <w:rsid w:val="00E22590"/>
    <w:rsid w:val="00E25D3F"/>
    <w:rsid w:val="00E371AA"/>
    <w:rsid w:val="00E43A00"/>
    <w:rsid w:val="00E44971"/>
    <w:rsid w:val="00E51794"/>
    <w:rsid w:val="00E656A9"/>
    <w:rsid w:val="00E6614E"/>
    <w:rsid w:val="00E66328"/>
    <w:rsid w:val="00E77766"/>
    <w:rsid w:val="00E850A3"/>
    <w:rsid w:val="00E85CBE"/>
    <w:rsid w:val="00E96553"/>
    <w:rsid w:val="00EB5DF0"/>
    <w:rsid w:val="00EC14C5"/>
    <w:rsid w:val="00EC7299"/>
    <w:rsid w:val="00EC78DD"/>
    <w:rsid w:val="00EE371E"/>
    <w:rsid w:val="00EE7786"/>
    <w:rsid w:val="00EF1770"/>
    <w:rsid w:val="00EF6111"/>
    <w:rsid w:val="00F003FC"/>
    <w:rsid w:val="00F14D65"/>
    <w:rsid w:val="00F25976"/>
    <w:rsid w:val="00F40288"/>
    <w:rsid w:val="00F54D1A"/>
    <w:rsid w:val="00F57902"/>
    <w:rsid w:val="00F73477"/>
    <w:rsid w:val="00F86152"/>
    <w:rsid w:val="00F92503"/>
    <w:rsid w:val="00F95D3C"/>
    <w:rsid w:val="00F96D75"/>
    <w:rsid w:val="00FA7BA3"/>
    <w:rsid w:val="00FC02E7"/>
    <w:rsid w:val="00FC0909"/>
    <w:rsid w:val="00FC3390"/>
    <w:rsid w:val="00FC3675"/>
    <w:rsid w:val="00FC3CA3"/>
    <w:rsid w:val="00FD6997"/>
    <w:rsid w:val="00FE4577"/>
    <w:rsid w:val="00FE7665"/>
    <w:rsid w:val="00FF2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288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243"/>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220" w:lineRule="atLeast"/>
      <w:ind w:left="1080"/>
    </w:pPr>
  </w:style>
  <w:style w:type="paragraph" w:customStyle="1" w:styleId="Style1">
    <w:name w:val="Style1"/>
    <w:basedOn w:val="Heading1"/>
    <w:next w:val="Heading1"/>
    <w:pPr>
      <w:keepLines/>
      <w:shd w:val="pct10" w:color="auto" w:fill="auto"/>
      <w:spacing w:before="220" w:after="220" w:line="280" w:lineRule="atLeast"/>
      <w:outlineLvl w:val="9"/>
    </w:pPr>
    <w:rPr>
      <w:spacing w:val="-10"/>
      <w:position w:val="6"/>
      <w:sz w:val="24"/>
    </w:rPr>
  </w:style>
  <w:style w:type="paragraph" w:styleId="Footer">
    <w:name w:val="footer"/>
    <w:basedOn w:val="Normal"/>
    <w:pPr>
      <w:widowControl w:val="0"/>
      <w:tabs>
        <w:tab w:val="center" w:pos="4320"/>
        <w:tab w:val="right" w:pos="8640"/>
      </w:tabs>
    </w:pPr>
    <w:rPr>
      <w:rFonts w:ascii="CG Times" w:hAnsi="CG Times"/>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F7B90"/>
    <w:rPr>
      <w:rFonts w:ascii="Tahoma" w:hAnsi="Tahoma" w:cs="Tahoma"/>
      <w:sz w:val="16"/>
      <w:szCs w:val="16"/>
    </w:rPr>
  </w:style>
  <w:style w:type="paragraph" w:styleId="FootnoteText">
    <w:name w:val="footnote text"/>
    <w:basedOn w:val="Normal"/>
    <w:semiHidden/>
    <w:rsid w:val="00675D5A"/>
  </w:style>
  <w:style w:type="character" w:styleId="FootnoteReference">
    <w:name w:val="footnote reference"/>
    <w:semiHidden/>
    <w:rsid w:val="00675D5A"/>
    <w:rPr>
      <w:vertAlign w:val="superscript"/>
    </w:rPr>
  </w:style>
  <w:style w:type="character" w:styleId="CommentReference">
    <w:name w:val="annotation reference"/>
    <w:semiHidden/>
    <w:rsid w:val="00B06BE8"/>
    <w:rPr>
      <w:sz w:val="16"/>
      <w:szCs w:val="16"/>
    </w:rPr>
  </w:style>
  <w:style w:type="paragraph" w:styleId="CommentText">
    <w:name w:val="annotation text"/>
    <w:basedOn w:val="Normal"/>
    <w:link w:val="CommentTextChar"/>
    <w:semiHidden/>
    <w:rsid w:val="00B06BE8"/>
  </w:style>
  <w:style w:type="paragraph" w:styleId="CommentSubject">
    <w:name w:val="annotation subject"/>
    <w:basedOn w:val="CommentText"/>
    <w:next w:val="CommentText"/>
    <w:semiHidden/>
    <w:rsid w:val="00B06BE8"/>
    <w:rPr>
      <w:b/>
      <w:bCs/>
    </w:rPr>
  </w:style>
  <w:style w:type="table" w:styleId="TableGrid">
    <w:name w:val="Table Grid"/>
    <w:basedOn w:val="TableNormal"/>
    <w:rsid w:val="00803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D1722"/>
    <w:rPr>
      <w:color w:val="0000FF"/>
      <w:u w:val="single"/>
    </w:rPr>
  </w:style>
  <w:style w:type="character" w:styleId="FollowedHyperlink">
    <w:name w:val="FollowedHyperlink"/>
    <w:rsid w:val="00CD12A7"/>
    <w:rPr>
      <w:color w:val="800080"/>
      <w:u w:val="single"/>
    </w:rPr>
  </w:style>
  <w:style w:type="paragraph" w:styleId="ListParagraph">
    <w:name w:val="List Paragraph"/>
    <w:basedOn w:val="Normal"/>
    <w:uiPriority w:val="34"/>
    <w:qFormat/>
    <w:rsid w:val="00694CC2"/>
    <w:pPr>
      <w:ind w:left="720"/>
      <w:contextualSpacing/>
    </w:pPr>
  </w:style>
  <w:style w:type="table" w:customStyle="1" w:styleId="TableGrid1">
    <w:name w:val="Table Grid1"/>
    <w:basedOn w:val="TableNormal"/>
    <w:next w:val="TableGrid"/>
    <w:uiPriority w:val="99"/>
    <w:rsid w:val="00F95D3C"/>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024E"/>
    <w:rPr>
      <w:rFonts w:ascii="Arial" w:hAnsi="Arial"/>
      <w:b/>
      <w:kern w:val="28"/>
      <w:sz w:val="28"/>
    </w:rPr>
  </w:style>
  <w:style w:type="paragraph" w:customStyle="1" w:styleId="Default">
    <w:name w:val="Default"/>
    <w:rsid w:val="008E2B35"/>
    <w:pPr>
      <w:autoSpaceDE w:val="0"/>
      <w:autoSpaceDN w:val="0"/>
      <w:adjustRightInd w:val="0"/>
    </w:pPr>
    <w:rPr>
      <w:color w:val="000000"/>
      <w:sz w:val="24"/>
      <w:szCs w:val="24"/>
    </w:rPr>
  </w:style>
  <w:style w:type="character" w:customStyle="1" w:styleId="CommentTextChar">
    <w:name w:val="Comment Text Char"/>
    <w:basedOn w:val="DefaultParagraphFont"/>
    <w:link w:val="CommentText"/>
    <w:semiHidden/>
    <w:rsid w:val="00370B85"/>
  </w:style>
  <w:style w:type="paragraph" w:styleId="Revision">
    <w:name w:val="Revision"/>
    <w:hidden/>
    <w:uiPriority w:val="99"/>
    <w:semiHidden/>
    <w:rsid w:val="00D357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243"/>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220" w:lineRule="atLeast"/>
      <w:ind w:left="1080"/>
    </w:pPr>
  </w:style>
  <w:style w:type="paragraph" w:customStyle="1" w:styleId="Style1">
    <w:name w:val="Style1"/>
    <w:basedOn w:val="Heading1"/>
    <w:next w:val="Heading1"/>
    <w:pPr>
      <w:keepLines/>
      <w:shd w:val="pct10" w:color="auto" w:fill="auto"/>
      <w:spacing w:before="220" w:after="220" w:line="280" w:lineRule="atLeast"/>
      <w:outlineLvl w:val="9"/>
    </w:pPr>
    <w:rPr>
      <w:spacing w:val="-10"/>
      <w:position w:val="6"/>
      <w:sz w:val="24"/>
    </w:rPr>
  </w:style>
  <w:style w:type="paragraph" w:styleId="Footer">
    <w:name w:val="footer"/>
    <w:basedOn w:val="Normal"/>
    <w:pPr>
      <w:widowControl w:val="0"/>
      <w:tabs>
        <w:tab w:val="center" w:pos="4320"/>
        <w:tab w:val="right" w:pos="8640"/>
      </w:tabs>
    </w:pPr>
    <w:rPr>
      <w:rFonts w:ascii="CG Times" w:hAnsi="CG Times"/>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F7B90"/>
    <w:rPr>
      <w:rFonts w:ascii="Tahoma" w:hAnsi="Tahoma" w:cs="Tahoma"/>
      <w:sz w:val="16"/>
      <w:szCs w:val="16"/>
    </w:rPr>
  </w:style>
  <w:style w:type="paragraph" w:styleId="FootnoteText">
    <w:name w:val="footnote text"/>
    <w:basedOn w:val="Normal"/>
    <w:semiHidden/>
    <w:rsid w:val="00675D5A"/>
  </w:style>
  <w:style w:type="character" w:styleId="FootnoteReference">
    <w:name w:val="footnote reference"/>
    <w:semiHidden/>
    <w:rsid w:val="00675D5A"/>
    <w:rPr>
      <w:vertAlign w:val="superscript"/>
    </w:rPr>
  </w:style>
  <w:style w:type="character" w:styleId="CommentReference">
    <w:name w:val="annotation reference"/>
    <w:semiHidden/>
    <w:rsid w:val="00B06BE8"/>
    <w:rPr>
      <w:sz w:val="16"/>
      <w:szCs w:val="16"/>
    </w:rPr>
  </w:style>
  <w:style w:type="paragraph" w:styleId="CommentText">
    <w:name w:val="annotation text"/>
    <w:basedOn w:val="Normal"/>
    <w:link w:val="CommentTextChar"/>
    <w:semiHidden/>
    <w:rsid w:val="00B06BE8"/>
  </w:style>
  <w:style w:type="paragraph" w:styleId="CommentSubject">
    <w:name w:val="annotation subject"/>
    <w:basedOn w:val="CommentText"/>
    <w:next w:val="CommentText"/>
    <w:semiHidden/>
    <w:rsid w:val="00B06BE8"/>
    <w:rPr>
      <w:b/>
      <w:bCs/>
    </w:rPr>
  </w:style>
  <w:style w:type="table" w:styleId="TableGrid">
    <w:name w:val="Table Grid"/>
    <w:basedOn w:val="TableNormal"/>
    <w:rsid w:val="00803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D1722"/>
    <w:rPr>
      <w:color w:val="0000FF"/>
      <w:u w:val="single"/>
    </w:rPr>
  </w:style>
  <w:style w:type="character" w:styleId="FollowedHyperlink">
    <w:name w:val="FollowedHyperlink"/>
    <w:rsid w:val="00CD12A7"/>
    <w:rPr>
      <w:color w:val="800080"/>
      <w:u w:val="single"/>
    </w:rPr>
  </w:style>
  <w:style w:type="paragraph" w:styleId="ListParagraph">
    <w:name w:val="List Paragraph"/>
    <w:basedOn w:val="Normal"/>
    <w:uiPriority w:val="34"/>
    <w:qFormat/>
    <w:rsid w:val="00694CC2"/>
    <w:pPr>
      <w:ind w:left="720"/>
      <w:contextualSpacing/>
    </w:pPr>
  </w:style>
  <w:style w:type="table" w:customStyle="1" w:styleId="TableGrid1">
    <w:name w:val="Table Grid1"/>
    <w:basedOn w:val="TableNormal"/>
    <w:next w:val="TableGrid"/>
    <w:uiPriority w:val="99"/>
    <w:rsid w:val="00F95D3C"/>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024E"/>
    <w:rPr>
      <w:rFonts w:ascii="Arial" w:hAnsi="Arial"/>
      <w:b/>
      <w:kern w:val="28"/>
      <w:sz w:val="28"/>
    </w:rPr>
  </w:style>
  <w:style w:type="paragraph" w:customStyle="1" w:styleId="Default">
    <w:name w:val="Default"/>
    <w:rsid w:val="008E2B35"/>
    <w:pPr>
      <w:autoSpaceDE w:val="0"/>
      <w:autoSpaceDN w:val="0"/>
      <w:adjustRightInd w:val="0"/>
    </w:pPr>
    <w:rPr>
      <w:color w:val="000000"/>
      <w:sz w:val="24"/>
      <w:szCs w:val="24"/>
    </w:rPr>
  </w:style>
  <w:style w:type="character" w:customStyle="1" w:styleId="CommentTextChar">
    <w:name w:val="Comment Text Char"/>
    <w:basedOn w:val="DefaultParagraphFont"/>
    <w:link w:val="CommentText"/>
    <w:semiHidden/>
    <w:rsid w:val="00370B85"/>
  </w:style>
  <w:style w:type="paragraph" w:styleId="Revision">
    <w:name w:val="Revision"/>
    <w:hidden/>
    <w:uiPriority w:val="99"/>
    <w:semiHidden/>
    <w:rsid w:val="00D35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88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pdf/ecec.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bls.gov/news.release/pdf/ecec.pdf" TargetMode="External"/><Relationship Id="rId4" Type="http://schemas.microsoft.com/office/2007/relationships/stylesWithEffects" Target="stylesWithEffects.xml"/><Relationship Id="rId9" Type="http://schemas.openxmlformats.org/officeDocument/2006/relationships/hyperlink" Target="https://www.bls.gov/oes/current/naics4_54160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EC8C7-B4F5-4C49-8179-26B3DF1D2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5705</Words>
  <Characters>32524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SUPPORTING STATEMENT FOR INFORMATION COLLECTION</vt:lpstr>
    </vt:vector>
  </TitlesOfParts>
  <Company>National Park Service</Company>
  <LinksUpToDate>false</LinksUpToDate>
  <CharactersWithSpaces>38153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dc:title>
  <dc:subject/>
  <dc:creator>DMoore</dc:creator>
  <cp:keywords/>
  <dc:description/>
  <cp:lastModifiedBy>SYSTEM</cp:lastModifiedBy>
  <cp:revision>2</cp:revision>
  <cp:lastPrinted>2009-11-10T16:18:00Z</cp:lastPrinted>
  <dcterms:created xsi:type="dcterms:W3CDTF">2019-11-04T17:29:00Z</dcterms:created>
  <dcterms:modified xsi:type="dcterms:W3CDTF">2019-11-04T17:29:00Z</dcterms:modified>
</cp:coreProperties>
</file>