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BB7" w:rsidP="00547DA1" w:rsidRDefault="00DF0BB7" w14:paraId="21DB81F7" w14:textId="77777777">
      <w:pPr>
        <w:ind w:left="720" w:hanging="720"/>
      </w:pPr>
    </w:p>
    <w:p w:rsidR="00DF0BB7" w:rsidP="00DF0BB7" w:rsidRDefault="00DF0BB7" w14:paraId="7D15A968" w14:textId="77777777"/>
    <w:p w:rsidR="00DF0BB7" w:rsidP="00DF0BB7" w:rsidRDefault="00DF0BB7" w14:paraId="43110254" w14:textId="77777777"/>
    <w:p w:rsidR="00DF0BB7" w:rsidP="00DF0BB7" w:rsidRDefault="00DF0BB7" w14:paraId="7E931A9E" w14:textId="77777777"/>
    <w:p w:rsidR="00DF0BB7" w:rsidP="00DF0BB7" w:rsidRDefault="00DF0BB7" w14:paraId="6C7111E3" w14:textId="77777777"/>
    <w:p w:rsidRPr="00461221" w:rsidR="00DF0BB7" w:rsidP="00461221" w:rsidRDefault="00DF0BB7" w14:paraId="48C82049" w14:textId="77777777">
      <w:pPr>
        <w:jc w:val="center"/>
        <w:rPr>
          <w:b/>
        </w:rPr>
      </w:pPr>
    </w:p>
    <w:p w:rsidRPr="002238BD" w:rsidR="00072A63" w:rsidP="00461221" w:rsidRDefault="00072A63" w14:paraId="408B5CDF" w14:textId="230BF7CC">
      <w:pPr>
        <w:jc w:val="center"/>
        <w:rPr>
          <w:b/>
        </w:rPr>
      </w:pPr>
      <w:bookmarkStart w:name="_Hlk536541544" w:id="0"/>
      <w:bookmarkStart w:name="_Hlk536539201" w:id="1"/>
      <w:r w:rsidRPr="002238BD">
        <w:rPr>
          <w:b/>
        </w:rPr>
        <w:t xml:space="preserve">Evaluation of </w:t>
      </w:r>
      <w:r w:rsidR="00AC79CF">
        <w:rPr>
          <w:b/>
        </w:rPr>
        <w:t>the Kidney Innovation Accelerator (KidneyX)</w:t>
      </w:r>
      <w:bookmarkEnd w:id="0"/>
    </w:p>
    <w:bookmarkEnd w:id="1"/>
    <w:p w:rsidRPr="002238BD" w:rsidR="00D045D6" w:rsidP="00D045D6" w:rsidRDefault="00D045D6" w14:paraId="53336452" w14:textId="48685F5E"/>
    <w:p w:rsidRPr="002238BD" w:rsidR="00D045D6" w:rsidP="00D045D6" w:rsidRDefault="00D045D6" w14:paraId="671F7E00" w14:textId="67E8FCD0">
      <w:bookmarkStart w:name="_GoBack" w:id="2"/>
      <w:bookmarkEnd w:id="2"/>
    </w:p>
    <w:p w:rsidRPr="002238BD" w:rsidR="00D045D6" w:rsidP="00D045D6" w:rsidRDefault="00D045D6" w14:paraId="7037B464" w14:textId="514C2C63"/>
    <w:p w:rsidRPr="002238BD" w:rsidR="00D045D6" w:rsidP="00D045D6" w:rsidRDefault="00D045D6" w14:paraId="724FB0BF" w14:textId="52C17F77"/>
    <w:p w:rsidRPr="002238BD" w:rsidR="00D045D6" w:rsidP="00D045D6" w:rsidRDefault="00D045D6" w14:paraId="11207C0E" w14:textId="42AB870F"/>
    <w:p w:rsidRPr="002238BD" w:rsidR="00072A63" w:rsidP="00072A63" w:rsidRDefault="00072A63" w14:paraId="3D76B45F" w14:textId="77777777"/>
    <w:p w:rsidRPr="002238BD" w:rsidR="00072A63" w:rsidP="00461221" w:rsidRDefault="00DF0BB7" w14:paraId="0DF286CB" w14:textId="77777777">
      <w:pPr>
        <w:jc w:val="center"/>
        <w:rPr>
          <w:b/>
        </w:rPr>
      </w:pPr>
      <w:r w:rsidRPr="002238BD">
        <w:rPr>
          <w:b/>
        </w:rPr>
        <w:t>Supporting Statement – Section A</w:t>
      </w:r>
    </w:p>
    <w:p w:rsidRPr="002238BD" w:rsidR="00DF0BB7" w:rsidP="00DF0BB7" w:rsidRDefault="00DF0BB7" w14:paraId="2C29CAE7" w14:textId="77777777"/>
    <w:p w:rsidRPr="002238BD" w:rsidR="00DF0BB7" w:rsidP="00DF0BB7" w:rsidRDefault="00DF0BB7" w14:paraId="5A59B963" w14:textId="77777777"/>
    <w:p w:rsidRPr="002238BD" w:rsidR="00DF0BB7" w:rsidP="00DF0BB7" w:rsidRDefault="00DF0BB7" w14:paraId="3F29F104" w14:textId="77777777"/>
    <w:p w:rsidRPr="002238BD" w:rsidR="00DF0BB7" w:rsidP="00DF0BB7" w:rsidRDefault="00DF0BB7" w14:paraId="47100F6D" w14:textId="77777777"/>
    <w:p w:rsidRPr="002238BD" w:rsidR="00DF0BB7" w:rsidP="00DF0BB7" w:rsidRDefault="00DF0BB7" w14:paraId="4E2CB4CB" w14:textId="77777777"/>
    <w:p w:rsidRPr="002238BD" w:rsidR="00DF0BB7" w:rsidP="00DF0BB7" w:rsidRDefault="00DF0BB7" w14:paraId="2420B4AD" w14:textId="77777777"/>
    <w:p w:rsidRPr="002238BD" w:rsidR="00DF0BB7" w:rsidP="00DF0BB7" w:rsidRDefault="00DF0BB7" w14:paraId="15C01E07" w14:textId="01E0ED21">
      <w:pPr>
        <w:jc w:val="center"/>
      </w:pPr>
      <w:r w:rsidRPr="002238BD">
        <w:rPr>
          <w:b/>
        </w:rPr>
        <w:t>Submitted</w:t>
      </w:r>
      <w:r w:rsidRPr="002238BD">
        <w:t xml:space="preserve"> – </w:t>
      </w:r>
      <w:r w:rsidR="00F239B6">
        <w:t>May 31, 2019</w:t>
      </w:r>
    </w:p>
    <w:p w:rsidRPr="002238BD" w:rsidR="00DF0BB7" w:rsidP="00DF0BB7" w:rsidRDefault="00DF0BB7" w14:paraId="064CA978" w14:textId="77777777"/>
    <w:p w:rsidRPr="002238BD" w:rsidR="00DF0BB7" w:rsidP="00DF0BB7" w:rsidRDefault="00DF0BB7" w14:paraId="460E198A" w14:textId="77777777"/>
    <w:p w:rsidRPr="002238BD" w:rsidR="00DF0BB7" w:rsidP="00DF0BB7" w:rsidRDefault="00DF0BB7" w14:paraId="25F69EC6" w14:textId="77777777"/>
    <w:p w:rsidRPr="002238BD" w:rsidR="00DF0BB7" w:rsidP="00DF0BB7" w:rsidRDefault="00DF0BB7" w14:paraId="0135CB07" w14:textId="1F98747C"/>
    <w:p w:rsidRPr="002238BD" w:rsidR="00D045D6" w:rsidP="00DF0BB7" w:rsidRDefault="00D045D6" w14:paraId="36B97152" w14:textId="18CF075F"/>
    <w:p w:rsidRPr="002238BD" w:rsidR="00D045D6" w:rsidP="00DF0BB7" w:rsidRDefault="00D045D6" w14:paraId="595A87B9" w14:textId="7307D788"/>
    <w:p w:rsidRPr="002238BD" w:rsidR="00D045D6" w:rsidP="00DF0BB7" w:rsidRDefault="00D045D6" w14:paraId="0EE47E8F" w14:textId="2174643C"/>
    <w:p w:rsidRPr="002238BD" w:rsidR="00D045D6" w:rsidP="00DF0BB7" w:rsidRDefault="00D045D6" w14:paraId="0936244C" w14:textId="43E01C75"/>
    <w:p w:rsidRPr="002238BD" w:rsidR="00D045D6" w:rsidP="00DF0BB7" w:rsidRDefault="00D045D6" w14:paraId="07B085E1" w14:textId="1CB9FE85"/>
    <w:p w:rsidRPr="002238BD" w:rsidR="00D045D6" w:rsidP="00DF0BB7" w:rsidRDefault="00D045D6" w14:paraId="2665F1FC" w14:textId="3BA7B39A"/>
    <w:p w:rsidRPr="002238BD" w:rsidR="00D045D6" w:rsidP="00DF0BB7" w:rsidRDefault="00D045D6" w14:paraId="2BA1E799" w14:textId="6A1D3DCB"/>
    <w:p w:rsidRPr="002238BD" w:rsidR="00D045D6" w:rsidP="00DF0BB7" w:rsidRDefault="00D045D6" w14:paraId="7ED89552" w14:textId="3BE005DD"/>
    <w:p w:rsidRPr="002238BD" w:rsidR="00D045D6" w:rsidP="00DF0BB7" w:rsidRDefault="00D045D6" w14:paraId="1C4DB68B" w14:textId="2CD3DF79"/>
    <w:p w:rsidRPr="002238BD" w:rsidR="00D045D6" w:rsidP="00DF0BB7" w:rsidRDefault="00D045D6" w14:paraId="5730E698" w14:textId="400D4573"/>
    <w:p w:rsidR="00D223C3" w:rsidP="0045590C" w:rsidRDefault="00D223C3" w14:paraId="073964A7" w14:textId="77777777">
      <w:pPr>
        <w:rPr>
          <w:rFonts w:ascii="Times New Roman" w:hAnsi="Times New Roman" w:cs="Times New Roman"/>
          <w:b/>
          <w:bCs/>
          <w:u w:val="single"/>
        </w:rPr>
      </w:pPr>
    </w:p>
    <w:p w:rsidR="0045590C" w:rsidP="0045590C" w:rsidRDefault="0045590C" w14:paraId="2F93C0C3" w14:textId="1A92704A">
      <w:pPr>
        <w:rPr>
          <w:rFonts w:ascii="Times New Roman" w:hAnsi="Times New Roman" w:cs="Times New Roman"/>
          <w:b/>
          <w:bCs/>
          <w:szCs w:val="24"/>
          <w:u w:val="single"/>
        </w:rPr>
      </w:pPr>
      <w:r>
        <w:rPr>
          <w:rFonts w:ascii="Times New Roman" w:hAnsi="Times New Roman" w:cs="Times New Roman"/>
          <w:b/>
          <w:bCs/>
          <w:u w:val="single"/>
        </w:rPr>
        <w:t>Program Officer/Project Officer</w:t>
      </w:r>
    </w:p>
    <w:p w:rsidR="0045590C" w:rsidP="0045590C" w:rsidRDefault="0045590C" w14:paraId="5256BEC0" w14:textId="77777777">
      <w:pPr>
        <w:rPr>
          <w:rFonts w:ascii="Times New Roman" w:hAnsi="Times New Roman" w:cs="Times New Roman"/>
          <w:sz w:val="22"/>
        </w:rPr>
      </w:pPr>
      <w:r>
        <w:rPr>
          <w:rFonts w:ascii="Times New Roman" w:hAnsi="Times New Roman" w:cs="Times New Roman"/>
        </w:rPr>
        <w:t xml:space="preserve">Sandeep Patel, Ph.D. | </w:t>
      </w:r>
      <w:r>
        <w:rPr>
          <w:rFonts w:ascii="Times New Roman" w:hAnsi="Times New Roman" w:cs="Times New Roman"/>
          <w:i/>
          <w:iCs/>
        </w:rPr>
        <w:t>Open Innovation Manager</w:t>
      </w:r>
    </w:p>
    <w:p w:rsidR="0045590C" w:rsidP="0045590C" w:rsidRDefault="0045590C" w14:paraId="64E0A849" w14:textId="77777777">
      <w:pPr>
        <w:rPr>
          <w:rFonts w:ascii="Times New Roman" w:hAnsi="Times New Roman" w:cs="Times New Roman"/>
        </w:rPr>
      </w:pPr>
      <w:r>
        <w:rPr>
          <w:rFonts w:ascii="Times New Roman" w:hAnsi="Times New Roman" w:cs="Times New Roman"/>
        </w:rPr>
        <w:t>U.S. Department of Health &amp; Human Services (HHS)</w:t>
      </w:r>
    </w:p>
    <w:p w:rsidR="0045590C" w:rsidP="00D223C3" w:rsidRDefault="0045590C" w14:paraId="6506EF7F" w14:textId="6EA0D70A">
      <w:pPr>
        <w:rPr>
          <w:rFonts w:ascii="Times New Roman" w:hAnsi="Times New Roman" w:cs="Times New Roman"/>
        </w:rPr>
      </w:pPr>
      <w:r>
        <w:rPr>
          <w:rFonts w:ascii="Times New Roman" w:hAnsi="Times New Roman" w:cs="Times New Roman"/>
        </w:rPr>
        <w:t xml:space="preserve">Office of the </w:t>
      </w:r>
      <w:r w:rsidR="00D223C3">
        <w:rPr>
          <w:rFonts w:ascii="Times New Roman" w:hAnsi="Times New Roman" w:cs="Times New Roman"/>
        </w:rPr>
        <w:t>Chief Technology Officer (CTO)</w:t>
      </w:r>
    </w:p>
    <w:p w:rsidR="0045590C" w:rsidP="0045590C" w:rsidRDefault="0045590C" w14:paraId="561EB6D9" w14:textId="2B668D6D">
      <w:pPr>
        <w:rPr>
          <w:rFonts w:ascii="Times New Roman" w:hAnsi="Times New Roman" w:cs="Times New Roman"/>
        </w:rPr>
      </w:pPr>
      <w:r>
        <w:rPr>
          <w:rFonts w:ascii="Times New Roman" w:hAnsi="Times New Roman" w:cs="Times New Roman"/>
          <w:i/>
          <w:iCs/>
        </w:rPr>
        <w:t>Address:</w:t>
      </w:r>
      <w:r>
        <w:rPr>
          <w:rFonts w:ascii="Times New Roman" w:hAnsi="Times New Roman" w:cs="Times New Roman"/>
        </w:rPr>
        <w:t xml:space="preserve"> </w:t>
      </w:r>
      <w:r w:rsidR="00E82DC0">
        <w:rPr>
          <w:rFonts w:ascii="Times New Roman" w:hAnsi="Times New Roman" w:cs="Times New Roman"/>
        </w:rPr>
        <w:tab/>
      </w:r>
      <w:r>
        <w:rPr>
          <w:rFonts w:ascii="Times New Roman" w:hAnsi="Times New Roman" w:cs="Times New Roman"/>
        </w:rPr>
        <w:t>200 Independence Avenue S.W. | Washington, D.C. 20201 | Rm. 624D.2</w:t>
      </w:r>
    </w:p>
    <w:p w:rsidR="0045590C" w:rsidP="0045590C" w:rsidRDefault="0045590C" w14:paraId="73598942" w14:textId="419636C8">
      <w:pPr>
        <w:pStyle w:val="P1-StandPara"/>
        <w:spacing w:line="240" w:lineRule="auto"/>
        <w:ind w:firstLine="0"/>
        <w:rPr>
          <w:sz w:val="24"/>
          <w:szCs w:val="24"/>
        </w:rPr>
      </w:pPr>
      <w:r>
        <w:rPr>
          <w:i/>
          <w:iCs/>
          <w:sz w:val="24"/>
          <w:szCs w:val="24"/>
        </w:rPr>
        <w:t>Telephone:</w:t>
      </w:r>
      <w:r>
        <w:rPr>
          <w:sz w:val="24"/>
          <w:szCs w:val="24"/>
        </w:rPr>
        <w:t xml:space="preserve"> </w:t>
      </w:r>
      <w:r w:rsidR="00E82DC0">
        <w:rPr>
          <w:sz w:val="24"/>
          <w:szCs w:val="24"/>
        </w:rPr>
        <w:tab/>
      </w:r>
      <w:r>
        <w:rPr>
          <w:sz w:val="24"/>
          <w:szCs w:val="24"/>
        </w:rPr>
        <w:t>202-205-0355</w:t>
      </w:r>
    </w:p>
    <w:p w:rsidR="0045590C" w:rsidP="0045590C" w:rsidRDefault="0045590C" w14:paraId="4CF38E6E" w14:textId="4510FCA0">
      <w:pPr>
        <w:pStyle w:val="P1-StandPara"/>
        <w:spacing w:line="240" w:lineRule="auto"/>
        <w:ind w:firstLine="0"/>
        <w:rPr>
          <w:sz w:val="24"/>
          <w:szCs w:val="24"/>
        </w:rPr>
      </w:pPr>
      <w:r>
        <w:rPr>
          <w:i/>
          <w:iCs/>
          <w:sz w:val="24"/>
          <w:szCs w:val="24"/>
        </w:rPr>
        <w:t>Fax:</w:t>
      </w:r>
      <w:r>
        <w:rPr>
          <w:sz w:val="24"/>
          <w:szCs w:val="24"/>
        </w:rPr>
        <w:t xml:space="preserve"> </w:t>
      </w:r>
      <w:r w:rsidR="00E82DC0">
        <w:rPr>
          <w:sz w:val="24"/>
          <w:szCs w:val="24"/>
        </w:rPr>
        <w:tab/>
      </w:r>
      <w:r w:rsidR="00E82DC0">
        <w:rPr>
          <w:sz w:val="24"/>
          <w:szCs w:val="24"/>
        </w:rPr>
        <w:tab/>
      </w:r>
      <w:r>
        <w:rPr>
          <w:sz w:val="24"/>
          <w:szCs w:val="24"/>
        </w:rPr>
        <w:t>202-690-6772</w:t>
      </w:r>
    </w:p>
    <w:p w:rsidRPr="00DF0BB7" w:rsidR="00160D35" w:rsidP="0045590C" w:rsidRDefault="0045590C" w14:paraId="41729CA5" w14:textId="346AC95B">
      <w:r>
        <w:rPr>
          <w:i/>
          <w:iCs/>
          <w:szCs w:val="24"/>
        </w:rPr>
        <w:t>Email:</w:t>
      </w:r>
      <w:r>
        <w:rPr>
          <w:szCs w:val="24"/>
        </w:rPr>
        <w:t xml:space="preserve"> </w:t>
      </w:r>
      <w:r w:rsidR="00E82DC0">
        <w:rPr>
          <w:szCs w:val="24"/>
        </w:rPr>
        <w:tab/>
      </w:r>
      <w:r w:rsidR="00E82DC0">
        <w:rPr>
          <w:szCs w:val="24"/>
        </w:rPr>
        <w:tab/>
      </w:r>
      <w:hyperlink w:history="1" r:id="rId11">
        <w:r>
          <w:rPr>
            <w:rStyle w:val="Hyperlink"/>
            <w:szCs w:val="24"/>
          </w:rPr>
          <w:t>Sandeep.Patel@hhs.gov</w:t>
        </w:r>
      </w:hyperlink>
    </w:p>
    <w:p w:rsidRPr="002238BD" w:rsidR="00DF0BB7" w:rsidP="00DF0BB7" w:rsidRDefault="00DF0BB7" w14:paraId="272A0E5E" w14:textId="7843B5DC">
      <w:bookmarkStart w:name="_Hlk536539230" w:id="3"/>
    </w:p>
    <w:bookmarkEnd w:id="3"/>
    <w:p w:rsidRPr="002238BD" w:rsidR="00DF0BB7" w:rsidRDefault="00DF0BB7" w14:paraId="1375F3B5" w14:textId="77777777">
      <w:r w:rsidRPr="002238BD">
        <w:br w:type="page"/>
      </w:r>
    </w:p>
    <w:p w:rsidRPr="003B1B90" w:rsidR="004E4C5B" w:rsidP="003B1B90" w:rsidRDefault="00A56965" w14:paraId="2F132C24" w14:textId="60D09CFD">
      <w:pPr>
        <w:pStyle w:val="Heading1"/>
      </w:pPr>
      <w:r w:rsidRPr="003B1B90">
        <w:lastRenderedPageBreak/>
        <w:t>Part A: Justification</w:t>
      </w:r>
    </w:p>
    <w:p w:rsidRPr="003B1B90" w:rsidR="00B15A27" w:rsidP="003B1B90" w:rsidRDefault="0006472C" w14:paraId="0D911C33" w14:textId="6F367DE0">
      <w:pPr>
        <w:pStyle w:val="Heading2"/>
      </w:pPr>
      <w:r w:rsidRPr="003B1B90">
        <w:tab/>
      </w:r>
      <w:r w:rsidRPr="003B1B90" w:rsidR="00B15A27">
        <w:t xml:space="preserve">Circumstances </w:t>
      </w:r>
      <w:r w:rsidRPr="003B1B90" w:rsidR="00CB151D">
        <w:t>making the collection of information nec</w:t>
      </w:r>
      <w:r w:rsidRPr="003B1B90" w:rsidR="00B15A27">
        <w:t>essary</w:t>
      </w:r>
    </w:p>
    <w:p w:rsidRPr="003B1B90" w:rsidR="002215B0" w:rsidP="007C2171" w:rsidRDefault="003D315C" w14:paraId="24EAB737" w14:textId="6431476B">
      <w:pPr>
        <w:pStyle w:val="Heading3"/>
      </w:pPr>
      <w:r w:rsidRPr="003B1B90">
        <w:t>.</w:t>
      </w:r>
      <w:r w:rsidRPr="003B1B90">
        <w:tab/>
      </w:r>
      <w:r w:rsidRPr="003B1B90" w:rsidR="002215B0">
        <w:t>Overview</w:t>
      </w:r>
    </w:p>
    <w:p w:rsidRPr="007C2171" w:rsidR="005B0BD9" w:rsidP="007C2171" w:rsidRDefault="00F239B6" w14:paraId="7052FB20" w14:textId="304293BB">
      <w:pPr>
        <w:pStyle w:val="BodyText2"/>
      </w:pPr>
      <w:r w:rsidRPr="007C2171">
        <w:t xml:space="preserve">The Department of Health and Human Services (HHS) Office of the Chief Technology Officer (CTO) is seeking approval by the Office of Management and Budget (OMB) on a new Information Collection Request (ICR </w:t>
      </w:r>
      <w:r w:rsidRPr="007C2171" w:rsidR="005B0BD9">
        <w:t>201905-0990-002</w:t>
      </w:r>
      <w:r w:rsidRPr="007C2171">
        <w:t>)</w:t>
      </w:r>
      <w:r w:rsidRPr="007C2171" w:rsidR="00783B06">
        <w:t xml:space="preserve"> for data collection to support the independent evaluation of the Kidney Innovation Accelerator (KidneyX)</w:t>
      </w:r>
      <w:r w:rsidRPr="007C2171">
        <w:t>.</w:t>
      </w:r>
      <w:r w:rsidRPr="007C2171" w:rsidR="00783B06">
        <w:t xml:space="preserve"> This data collection is authorized under Section 301 of the Public Health Service Act (42 U.S.C 241) and is necessary to ensure the success of </w:t>
      </w:r>
      <w:r w:rsidRPr="007C2171" w:rsidR="005B0BD9">
        <w:t xml:space="preserve">the </w:t>
      </w:r>
      <w:r w:rsidRPr="007C2171" w:rsidR="00783B06">
        <w:t>KidneyX</w:t>
      </w:r>
      <w:r w:rsidRPr="007C2171" w:rsidR="005B0BD9">
        <w:t xml:space="preserve"> initiative</w:t>
      </w:r>
      <w:r w:rsidRPr="007C2171" w:rsidR="00783B06">
        <w:t>.</w:t>
      </w:r>
      <w:r w:rsidRPr="007C2171">
        <w:t xml:space="preserve"> </w:t>
      </w:r>
    </w:p>
    <w:p w:rsidRPr="009B591D" w:rsidR="005B0BD9" w:rsidP="00397615" w:rsidRDefault="00AD03B4" w14:paraId="21789221" w14:textId="6010866A">
      <w:pPr>
        <w:pStyle w:val="BodyText2"/>
      </w:pPr>
      <w:r w:rsidRPr="009B591D">
        <w:t xml:space="preserve">KidneyX was launched in October 2018, after nearly 2 years of discussion, as a joint effort </w:t>
      </w:r>
      <w:r>
        <w:t>between</w:t>
      </w:r>
      <w:r w:rsidRPr="009B591D">
        <w:t xml:space="preserve"> HHS</w:t>
      </w:r>
      <w:r>
        <w:t xml:space="preserve"> and</w:t>
      </w:r>
      <w:r w:rsidRPr="009B591D">
        <w:t xml:space="preserve"> the American Society for Nephrology (ASN</w:t>
      </w:r>
      <w:r>
        <w:t>)</w:t>
      </w:r>
      <w:r w:rsidRPr="009B591D">
        <w:t xml:space="preserve"> to spur new innovations in the prevention, diagnosis, treatment, and possibly cure of kidney disease. </w:t>
      </w:r>
      <w:r w:rsidRPr="009B591D" w:rsidR="00D31B14">
        <w:t>One motivation for the initiative is the poor quality of life (QoL) that patients with end-stage renal disease (ESRD) now experience. The two most common forms of current treatment, kidney transplantation and kidney dialysis, have substantial limitations and debilitating side effects. KidneyX seeks to improve dramatically the existing technologies addressing renal conditions and diseases and to foster new solutions providing improved outcomes for patients via less burdensome treatment options.</w:t>
      </w:r>
      <w:r w:rsidR="005B0BD9">
        <w:t xml:space="preserve"> KidneyX seeks to elicit new innovations and accelerate the development of treatments and interventions addressing kidney disease</w:t>
      </w:r>
      <w:r w:rsidR="00521D02">
        <w:t>s and disorders</w:t>
      </w:r>
      <w:r w:rsidR="005B0BD9">
        <w:t xml:space="preserve"> through a series of innovation prize competitions. An innovation prize competition defines a desired innovation or innovation domain, and the parameters defining qualified participants, the nature and format of submission, and the process for judging submissions. At the end of the submission period, expert judges will review qualifying submissions and award a prize to one or more submissions that best address the desired objective. </w:t>
      </w:r>
      <w:r w:rsidR="007C3C67">
        <w:t xml:space="preserve">KidneyX will provide non-dilutive funds to prizewinners, and also offer coaching and other support in working with components of HHS that facilitate commercialization, such as the Food and Drug Administration and the Center for Medicare and Medicaid Services. </w:t>
      </w:r>
      <w:r w:rsidR="001C400D">
        <w:t xml:space="preserve">KidneyX is also leading efforts within HHS to streamline the approval and </w:t>
      </w:r>
      <w:r w:rsidR="001D5D06">
        <w:t xml:space="preserve">availability </w:t>
      </w:r>
      <w:r w:rsidR="001C400D">
        <w:t>of new kidney technologies through intra-agency coordination.</w:t>
      </w:r>
    </w:p>
    <w:p w:rsidR="00672E00" w:rsidP="00397615" w:rsidRDefault="00521D02" w14:paraId="6C5C795D" w14:textId="682A2802">
      <w:pPr>
        <w:pStyle w:val="BodyText2"/>
      </w:pPr>
      <w:r>
        <w:t>This data collection will support an external evaluation of the KidneyX competitions and other innovation promotion activities conducted over an initial 5</w:t>
      </w:r>
      <w:r w:rsidR="00A55DCA">
        <w:t>-</w:t>
      </w:r>
      <w:r>
        <w:t>year period</w:t>
      </w:r>
      <w:r w:rsidR="001C400D">
        <w:t xml:space="preserve">. The evaluation will assess the implementation of KidneyX, </w:t>
      </w:r>
      <w:r w:rsidR="00357478">
        <w:t xml:space="preserve">measure </w:t>
      </w:r>
      <w:r w:rsidR="001C400D">
        <w:t xml:space="preserve">the </w:t>
      </w:r>
      <w:r w:rsidR="00270380">
        <w:t>near-term</w:t>
      </w:r>
      <w:r w:rsidR="001C400D">
        <w:t xml:space="preserve"> </w:t>
      </w:r>
      <w:r w:rsidR="00357478">
        <w:t xml:space="preserve">outcomes of innovation efforts of </w:t>
      </w:r>
      <w:r w:rsidR="00357478">
        <w:lastRenderedPageBreak/>
        <w:t>prizewinners compared to other applicants and non-applicants in the kidney technology domain</w:t>
      </w:r>
      <w:r w:rsidR="001C400D">
        <w:t xml:space="preserve">, and </w:t>
      </w:r>
      <w:r w:rsidR="00357478">
        <w:t xml:space="preserve">observe </w:t>
      </w:r>
      <w:r w:rsidR="001C400D">
        <w:t>any changes in the environment for kidney technology innovation (which may or may not be attributable to KidneyX).</w:t>
      </w:r>
      <w:r w:rsidRPr="009B591D" w:rsidR="00D31B14">
        <w:t xml:space="preserve"> </w:t>
      </w:r>
      <w:r w:rsidR="00672E00">
        <w:t xml:space="preserve">Innovation prizes are used by a number of federal agencies (for an overview, see Office of Science &amp; Technology Policy, 2019). We expect that this evaluation will be useful to other agencies that seek to evaluate their own innovation prize initiatives. </w:t>
      </w:r>
    </w:p>
    <w:p w:rsidR="009548AE" w:rsidP="00397615" w:rsidRDefault="00694F9E" w14:paraId="76EC7812" w14:textId="49359847">
      <w:pPr>
        <w:pStyle w:val="BodyText2"/>
      </w:pPr>
      <w:r>
        <w:t>The data collection will measure near-term changes in KidneyX prize competition participants, such as changes in access to external investment</w:t>
      </w:r>
      <w:r w:rsidR="009548AE">
        <w:t xml:space="preserve">, because longer-term outcomes relating to commercialization </w:t>
      </w:r>
      <w:r w:rsidR="005D2CC6">
        <w:t>or public health are less likely to be observed within our observation window.</w:t>
      </w:r>
      <w:r w:rsidR="009548AE">
        <w:t xml:space="preserve">  </w:t>
      </w:r>
      <w:r w:rsidR="005D2CC6">
        <w:t>Furthermore, these potential longer-term outcomes, if observed, would be rare</w:t>
      </w:r>
      <w:r>
        <w:t>,</w:t>
      </w:r>
      <w:r w:rsidR="005D2CC6">
        <w:t xml:space="preserve"> further </w:t>
      </w:r>
      <w:r w:rsidR="00E60B9B">
        <w:t>inhibiting</w:t>
      </w:r>
      <w:r w:rsidR="005D2CC6">
        <w:t xml:space="preserve"> causal inference.</w:t>
      </w:r>
      <w:r w:rsidR="00521D02">
        <w:t xml:space="preserve"> </w:t>
      </w:r>
      <w:r w:rsidR="00672E00">
        <w:t xml:space="preserve">The assessment of outcomes conducted as part of this evaluation will necessarily be primarily, if not exclusively, descriptive in nature, due to a number of </w:t>
      </w:r>
      <w:r w:rsidR="00E60B9B">
        <w:t>limitations</w:t>
      </w:r>
      <w:r w:rsidR="00672E00">
        <w:t>:</w:t>
      </w:r>
    </w:p>
    <w:p w:rsidR="009548AE" w:rsidP="005D2CC6" w:rsidRDefault="009548AE" w14:paraId="047C6230" w14:textId="32CF7D57">
      <w:pPr>
        <w:pStyle w:val="BodyText2"/>
        <w:numPr>
          <w:ilvl w:val="0"/>
          <w:numId w:val="44"/>
        </w:numPr>
      </w:pPr>
      <w:r>
        <w:t xml:space="preserve">KidneyX competitions do not select winners based on the achievement of well-defined </w:t>
      </w:r>
      <w:r>
        <w:rPr>
          <w:i/>
          <w:iCs/>
        </w:rPr>
        <w:t>a priori</w:t>
      </w:r>
      <w:r>
        <w:t xml:space="preserve"> objectives; </w:t>
      </w:r>
    </w:p>
    <w:p w:rsidR="002215B0" w:rsidP="005D2CC6" w:rsidRDefault="009548AE" w14:paraId="6135F50F" w14:textId="031C7BFA">
      <w:pPr>
        <w:pStyle w:val="BodyText2"/>
        <w:numPr>
          <w:ilvl w:val="0"/>
          <w:numId w:val="44"/>
        </w:numPr>
      </w:pPr>
      <w:r>
        <w:t>the innovation domains vary from one KidneyX prize competition to the next; and</w:t>
      </w:r>
    </w:p>
    <w:p w:rsidR="009548AE" w:rsidP="005D2CC6" w:rsidRDefault="009548AE" w14:paraId="568FCA0D" w14:textId="6250A073">
      <w:pPr>
        <w:pStyle w:val="BodyText2"/>
        <w:numPr>
          <w:ilvl w:val="0"/>
          <w:numId w:val="44"/>
        </w:numPr>
      </w:pPr>
      <w:r>
        <w:t>the parameters defining the structure, format, and rules may also vary across KidneyX prize competitions</w:t>
      </w:r>
      <w:r w:rsidR="00672E00">
        <w:t>.</w:t>
      </w:r>
    </w:p>
    <w:p w:rsidRPr="002238BD" w:rsidR="002215B0" w:rsidP="007C2171" w:rsidRDefault="003D315C" w14:paraId="6E072A05" w14:textId="5F839B37">
      <w:pPr>
        <w:pStyle w:val="Heading3"/>
      </w:pPr>
      <w:r>
        <w:t>.</w:t>
      </w:r>
      <w:r>
        <w:tab/>
      </w:r>
      <w:r w:rsidRPr="002238BD" w:rsidR="002215B0">
        <w:t xml:space="preserve">Study </w:t>
      </w:r>
      <w:r w:rsidRPr="002238BD" w:rsidR="00181B0B">
        <w:t>Design and Evaluation Questions</w:t>
      </w:r>
    </w:p>
    <w:p w:rsidR="005B0BD9" w:rsidP="00397615" w:rsidRDefault="00FA4059" w14:paraId="42F2464F" w14:textId="077AB9F2">
      <w:pPr>
        <w:pStyle w:val="BodyText2"/>
      </w:pPr>
      <w:r w:rsidRPr="009B591D">
        <w:t xml:space="preserve">This evaluation will provide an external, independent assessment of the </w:t>
      </w:r>
      <w:r w:rsidR="001C400D">
        <w:t xml:space="preserve">implementation of KidneyX, and analyze </w:t>
      </w:r>
      <w:r w:rsidR="00270380">
        <w:t xml:space="preserve">the near-term </w:t>
      </w:r>
      <w:r w:rsidR="001C400D">
        <w:t xml:space="preserve">outcomes </w:t>
      </w:r>
      <w:r w:rsidR="00357478">
        <w:t xml:space="preserve">potentially </w:t>
      </w:r>
      <w:r w:rsidR="00270380">
        <w:t>influenced by</w:t>
      </w:r>
      <w:r w:rsidR="001C400D">
        <w:t xml:space="preserve"> </w:t>
      </w:r>
      <w:r w:rsidR="00672E00">
        <w:t>the initiative</w:t>
      </w:r>
      <w:r w:rsidRPr="009B591D">
        <w:t xml:space="preserve">. </w:t>
      </w:r>
      <w:r w:rsidR="00397615">
        <w:t>The evaluation is conducted by RTI International, a nonprofit contract research institute, under contract to and at the direction of HHS.</w:t>
      </w:r>
    </w:p>
    <w:p w:rsidR="00BB6E48" w:rsidP="00397615" w:rsidRDefault="00521D02" w14:paraId="6BEA4B21" w14:textId="50E73EF3">
      <w:pPr>
        <w:pStyle w:val="BodyText2"/>
      </w:pPr>
      <w:r>
        <w:t xml:space="preserve">Numerous federal agencies conduct prize competitions pursuant to the authority granted under the America COMPETES Act Reauthorization of 2011 (PL-111-358) and its amendments. However, evaluations of prize competitions are relatively rare. </w:t>
      </w:r>
      <w:r w:rsidR="00672E00">
        <w:t>Such e</w:t>
      </w:r>
      <w:r>
        <w:t>valuations face two key challenges:  the difficulty in establishing a counterfactual (the outcomes that would take place absent the competition), and the extent to which outcomes vary with the specific rules and structure of each competition (Galasso et al., 2018; RTI International, 2017; Murray, Stern, Campbell &amp; MacCormack, 2012).</w:t>
      </w:r>
      <w:r w:rsidR="00BB6E48">
        <w:t xml:space="preserve"> Also, since KidneyX is a new initiative and its parameters are subject to change over time</w:t>
      </w:r>
      <w:r w:rsidR="001357C5">
        <w:t xml:space="preserve">, </w:t>
      </w:r>
      <w:r w:rsidR="005071C3">
        <w:t xml:space="preserve">our findings may influence shifts in the design and implementation </w:t>
      </w:r>
      <w:r w:rsidR="005071C3">
        <w:lastRenderedPageBreak/>
        <w:t>of KidneyX</w:t>
      </w:r>
      <w:r w:rsidR="00BB6E48">
        <w:t xml:space="preserve">. </w:t>
      </w:r>
      <w:r w:rsidRPr="00BB6E48" w:rsidR="00BB6E48">
        <w:t xml:space="preserve">This makes our project a </w:t>
      </w:r>
      <w:r w:rsidRPr="00BB6E48" w:rsidR="00BB6E48">
        <w:rPr>
          <w:i/>
        </w:rPr>
        <w:t>formative</w:t>
      </w:r>
      <w:r w:rsidRPr="00BB6E48" w:rsidR="00BB6E48">
        <w:t xml:space="preserve"> evaluation, in that it provides an ongoing but necessarily incomplete analysis of the initiative’s outcomes, many of which many not</w:t>
      </w:r>
      <w:r w:rsidR="00564D66">
        <w:t xml:space="preserve"> </w:t>
      </w:r>
      <w:r w:rsidRPr="00BB6E48" w:rsidR="00BB6E48">
        <w:t xml:space="preserve">be fully apparent for several years. The RTI team also approaches this evaluation study as part of a learning agenda for HHS, such that early results can provide useful feedback and information that can shape future changes to the initiative (Smith Nightingale et al., 2018). </w:t>
      </w:r>
    </w:p>
    <w:p w:rsidR="00672E00" w:rsidP="00397615" w:rsidRDefault="00BB6E48" w14:paraId="4D2AA9E9" w14:textId="77777777">
      <w:pPr>
        <w:pStyle w:val="BodyText2"/>
      </w:pPr>
      <w:r w:rsidRPr="00BB6E48">
        <w:t xml:space="preserve">As a result, this evaluation </w:t>
      </w:r>
      <w:r w:rsidR="003464D7">
        <w:t>uses</w:t>
      </w:r>
      <w:r w:rsidRPr="003464D7" w:rsidR="003464D7">
        <w:t xml:space="preserve"> qualitative techniques, such as document analysis and stakeholder interviews, to capture the details and effects of processes and changes within the KidneyX initiative. </w:t>
      </w:r>
      <w:r w:rsidR="003464D7">
        <w:t>Q</w:t>
      </w:r>
      <w:r w:rsidRPr="003464D7" w:rsidR="003464D7">
        <w:t xml:space="preserve">uantitative </w:t>
      </w:r>
      <w:r w:rsidR="00C5640C">
        <w:t xml:space="preserve">analysis using survey data will </w:t>
      </w:r>
      <w:r w:rsidR="001357C5">
        <w:t>complement</w:t>
      </w:r>
      <w:r w:rsidR="00EF4584">
        <w:t xml:space="preserve"> </w:t>
      </w:r>
      <w:r w:rsidR="003C0BFA">
        <w:t>the qualitative analysis</w:t>
      </w:r>
      <w:r w:rsidR="001357C5">
        <w:t xml:space="preserve"> by measuring specified variables in different time periods</w:t>
      </w:r>
      <w:r w:rsidR="003C0BFA">
        <w:t xml:space="preserve">. </w:t>
      </w:r>
      <w:r w:rsidR="00672E00">
        <w:t>We will also use secondary data sources to provide independent validation of observations gathered from program participants and stakeholders, and which will be particularly helpful for gathering outcomes of non-participants.</w:t>
      </w:r>
    </w:p>
    <w:p w:rsidRPr="009B591D" w:rsidR="00BB6E48" w:rsidP="00397615" w:rsidRDefault="009D38C2" w14:paraId="53FA7C1E" w14:textId="4C3951B3">
      <w:pPr>
        <w:pStyle w:val="BodyText2"/>
      </w:pPr>
      <w:r>
        <w:t>E</w:t>
      </w:r>
      <w:r w:rsidRPr="003464D7" w:rsidR="003464D7">
        <w:t xml:space="preserve">conometric analysis </w:t>
      </w:r>
      <w:r w:rsidR="002E0AE9">
        <w:t>may</w:t>
      </w:r>
      <w:r w:rsidR="003464D7">
        <w:t xml:space="preserve"> be applied </w:t>
      </w:r>
      <w:r w:rsidR="002E0AE9">
        <w:t>in</w:t>
      </w:r>
      <w:r w:rsidRPr="003464D7" w:rsidR="003464D7">
        <w:t xml:space="preserve"> discrete situations </w:t>
      </w:r>
      <w:r w:rsidR="0008513B">
        <w:t>in which th</w:t>
      </w:r>
      <w:r w:rsidR="00EB3C34">
        <w:t xml:space="preserve">ere exists a clear definition of </w:t>
      </w:r>
      <w:r w:rsidR="00B93F1C">
        <w:t xml:space="preserve">an “intervention,” </w:t>
      </w:r>
      <w:r w:rsidR="00114C3A">
        <w:t>and a</w:t>
      </w:r>
      <w:r w:rsidR="00C157A9">
        <w:t xml:space="preserve"> setting </w:t>
      </w:r>
      <w:r w:rsidR="00844BFC">
        <w:t>enabling</w:t>
      </w:r>
      <w:r w:rsidR="00021638">
        <w:t xml:space="preserve"> quasi-experimental designs</w:t>
      </w:r>
      <w:r w:rsidR="0089034D">
        <w:t xml:space="preserve"> such as difference</w:t>
      </w:r>
      <w:r w:rsidR="00913A69">
        <w:t>-in-differences, regression discontinuity, or synthe</w:t>
      </w:r>
      <w:r w:rsidR="0091442B">
        <w:t xml:space="preserve">tic </w:t>
      </w:r>
      <w:r w:rsidR="006003FE">
        <w:t xml:space="preserve">control. </w:t>
      </w:r>
      <w:r w:rsidR="00C430A7">
        <w:t xml:space="preserve">An opportunity </w:t>
      </w:r>
      <w:r w:rsidR="0017007D">
        <w:t xml:space="preserve">like this could arise </w:t>
      </w:r>
      <w:r w:rsidR="000779F4">
        <w:t xml:space="preserve">in a situation </w:t>
      </w:r>
      <w:r w:rsidR="003941FB">
        <w:t xml:space="preserve">where KidneyX decided to test promotional strategies </w:t>
      </w:r>
      <w:r w:rsidR="00C742D8">
        <w:t xml:space="preserve">to increase the quality and/or quantity of </w:t>
      </w:r>
      <w:r w:rsidR="00145711">
        <w:t>participation</w:t>
      </w:r>
      <w:r w:rsidR="00C3349D">
        <w:t xml:space="preserve"> and </w:t>
      </w:r>
      <w:r w:rsidR="00934147">
        <w:t xml:space="preserve">was willing to test these alternative strategies by randomly varying </w:t>
      </w:r>
      <w:r w:rsidR="004D2D01">
        <w:t xml:space="preserve">which audiences received which </w:t>
      </w:r>
      <w:r w:rsidR="00BE40FC">
        <w:t xml:space="preserve">promotion </w:t>
      </w:r>
      <w:r w:rsidR="00735A15">
        <w:t>strategy over time.</w:t>
      </w:r>
      <w:r w:rsidR="00844BFC">
        <w:t xml:space="preserve"> </w:t>
      </w:r>
      <w:r w:rsidR="00BB6E48">
        <w:t xml:space="preserve">As KidneyX evolves, our analytical methods </w:t>
      </w:r>
      <w:r w:rsidR="005071C3">
        <w:t>can</w:t>
      </w:r>
      <w:r w:rsidR="00BB6E48">
        <w:t xml:space="preserve"> adapt to those changes, even though the data collection methods will not change over the course of the </w:t>
      </w:r>
      <w:r w:rsidR="001F28EC">
        <w:t>5-year</w:t>
      </w:r>
      <w:r w:rsidR="00BB6E48">
        <w:t xml:space="preserve"> evaluation period.</w:t>
      </w:r>
    </w:p>
    <w:p w:rsidR="003464D7" w:rsidP="00397615" w:rsidRDefault="003464D7" w14:paraId="24C1C3AC" w14:textId="24C81A3C">
      <w:pPr>
        <w:pStyle w:val="BodyText2"/>
      </w:pPr>
      <w:r>
        <w:t>The KidneyX initiative seek</w:t>
      </w:r>
      <w:r w:rsidR="001D5D06">
        <w:t>s</w:t>
      </w:r>
      <w:r>
        <w:t xml:space="preserve"> to improve the environment for innovation in kidney technologies by pursing five inter-related goals:</w:t>
      </w:r>
    </w:p>
    <w:p w:rsidR="003464D7" w:rsidP="00397615" w:rsidRDefault="001D5D06" w14:paraId="1631C869" w14:textId="79F0F99B">
      <w:pPr>
        <w:pStyle w:val="BodyText2"/>
        <w:numPr>
          <w:ilvl w:val="0"/>
          <w:numId w:val="29"/>
        </w:numPr>
      </w:pPr>
      <w:r>
        <w:t>Establishing</w:t>
      </w:r>
      <w:r w:rsidR="003464D7">
        <w:t xml:space="preserve"> of a kidney technology innovation program that integrates the priorities and perspectives of multiple stakeholder groups.</w:t>
      </w:r>
    </w:p>
    <w:p w:rsidR="003464D7" w:rsidP="00397615" w:rsidRDefault="001D5D06" w14:paraId="50CB090F" w14:textId="4638978A">
      <w:pPr>
        <w:pStyle w:val="BodyText2"/>
        <w:numPr>
          <w:ilvl w:val="0"/>
          <w:numId w:val="29"/>
        </w:numPr>
      </w:pPr>
      <w:r>
        <w:t>Increasing</w:t>
      </w:r>
      <w:r w:rsidR="003464D7">
        <w:t xml:space="preserve"> the volume and variety of high-quality ideas and innovations in the kidney technology domain.</w:t>
      </w:r>
    </w:p>
    <w:p w:rsidR="003464D7" w:rsidP="00397615" w:rsidRDefault="001D5D06" w14:paraId="5C0F2364" w14:textId="0350DC43">
      <w:pPr>
        <w:pStyle w:val="BodyText2"/>
        <w:numPr>
          <w:ilvl w:val="0"/>
          <w:numId w:val="29"/>
        </w:numPr>
      </w:pPr>
      <w:r>
        <w:t>Mitigating</w:t>
      </w:r>
      <w:r w:rsidR="003464D7">
        <w:t xml:space="preserve"> the risks of innovation in kidney technology through financial leverage, expert assistance for innovators, and coordinating reforms to regulatory and reimbursement processes in kidney treatment.</w:t>
      </w:r>
    </w:p>
    <w:p w:rsidR="003464D7" w:rsidP="00397615" w:rsidRDefault="001D5D06" w14:paraId="12E62460" w14:textId="501EAD7D">
      <w:pPr>
        <w:pStyle w:val="BodyText2"/>
        <w:numPr>
          <w:ilvl w:val="0"/>
          <w:numId w:val="29"/>
        </w:numPr>
      </w:pPr>
      <w:r>
        <w:t xml:space="preserve">Integrating </w:t>
      </w:r>
      <w:r w:rsidR="003464D7">
        <w:t>patient and caregiver needs into innovations that improve the quality of life for those suffering from kidney disease.</w:t>
      </w:r>
    </w:p>
    <w:p w:rsidR="003464D7" w:rsidP="00397615" w:rsidRDefault="00E46223" w14:paraId="02E9B57E" w14:textId="44B08A9E">
      <w:pPr>
        <w:pStyle w:val="BodyText2"/>
        <w:numPr>
          <w:ilvl w:val="0"/>
          <w:numId w:val="29"/>
        </w:numPr>
      </w:pPr>
      <w:r>
        <w:lastRenderedPageBreak/>
        <w:t>Increas</w:t>
      </w:r>
      <w:r w:rsidR="001D5D06">
        <w:t>ing</w:t>
      </w:r>
      <w:r>
        <w:t xml:space="preserve"> awareness of the challenges and opportunities in kidney technology innovation </w:t>
      </w:r>
      <w:r w:rsidR="001D5D06">
        <w:t xml:space="preserve">in a way that </w:t>
      </w:r>
      <w:r>
        <w:t>attracts more funding, talent, and public support to the domain.</w:t>
      </w:r>
    </w:p>
    <w:p w:rsidR="002B2994" w:rsidP="00672E00" w:rsidRDefault="00E46223" w14:paraId="11DC556E" w14:textId="0F02573F">
      <w:pPr>
        <w:pStyle w:val="BodyText2"/>
        <w:ind w:firstLine="0"/>
        <w:rPr>
          <w:rFonts w:eastAsia="MS Mincho" w:cs="Arial" w:asciiTheme="minorBidi" w:hAnsiTheme="minorBidi"/>
          <w:b/>
          <w:szCs w:val="24"/>
        </w:rPr>
      </w:pPr>
      <w:r>
        <w:t>This yields five evaluation questions and attendant indicators and data sources, shown in</w:t>
      </w:r>
      <w:r w:rsidR="008571FB">
        <w:t xml:space="preserve"> </w:t>
      </w:r>
      <w:r w:rsidR="00A317B1">
        <w:t>Exhibit 1</w:t>
      </w:r>
      <w:r w:rsidR="008571FB">
        <w:t>.</w:t>
      </w:r>
      <w:r w:rsidR="005C1DF0">
        <w:t xml:space="preserve"> </w:t>
      </w:r>
      <w:bookmarkStart w:name="_Toc532371859" w:id="4"/>
    </w:p>
    <w:p w:rsidRPr="009B591D" w:rsidR="002E25E2" w:rsidP="004A7134" w:rsidRDefault="002E25E2" w14:paraId="3978CCCC" w14:textId="57E1F0B6">
      <w:pPr>
        <w:pStyle w:val="FigureTitle"/>
        <w:ind w:left="360" w:hanging="360"/>
        <w:rPr>
          <w:sz w:val="24"/>
          <w:szCs w:val="24"/>
        </w:rPr>
      </w:pPr>
      <w:r w:rsidRPr="009B591D">
        <w:rPr>
          <w:sz w:val="24"/>
          <w:szCs w:val="24"/>
        </w:rPr>
        <w:t>Exhibit 1.</w:t>
      </w:r>
      <w:r w:rsidRPr="009B591D">
        <w:rPr>
          <w:sz w:val="24"/>
          <w:szCs w:val="24"/>
        </w:rPr>
        <w:tab/>
        <w:t>Evaluation Questions and Data Sources</w:t>
      </w:r>
      <w:bookmarkEnd w:id="4"/>
      <w:r w:rsidRPr="009B591D">
        <w:rPr>
          <w:sz w:val="24"/>
          <w:szCs w:val="24"/>
        </w:rPr>
        <w:t xml:space="preserve"> </w:t>
      </w:r>
    </w:p>
    <w:tbl>
      <w:tblPr>
        <w:tblW w:w="5332" w:type="pct"/>
        <w:tblInd w:w="-5" w:type="dxa"/>
        <w:tblLayout w:type="fixed"/>
        <w:tblCellMar>
          <w:left w:w="0" w:type="dxa"/>
          <w:right w:w="0" w:type="dxa"/>
        </w:tblCellMar>
        <w:tblLook w:val="04A0" w:firstRow="1" w:lastRow="0" w:firstColumn="1" w:lastColumn="0" w:noHBand="0" w:noVBand="1"/>
      </w:tblPr>
      <w:tblGrid>
        <w:gridCol w:w="1750"/>
        <w:gridCol w:w="3754"/>
        <w:gridCol w:w="636"/>
        <w:gridCol w:w="535"/>
        <w:gridCol w:w="551"/>
        <w:gridCol w:w="636"/>
        <w:gridCol w:w="636"/>
        <w:gridCol w:w="546"/>
        <w:gridCol w:w="542"/>
        <w:gridCol w:w="626"/>
      </w:tblGrid>
      <w:tr w:rsidRPr="004414CA" w:rsidR="0030289F" w:rsidTr="00397615" w14:paraId="5E168560" w14:textId="77777777">
        <w:trPr>
          <w:tblHeader/>
        </w:trPr>
        <w:tc>
          <w:tcPr>
            <w:tcW w:w="1710" w:type="dxa"/>
            <w:vMerge w:val="restart"/>
            <w:tcBorders>
              <w:top w:val="single" w:color="auto"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tcMar>
              <w:top w:w="0" w:type="dxa"/>
              <w:left w:w="108" w:type="dxa"/>
              <w:bottom w:w="0" w:type="dxa"/>
              <w:right w:w="108" w:type="dxa"/>
            </w:tcMar>
            <w:vAlign w:val="bottom"/>
            <w:hideMark/>
          </w:tcPr>
          <w:p w:rsidRPr="004414CA" w:rsidR="0030289F" w:rsidP="00B70C85" w:rsidRDefault="00E46223" w14:paraId="0B7BFCAB" w14:textId="24753BEE">
            <w:pPr>
              <w:pStyle w:val="Tableheader"/>
              <w:rPr>
                <w:rFonts w:asciiTheme="minorHAnsi" w:hAnsiTheme="minorHAnsi" w:cstheme="minorHAnsi"/>
              </w:rPr>
            </w:pPr>
            <w:r>
              <w:rPr>
                <w:rFonts w:asciiTheme="minorHAnsi" w:hAnsiTheme="minorHAnsi" w:cstheme="minorHAnsi"/>
              </w:rPr>
              <w:t>Evaluation Questions</w:t>
            </w:r>
          </w:p>
        </w:tc>
        <w:tc>
          <w:tcPr>
            <w:tcW w:w="3665" w:type="dxa"/>
            <w:vMerge w:val="restart"/>
            <w:tcBorders>
              <w:top w:val="single" w:color="auto"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tcMar>
              <w:top w:w="0" w:type="dxa"/>
              <w:left w:w="108" w:type="dxa"/>
              <w:bottom w:w="0" w:type="dxa"/>
              <w:right w:w="108" w:type="dxa"/>
            </w:tcMar>
            <w:vAlign w:val="bottom"/>
            <w:hideMark/>
          </w:tcPr>
          <w:p w:rsidRPr="004414CA" w:rsidR="0030289F" w:rsidP="00B70C85" w:rsidRDefault="00E46223" w14:paraId="2E98DC9A" w14:textId="1E9942E7">
            <w:pPr>
              <w:pStyle w:val="Tableheader"/>
              <w:rPr>
                <w:rFonts w:asciiTheme="minorHAnsi" w:hAnsiTheme="minorHAnsi" w:cstheme="minorHAnsi"/>
              </w:rPr>
            </w:pPr>
            <w:r>
              <w:rPr>
                <w:rFonts w:asciiTheme="minorHAnsi" w:hAnsiTheme="minorHAnsi" w:cstheme="minorHAnsi"/>
              </w:rPr>
              <w:t>Indicators</w:t>
            </w:r>
          </w:p>
        </w:tc>
        <w:tc>
          <w:tcPr>
            <w:tcW w:w="621" w:type="dxa"/>
            <w:tcBorders>
              <w:top w:val="single" w:color="auto"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tcPr>
          <w:p w:rsidRPr="004414CA" w:rsidR="0030289F" w:rsidP="00B70C85" w:rsidRDefault="0030289F" w14:paraId="631B4E7C" w14:textId="77777777">
            <w:pPr>
              <w:pStyle w:val="Tableheader"/>
              <w:rPr>
                <w:rFonts w:asciiTheme="minorHAnsi" w:hAnsiTheme="minorHAnsi" w:cstheme="minorHAnsi"/>
              </w:rPr>
            </w:pPr>
          </w:p>
        </w:tc>
        <w:tc>
          <w:tcPr>
            <w:tcW w:w="3975" w:type="dxa"/>
            <w:gridSpan w:val="7"/>
            <w:tcBorders>
              <w:top w:val="single" w:color="auto"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cMar>
              <w:top w:w="0" w:type="dxa"/>
              <w:left w:w="108" w:type="dxa"/>
              <w:bottom w:w="0" w:type="dxa"/>
              <w:right w:w="108" w:type="dxa"/>
            </w:tcMar>
            <w:vAlign w:val="bottom"/>
            <w:hideMark/>
          </w:tcPr>
          <w:p w:rsidRPr="004414CA" w:rsidR="0030289F" w:rsidP="00B70C85" w:rsidRDefault="0030289F" w14:paraId="3953C76D" w14:textId="3EDC5E6E">
            <w:pPr>
              <w:pStyle w:val="Tableheader"/>
              <w:rPr>
                <w:rFonts w:asciiTheme="minorHAnsi" w:hAnsiTheme="minorHAnsi" w:cstheme="minorHAnsi"/>
              </w:rPr>
            </w:pPr>
            <w:r w:rsidRPr="004414CA">
              <w:rPr>
                <w:rFonts w:asciiTheme="minorHAnsi" w:hAnsiTheme="minorHAnsi" w:cstheme="minorHAnsi"/>
              </w:rPr>
              <w:t>Data Source</w:t>
            </w:r>
          </w:p>
        </w:tc>
      </w:tr>
      <w:tr w:rsidRPr="004414CA" w:rsidR="0030289F" w:rsidTr="00397615" w14:paraId="78816770" w14:textId="77777777">
        <w:trPr>
          <w:trHeight w:val="305"/>
          <w:tblHeader/>
        </w:trPr>
        <w:tc>
          <w:tcPr>
            <w:tcW w:w="1710" w:type="dxa"/>
            <w:vMerge/>
            <w:tcBorders>
              <w:top w:val="single" w:color="FFFFFF" w:themeColor="background1"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vAlign w:val="bottom"/>
            <w:hideMark/>
          </w:tcPr>
          <w:p w:rsidRPr="004414CA" w:rsidR="0030289F" w:rsidP="00B70C85" w:rsidRDefault="0030289F" w14:paraId="2107997B" w14:textId="77777777">
            <w:pPr>
              <w:jc w:val="center"/>
              <w:rPr>
                <w:rFonts w:cstheme="minorHAnsi"/>
                <w:b/>
                <w:bCs/>
              </w:rPr>
            </w:pPr>
          </w:p>
        </w:tc>
        <w:tc>
          <w:tcPr>
            <w:tcW w:w="3665" w:type="dxa"/>
            <w:vMerg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vAlign w:val="bottom"/>
            <w:hideMark/>
          </w:tcPr>
          <w:p w:rsidRPr="004414CA" w:rsidR="0030289F" w:rsidP="00B70C85" w:rsidRDefault="0030289F" w14:paraId="3B97C2D9" w14:textId="77777777">
            <w:pPr>
              <w:jc w:val="center"/>
              <w:rPr>
                <w:rFonts w:cstheme="minorHAnsi"/>
                <w:b/>
                <w:bCs/>
              </w:rPr>
            </w:pPr>
          </w:p>
        </w:tc>
        <w:tc>
          <w:tcPr>
            <w:tcW w:w="621"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tcMar>
              <w:top w:w="0" w:type="dxa"/>
              <w:left w:w="108" w:type="dxa"/>
              <w:bottom w:w="0" w:type="dxa"/>
              <w:right w:w="108" w:type="dxa"/>
            </w:tcMar>
            <w:textDirection w:val="btLr"/>
            <w:vAlign w:val="center"/>
            <w:hideMark/>
          </w:tcPr>
          <w:p w:rsidRPr="004414CA" w:rsidR="0030289F" w:rsidP="00B70C85" w:rsidRDefault="0030289F" w14:paraId="481ADD64" w14:textId="77777777">
            <w:pPr>
              <w:pStyle w:val="Tableheader"/>
              <w:ind w:left="29"/>
              <w:jc w:val="left"/>
              <w:rPr>
                <w:rFonts w:asciiTheme="minorHAnsi" w:hAnsiTheme="minorHAnsi" w:cstheme="minorHAnsi"/>
              </w:rPr>
            </w:pPr>
            <w:r w:rsidRPr="004414CA">
              <w:rPr>
                <w:rFonts w:asciiTheme="minorHAnsi" w:hAnsiTheme="minorHAnsi" w:cstheme="minorHAnsi"/>
              </w:rPr>
              <w:t>Document Review*</w:t>
            </w:r>
          </w:p>
        </w:tc>
        <w:tc>
          <w:tcPr>
            <w:tcW w:w="2302" w:type="dxa"/>
            <w:gridSpan w:val="4"/>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BFBFBF" w:themeFill="background1" w:themeFillShade="BF"/>
          </w:tcPr>
          <w:p w:rsidRPr="004414CA" w:rsidR="0030289F" w:rsidP="00B70C85" w:rsidRDefault="0030289F" w14:paraId="49AC2802" w14:textId="299EE45C">
            <w:pPr>
              <w:pStyle w:val="Tableheader"/>
              <w:rPr>
                <w:rFonts w:asciiTheme="minorHAnsi" w:hAnsiTheme="minorHAnsi" w:cstheme="minorHAnsi"/>
              </w:rPr>
            </w:pPr>
            <w:r>
              <w:rPr>
                <w:rFonts w:asciiTheme="minorHAnsi" w:hAnsiTheme="minorHAnsi" w:cstheme="minorHAnsi"/>
              </w:rPr>
              <w:t>Stakeholder</w:t>
            </w:r>
            <w:r w:rsidRPr="004414CA">
              <w:rPr>
                <w:rFonts w:asciiTheme="minorHAnsi" w:hAnsiTheme="minorHAnsi" w:cstheme="minorHAnsi"/>
              </w:rPr>
              <w:t xml:space="preserve"> Interviews</w:t>
            </w:r>
          </w:p>
        </w:tc>
        <w:tc>
          <w:tcPr>
            <w:tcW w:w="1062" w:type="dxa"/>
            <w:gridSpan w:val="2"/>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BFBFBF" w:themeFill="background1" w:themeFillShade="BF"/>
            <w:tcMar>
              <w:top w:w="0" w:type="dxa"/>
              <w:left w:w="108" w:type="dxa"/>
              <w:bottom w:w="0" w:type="dxa"/>
              <w:right w:w="108" w:type="dxa"/>
            </w:tcMar>
            <w:vAlign w:val="bottom"/>
            <w:hideMark/>
          </w:tcPr>
          <w:p w:rsidRPr="004414CA" w:rsidR="0030289F" w:rsidP="00B70C85" w:rsidRDefault="0030289F" w14:paraId="6C87B708" w14:textId="77777777">
            <w:pPr>
              <w:pStyle w:val="Tableheader"/>
              <w:rPr>
                <w:rFonts w:asciiTheme="minorHAnsi" w:hAnsiTheme="minorHAnsi" w:cstheme="minorHAnsi"/>
              </w:rPr>
            </w:pPr>
            <w:r w:rsidRPr="004414CA">
              <w:rPr>
                <w:rFonts w:asciiTheme="minorHAnsi" w:hAnsiTheme="minorHAnsi" w:cstheme="minorHAnsi"/>
              </w:rPr>
              <w:t>Surveys</w:t>
            </w:r>
          </w:p>
        </w:tc>
        <w:tc>
          <w:tcPr>
            <w:tcW w:w="611" w:type="dxa"/>
            <w:vMerge w:val="restart"/>
            <w:tcBorders>
              <w:top w:val="single" w:color="FFFFFF" w:themeColor="background1"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extDirection w:val="btLr"/>
            <w:vAlign w:val="center"/>
          </w:tcPr>
          <w:p w:rsidRPr="004414CA" w:rsidR="0030289F" w:rsidP="00B70C85" w:rsidRDefault="0030289F" w14:paraId="2D8593BC" w14:textId="77777777">
            <w:pPr>
              <w:pStyle w:val="Tableheader"/>
              <w:ind w:left="29"/>
              <w:jc w:val="left"/>
              <w:rPr>
                <w:rFonts w:asciiTheme="minorHAnsi" w:hAnsiTheme="minorHAnsi" w:cstheme="minorHAnsi"/>
              </w:rPr>
            </w:pPr>
            <w:r w:rsidRPr="004414CA">
              <w:rPr>
                <w:rFonts w:asciiTheme="minorHAnsi" w:hAnsiTheme="minorHAnsi" w:eastAsiaTheme="minorHAnsi" w:cstheme="minorHAnsi"/>
              </w:rPr>
              <w:t>Secondary Data Sources**</w:t>
            </w:r>
          </w:p>
        </w:tc>
      </w:tr>
      <w:tr w:rsidRPr="004414CA" w:rsidR="0030289F" w:rsidTr="00397615" w14:paraId="529BC098" w14:textId="77777777">
        <w:trPr>
          <w:cantSplit/>
          <w:trHeight w:val="1313"/>
        </w:trPr>
        <w:tc>
          <w:tcPr>
            <w:tcW w:w="1710" w:type="dxa"/>
            <w:vMerge/>
            <w:tcBorders>
              <w:top w:val="single" w:color="FFFFFF" w:themeColor="background1" w:sz="4" w:space="0"/>
              <w:left w:val="single" w:color="auto" w:sz="4" w:space="0"/>
              <w:bottom w:val="single" w:color="FFFFFF" w:themeColor="background1" w:sz="12" w:space="0"/>
              <w:right w:val="single" w:color="FFFFFF" w:themeColor="background1" w:sz="4" w:space="0"/>
            </w:tcBorders>
            <w:shd w:val="clear" w:color="auto" w:fill="0A357E"/>
            <w:vAlign w:val="center"/>
            <w:hideMark/>
          </w:tcPr>
          <w:p w:rsidRPr="004414CA" w:rsidR="0030289F" w:rsidP="00B70C85" w:rsidRDefault="0030289F" w14:paraId="176A3338" w14:textId="77777777">
            <w:pPr>
              <w:rPr>
                <w:rFonts w:cstheme="minorHAnsi"/>
                <w:b/>
                <w:bCs/>
              </w:rPr>
            </w:pPr>
          </w:p>
        </w:tc>
        <w:tc>
          <w:tcPr>
            <w:tcW w:w="3665" w:type="dxa"/>
            <w:vMerge/>
            <w:tcBorders>
              <w:top w:val="single" w:color="FFFFFF" w:themeColor="background1" w:sz="4" w:space="0"/>
              <w:left w:val="single" w:color="FFFFFF" w:themeColor="background1" w:sz="4" w:space="0"/>
              <w:bottom w:val="single" w:color="FFFFFF" w:themeColor="background1" w:sz="12" w:space="0"/>
              <w:right w:val="single" w:color="FFFFFF" w:themeColor="background1" w:sz="4" w:space="0"/>
            </w:tcBorders>
            <w:shd w:val="clear" w:color="auto" w:fill="0A357E"/>
            <w:vAlign w:val="center"/>
            <w:hideMark/>
          </w:tcPr>
          <w:p w:rsidRPr="004414CA" w:rsidR="0030289F" w:rsidP="00B70C85" w:rsidRDefault="0030289F" w14:paraId="603BA4D0" w14:textId="77777777">
            <w:pPr>
              <w:rPr>
                <w:rFonts w:cstheme="minorHAnsi"/>
                <w:b/>
                <w:bCs/>
              </w:rPr>
            </w:pPr>
          </w:p>
        </w:tc>
        <w:tc>
          <w:tcPr>
            <w:tcW w:w="621" w:type="dxa"/>
            <w:vMerge/>
            <w:tcBorders>
              <w:top w:val="single" w:color="FFFFFF" w:themeColor="background1" w:sz="4" w:space="0"/>
              <w:left w:val="single" w:color="FFFFFF" w:themeColor="background1" w:sz="4" w:space="0"/>
              <w:bottom w:val="single" w:color="FFFFFF" w:themeColor="background1" w:sz="12" w:space="0"/>
              <w:right w:val="single" w:color="auto" w:sz="4" w:space="0"/>
            </w:tcBorders>
            <w:shd w:val="clear" w:color="auto" w:fill="0A357E"/>
            <w:vAlign w:val="center"/>
            <w:hideMark/>
          </w:tcPr>
          <w:p w:rsidRPr="004414CA" w:rsidR="0030289F" w:rsidP="00B70C85" w:rsidRDefault="0030289F" w14:paraId="6B2EA59D" w14:textId="77777777">
            <w:pPr>
              <w:rPr>
                <w:rFonts w:cstheme="minorHAnsi"/>
                <w:b/>
                <w:bCs/>
              </w:rPr>
            </w:pPr>
          </w:p>
        </w:tc>
        <w:tc>
          <w:tcPr>
            <w:tcW w:w="522" w:type="dxa"/>
            <w:tcBorders>
              <w:top w:val="single" w:color="auto"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textDirection w:val="btLr"/>
            <w:vAlign w:val="center"/>
            <w:hideMark/>
          </w:tcPr>
          <w:p w:rsidRPr="004414CA" w:rsidR="0030289F" w:rsidP="00B70C85" w:rsidRDefault="0030289F" w14:paraId="77946102" w14:textId="77777777">
            <w:pPr>
              <w:pStyle w:val="Tableheader"/>
              <w:ind w:left="29"/>
              <w:jc w:val="left"/>
              <w:rPr>
                <w:rFonts w:asciiTheme="minorHAnsi" w:hAnsiTheme="minorHAnsi" w:cstheme="minorHAnsi"/>
              </w:rPr>
            </w:pPr>
            <w:r w:rsidRPr="004414CA">
              <w:rPr>
                <w:rFonts w:asciiTheme="minorHAnsi" w:hAnsiTheme="minorHAnsi" w:cstheme="minorHAnsi"/>
              </w:rPr>
              <w:t>Applicants</w:t>
            </w:r>
          </w:p>
        </w:tc>
        <w:tc>
          <w:tcPr>
            <w:tcW w:w="538" w:type="dxa"/>
            <w:tcBorders>
              <w:top w:val="single" w:color="auto"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extDirection w:val="btLr"/>
            <w:vAlign w:val="center"/>
            <w:hideMark/>
          </w:tcPr>
          <w:p w:rsidRPr="004414CA" w:rsidR="0030289F" w:rsidP="00B70C85" w:rsidRDefault="0030289F" w14:paraId="125A7600" w14:textId="77777777">
            <w:pPr>
              <w:pStyle w:val="Tableheader"/>
              <w:ind w:left="29"/>
              <w:jc w:val="left"/>
              <w:rPr>
                <w:rFonts w:asciiTheme="minorHAnsi" w:hAnsiTheme="minorHAnsi" w:cstheme="minorHAnsi"/>
              </w:rPr>
            </w:pPr>
            <w:r w:rsidRPr="004414CA">
              <w:rPr>
                <w:rFonts w:asciiTheme="minorHAnsi" w:hAnsiTheme="minorHAnsi" w:cstheme="minorHAnsi"/>
              </w:rPr>
              <w:t>Awardees</w:t>
            </w:r>
          </w:p>
        </w:tc>
        <w:tc>
          <w:tcPr>
            <w:tcW w:w="621" w:type="dxa"/>
            <w:tcBorders>
              <w:top w:val="single" w:color="auto" w:sz="4" w:space="0"/>
              <w:left w:val="single" w:color="auto" w:sz="4" w:space="0"/>
              <w:bottom w:val="single" w:color="auto" w:sz="4" w:space="0"/>
              <w:right w:val="single" w:color="auto" w:sz="4" w:space="0"/>
            </w:tcBorders>
            <w:shd w:val="clear" w:color="auto" w:fill="BFBFBF" w:themeFill="background1" w:themeFillShade="BF"/>
            <w:textDirection w:val="btLr"/>
            <w:vAlign w:val="center"/>
          </w:tcPr>
          <w:p w:rsidRPr="004414CA" w:rsidR="0030289F" w:rsidP="0030289F" w:rsidRDefault="0030289F" w14:paraId="04650133" w14:textId="137D2286">
            <w:pPr>
              <w:pStyle w:val="Tableheader"/>
              <w:ind w:left="29" w:right="113"/>
              <w:rPr>
                <w:rFonts w:asciiTheme="minorHAnsi" w:hAnsiTheme="minorHAnsi" w:cstheme="minorHAnsi"/>
              </w:rPr>
            </w:pPr>
            <w:r>
              <w:rPr>
                <w:rFonts w:asciiTheme="minorHAnsi" w:hAnsiTheme="minorHAnsi" w:cstheme="minorHAnsi"/>
              </w:rPr>
              <w:t>Non-awardees</w:t>
            </w:r>
          </w:p>
        </w:tc>
        <w:tc>
          <w:tcPr>
            <w:tcW w:w="621" w:type="dxa"/>
            <w:tcBorders>
              <w:top w:val="single" w:color="auto" w:sz="4" w:space="0"/>
              <w:left w:val="single" w:color="auto" w:sz="4" w:space="0"/>
              <w:bottom w:val="single" w:color="auto" w:sz="4" w:space="0"/>
              <w:right w:val="single" w:color="auto" w:sz="4" w:space="0"/>
            </w:tcBorders>
            <w:shd w:val="clear" w:color="auto" w:fill="BFBFBF" w:themeFill="background1" w:themeFillShade="BF"/>
            <w:textDirection w:val="btLr"/>
            <w:vAlign w:val="center"/>
            <w:hideMark/>
          </w:tcPr>
          <w:p w:rsidRPr="004414CA" w:rsidR="0030289F" w:rsidP="0030289F" w:rsidRDefault="0030289F" w14:paraId="336DA39C" w14:textId="7ABB742E">
            <w:pPr>
              <w:pStyle w:val="Tableheader"/>
              <w:ind w:left="29" w:right="113"/>
              <w:rPr>
                <w:rFonts w:asciiTheme="minorHAnsi" w:hAnsiTheme="minorHAnsi" w:cstheme="minorHAnsi"/>
              </w:rPr>
            </w:pPr>
            <w:r w:rsidRPr="004414CA">
              <w:rPr>
                <w:rFonts w:asciiTheme="minorHAnsi" w:hAnsiTheme="minorHAnsi" w:cstheme="minorHAnsi"/>
              </w:rPr>
              <w:t>Other Stakeholders</w:t>
            </w:r>
          </w:p>
        </w:tc>
        <w:tc>
          <w:tcPr>
            <w:tcW w:w="533" w:type="dxa"/>
            <w:tcBorders>
              <w:top w:val="single" w:color="auto"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textDirection w:val="btLr"/>
            <w:vAlign w:val="center"/>
            <w:hideMark/>
          </w:tcPr>
          <w:p w:rsidRPr="004414CA" w:rsidR="0030289F" w:rsidP="00B70C85" w:rsidRDefault="0030289F" w14:paraId="102A67B3" w14:textId="77777777">
            <w:pPr>
              <w:pStyle w:val="Tableheader"/>
              <w:ind w:left="29"/>
              <w:jc w:val="left"/>
              <w:rPr>
                <w:rFonts w:asciiTheme="minorHAnsi" w:hAnsiTheme="minorHAnsi" w:eastAsiaTheme="minorHAnsi" w:cstheme="minorHAnsi"/>
                <w:sz w:val="18"/>
              </w:rPr>
            </w:pPr>
            <w:r w:rsidRPr="004414CA">
              <w:rPr>
                <w:rFonts w:asciiTheme="minorHAnsi" w:hAnsiTheme="minorHAnsi" w:eastAsiaTheme="minorHAnsi" w:cstheme="minorHAnsi"/>
                <w:sz w:val="18"/>
              </w:rPr>
              <w:t>Applicants</w:t>
            </w:r>
          </w:p>
        </w:tc>
        <w:tc>
          <w:tcPr>
            <w:tcW w:w="529" w:type="dxa"/>
            <w:tcBorders>
              <w:top w:val="single" w:color="auto"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extDirection w:val="btLr"/>
            <w:vAlign w:val="center"/>
          </w:tcPr>
          <w:p w:rsidRPr="004414CA" w:rsidR="0030289F" w:rsidP="00B70C85" w:rsidRDefault="0030289F" w14:paraId="45D8F134" w14:textId="77777777">
            <w:pPr>
              <w:pStyle w:val="Tableheader"/>
              <w:ind w:left="29"/>
              <w:jc w:val="left"/>
              <w:rPr>
                <w:rFonts w:asciiTheme="minorHAnsi" w:hAnsiTheme="minorHAnsi" w:eastAsiaTheme="minorHAnsi" w:cstheme="minorHAnsi"/>
                <w:sz w:val="18"/>
              </w:rPr>
            </w:pPr>
            <w:r w:rsidRPr="004414CA">
              <w:rPr>
                <w:rFonts w:asciiTheme="minorHAnsi" w:hAnsiTheme="minorHAnsi" w:eastAsiaTheme="minorHAnsi" w:cstheme="minorHAnsi"/>
                <w:sz w:val="18"/>
              </w:rPr>
              <w:t>Awardees</w:t>
            </w:r>
          </w:p>
        </w:tc>
        <w:tc>
          <w:tcPr>
            <w:tcW w:w="611" w:type="dxa"/>
            <w:vMerge/>
            <w:tcBorders>
              <w:top w:val="single" w:color="FFFFFF" w:themeColor="background1" w:sz="4" w:space="0"/>
              <w:left w:val="single" w:color="auto" w:sz="4" w:space="0"/>
              <w:bottom w:val="single" w:color="FFFFFF" w:themeColor="background1" w:sz="12" w:space="0"/>
              <w:right w:val="single" w:color="auto" w:sz="4" w:space="0"/>
            </w:tcBorders>
            <w:shd w:val="clear" w:color="auto" w:fill="0A357E"/>
            <w:textDirection w:val="btLr"/>
          </w:tcPr>
          <w:p w:rsidRPr="004414CA" w:rsidR="0030289F" w:rsidP="00B70C85" w:rsidRDefault="0030289F" w14:paraId="2EAA340E" w14:textId="77777777">
            <w:pPr>
              <w:pStyle w:val="Tableheader"/>
              <w:rPr>
                <w:rFonts w:asciiTheme="minorHAnsi" w:hAnsiTheme="minorHAnsi" w:eastAsiaTheme="minorHAnsi" w:cstheme="minorHAnsi"/>
              </w:rPr>
            </w:pPr>
          </w:p>
        </w:tc>
      </w:tr>
      <w:tr w:rsidRPr="004414CA" w:rsidR="0030289F" w:rsidTr="00397615" w14:paraId="158F8F24" w14:textId="77777777">
        <w:trPr>
          <w:cantSplit/>
          <w:trHeight w:val="742"/>
        </w:trPr>
        <w:tc>
          <w:tcPr>
            <w:tcW w:w="1710" w:type="dxa"/>
            <w:vMerge w:val="restart"/>
            <w:tcBorders>
              <w:top w:val="nil"/>
              <w:left w:val="single" w:color="auto" w:sz="4" w:space="0"/>
              <w:right w:val="single" w:color="auto" w:sz="8" w:space="0"/>
            </w:tcBorders>
            <w:tcMar>
              <w:top w:w="0" w:type="dxa"/>
              <w:left w:w="108" w:type="dxa"/>
              <w:bottom w:w="0" w:type="dxa"/>
              <w:right w:w="108" w:type="dxa"/>
            </w:tcMar>
          </w:tcPr>
          <w:p w:rsidRPr="004414CA" w:rsidR="0030289F" w:rsidP="006C5EE5" w:rsidRDefault="00CF09F6" w14:paraId="445D60E7" w14:textId="7A7200C4">
            <w:pPr>
              <w:pStyle w:val="table-text"/>
              <w:rPr>
                <w:rFonts w:asciiTheme="minorHAnsi" w:hAnsiTheme="minorHAnsi" w:cstheme="minorHAnsi"/>
              </w:rPr>
            </w:pPr>
            <w:r>
              <w:rPr>
                <w:rFonts w:asciiTheme="minorHAnsi" w:hAnsiTheme="minorHAnsi" w:cstheme="minorHAnsi"/>
              </w:rPr>
              <w:t>1.</w:t>
            </w:r>
            <w:r w:rsidR="005071C3">
              <w:rPr>
                <w:rFonts w:asciiTheme="minorHAnsi" w:hAnsiTheme="minorHAnsi" w:cstheme="minorHAnsi"/>
              </w:rPr>
              <w:t>How d</w:t>
            </w:r>
            <w:r w:rsidR="00F62EE2">
              <w:rPr>
                <w:rFonts w:asciiTheme="minorHAnsi" w:hAnsiTheme="minorHAnsi" w:cstheme="minorHAnsi"/>
              </w:rPr>
              <w:t xml:space="preserve">id KidneyX </w:t>
            </w:r>
            <w:r w:rsidR="005071C3">
              <w:rPr>
                <w:rFonts w:asciiTheme="minorHAnsi" w:hAnsiTheme="minorHAnsi" w:cstheme="minorHAnsi"/>
              </w:rPr>
              <w:t xml:space="preserve">attempt to </w:t>
            </w:r>
            <w:r w:rsidR="00F62EE2">
              <w:rPr>
                <w:rFonts w:asciiTheme="minorHAnsi" w:hAnsiTheme="minorHAnsi" w:cstheme="minorHAnsi"/>
              </w:rPr>
              <w:t>establish a</w:t>
            </w:r>
            <w:r w:rsidR="00357478">
              <w:rPr>
                <w:rFonts w:asciiTheme="minorHAnsi" w:hAnsiTheme="minorHAnsi" w:cstheme="minorHAnsi"/>
              </w:rPr>
              <w:t xml:space="preserve"> </w:t>
            </w:r>
            <w:r w:rsidR="00F62EE2">
              <w:rPr>
                <w:rFonts w:asciiTheme="minorHAnsi" w:hAnsiTheme="minorHAnsi" w:cstheme="minorHAnsi"/>
              </w:rPr>
              <w:t>multi-stakeholder program in kidney technology innovation</w:t>
            </w:r>
            <w:r w:rsidR="005071C3">
              <w:rPr>
                <w:rFonts w:asciiTheme="minorHAnsi" w:hAnsiTheme="minorHAnsi" w:cstheme="minorHAnsi"/>
              </w:rPr>
              <w:t xml:space="preserve">, and </w:t>
            </w:r>
            <w:r w:rsidR="00357478">
              <w:rPr>
                <w:rFonts w:asciiTheme="minorHAnsi" w:hAnsiTheme="minorHAnsi" w:cstheme="minorHAnsi"/>
              </w:rPr>
              <w:t>did it satisfy stakeholder needs and concerns</w:t>
            </w:r>
            <w:r w:rsidR="005071C3">
              <w:rPr>
                <w:rFonts w:asciiTheme="minorHAnsi" w:hAnsiTheme="minorHAnsi" w:cstheme="minorHAnsi"/>
              </w:rPr>
              <w:t>?</w:t>
            </w:r>
          </w:p>
        </w:tc>
        <w:tc>
          <w:tcPr>
            <w:tcW w:w="366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F62EE2" w14:paraId="4D5B5429" w14:textId="4D14AA45">
            <w:pPr>
              <w:pStyle w:val="table-text"/>
              <w:numPr>
                <w:ilvl w:val="0"/>
                <w:numId w:val="22"/>
              </w:numPr>
              <w:ind w:left="337" w:hanging="337"/>
              <w:rPr>
                <w:rFonts w:asciiTheme="minorHAnsi" w:hAnsiTheme="minorHAnsi" w:cstheme="minorHAnsi"/>
              </w:rPr>
            </w:pPr>
            <w:r>
              <w:rPr>
                <w:rFonts w:asciiTheme="minorHAnsi" w:hAnsiTheme="minorHAnsi" w:cstheme="minorHAnsi"/>
              </w:rPr>
              <w:t>Number of stakeholders recruited and retained for involvement in KidneyX</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43B8855B" w14:textId="6EE6E9F5">
            <w:pPr>
              <w:jc w:val="center"/>
              <w:rPr>
                <w:rFonts w:cstheme="minorHAnsi"/>
              </w:rPr>
            </w:pPr>
            <w:r>
              <w:rPr>
                <w:rFonts w:ascii="Arial" w:hAnsi="Arial" w:cs="Arial"/>
              </w:rPr>
              <w:t>X</w:t>
            </w:r>
          </w:p>
        </w:tc>
        <w:tc>
          <w:tcPr>
            <w:tcW w:w="522" w:type="dxa"/>
            <w:tcBorders>
              <w:top w:val="single" w:color="FFFFFF" w:themeColor="background1" w:sz="4" w:space="0"/>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18E0D372" w14:textId="77777777">
            <w:pPr>
              <w:jc w:val="center"/>
              <w:rPr>
                <w:rFonts w:cstheme="minorHAnsi"/>
              </w:rPr>
            </w:pPr>
          </w:p>
        </w:tc>
        <w:tc>
          <w:tcPr>
            <w:tcW w:w="538" w:type="dxa"/>
            <w:tcBorders>
              <w:top w:val="single" w:color="FFFFFF" w:themeColor="background1" w:sz="4" w:space="0"/>
              <w:left w:val="nil"/>
              <w:bottom w:val="single" w:color="auto" w:sz="8" w:space="0"/>
              <w:right w:val="single" w:color="auto" w:sz="4" w:space="0"/>
            </w:tcBorders>
            <w:tcMar>
              <w:top w:w="0" w:type="dxa"/>
              <w:left w:w="108" w:type="dxa"/>
              <w:bottom w:w="0" w:type="dxa"/>
              <w:right w:w="108" w:type="dxa"/>
            </w:tcMar>
            <w:vAlign w:val="center"/>
          </w:tcPr>
          <w:p w:rsidRPr="004414CA" w:rsidR="0030289F" w:rsidP="006C5EE5" w:rsidRDefault="0030289F" w14:paraId="041C78A9" w14:textId="77777777">
            <w:pPr>
              <w:jc w:val="center"/>
              <w:rPr>
                <w:rFonts w:cstheme="minorHAnsi"/>
              </w:rPr>
            </w:pPr>
          </w:p>
        </w:tc>
        <w:tc>
          <w:tcPr>
            <w:tcW w:w="621" w:type="dxa"/>
            <w:tcBorders>
              <w:top w:val="single" w:color="auto" w:sz="4" w:space="0"/>
              <w:left w:val="single" w:color="auto" w:sz="4" w:space="0"/>
              <w:bottom w:val="single" w:color="auto" w:sz="4" w:space="0"/>
              <w:right w:val="single" w:color="auto" w:sz="4" w:space="0"/>
            </w:tcBorders>
            <w:vAlign w:val="center"/>
          </w:tcPr>
          <w:p w:rsidR="0030289F" w:rsidP="0030289F" w:rsidRDefault="0030289F" w14:paraId="3AFEB3DD"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534DA05E" w14:textId="31EBB800">
            <w:pPr>
              <w:jc w:val="center"/>
              <w:rPr>
                <w:rFonts w:cstheme="minorHAnsi"/>
              </w:rPr>
            </w:pPr>
            <w:r>
              <w:rPr>
                <w:rFonts w:ascii="Arial" w:hAnsi="Arial" w:cs="Arial"/>
              </w:rPr>
              <w:t>X</w:t>
            </w:r>
          </w:p>
        </w:tc>
        <w:tc>
          <w:tcPr>
            <w:tcW w:w="533" w:type="dxa"/>
            <w:tcBorders>
              <w:top w:val="single" w:color="FFFFFF" w:themeColor="background1" w:sz="4" w:space="0"/>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640E2018" w14:textId="77777777">
            <w:pPr>
              <w:jc w:val="center"/>
              <w:rPr>
                <w:rFonts w:cstheme="minorHAnsi"/>
              </w:rPr>
            </w:pPr>
          </w:p>
        </w:tc>
        <w:tc>
          <w:tcPr>
            <w:tcW w:w="529" w:type="dxa"/>
            <w:tcBorders>
              <w:top w:val="single" w:color="FFFFFF" w:themeColor="background1" w:sz="4" w:space="0"/>
              <w:left w:val="nil"/>
              <w:bottom w:val="single" w:color="auto" w:sz="8" w:space="0"/>
              <w:right w:val="single" w:color="auto" w:sz="8" w:space="0"/>
            </w:tcBorders>
            <w:vAlign w:val="center"/>
          </w:tcPr>
          <w:p w:rsidRPr="004414CA" w:rsidR="0030289F" w:rsidP="006C5EE5" w:rsidRDefault="0030289F" w14:paraId="0CF232C8" w14:textId="77777777">
            <w:pPr>
              <w:jc w:val="center"/>
              <w:rPr>
                <w:rFonts w:cstheme="minorHAnsi"/>
              </w:rPr>
            </w:pPr>
          </w:p>
        </w:tc>
        <w:tc>
          <w:tcPr>
            <w:tcW w:w="611" w:type="dxa"/>
            <w:tcBorders>
              <w:top w:val="nil"/>
              <w:left w:val="nil"/>
              <w:bottom w:val="single" w:color="auto" w:sz="8" w:space="0"/>
              <w:right w:val="single" w:color="auto" w:sz="4" w:space="0"/>
            </w:tcBorders>
            <w:vAlign w:val="center"/>
          </w:tcPr>
          <w:p w:rsidRPr="004414CA" w:rsidR="0030289F" w:rsidP="006C5EE5" w:rsidRDefault="0030289F" w14:paraId="4292D203" w14:textId="77777777">
            <w:pPr>
              <w:jc w:val="center"/>
              <w:rPr>
                <w:rFonts w:cstheme="minorHAnsi"/>
              </w:rPr>
            </w:pPr>
          </w:p>
        </w:tc>
      </w:tr>
      <w:tr w:rsidRPr="004414CA" w:rsidR="0030289F" w:rsidTr="00397615" w14:paraId="63F3BED6" w14:textId="77777777">
        <w:trPr>
          <w:cantSplit/>
          <w:trHeight w:val="742"/>
        </w:trPr>
        <w:tc>
          <w:tcPr>
            <w:tcW w:w="1710" w:type="dxa"/>
            <w:vMerge/>
            <w:tcBorders>
              <w:left w:val="single" w:color="auto" w:sz="4" w:space="0"/>
              <w:right w:val="single" w:color="auto" w:sz="8" w:space="0"/>
            </w:tcBorders>
            <w:tcMar>
              <w:top w:w="0" w:type="dxa"/>
              <w:left w:w="108" w:type="dxa"/>
              <w:bottom w:w="0" w:type="dxa"/>
              <w:right w:w="108" w:type="dxa"/>
            </w:tcMar>
          </w:tcPr>
          <w:p w:rsidRPr="004414CA" w:rsidR="0030289F" w:rsidP="006C5EE5" w:rsidRDefault="0030289F" w14:paraId="3F730795" w14:textId="77777777">
            <w:pPr>
              <w:pStyle w:val="table-text"/>
              <w:rPr>
                <w:rFonts w:asciiTheme="minorHAnsi" w:hAnsi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270380" w14:paraId="3AF6BF1D" w14:textId="52394F3C">
            <w:pPr>
              <w:pStyle w:val="table-text"/>
              <w:numPr>
                <w:ilvl w:val="0"/>
                <w:numId w:val="22"/>
              </w:numPr>
              <w:ind w:left="337" w:hanging="337"/>
              <w:rPr>
                <w:rFonts w:asciiTheme="minorHAnsi" w:hAnsiTheme="minorHAnsi" w:cstheme="minorHAnsi"/>
              </w:rPr>
            </w:pPr>
            <w:r>
              <w:rPr>
                <w:rFonts w:asciiTheme="minorHAnsi" w:hAnsiTheme="minorHAnsi" w:cstheme="minorHAnsi"/>
              </w:rPr>
              <w:t>Stakeholders’ satisfaction</w:t>
            </w:r>
            <w:r w:rsidR="00F62EE2">
              <w:rPr>
                <w:rFonts w:asciiTheme="minorHAnsi" w:hAnsiTheme="minorHAnsi" w:cstheme="minorHAnsi"/>
              </w:rPr>
              <w:t xml:space="preserve"> with KidneyX processes, strategy, and activities</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270E892A" w14:textId="77777777">
            <w:pPr>
              <w:jc w:val="center"/>
              <w:rPr>
                <w:rFonts w:cstheme="minorHAnsi"/>
              </w:rPr>
            </w:pP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73B0CAA0" w14:textId="77777777">
            <w:pPr>
              <w:jc w:val="center"/>
              <w:rPr>
                <w:rFonts w:cstheme="minorHAnsi"/>
              </w:rPr>
            </w:pP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6C5EE5" w:rsidRDefault="0030289F" w14:paraId="605A4912" w14:textId="77777777">
            <w:pPr>
              <w:jc w:val="center"/>
              <w:rPr>
                <w:rFonts w:cstheme="minorHAnsi"/>
              </w:rPr>
            </w:pPr>
          </w:p>
        </w:tc>
        <w:tc>
          <w:tcPr>
            <w:tcW w:w="621" w:type="dxa"/>
            <w:tcBorders>
              <w:top w:val="single" w:color="auto" w:sz="4" w:space="0"/>
              <w:left w:val="single" w:color="auto" w:sz="4" w:space="0"/>
              <w:bottom w:val="single" w:color="auto" w:sz="4" w:space="0"/>
              <w:right w:val="single" w:color="auto" w:sz="4" w:space="0"/>
            </w:tcBorders>
            <w:vAlign w:val="center"/>
          </w:tcPr>
          <w:p w:rsidR="0030289F" w:rsidP="0030289F" w:rsidRDefault="0030289F" w14:paraId="34F014BB"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02B21594" w14:textId="5846F349">
            <w:pPr>
              <w:jc w:val="center"/>
              <w:rPr>
                <w:rFonts w:cstheme="minorHAnsi"/>
              </w:rPr>
            </w:pPr>
            <w:r>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04F280AC" w14:textId="77777777">
            <w:pPr>
              <w:jc w:val="center"/>
              <w:rPr>
                <w:rFonts w:cstheme="minorHAnsi"/>
              </w:rPr>
            </w:pPr>
          </w:p>
        </w:tc>
        <w:tc>
          <w:tcPr>
            <w:tcW w:w="529" w:type="dxa"/>
            <w:tcBorders>
              <w:top w:val="nil"/>
              <w:left w:val="nil"/>
              <w:bottom w:val="single" w:color="auto" w:sz="8" w:space="0"/>
              <w:right w:val="single" w:color="auto" w:sz="8" w:space="0"/>
            </w:tcBorders>
            <w:vAlign w:val="center"/>
          </w:tcPr>
          <w:p w:rsidRPr="004414CA" w:rsidR="0030289F" w:rsidP="006C5EE5" w:rsidRDefault="0030289F" w14:paraId="663EF8E9" w14:textId="77777777">
            <w:pPr>
              <w:jc w:val="center"/>
              <w:rPr>
                <w:rFonts w:cstheme="minorHAnsi"/>
              </w:rPr>
            </w:pPr>
          </w:p>
        </w:tc>
        <w:tc>
          <w:tcPr>
            <w:tcW w:w="611" w:type="dxa"/>
            <w:tcBorders>
              <w:top w:val="nil"/>
              <w:left w:val="nil"/>
              <w:bottom w:val="single" w:color="auto" w:sz="8" w:space="0"/>
              <w:right w:val="single" w:color="auto" w:sz="4" w:space="0"/>
            </w:tcBorders>
            <w:vAlign w:val="center"/>
          </w:tcPr>
          <w:p w:rsidRPr="004414CA" w:rsidR="0030289F" w:rsidP="006C5EE5" w:rsidRDefault="0030289F" w14:paraId="18DFFCD9" w14:textId="77777777">
            <w:pPr>
              <w:jc w:val="center"/>
              <w:rPr>
                <w:rFonts w:cstheme="minorHAnsi"/>
              </w:rPr>
            </w:pPr>
          </w:p>
        </w:tc>
      </w:tr>
      <w:tr w:rsidRPr="004414CA" w:rsidR="0030289F" w:rsidTr="00397615" w14:paraId="19396ACB" w14:textId="77777777">
        <w:trPr>
          <w:cantSplit/>
          <w:trHeight w:val="742"/>
        </w:trPr>
        <w:tc>
          <w:tcPr>
            <w:tcW w:w="1710" w:type="dxa"/>
            <w:vMerge/>
            <w:tcBorders>
              <w:left w:val="single" w:color="auto" w:sz="4" w:space="0"/>
              <w:bottom w:val="single" w:color="auto" w:sz="8" w:space="0"/>
              <w:right w:val="single" w:color="auto" w:sz="8" w:space="0"/>
            </w:tcBorders>
            <w:tcMar>
              <w:top w:w="0" w:type="dxa"/>
              <w:left w:w="108" w:type="dxa"/>
              <w:bottom w:w="0" w:type="dxa"/>
              <w:right w:w="108" w:type="dxa"/>
            </w:tcMar>
          </w:tcPr>
          <w:p w:rsidRPr="004414CA" w:rsidR="0030289F" w:rsidP="006C5EE5" w:rsidRDefault="0030289F" w14:paraId="18ED05D1" w14:textId="77777777">
            <w:pPr>
              <w:pStyle w:val="table-text"/>
              <w:rPr>
                <w:rFonts w:asciiTheme="minorHAnsi" w:hAnsi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F62EE2" w14:paraId="5804CFE2" w14:textId="3CF47C2F">
            <w:pPr>
              <w:pStyle w:val="table-text"/>
              <w:numPr>
                <w:ilvl w:val="0"/>
                <w:numId w:val="22"/>
              </w:numPr>
              <w:ind w:left="337" w:hanging="337"/>
              <w:rPr>
                <w:rFonts w:asciiTheme="minorHAnsi" w:hAnsiTheme="minorHAnsi" w:cstheme="minorHAnsi"/>
              </w:rPr>
            </w:pPr>
            <w:r>
              <w:rPr>
                <w:rFonts w:asciiTheme="minorHAnsi" w:hAnsiTheme="minorHAnsi" w:cstheme="minorHAnsi"/>
              </w:rPr>
              <w:t>Adherence of KidneyX to its stated mission and program goals</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4BA7EA57" w14:textId="7C5083AA">
            <w:pPr>
              <w:jc w:val="center"/>
              <w:rPr>
                <w:rFonts w:cstheme="minorHAnsi"/>
              </w:rPr>
            </w:pPr>
            <w:r>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03D5F243" w14:textId="37D80B1E">
            <w:pPr>
              <w:jc w:val="center"/>
              <w:rPr>
                <w:rFonts w:cstheme="minorHAnsi"/>
              </w:rPr>
            </w:pPr>
            <w:r>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6C5EE5" w:rsidRDefault="0030289F" w14:paraId="41BBA1F9" w14:textId="762F4933">
            <w:pPr>
              <w:jc w:val="center"/>
              <w:rPr>
                <w:rFonts w:cstheme="minorHAnsi"/>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0030289F" w:rsidP="0030289F" w:rsidRDefault="0030289F" w14:paraId="4527B730" w14:textId="42A22022">
            <w:pPr>
              <w:jc w:val="center"/>
              <w:rPr>
                <w:rFonts w:ascii="Arial" w:hAnsi="Arial" w:cs="Arial"/>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564198AF" w14:textId="79582245">
            <w:pPr>
              <w:jc w:val="center"/>
              <w:rPr>
                <w:rFonts w:cstheme="minorHAnsi"/>
              </w:rPr>
            </w:pPr>
            <w:r>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2D8B5980" w14:textId="2A6DBA7B">
            <w:pPr>
              <w:jc w:val="center"/>
              <w:rPr>
                <w:rFonts w:cstheme="minorHAnsi"/>
              </w:rPr>
            </w:pPr>
            <w:r>
              <w:rPr>
                <w:rFonts w:ascii="Arial" w:hAnsi="Arial" w:cs="Arial"/>
              </w:rPr>
              <w:t>X</w:t>
            </w:r>
          </w:p>
        </w:tc>
        <w:tc>
          <w:tcPr>
            <w:tcW w:w="529" w:type="dxa"/>
            <w:tcBorders>
              <w:top w:val="nil"/>
              <w:left w:val="nil"/>
              <w:bottom w:val="single" w:color="auto" w:sz="8" w:space="0"/>
              <w:right w:val="single" w:color="auto" w:sz="8" w:space="0"/>
            </w:tcBorders>
            <w:vAlign w:val="center"/>
          </w:tcPr>
          <w:p w:rsidRPr="004414CA" w:rsidR="0030289F" w:rsidP="006C5EE5" w:rsidRDefault="0030289F" w14:paraId="55F55ADE" w14:textId="4E97D2F4">
            <w:pPr>
              <w:jc w:val="center"/>
              <w:rPr>
                <w:rFonts w:cstheme="minorHAnsi"/>
              </w:rPr>
            </w:pPr>
            <w:r>
              <w:rPr>
                <w:rFonts w:ascii="Arial" w:hAnsi="Arial" w:cs="Arial"/>
              </w:rPr>
              <w:t>X</w:t>
            </w:r>
          </w:p>
        </w:tc>
        <w:tc>
          <w:tcPr>
            <w:tcW w:w="611" w:type="dxa"/>
            <w:tcBorders>
              <w:top w:val="nil"/>
              <w:left w:val="nil"/>
              <w:bottom w:val="single" w:color="auto" w:sz="8" w:space="0"/>
              <w:right w:val="single" w:color="auto" w:sz="4" w:space="0"/>
            </w:tcBorders>
            <w:vAlign w:val="center"/>
          </w:tcPr>
          <w:p w:rsidRPr="004414CA" w:rsidR="0030289F" w:rsidP="006C5EE5" w:rsidRDefault="0030289F" w14:paraId="40ABC88C" w14:textId="4CEF5461">
            <w:pPr>
              <w:jc w:val="center"/>
              <w:rPr>
                <w:rFonts w:cstheme="minorHAnsi"/>
              </w:rPr>
            </w:pPr>
          </w:p>
        </w:tc>
      </w:tr>
      <w:tr w:rsidRPr="004414CA" w:rsidR="0030289F" w:rsidTr="00397615" w14:paraId="0FCE0D88" w14:textId="77777777">
        <w:trPr>
          <w:cantSplit/>
          <w:trHeight w:val="791"/>
        </w:trPr>
        <w:tc>
          <w:tcPr>
            <w:tcW w:w="1710" w:type="dxa"/>
            <w:vMerge w:val="restart"/>
            <w:tcBorders>
              <w:top w:val="nil"/>
              <w:left w:val="single" w:color="auto" w:sz="4" w:space="0"/>
              <w:right w:val="single" w:color="auto" w:sz="8" w:space="0"/>
            </w:tcBorders>
            <w:tcMar>
              <w:top w:w="0" w:type="dxa"/>
              <w:left w:w="108" w:type="dxa"/>
              <w:bottom w:w="0" w:type="dxa"/>
              <w:right w:w="108" w:type="dxa"/>
            </w:tcMar>
          </w:tcPr>
          <w:p w:rsidRPr="004414CA" w:rsidR="0030289F" w:rsidP="006C5EE5" w:rsidRDefault="00CF09F6" w14:paraId="472CA861" w14:textId="7828AAFD">
            <w:pPr>
              <w:pStyle w:val="table-text"/>
              <w:rPr>
                <w:rFonts w:asciiTheme="minorHAnsi" w:hAnsiTheme="minorHAnsi" w:cstheme="minorHAnsi"/>
              </w:rPr>
            </w:pPr>
            <w:r>
              <w:rPr>
                <w:rFonts w:asciiTheme="minorHAnsi" w:hAnsiTheme="minorHAnsi" w:cstheme="minorHAnsi"/>
              </w:rPr>
              <w:t>2.</w:t>
            </w:r>
            <w:r w:rsidR="001F28EC">
              <w:rPr>
                <w:rFonts w:asciiTheme="minorHAnsi" w:hAnsiTheme="minorHAnsi" w:cstheme="minorHAnsi"/>
              </w:rPr>
              <w:t>To what extent</w:t>
            </w:r>
            <w:r w:rsidR="0039261B">
              <w:rPr>
                <w:rFonts w:asciiTheme="minorHAnsi" w:hAnsiTheme="minorHAnsi" w:cstheme="minorHAnsi"/>
              </w:rPr>
              <w:t>,</w:t>
            </w:r>
            <w:r w:rsidR="001F28EC">
              <w:rPr>
                <w:rFonts w:asciiTheme="minorHAnsi" w:hAnsiTheme="minorHAnsi" w:cstheme="minorHAnsi"/>
              </w:rPr>
              <w:t xml:space="preserve"> if any</w:t>
            </w:r>
            <w:r w:rsidR="0039261B">
              <w:rPr>
                <w:rFonts w:asciiTheme="minorHAnsi" w:hAnsiTheme="minorHAnsi" w:cstheme="minorHAnsi"/>
              </w:rPr>
              <w:t>,</w:t>
            </w:r>
            <w:r w:rsidR="001F28EC">
              <w:rPr>
                <w:rFonts w:asciiTheme="minorHAnsi" w:hAnsiTheme="minorHAnsi" w:cstheme="minorHAnsi"/>
              </w:rPr>
              <w:t xml:space="preserve"> did</w:t>
            </w:r>
            <w:r w:rsidR="00F62EE2">
              <w:rPr>
                <w:rFonts w:asciiTheme="minorHAnsi" w:hAnsiTheme="minorHAnsi" w:cstheme="minorHAnsi"/>
              </w:rPr>
              <w:t xml:space="preserve"> KidneyX increase the volume and variety of new approaches to address kidney disease and disorders?</w:t>
            </w:r>
          </w:p>
        </w:tc>
        <w:tc>
          <w:tcPr>
            <w:tcW w:w="366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2B2994" w14:paraId="17446B88" w14:textId="2995B032">
            <w:pPr>
              <w:pStyle w:val="table-text"/>
              <w:numPr>
                <w:ilvl w:val="0"/>
                <w:numId w:val="22"/>
              </w:numPr>
              <w:ind w:left="337" w:hanging="337"/>
              <w:rPr>
                <w:rFonts w:asciiTheme="minorHAnsi" w:hAnsiTheme="minorHAnsi" w:cstheme="minorHAnsi"/>
              </w:rPr>
            </w:pPr>
            <w:r>
              <w:rPr>
                <w:rFonts w:asciiTheme="minorHAnsi" w:hAnsiTheme="minorHAnsi" w:cstheme="minorHAnsi"/>
              </w:rPr>
              <w:t>Number</w:t>
            </w:r>
            <w:r w:rsidR="00F62EE2">
              <w:rPr>
                <w:rFonts w:asciiTheme="minorHAnsi" w:hAnsiTheme="minorHAnsi" w:cstheme="minorHAnsi"/>
              </w:rPr>
              <w:t xml:space="preserve"> of proposed innovations and ideas </w:t>
            </w:r>
            <w:r>
              <w:rPr>
                <w:rFonts w:asciiTheme="minorHAnsi" w:hAnsiTheme="minorHAnsi" w:cstheme="minorHAnsi"/>
              </w:rPr>
              <w:t>elicited</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36DDEF2A" w14:textId="4D964721">
            <w:pPr>
              <w:jc w:val="center"/>
              <w:rPr>
                <w:rFonts w:cstheme="minorHAnsi"/>
              </w:rPr>
            </w:pPr>
            <w:r>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7B2CDEEB" w14:textId="19338BBE">
            <w:pPr>
              <w:jc w:val="center"/>
              <w:rPr>
                <w:rFonts w:cstheme="minorHAnsi"/>
              </w:rPr>
            </w:pPr>
            <w:r>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6C5EE5" w:rsidRDefault="0030289F" w14:paraId="0370D436" w14:textId="6984A7D3">
            <w:pPr>
              <w:jc w:val="center"/>
              <w:rPr>
                <w:rFonts w:cstheme="minorHAnsi"/>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0030289F" w:rsidP="0030289F" w:rsidRDefault="0030289F" w14:paraId="131A1A28" w14:textId="7CC3BB3B">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1A89D264" w14:textId="1FAB8BAC">
            <w:pPr>
              <w:jc w:val="center"/>
              <w:rPr>
                <w:rFonts w:cstheme="minorHAnsi"/>
              </w:rPr>
            </w:pPr>
            <w:r>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345917B4" w14:textId="7AA26FBA">
            <w:pPr>
              <w:jc w:val="center"/>
              <w:rPr>
                <w:rFonts w:cstheme="minorHAnsi"/>
              </w:rPr>
            </w:pPr>
            <w:r>
              <w:rPr>
                <w:rFonts w:ascii="Arial" w:hAnsi="Arial" w:cs="Arial"/>
              </w:rPr>
              <w:t>X</w:t>
            </w:r>
          </w:p>
        </w:tc>
        <w:tc>
          <w:tcPr>
            <w:tcW w:w="529" w:type="dxa"/>
            <w:tcBorders>
              <w:top w:val="nil"/>
              <w:left w:val="nil"/>
              <w:bottom w:val="single" w:color="auto" w:sz="8" w:space="0"/>
              <w:right w:val="single" w:color="auto" w:sz="8" w:space="0"/>
            </w:tcBorders>
            <w:vAlign w:val="center"/>
          </w:tcPr>
          <w:p w:rsidRPr="004414CA" w:rsidR="0030289F" w:rsidP="006C5EE5" w:rsidRDefault="0030289F" w14:paraId="58EF11E8" w14:textId="44A53B2A">
            <w:pPr>
              <w:jc w:val="center"/>
              <w:rPr>
                <w:rFonts w:cstheme="minorHAnsi"/>
              </w:rPr>
            </w:pPr>
            <w:r>
              <w:rPr>
                <w:rFonts w:ascii="Arial" w:hAnsi="Arial" w:cs="Arial"/>
              </w:rPr>
              <w:t>X</w:t>
            </w:r>
          </w:p>
        </w:tc>
        <w:tc>
          <w:tcPr>
            <w:tcW w:w="611" w:type="dxa"/>
            <w:tcBorders>
              <w:top w:val="nil"/>
              <w:left w:val="nil"/>
              <w:bottom w:val="single" w:color="auto" w:sz="8" w:space="0"/>
              <w:right w:val="single" w:color="auto" w:sz="4" w:space="0"/>
            </w:tcBorders>
            <w:vAlign w:val="center"/>
          </w:tcPr>
          <w:p w:rsidRPr="004414CA" w:rsidR="0030289F" w:rsidP="006C5EE5" w:rsidRDefault="0066207E" w14:paraId="668ECFFD" w14:textId="47C80094">
            <w:pPr>
              <w:jc w:val="center"/>
              <w:rPr>
                <w:rFonts w:cstheme="minorHAnsi"/>
              </w:rPr>
            </w:pPr>
            <w:r>
              <w:rPr>
                <w:rFonts w:cstheme="minorHAnsi"/>
              </w:rPr>
              <w:t>X</w:t>
            </w:r>
          </w:p>
        </w:tc>
      </w:tr>
      <w:tr w:rsidRPr="004414CA" w:rsidR="0030289F" w:rsidTr="00397615" w14:paraId="568FA966" w14:textId="77777777">
        <w:trPr>
          <w:cantSplit/>
          <w:trHeight w:val="791"/>
        </w:trPr>
        <w:tc>
          <w:tcPr>
            <w:tcW w:w="1710" w:type="dxa"/>
            <w:vMerge/>
            <w:tcBorders>
              <w:left w:val="single" w:color="auto" w:sz="4" w:space="0"/>
              <w:right w:val="single" w:color="auto" w:sz="8" w:space="0"/>
            </w:tcBorders>
            <w:tcMar>
              <w:top w:w="0" w:type="dxa"/>
              <w:left w:w="108" w:type="dxa"/>
              <w:bottom w:w="0" w:type="dxa"/>
              <w:right w:w="108" w:type="dxa"/>
            </w:tcMar>
          </w:tcPr>
          <w:p w:rsidRPr="004414CA" w:rsidR="0030289F" w:rsidP="006C5EE5" w:rsidRDefault="0030289F" w14:paraId="6EE9CE1B" w14:textId="77777777">
            <w:pPr>
              <w:pStyle w:val="table-text"/>
              <w:rPr>
                <w:rFonts w:asciiTheme="minorHAnsi" w:hAnsi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2B2994" w14:paraId="1A94C863" w14:textId="530C09D9">
            <w:pPr>
              <w:pStyle w:val="table-text"/>
              <w:numPr>
                <w:ilvl w:val="0"/>
                <w:numId w:val="22"/>
              </w:numPr>
              <w:ind w:left="337" w:hanging="337"/>
              <w:rPr>
                <w:rFonts w:asciiTheme="minorHAnsi" w:hAnsiTheme="minorHAnsi" w:cstheme="minorHAnsi"/>
              </w:rPr>
            </w:pPr>
            <w:r>
              <w:rPr>
                <w:rFonts w:asciiTheme="minorHAnsi" w:hAnsiTheme="minorHAnsi" w:cstheme="minorHAnsi"/>
              </w:rPr>
              <w:t xml:space="preserve">Number of new innovators who </w:t>
            </w:r>
            <w:r w:rsidR="00397615">
              <w:rPr>
                <w:rFonts w:asciiTheme="minorHAnsi" w:hAnsiTheme="minorHAnsi" w:cstheme="minorHAnsi"/>
              </w:rPr>
              <w:t xml:space="preserve">entered </w:t>
            </w:r>
            <w:r w:rsidR="00F62EE2">
              <w:rPr>
                <w:rFonts w:asciiTheme="minorHAnsi" w:hAnsiTheme="minorHAnsi" w:cstheme="minorHAnsi"/>
              </w:rPr>
              <w:t>the kidney domain</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58D84B11" w14:textId="77777777">
            <w:pPr>
              <w:jc w:val="center"/>
              <w:rPr>
                <w:rFonts w:cstheme="minorHAnsi"/>
              </w:rPr>
            </w:pP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7CC4A17D" w14:textId="11DB9932">
            <w:pPr>
              <w:jc w:val="center"/>
              <w:rPr>
                <w:rFonts w:cstheme="minorHAnsi"/>
              </w:rPr>
            </w:pPr>
            <w:r>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6C5EE5" w:rsidRDefault="0030289F" w14:paraId="1E744235" w14:textId="3090CBF6">
            <w:pPr>
              <w:jc w:val="center"/>
              <w:rPr>
                <w:rFonts w:cstheme="minorHAnsi"/>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Pr="004414CA" w:rsidR="0030289F" w:rsidP="0030289F" w:rsidRDefault="0030289F" w14:paraId="6369E196" w14:textId="77777777">
            <w:pPr>
              <w:jc w:val="center"/>
              <w:rPr>
                <w:rFonts w:cstheme="minorHAnsi"/>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6D1CA03A" w14:textId="6B6A2DBF">
            <w:pPr>
              <w:jc w:val="center"/>
              <w:rPr>
                <w:rFonts w:cstheme="minorHAnsi"/>
              </w:rPr>
            </w:pP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7E3BBB04" w14:textId="3DED6A11">
            <w:pPr>
              <w:jc w:val="center"/>
              <w:rPr>
                <w:rFonts w:cstheme="minorHAnsi"/>
              </w:rPr>
            </w:pPr>
            <w:r>
              <w:rPr>
                <w:rFonts w:ascii="Arial" w:hAnsi="Arial" w:cs="Arial"/>
              </w:rPr>
              <w:t>X</w:t>
            </w:r>
          </w:p>
        </w:tc>
        <w:tc>
          <w:tcPr>
            <w:tcW w:w="529" w:type="dxa"/>
            <w:tcBorders>
              <w:top w:val="nil"/>
              <w:left w:val="nil"/>
              <w:bottom w:val="single" w:color="auto" w:sz="8" w:space="0"/>
              <w:right w:val="single" w:color="auto" w:sz="8" w:space="0"/>
            </w:tcBorders>
            <w:vAlign w:val="center"/>
          </w:tcPr>
          <w:p w:rsidRPr="004414CA" w:rsidR="0030289F" w:rsidP="006C5EE5" w:rsidRDefault="0030289F" w14:paraId="548282A9" w14:textId="580AF5E0">
            <w:pPr>
              <w:jc w:val="center"/>
              <w:rPr>
                <w:rFonts w:cstheme="minorHAnsi"/>
              </w:rPr>
            </w:pPr>
            <w:r>
              <w:rPr>
                <w:rFonts w:ascii="Arial" w:hAnsi="Arial" w:cs="Arial"/>
              </w:rPr>
              <w:t>X</w:t>
            </w:r>
          </w:p>
        </w:tc>
        <w:tc>
          <w:tcPr>
            <w:tcW w:w="611" w:type="dxa"/>
            <w:tcBorders>
              <w:top w:val="nil"/>
              <w:left w:val="nil"/>
              <w:bottom w:val="single" w:color="auto" w:sz="8" w:space="0"/>
              <w:right w:val="single" w:color="auto" w:sz="4" w:space="0"/>
            </w:tcBorders>
            <w:vAlign w:val="center"/>
          </w:tcPr>
          <w:p w:rsidRPr="004414CA" w:rsidR="0030289F" w:rsidP="006C5EE5" w:rsidRDefault="0030289F" w14:paraId="2DDB7120" w14:textId="37877B33">
            <w:pPr>
              <w:jc w:val="center"/>
              <w:rPr>
                <w:rFonts w:cstheme="minorHAnsi"/>
              </w:rPr>
            </w:pPr>
            <w:r>
              <w:rPr>
                <w:rFonts w:ascii="Arial" w:hAnsi="Arial" w:cs="Arial"/>
              </w:rPr>
              <w:t>X</w:t>
            </w:r>
          </w:p>
        </w:tc>
      </w:tr>
      <w:tr w:rsidRPr="004414CA" w:rsidR="0030289F" w:rsidTr="00397615" w14:paraId="133D0066" w14:textId="77777777">
        <w:trPr>
          <w:cantSplit/>
          <w:trHeight w:val="791"/>
        </w:trPr>
        <w:tc>
          <w:tcPr>
            <w:tcW w:w="1710" w:type="dxa"/>
            <w:vMerge/>
            <w:tcBorders>
              <w:left w:val="single" w:color="auto" w:sz="4" w:space="0"/>
              <w:right w:val="single" w:color="auto" w:sz="8" w:space="0"/>
            </w:tcBorders>
            <w:tcMar>
              <w:top w:w="0" w:type="dxa"/>
              <w:left w:w="108" w:type="dxa"/>
              <w:bottom w:w="0" w:type="dxa"/>
              <w:right w:w="108" w:type="dxa"/>
            </w:tcMar>
          </w:tcPr>
          <w:p w:rsidRPr="004414CA" w:rsidR="0030289F" w:rsidP="006C5EE5" w:rsidRDefault="0030289F" w14:paraId="1F35013A" w14:textId="77777777">
            <w:pPr>
              <w:pStyle w:val="table-text"/>
              <w:rPr>
                <w:rFonts w:asciiTheme="minorHAnsi" w:hAnsi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2B2994" w14:paraId="4F7CCDE9" w14:textId="5BCB154A">
            <w:pPr>
              <w:pStyle w:val="table-text"/>
              <w:numPr>
                <w:ilvl w:val="0"/>
                <w:numId w:val="22"/>
              </w:numPr>
              <w:ind w:left="337" w:hanging="337"/>
              <w:rPr>
                <w:rFonts w:asciiTheme="minorHAnsi" w:hAnsiTheme="minorHAnsi" w:cstheme="minorHAnsi"/>
              </w:rPr>
            </w:pPr>
            <w:r>
              <w:rPr>
                <w:rFonts w:asciiTheme="minorHAnsi" w:hAnsiTheme="minorHAnsi" w:cstheme="minorHAnsi"/>
              </w:rPr>
              <w:t>Variety of proposed innovations and ideas elicited from KidneyX participants</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01F43432" w14:textId="638E31C9">
            <w:pPr>
              <w:jc w:val="center"/>
              <w:rPr>
                <w:rFonts w:cstheme="minorHAnsi"/>
              </w:rPr>
            </w:pPr>
            <w:r>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10831FC2" w14:textId="6118D930">
            <w:pPr>
              <w:jc w:val="center"/>
              <w:rPr>
                <w:rFonts w:cstheme="minorHAnsi"/>
              </w:rPr>
            </w:pPr>
            <w:r>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6C5EE5" w:rsidRDefault="0030289F" w14:paraId="116614CC" w14:textId="1150F93B">
            <w:pPr>
              <w:jc w:val="center"/>
              <w:rPr>
                <w:rFonts w:cstheme="minorHAnsi"/>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0030289F" w:rsidP="0030289F" w:rsidRDefault="0030289F" w14:paraId="4DC83A00"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14388CE3" w14:textId="7000123A">
            <w:pPr>
              <w:jc w:val="center"/>
              <w:rPr>
                <w:rFonts w:cstheme="minorHAnsi"/>
              </w:rPr>
            </w:pPr>
            <w:r>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58818B79" w14:textId="4D79CD36">
            <w:pPr>
              <w:jc w:val="center"/>
              <w:rPr>
                <w:rFonts w:cstheme="minorHAnsi"/>
              </w:rPr>
            </w:pPr>
            <w:r>
              <w:rPr>
                <w:rFonts w:ascii="Arial" w:hAnsi="Arial" w:cs="Arial"/>
              </w:rPr>
              <w:t>X</w:t>
            </w:r>
          </w:p>
        </w:tc>
        <w:tc>
          <w:tcPr>
            <w:tcW w:w="529" w:type="dxa"/>
            <w:tcBorders>
              <w:top w:val="nil"/>
              <w:left w:val="nil"/>
              <w:bottom w:val="single" w:color="auto" w:sz="8" w:space="0"/>
              <w:right w:val="single" w:color="auto" w:sz="8" w:space="0"/>
            </w:tcBorders>
            <w:vAlign w:val="center"/>
          </w:tcPr>
          <w:p w:rsidRPr="004414CA" w:rsidR="0030289F" w:rsidP="006C5EE5" w:rsidRDefault="0030289F" w14:paraId="7CD084D5" w14:textId="54C26882">
            <w:pPr>
              <w:jc w:val="center"/>
              <w:rPr>
                <w:rFonts w:cstheme="minorHAnsi"/>
              </w:rPr>
            </w:pPr>
            <w:r>
              <w:rPr>
                <w:rFonts w:ascii="Arial" w:hAnsi="Arial" w:cs="Arial"/>
              </w:rPr>
              <w:t>X</w:t>
            </w:r>
          </w:p>
        </w:tc>
        <w:tc>
          <w:tcPr>
            <w:tcW w:w="611" w:type="dxa"/>
            <w:tcBorders>
              <w:top w:val="nil"/>
              <w:left w:val="nil"/>
              <w:bottom w:val="single" w:color="auto" w:sz="8" w:space="0"/>
              <w:right w:val="single" w:color="auto" w:sz="4" w:space="0"/>
            </w:tcBorders>
            <w:vAlign w:val="center"/>
          </w:tcPr>
          <w:p w:rsidRPr="004414CA" w:rsidR="0030289F" w:rsidP="006C5EE5" w:rsidRDefault="0030289F" w14:paraId="6684E473" w14:textId="41301F8A">
            <w:pPr>
              <w:jc w:val="center"/>
              <w:rPr>
                <w:rFonts w:cstheme="minorHAnsi"/>
              </w:rPr>
            </w:pPr>
            <w:r>
              <w:rPr>
                <w:rFonts w:ascii="Arial" w:hAnsi="Arial" w:cs="Arial"/>
              </w:rPr>
              <w:t>X</w:t>
            </w:r>
          </w:p>
        </w:tc>
      </w:tr>
      <w:tr w:rsidRPr="004414CA" w:rsidR="0030289F" w:rsidTr="00397615" w14:paraId="1933FFE4" w14:textId="77777777">
        <w:trPr>
          <w:cantSplit/>
          <w:trHeight w:val="791"/>
        </w:trPr>
        <w:tc>
          <w:tcPr>
            <w:tcW w:w="1710" w:type="dxa"/>
            <w:vMerge/>
            <w:tcBorders>
              <w:left w:val="single" w:color="auto" w:sz="4" w:space="0"/>
              <w:bottom w:val="single" w:color="auto" w:sz="8" w:space="0"/>
              <w:right w:val="single" w:color="auto" w:sz="8" w:space="0"/>
            </w:tcBorders>
            <w:tcMar>
              <w:top w:w="0" w:type="dxa"/>
              <w:left w:w="108" w:type="dxa"/>
              <w:bottom w:w="0" w:type="dxa"/>
              <w:right w:w="108" w:type="dxa"/>
            </w:tcMar>
          </w:tcPr>
          <w:p w:rsidRPr="004414CA" w:rsidR="0030289F" w:rsidP="006C5EE5" w:rsidRDefault="0030289F" w14:paraId="34453066" w14:textId="77777777">
            <w:pPr>
              <w:pStyle w:val="table-text"/>
              <w:rPr>
                <w:rFonts w:asciiTheme="minorHAnsi" w:hAnsi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2B2994" w14:paraId="5D5E9849" w14:textId="16A4D79A">
            <w:pPr>
              <w:pStyle w:val="table-text"/>
              <w:numPr>
                <w:ilvl w:val="0"/>
                <w:numId w:val="22"/>
              </w:numPr>
              <w:ind w:left="337" w:hanging="337"/>
              <w:rPr>
                <w:rFonts w:asciiTheme="minorHAnsi" w:hAnsiTheme="minorHAnsi" w:cstheme="minorHAnsi"/>
              </w:rPr>
            </w:pPr>
            <w:r>
              <w:rPr>
                <w:rFonts w:asciiTheme="minorHAnsi" w:hAnsiTheme="minorHAnsi" w:cstheme="minorHAnsi"/>
              </w:rPr>
              <w:t>Change in diversity of innovators in kidney technology due to participation in KidneyX</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1105238E" w14:textId="6E36C294">
            <w:pPr>
              <w:jc w:val="center"/>
              <w:rPr>
                <w:rFonts w:cstheme="minorHAnsi"/>
              </w:rPr>
            </w:pPr>
            <w:r>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0D31BBCE" w14:textId="45D3929D">
            <w:pPr>
              <w:jc w:val="center"/>
              <w:rPr>
                <w:rFonts w:cstheme="minorHAnsi"/>
              </w:rPr>
            </w:pPr>
            <w:r>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6C5EE5" w:rsidRDefault="0030289F" w14:paraId="47FE90AC" w14:textId="60AC6BC6">
            <w:pPr>
              <w:jc w:val="center"/>
              <w:rPr>
                <w:rFonts w:cstheme="minorHAnsi"/>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0030289F" w:rsidP="0030289F" w:rsidRDefault="001D5D06" w14:paraId="00607C70" w14:textId="3D9629F8">
            <w:pPr>
              <w:jc w:val="center"/>
              <w:rPr>
                <w:rFonts w:ascii="Arial" w:hAnsi="Arial" w:cs="Arial"/>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0C00F13A" w14:textId="1565E074">
            <w:pPr>
              <w:jc w:val="center"/>
              <w:rPr>
                <w:rFonts w:cstheme="minorHAnsi"/>
              </w:rPr>
            </w:pPr>
            <w:r>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6C5EE5" w:rsidRDefault="0030289F" w14:paraId="1B32F046" w14:textId="5088CD70">
            <w:pPr>
              <w:jc w:val="center"/>
              <w:rPr>
                <w:rFonts w:cstheme="minorHAnsi"/>
              </w:rPr>
            </w:pPr>
            <w:r>
              <w:rPr>
                <w:rFonts w:ascii="Arial" w:hAnsi="Arial" w:cs="Arial"/>
              </w:rPr>
              <w:t>X</w:t>
            </w:r>
          </w:p>
        </w:tc>
        <w:tc>
          <w:tcPr>
            <w:tcW w:w="529" w:type="dxa"/>
            <w:tcBorders>
              <w:top w:val="nil"/>
              <w:left w:val="nil"/>
              <w:bottom w:val="single" w:color="auto" w:sz="8" w:space="0"/>
              <w:right w:val="single" w:color="auto" w:sz="8" w:space="0"/>
            </w:tcBorders>
            <w:vAlign w:val="center"/>
          </w:tcPr>
          <w:p w:rsidRPr="004414CA" w:rsidR="0030289F" w:rsidP="006C5EE5" w:rsidRDefault="0030289F" w14:paraId="0C387BBC" w14:textId="2B3E1469">
            <w:pPr>
              <w:jc w:val="center"/>
              <w:rPr>
                <w:rFonts w:cstheme="minorHAnsi"/>
              </w:rPr>
            </w:pPr>
            <w:r>
              <w:rPr>
                <w:rFonts w:ascii="Arial" w:hAnsi="Arial" w:cs="Arial"/>
              </w:rPr>
              <w:t>X</w:t>
            </w:r>
          </w:p>
        </w:tc>
        <w:tc>
          <w:tcPr>
            <w:tcW w:w="611" w:type="dxa"/>
            <w:tcBorders>
              <w:top w:val="nil"/>
              <w:left w:val="nil"/>
              <w:bottom w:val="single" w:color="auto" w:sz="8" w:space="0"/>
              <w:right w:val="single" w:color="auto" w:sz="4" w:space="0"/>
            </w:tcBorders>
            <w:vAlign w:val="center"/>
          </w:tcPr>
          <w:p w:rsidRPr="004414CA" w:rsidR="0030289F" w:rsidP="006C5EE5" w:rsidRDefault="0030289F" w14:paraId="6DEF87A7" w14:textId="77777777">
            <w:pPr>
              <w:jc w:val="center"/>
              <w:rPr>
                <w:rFonts w:cstheme="minorHAnsi"/>
              </w:rPr>
            </w:pPr>
          </w:p>
        </w:tc>
      </w:tr>
      <w:tr w:rsidRPr="004414CA" w:rsidR="0030289F" w:rsidTr="001F28EC" w14:paraId="1183CD37" w14:textId="77777777">
        <w:trPr>
          <w:cantSplit/>
          <w:trHeight w:val="758"/>
        </w:trPr>
        <w:tc>
          <w:tcPr>
            <w:tcW w:w="1710" w:type="dxa"/>
            <w:vMerge w:val="restart"/>
            <w:tcBorders>
              <w:top w:val="nil"/>
              <w:left w:val="single" w:color="auto" w:sz="4" w:space="0"/>
              <w:bottom w:val="single" w:color="auto" w:sz="8" w:space="0"/>
              <w:right w:val="single" w:color="auto" w:sz="8" w:space="0"/>
            </w:tcBorders>
            <w:tcMar>
              <w:top w:w="0" w:type="dxa"/>
              <w:left w:w="108" w:type="dxa"/>
              <w:bottom w:w="0" w:type="dxa"/>
              <w:right w:w="108" w:type="dxa"/>
            </w:tcMar>
          </w:tcPr>
          <w:p w:rsidRPr="004414CA" w:rsidR="0030289F" w:rsidP="00B70C85" w:rsidRDefault="00CF09F6" w14:paraId="3C387A4F" w14:textId="256E2C37">
            <w:pPr>
              <w:pStyle w:val="table-text"/>
              <w:rPr>
                <w:rFonts w:asciiTheme="minorHAnsi" w:hAnsiTheme="minorHAnsi" w:cstheme="minorHAnsi"/>
              </w:rPr>
            </w:pPr>
            <w:r>
              <w:rPr>
                <w:rFonts w:asciiTheme="minorHAnsi" w:hAnsiTheme="minorHAnsi" w:cstheme="minorHAnsi"/>
              </w:rPr>
              <w:t>3.</w:t>
            </w:r>
            <w:r w:rsidR="001F28EC">
              <w:rPr>
                <w:rFonts w:asciiTheme="minorHAnsi" w:hAnsiTheme="minorHAnsi" w:cstheme="minorHAnsi"/>
              </w:rPr>
              <w:t>How, and to what extent, did</w:t>
            </w:r>
            <w:r w:rsidR="002B2994">
              <w:rPr>
                <w:rFonts w:asciiTheme="minorHAnsi" w:hAnsiTheme="minorHAnsi" w:cstheme="minorHAnsi"/>
              </w:rPr>
              <w:t xml:space="preserve"> KidneyX help to de-risk promising innovations and facilitate their development and deployment?</w:t>
            </w:r>
          </w:p>
        </w:tc>
        <w:tc>
          <w:tcPr>
            <w:tcW w:w="366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1F2EB4" w14:paraId="5DB90289" w14:textId="3D475769">
            <w:pPr>
              <w:pStyle w:val="table-text"/>
              <w:numPr>
                <w:ilvl w:val="0"/>
                <w:numId w:val="22"/>
              </w:numPr>
              <w:ind w:left="337" w:hanging="337"/>
              <w:rPr>
                <w:rFonts w:asciiTheme="minorHAnsi" w:hAnsiTheme="minorHAnsi" w:cstheme="minorHAnsi"/>
              </w:rPr>
            </w:pPr>
            <w:r>
              <w:rPr>
                <w:rFonts w:asciiTheme="minorHAnsi" w:hAnsiTheme="minorHAnsi" w:cstheme="minorHAnsi"/>
              </w:rPr>
              <w:t>Change in the number of ventures qualifying for investment due to participation in KidneyX</w:t>
            </w:r>
            <w:r w:rsidRPr="004414CA" w:rsidR="0030289F">
              <w:rPr>
                <w:rFonts w:asciiTheme="minorHAnsi" w:hAnsiTheme="minorHAnsi" w:cstheme="minorHAnsi"/>
              </w:rPr>
              <w:t>?</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1DA339CF" w14:textId="77777777">
            <w:pPr>
              <w:jc w:val="center"/>
              <w:rPr>
                <w:rFonts w:ascii="Arial" w:hAnsi="Arial" w:cs="Arial"/>
              </w:rPr>
            </w:pP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19ED6D3A" w14:textId="34ABA502">
            <w:pPr>
              <w:jc w:val="center"/>
              <w:rPr>
                <w:rFonts w:ascii="Arial" w:hAnsi="Arial" w:cs="Arial"/>
              </w:rPr>
            </w:pP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EB78E3" w:rsidR="0030289F" w:rsidP="00B70C85" w:rsidRDefault="0030289F" w14:paraId="4484184C" w14:textId="77777777">
            <w:pPr>
              <w:jc w:val="center"/>
              <w:rPr>
                <w:rFonts w:ascii="Arial" w:hAnsi="Arial" w:cs="Arial"/>
              </w:rPr>
            </w:pPr>
            <w:r w:rsidRPr="00EB78E3">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Pr="00EB78E3" w:rsidR="0030289F" w:rsidP="0030289F" w:rsidRDefault="0030289F" w14:paraId="62502FFB" w14:textId="69CCC047">
            <w:pPr>
              <w:jc w:val="center"/>
              <w:rPr>
                <w:rFonts w:ascii="Arial" w:hAnsi="Arial" w:cs="Arial"/>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B78E3" w:rsidR="0030289F" w:rsidP="0030289F" w:rsidRDefault="0030289F" w14:paraId="1AA4E75D" w14:textId="1092944E">
            <w:pPr>
              <w:jc w:val="center"/>
              <w:rPr>
                <w:rFonts w:ascii="Arial" w:hAnsi="Arial" w:cs="Arial"/>
              </w:rPr>
            </w:pPr>
            <w:r w:rsidRPr="00EB78E3">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434CA6C3" w14:textId="77777777">
            <w:pPr>
              <w:jc w:val="center"/>
              <w:rPr>
                <w:rFonts w:ascii="Arial" w:hAnsi="Arial" w:cs="Arial"/>
              </w:rPr>
            </w:pPr>
            <w:r w:rsidRPr="00EB78E3">
              <w:rPr>
                <w:rFonts w:ascii="Arial" w:hAnsi="Arial" w:cs="Arial"/>
              </w:rPr>
              <w:t>X</w:t>
            </w:r>
          </w:p>
        </w:tc>
        <w:tc>
          <w:tcPr>
            <w:tcW w:w="529" w:type="dxa"/>
            <w:tcBorders>
              <w:top w:val="nil"/>
              <w:left w:val="nil"/>
              <w:bottom w:val="single" w:color="auto" w:sz="8" w:space="0"/>
              <w:right w:val="single" w:color="auto" w:sz="8" w:space="0"/>
            </w:tcBorders>
            <w:vAlign w:val="center"/>
          </w:tcPr>
          <w:p w:rsidRPr="00EB78E3" w:rsidR="0030289F" w:rsidP="00B70C85" w:rsidRDefault="0030289F" w14:paraId="6EA667B8" w14:textId="77777777">
            <w:pPr>
              <w:jc w:val="center"/>
              <w:rPr>
                <w:rFonts w:ascii="Arial" w:hAnsi="Arial" w:cs="Arial"/>
              </w:rPr>
            </w:pPr>
            <w:r w:rsidRPr="00EB78E3">
              <w:rPr>
                <w:rFonts w:ascii="Arial" w:hAnsi="Arial" w:cs="Arial"/>
              </w:rPr>
              <w:t>X</w:t>
            </w:r>
          </w:p>
        </w:tc>
        <w:tc>
          <w:tcPr>
            <w:tcW w:w="611" w:type="dxa"/>
            <w:tcBorders>
              <w:top w:val="nil"/>
              <w:left w:val="nil"/>
              <w:bottom w:val="single" w:color="auto" w:sz="8" w:space="0"/>
              <w:right w:val="single" w:color="auto" w:sz="4" w:space="0"/>
            </w:tcBorders>
            <w:vAlign w:val="center"/>
          </w:tcPr>
          <w:p w:rsidRPr="00EB78E3" w:rsidR="0030289F" w:rsidP="00B70C85" w:rsidRDefault="0030289F" w14:paraId="00E5F8BB" w14:textId="77777777">
            <w:pPr>
              <w:jc w:val="center"/>
              <w:rPr>
                <w:rFonts w:ascii="Arial" w:hAnsi="Arial" w:cs="Arial"/>
              </w:rPr>
            </w:pPr>
            <w:r w:rsidRPr="00EB78E3">
              <w:rPr>
                <w:rFonts w:ascii="Arial" w:hAnsi="Arial" w:cs="Arial"/>
              </w:rPr>
              <w:t>X</w:t>
            </w:r>
          </w:p>
        </w:tc>
      </w:tr>
      <w:tr w:rsidRPr="004414CA" w:rsidR="0030289F" w:rsidTr="001F28EC" w14:paraId="080C7722" w14:textId="77777777">
        <w:trPr>
          <w:cantSplit/>
          <w:trHeight w:val="758"/>
        </w:trPr>
        <w:tc>
          <w:tcPr>
            <w:tcW w:w="1710" w:type="dxa"/>
            <w:vMerge/>
            <w:tcBorders>
              <w:top w:val="nil"/>
              <w:left w:val="single" w:color="auto" w:sz="4" w:space="0"/>
              <w:bottom w:val="single" w:color="auto" w:sz="8" w:space="0"/>
              <w:right w:val="single" w:color="auto" w:sz="8" w:space="0"/>
            </w:tcBorders>
            <w:vAlign w:val="center"/>
            <w:hideMark/>
          </w:tcPr>
          <w:p w:rsidRPr="004414CA" w:rsidR="0030289F" w:rsidP="00B70C85" w:rsidRDefault="0030289F" w14:paraId="08648210" w14:textId="77777777">
            <w:pPr>
              <w:pStyle w:val="table-text"/>
              <w:rPr>
                <w:rFonts w:asciiTheme="minorHAnsi" w:hAnsiTheme="minorHAnsi" w:eastAsia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1F2EB4" w14:paraId="12DE5EF1" w14:textId="7FDD7656">
            <w:pPr>
              <w:pStyle w:val="table-text"/>
              <w:numPr>
                <w:ilvl w:val="0"/>
                <w:numId w:val="22"/>
              </w:numPr>
              <w:ind w:left="337" w:hanging="337"/>
              <w:rPr>
                <w:rFonts w:asciiTheme="minorHAnsi" w:hAnsiTheme="minorHAnsi" w:cstheme="minorHAnsi"/>
              </w:rPr>
            </w:pPr>
            <w:r>
              <w:rPr>
                <w:rFonts w:asciiTheme="minorHAnsi" w:hAnsiTheme="minorHAnsi" w:cstheme="minorHAnsi"/>
              </w:rPr>
              <w:t>Degree to which KidneyX helped innovators understand the parameters of innovation in kidney technology</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77ED0B71" w14:textId="77777777">
            <w:pPr>
              <w:jc w:val="center"/>
              <w:rPr>
                <w:rFonts w:ascii="Arial" w:hAnsi="Arial" w:cs="Arial"/>
              </w:rPr>
            </w:pP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5BDCE5F9" w14:textId="77777777">
            <w:pPr>
              <w:jc w:val="center"/>
              <w:rPr>
                <w:rFonts w:ascii="Arial" w:hAnsi="Arial" w:cs="Arial"/>
              </w:rPr>
            </w:pPr>
            <w:r w:rsidRPr="00EB78E3">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EB78E3" w:rsidR="0030289F" w:rsidP="00B70C85" w:rsidRDefault="001D5D06" w14:paraId="446F63B0" w14:textId="2A722C2D">
            <w:pPr>
              <w:jc w:val="center"/>
              <w:rPr>
                <w:rFonts w:ascii="Arial" w:hAnsi="Arial" w:cs="Arial"/>
              </w:rPr>
            </w:pPr>
            <w:r>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Pr="00EB78E3" w:rsidR="0030289F" w:rsidP="0030289F" w:rsidRDefault="0030289F" w14:paraId="6E7AA47D"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B78E3" w:rsidR="0030289F" w:rsidP="0030289F" w:rsidRDefault="0030289F" w14:paraId="005035CD" w14:textId="394D8882">
            <w:pPr>
              <w:jc w:val="center"/>
              <w:rPr>
                <w:rFonts w:ascii="Arial" w:hAnsi="Arial" w:cs="Arial"/>
              </w:rPr>
            </w:pP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202CAB4D" w14:textId="77777777">
            <w:pPr>
              <w:jc w:val="center"/>
              <w:rPr>
                <w:rFonts w:ascii="Arial" w:hAnsi="Arial" w:cs="Arial"/>
              </w:rPr>
            </w:pPr>
            <w:r w:rsidRPr="00EB78E3">
              <w:rPr>
                <w:rFonts w:ascii="Arial" w:hAnsi="Arial" w:cs="Arial"/>
              </w:rPr>
              <w:t>X</w:t>
            </w:r>
          </w:p>
        </w:tc>
        <w:tc>
          <w:tcPr>
            <w:tcW w:w="529" w:type="dxa"/>
            <w:tcBorders>
              <w:top w:val="nil"/>
              <w:left w:val="nil"/>
              <w:bottom w:val="single" w:color="auto" w:sz="8" w:space="0"/>
              <w:right w:val="single" w:color="auto" w:sz="8" w:space="0"/>
            </w:tcBorders>
            <w:vAlign w:val="center"/>
          </w:tcPr>
          <w:p w:rsidRPr="00EB78E3" w:rsidR="0030289F" w:rsidP="00B70C85" w:rsidRDefault="001D5D06" w14:paraId="6CB47ACB" w14:textId="79158A71">
            <w:pPr>
              <w:jc w:val="center"/>
              <w:rPr>
                <w:rFonts w:ascii="Arial" w:hAnsi="Arial" w:cs="Arial"/>
              </w:rPr>
            </w:pPr>
            <w:r>
              <w:rPr>
                <w:rFonts w:ascii="Arial" w:hAnsi="Arial" w:cs="Arial"/>
              </w:rPr>
              <w:t>X</w:t>
            </w:r>
          </w:p>
        </w:tc>
        <w:tc>
          <w:tcPr>
            <w:tcW w:w="611" w:type="dxa"/>
            <w:tcBorders>
              <w:top w:val="nil"/>
              <w:left w:val="nil"/>
              <w:bottom w:val="single" w:color="auto" w:sz="8" w:space="0"/>
              <w:right w:val="single" w:color="auto" w:sz="4" w:space="0"/>
            </w:tcBorders>
            <w:vAlign w:val="center"/>
          </w:tcPr>
          <w:p w:rsidRPr="00EB78E3" w:rsidR="0030289F" w:rsidP="00B70C85" w:rsidRDefault="0030289F" w14:paraId="62D7B375" w14:textId="77777777">
            <w:pPr>
              <w:jc w:val="center"/>
              <w:rPr>
                <w:rFonts w:ascii="Arial" w:hAnsi="Arial" w:cs="Arial"/>
              </w:rPr>
            </w:pPr>
          </w:p>
        </w:tc>
      </w:tr>
      <w:tr w:rsidRPr="004414CA" w:rsidR="0030289F" w:rsidTr="001F28EC" w14:paraId="33B28E6C" w14:textId="77777777">
        <w:trPr>
          <w:cantSplit/>
          <w:trHeight w:val="758"/>
        </w:trPr>
        <w:tc>
          <w:tcPr>
            <w:tcW w:w="1710" w:type="dxa"/>
            <w:vMerge/>
            <w:tcBorders>
              <w:top w:val="nil"/>
              <w:left w:val="single" w:color="auto" w:sz="4" w:space="0"/>
              <w:bottom w:val="single" w:color="auto" w:sz="8" w:space="0"/>
              <w:right w:val="single" w:color="auto" w:sz="8" w:space="0"/>
            </w:tcBorders>
            <w:vAlign w:val="center"/>
            <w:hideMark/>
          </w:tcPr>
          <w:p w:rsidRPr="004414CA" w:rsidR="0030289F" w:rsidP="00B70C85" w:rsidRDefault="0030289F" w14:paraId="61430ED8" w14:textId="77777777">
            <w:pPr>
              <w:pStyle w:val="table-text"/>
              <w:rPr>
                <w:rFonts w:asciiTheme="minorHAnsi" w:hAnsiTheme="minorHAnsi" w:eastAsia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1F2EB4" w14:paraId="649D56D9" w14:textId="4DC1F324">
            <w:pPr>
              <w:pStyle w:val="table-text"/>
              <w:numPr>
                <w:ilvl w:val="0"/>
                <w:numId w:val="22"/>
              </w:numPr>
              <w:ind w:left="337" w:hanging="337"/>
              <w:rPr>
                <w:rFonts w:asciiTheme="minorHAnsi" w:hAnsiTheme="minorHAnsi" w:cstheme="minorHAnsi"/>
              </w:rPr>
            </w:pPr>
            <w:r>
              <w:rPr>
                <w:rFonts w:asciiTheme="minorHAnsi" w:hAnsiTheme="minorHAnsi" w:cstheme="minorHAnsi"/>
              </w:rPr>
              <w:t>Influence of KidneyX on emergence of new business models in kidney technology</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0319AFA2" w14:textId="77777777">
            <w:pPr>
              <w:jc w:val="center"/>
              <w:rPr>
                <w:rFonts w:ascii="Arial" w:hAnsi="Arial" w:cs="Arial"/>
              </w:rPr>
            </w:pPr>
            <w:r w:rsidRPr="00EB78E3">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0B738371" w14:textId="77777777">
            <w:pPr>
              <w:jc w:val="center"/>
              <w:rPr>
                <w:rFonts w:ascii="Arial" w:hAnsi="Arial" w:cs="Arial"/>
              </w:rPr>
            </w:pPr>
            <w:r w:rsidRPr="00EB78E3">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EB78E3" w:rsidR="0030289F" w:rsidP="00B70C85" w:rsidRDefault="0030289F" w14:paraId="69863242" w14:textId="77777777">
            <w:pPr>
              <w:jc w:val="center"/>
              <w:rPr>
                <w:rFonts w:ascii="Arial" w:hAnsi="Arial" w:cs="Arial"/>
              </w:rPr>
            </w:pPr>
            <w:r w:rsidRPr="00EB78E3">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Pr="00EB78E3" w:rsidR="0030289F" w:rsidP="0030289F" w:rsidRDefault="0030289F" w14:paraId="4C3FE03C"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B78E3" w:rsidR="0030289F" w:rsidP="0030289F" w:rsidRDefault="0030289F" w14:paraId="5C430540" w14:textId="72053144">
            <w:pPr>
              <w:jc w:val="center"/>
              <w:rPr>
                <w:rFonts w:ascii="Arial" w:hAnsi="Arial" w:cs="Arial"/>
              </w:rPr>
            </w:pPr>
            <w:r w:rsidRPr="00EB78E3">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122D5FC4" w14:textId="77777777">
            <w:pPr>
              <w:jc w:val="center"/>
              <w:rPr>
                <w:rFonts w:ascii="Arial" w:hAnsi="Arial" w:cs="Arial"/>
              </w:rPr>
            </w:pPr>
            <w:r w:rsidRPr="00EB78E3">
              <w:rPr>
                <w:rFonts w:ascii="Arial" w:hAnsi="Arial" w:cs="Arial"/>
              </w:rPr>
              <w:t>X</w:t>
            </w:r>
          </w:p>
        </w:tc>
        <w:tc>
          <w:tcPr>
            <w:tcW w:w="529" w:type="dxa"/>
            <w:tcBorders>
              <w:top w:val="nil"/>
              <w:left w:val="nil"/>
              <w:bottom w:val="single" w:color="auto" w:sz="8" w:space="0"/>
              <w:right w:val="single" w:color="auto" w:sz="8" w:space="0"/>
            </w:tcBorders>
            <w:vAlign w:val="center"/>
          </w:tcPr>
          <w:p w:rsidRPr="00EB78E3" w:rsidR="0030289F" w:rsidP="00B70C85" w:rsidRDefault="0030289F" w14:paraId="71BF8AD0" w14:textId="77777777">
            <w:pPr>
              <w:jc w:val="center"/>
              <w:rPr>
                <w:rFonts w:ascii="Arial" w:hAnsi="Arial" w:cs="Arial"/>
              </w:rPr>
            </w:pPr>
            <w:r w:rsidRPr="00EB78E3">
              <w:rPr>
                <w:rFonts w:ascii="Arial" w:hAnsi="Arial" w:cs="Arial"/>
              </w:rPr>
              <w:t>X</w:t>
            </w:r>
          </w:p>
        </w:tc>
        <w:tc>
          <w:tcPr>
            <w:tcW w:w="611" w:type="dxa"/>
            <w:tcBorders>
              <w:top w:val="nil"/>
              <w:left w:val="nil"/>
              <w:bottom w:val="single" w:color="auto" w:sz="8" w:space="0"/>
              <w:right w:val="single" w:color="auto" w:sz="4" w:space="0"/>
            </w:tcBorders>
            <w:vAlign w:val="center"/>
          </w:tcPr>
          <w:p w:rsidRPr="00EB78E3" w:rsidR="0030289F" w:rsidP="00B70C85" w:rsidRDefault="0030289F" w14:paraId="5C3D38A2" w14:textId="77777777">
            <w:pPr>
              <w:jc w:val="center"/>
              <w:rPr>
                <w:rFonts w:ascii="Arial" w:hAnsi="Arial" w:cs="Arial"/>
              </w:rPr>
            </w:pPr>
            <w:r w:rsidRPr="00EB78E3">
              <w:rPr>
                <w:rFonts w:ascii="Arial" w:hAnsi="Arial" w:cs="Arial"/>
              </w:rPr>
              <w:t>X</w:t>
            </w:r>
          </w:p>
        </w:tc>
      </w:tr>
      <w:tr w:rsidRPr="004414CA" w:rsidR="0030289F" w:rsidTr="001F28EC" w14:paraId="11A9A238" w14:textId="77777777">
        <w:trPr>
          <w:cantSplit/>
          <w:trHeight w:val="758"/>
        </w:trPr>
        <w:tc>
          <w:tcPr>
            <w:tcW w:w="1710" w:type="dxa"/>
            <w:vMerge/>
            <w:tcBorders>
              <w:top w:val="nil"/>
              <w:left w:val="single" w:color="auto" w:sz="4" w:space="0"/>
              <w:bottom w:val="single" w:color="auto" w:sz="8" w:space="0"/>
              <w:right w:val="single" w:color="auto" w:sz="8" w:space="0"/>
            </w:tcBorders>
            <w:vAlign w:val="center"/>
            <w:hideMark/>
          </w:tcPr>
          <w:p w:rsidRPr="004414CA" w:rsidR="0030289F" w:rsidP="00B70C85" w:rsidRDefault="0030289F" w14:paraId="640E8A77" w14:textId="77777777">
            <w:pPr>
              <w:pStyle w:val="table-text"/>
              <w:rPr>
                <w:rFonts w:asciiTheme="minorHAnsi" w:hAnsiTheme="minorHAnsi" w:eastAsiaTheme="minorHAnsi" w:cstheme="minorHAnsi"/>
              </w:rPr>
            </w:pPr>
          </w:p>
        </w:tc>
        <w:tc>
          <w:tcPr>
            <w:tcW w:w="366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1F2EB4" w14:paraId="1CE2F124" w14:textId="0B9887D8">
            <w:pPr>
              <w:pStyle w:val="table-text"/>
              <w:numPr>
                <w:ilvl w:val="0"/>
                <w:numId w:val="22"/>
              </w:numPr>
              <w:ind w:left="337" w:hanging="337"/>
              <w:rPr>
                <w:rFonts w:asciiTheme="minorHAnsi" w:hAnsiTheme="minorHAnsi" w:cstheme="minorHAnsi"/>
                <w:szCs w:val="20"/>
              </w:rPr>
            </w:pPr>
            <w:r>
              <w:rPr>
                <w:rFonts w:asciiTheme="minorHAnsi" w:hAnsiTheme="minorHAnsi" w:cstheme="minorHAnsi"/>
                <w:szCs w:val="20"/>
              </w:rPr>
              <w:t>Degree to which KidneyX facilitated regulatory approval for participants</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4949B9DC" w14:textId="77777777">
            <w:pPr>
              <w:jc w:val="center"/>
              <w:rPr>
                <w:rFonts w:ascii="Arial" w:hAnsi="Arial" w:cs="Arial"/>
              </w:rPr>
            </w:pP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2C6C0736" w14:textId="77777777">
            <w:pPr>
              <w:jc w:val="center"/>
              <w:rPr>
                <w:rFonts w:ascii="Arial" w:hAnsi="Arial" w:cs="Arial"/>
              </w:rPr>
            </w:pPr>
            <w:r w:rsidRPr="00EB78E3">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EB78E3" w:rsidR="0030289F" w:rsidP="00B70C85" w:rsidRDefault="0030289F" w14:paraId="475D77BC" w14:textId="77777777">
            <w:pPr>
              <w:jc w:val="center"/>
              <w:rPr>
                <w:rFonts w:ascii="Arial" w:hAnsi="Arial" w:cs="Arial"/>
              </w:rPr>
            </w:pPr>
            <w:r w:rsidRPr="00EB78E3">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Pr="00EB78E3" w:rsidR="0030289F" w:rsidP="0030289F" w:rsidRDefault="0030289F" w14:paraId="55B64332"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B78E3" w:rsidR="0030289F" w:rsidP="0030289F" w:rsidRDefault="0030289F" w14:paraId="67C74E52" w14:textId="498A323E">
            <w:pPr>
              <w:jc w:val="center"/>
              <w:rPr>
                <w:rFonts w:ascii="Arial" w:hAnsi="Arial" w:cs="Arial"/>
              </w:rPr>
            </w:pPr>
            <w:r w:rsidRPr="00EB78E3">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EB78E3" w:rsidR="0030289F" w:rsidP="00B70C85" w:rsidRDefault="0030289F" w14:paraId="641496A0" w14:textId="77777777">
            <w:pPr>
              <w:jc w:val="center"/>
              <w:rPr>
                <w:rFonts w:ascii="Arial" w:hAnsi="Arial" w:cs="Arial"/>
              </w:rPr>
            </w:pPr>
            <w:r w:rsidRPr="00EB78E3">
              <w:rPr>
                <w:rFonts w:ascii="Arial" w:hAnsi="Arial" w:cs="Arial"/>
              </w:rPr>
              <w:t>X</w:t>
            </w:r>
          </w:p>
        </w:tc>
        <w:tc>
          <w:tcPr>
            <w:tcW w:w="529" w:type="dxa"/>
            <w:tcBorders>
              <w:top w:val="nil"/>
              <w:left w:val="nil"/>
              <w:bottom w:val="single" w:color="auto" w:sz="8" w:space="0"/>
              <w:right w:val="single" w:color="auto" w:sz="8" w:space="0"/>
            </w:tcBorders>
            <w:vAlign w:val="center"/>
          </w:tcPr>
          <w:p w:rsidRPr="00EB78E3" w:rsidR="0030289F" w:rsidP="00B70C85" w:rsidRDefault="0030289F" w14:paraId="04E3551D" w14:textId="77777777">
            <w:pPr>
              <w:jc w:val="center"/>
              <w:rPr>
                <w:rFonts w:ascii="Arial" w:hAnsi="Arial" w:cs="Arial"/>
              </w:rPr>
            </w:pPr>
            <w:r w:rsidRPr="00EB78E3">
              <w:rPr>
                <w:rFonts w:ascii="Arial" w:hAnsi="Arial" w:cs="Arial"/>
              </w:rPr>
              <w:t>X</w:t>
            </w:r>
          </w:p>
        </w:tc>
        <w:tc>
          <w:tcPr>
            <w:tcW w:w="611" w:type="dxa"/>
            <w:tcBorders>
              <w:top w:val="nil"/>
              <w:left w:val="nil"/>
              <w:bottom w:val="single" w:color="auto" w:sz="8" w:space="0"/>
              <w:right w:val="single" w:color="auto" w:sz="4" w:space="0"/>
            </w:tcBorders>
            <w:vAlign w:val="center"/>
          </w:tcPr>
          <w:p w:rsidRPr="00EB78E3" w:rsidR="0030289F" w:rsidP="00B70C85" w:rsidRDefault="0030289F" w14:paraId="2044FCF9" w14:textId="77777777">
            <w:pPr>
              <w:jc w:val="center"/>
              <w:rPr>
                <w:rFonts w:ascii="Arial" w:hAnsi="Arial" w:cs="Arial"/>
              </w:rPr>
            </w:pPr>
          </w:p>
        </w:tc>
      </w:tr>
    </w:tbl>
    <w:p w:rsidR="00C8773B" w:rsidRDefault="00C8773B" w14:paraId="255C3C6D" w14:textId="136DED3F"/>
    <w:p w:rsidRPr="003D315C" w:rsidR="00C8773B" w:rsidP="003D315C" w:rsidRDefault="00C8773B" w14:paraId="4F37315F" w14:textId="45E56474">
      <w:pPr>
        <w:pStyle w:val="FigureTitle"/>
        <w:ind w:left="360" w:hanging="360"/>
        <w:rPr>
          <w:sz w:val="24"/>
          <w:szCs w:val="24"/>
        </w:rPr>
      </w:pPr>
      <w:r w:rsidRPr="009B591D">
        <w:rPr>
          <w:sz w:val="24"/>
          <w:szCs w:val="24"/>
        </w:rPr>
        <w:t>Exhibit 1</w:t>
      </w:r>
      <w:r>
        <w:rPr>
          <w:sz w:val="24"/>
          <w:szCs w:val="24"/>
        </w:rPr>
        <w:t xml:space="preserve"> (cont)</w:t>
      </w:r>
      <w:r w:rsidRPr="009B591D">
        <w:rPr>
          <w:sz w:val="24"/>
          <w:szCs w:val="24"/>
        </w:rPr>
        <w:t>.</w:t>
      </w:r>
      <w:r w:rsidRPr="009B591D">
        <w:rPr>
          <w:sz w:val="24"/>
          <w:szCs w:val="24"/>
        </w:rPr>
        <w:tab/>
        <w:t xml:space="preserve">Evaluation Questions and Data Sources </w:t>
      </w:r>
    </w:p>
    <w:tbl>
      <w:tblPr>
        <w:tblW w:w="5332" w:type="pct"/>
        <w:tblInd w:w="-5" w:type="dxa"/>
        <w:tblLayout w:type="fixed"/>
        <w:tblCellMar>
          <w:left w:w="0" w:type="dxa"/>
          <w:right w:w="0" w:type="dxa"/>
        </w:tblCellMar>
        <w:tblLook w:val="04A0" w:firstRow="1" w:lastRow="0" w:firstColumn="1" w:lastColumn="0" w:noHBand="0" w:noVBand="1"/>
      </w:tblPr>
      <w:tblGrid>
        <w:gridCol w:w="1843"/>
        <w:gridCol w:w="3661"/>
        <w:gridCol w:w="636"/>
        <w:gridCol w:w="535"/>
        <w:gridCol w:w="551"/>
        <w:gridCol w:w="636"/>
        <w:gridCol w:w="636"/>
        <w:gridCol w:w="546"/>
        <w:gridCol w:w="542"/>
        <w:gridCol w:w="626"/>
      </w:tblGrid>
      <w:tr w:rsidRPr="004414CA" w:rsidR="00C8773B" w:rsidTr="00672E00" w14:paraId="3ACDD5B5" w14:textId="77777777">
        <w:trPr>
          <w:tblHeader/>
        </w:trPr>
        <w:tc>
          <w:tcPr>
            <w:tcW w:w="1800" w:type="dxa"/>
            <w:vMerge w:val="restart"/>
            <w:tcBorders>
              <w:top w:val="single" w:color="auto"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tcMar>
              <w:top w:w="0" w:type="dxa"/>
              <w:left w:w="108" w:type="dxa"/>
              <w:bottom w:w="0" w:type="dxa"/>
              <w:right w:w="108" w:type="dxa"/>
            </w:tcMar>
            <w:vAlign w:val="bottom"/>
            <w:hideMark/>
          </w:tcPr>
          <w:p w:rsidRPr="004414CA" w:rsidR="00C8773B" w:rsidP="00967C80" w:rsidRDefault="00C8773B" w14:paraId="18C4B5AC" w14:textId="77777777">
            <w:pPr>
              <w:pStyle w:val="Tableheader"/>
              <w:rPr>
                <w:rFonts w:asciiTheme="minorHAnsi" w:hAnsiTheme="minorHAnsi" w:cstheme="minorHAnsi"/>
              </w:rPr>
            </w:pPr>
            <w:r>
              <w:rPr>
                <w:rFonts w:asciiTheme="minorHAnsi" w:hAnsiTheme="minorHAnsi" w:cstheme="minorHAnsi"/>
              </w:rPr>
              <w:t>Evaluation Questions</w:t>
            </w:r>
          </w:p>
        </w:tc>
        <w:tc>
          <w:tcPr>
            <w:tcW w:w="3575" w:type="dxa"/>
            <w:vMerge w:val="restart"/>
            <w:tcBorders>
              <w:top w:val="single" w:color="auto"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tcMar>
              <w:top w:w="0" w:type="dxa"/>
              <w:left w:w="108" w:type="dxa"/>
              <w:bottom w:w="0" w:type="dxa"/>
              <w:right w:w="108" w:type="dxa"/>
            </w:tcMar>
            <w:vAlign w:val="bottom"/>
            <w:hideMark/>
          </w:tcPr>
          <w:p w:rsidRPr="004414CA" w:rsidR="00C8773B" w:rsidP="00967C80" w:rsidRDefault="00C8773B" w14:paraId="4D7A4DEB" w14:textId="77777777">
            <w:pPr>
              <w:pStyle w:val="Tableheader"/>
              <w:rPr>
                <w:rFonts w:asciiTheme="minorHAnsi" w:hAnsiTheme="minorHAnsi" w:cstheme="minorHAnsi"/>
              </w:rPr>
            </w:pPr>
            <w:r>
              <w:rPr>
                <w:rFonts w:asciiTheme="minorHAnsi" w:hAnsiTheme="minorHAnsi" w:cstheme="minorHAnsi"/>
              </w:rPr>
              <w:t>Indicators</w:t>
            </w:r>
          </w:p>
        </w:tc>
        <w:tc>
          <w:tcPr>
            <w:tcW w:w="621" w:type="dxa"/>
            <w:tcBorders>
              <w:top w:val="single" w:color="auto"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tcPr>
          <w:p w:rsidRPr="004414CA" w:rsidR="00C8773B" w:rsidP="00967C80" w:rsidRDefault="00C8773B" w14:paraId="680C0051" w14:textId="77777777">
            <w:pPr>
              <w:pStyle w:val="Tableheader"/>
              <w:rPr>
                <w:rFonts w:asciiTheme="minorHAnsi" w:hAnsiTheme="minorHAnsi" w:cstheme="minorHAnsi"/>
              </w:rPr>
            </w:pPr>
          </w:p>
        </w:tc>
        <w:tc>
          <w:tcPr>
            <w:tcW w:w="3975" w:type="dxa"/>
            <w:gridSpan w:val="7"/>
            <w:tcBorders>
              <w:top w:val="single" w:color="auto"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cMar>
              <w:top w:w="0" w:type="dxa"/>
              <w:left w:w="108" w:type="dxa"/>
              <w:bottom w:w="0" w:type="dxa"/>
              <w:right w:w="108" w:type="dxa"/>
            </w:tcMar>
            <w:vAlign w:val="bottom"/>
            <w:hideMark/>
          </w:tcPr>
          <w:p w:rsidRPr="004414CA" w:rsidR="00C8773B" w:rsidP="00967C80" w:rsidRDefault="00C8773B" w14:paraId="2F751C5D" w14:textId="77777777">
            <w:pPr>
              <w:pStyle w:val="Tableheader"/>
              <w:rPr>
                <w:rFonts w:asciiTheme="minorHAnsi" w:hAnsiTheme="minorHAnsi" w:cstheme="minorHAnsi"/>
              </w:rPr>
            </w:pPr>
            <w:r w:rsidRPr="004414CA">
              <w:rPr>
                <w:rFonts w:asciiTheme="minorHAnsi" w:hAnsiTheme="minorHAnsi" w:cstheme="minorHAnsi"/>
              </w:rPr>
              <w:t>Data Source</w:t>
            </w:r>
          </w:p>
        </w:tc>
      </w:tr>
      <w:tr w:rsidRPr="004414CA" w:rsidR="00C8773B" w:rsidTr="00672E00" w14:paraId="4A2A526F" w14:textId="77777777">
        <w:trPr>
          <w:trHeight w:val="305"/>
          <w:tblHeader/>
        </w:trPr>
        <w:tc>
          <w:tcPr>
            <w:tcW w:w="1800" w:type="dxa"/>
            <w:vMerge/>
            <w:tcBorders>
              <w:top w:val="single" w:color="FFFFFF" w:themeColor="background1"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vAlign w:val="bottom"/>
            <w:hideMark/>
          </w:tcPr>
          <w:p w:rsidRPr="004414CA" w:rsidR="00C8773B" w:rsidP="00967C80" w:rsidRDefault="00C8773B" w14:paraId="058C43E5" w14:textId="77777777">
            <w:pPr>
              <w:jc w:val="center"/>
              <w:rPr>
                <w:rFonts w:cstheme="minorHAnsi"/>
                <w:b/>
                <w:bCs/>
              </w:rPr>
            </w:pPr>
          </w:p>
        </w:tc>
        <w:tc>
          <w:tcPr>
            <w:tcW w:w="3575" w:type="dxa"/>
            <w:vMerg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vAlign w:val="bottom"/>
            <w:hideMark/>
          </w:tcPr>
          <w:p w:rsidRPr="004414CA" w:rsidR="00C8773B" w:rsidP="00967C80" w:rsidRDefault="00C8773B" w14:paraId="71155213" w14:textId="77777777">
            <w:pPr>
              <w:jc w:val="center"/>
              <w:rPr>
                <w:rFonts w:cstheme="minorHAnsi"/>
                <w:b/>
                <w:bCs/>
              </w:rPr>
            </w:pPr>
          </w:p>
        </w:tc>
        <w:tc>
          <w:tcPr>
            <w:tcW w:w="621"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BFBFBF" w:themeFill="background1" w:themeFillShade="BF"/>
            <w:tcMar>
              <w:top w:w="0" w:type="dxa"/>
              <w:left w:w="108" w:type="dxa"/>
              <w:bottom w:w="0" w:type="dxa"/>
              <w:right w:w="108" w:type="dxa"/>
            </w:tcMar>
            <w:textDirection w:val="btLr"/>
            <w:vAlign w:val="center"/>
            <w:hideMark/>
          </w:tcPr>
          <w:p w:rsidRPr="004414CA" w:rsidR="00C8773B" w:rsidP="00967C80" w:rsidRDefault="00C8773B" w14:paraId="59FA9158" w14:textId="77777777">
            <w:pPr>
              <w:pStyle w:val="Tableheader"/>
              <w:ind w:left="29"/>
              <w:jc w:val="left"/>
              <w:rPr>
                <w:rFonts w:asciiTheme="minorHAnsi" w:hAnsiTheme="minorHAnsi" w:cstheme="minorHAnsi"/>
              </w:rPr>
            </w:pPr>
            <w:r w:rsidRPr="004414CA">
              <w:rPr>
                <w:rFonts w:asciiTheme="minorHAnsi" w:hAnsiTheme="minorHAnsi" w:cstheme="minorHAnsi"/>
              </w:rPr>
              <w:t>Document Review*</w:t>
            </w:r>
          </w:p>
        </w:tc>
        <w:tc>
          <w:tcPr>
            <w:tcW w:w="2302" w:type="dxa"/>
            <w:gridSpan w:val="4"/>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BFBFBF" w:themeFill="background1" w:themeFillShade="BF"/>
          </w:tcPr>
          <w:p w:rsidRPr="004414CA" w:rsidR="00C8773B" w:rsidP="00967C80" w:rsidRDefault="00C8773B" w14:paraId="7CA6D347" w14:textId="77777777">
            <w:pPr>
              <w:pStyle w:val="Tableheader"/>
              <w:rPr>
                <w:rFonts w:asciiTheme="minorHAnsi" w:hAnsiTheme="minorHAnsi" w:cstheme="minorHAnsi"/>
              </w:rPr>
            </w:pPr>
            <w:r>
              <w:rPr>
                <w:rFonts w:asciiTheme="minorHAnsi" w:hAnsiTheme="minorHAnsi" w:cstheme="minorHAnsi"/>
              </w:rPr>
              <w:t>Stakeholder</w:t>
            </w:r>
            <w:r w:rsidRPr="004414CA">
              <w:rPr>
                <w:rFonts w:asciiTheme="minorHAnsi" w:hAnsiTheme="minorHAnsi" w:cstheme="minorHAnsi"/>
              </w:rPr>
              <w:t xml:space="preserve"> Interviews</w:t>
            </w:r>
          </w:p>
        </w:tc>
        <w:tc>
          <w:tcPr>
            <w:tcW w:w="1062" w:type="dxa"/>
            <w:gridSpan w:val="2"/>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BFBFBF" w:themeFill="background1" w:themeFillShade="BF"/>
            <w:tcMar>
              <w:top w:w="0" w:type="dxa"/>
              <w:left w:w="108" w:type="dxa"/>
              <w:bottom w:w="0" w:type="dxa"/>
              <w:right w:w="108" w:type="dxa"/>
            </w:tcMar>
            <w:vAlign w:val="bottom"/>
            <w:hideMark/>
          </w:tcPr>
          <w:p w:rsidRPr="004414CA" w:rsidR="00C8773B" w:rsidP="00967C80" w:rsidRDefault="00C8773B" w14:paraId="270443BB" w14:textId="77777777">
            <w:pPr>
              <w:pStyle w:val="Tableheader"/>
              <w:rPr>
                <w:rFonts w:asciiTheme="minorHAnsi" w:hAnsiTheme="minorHAnsi" w:cstheme="minorHAnsi"/>
              </w:rPr>
            </w:pPr>
            <w:r w:rsidRPr="004414CA">
              <w:rPr>
                <w:rFonts w:asciiTheme="minorHAnsi" w:hAnsiTheme="minorHAnsi" w:cstheme="minorHAnsi"/>
              </w:rPr>
              <w:t>Surveys</w:t>
            </w:r>
          </w:p>
        </w:tc>
        <w:tc>
          <w:tcPr>
            <w:tcW w:w="611" w:type="dxa"/>
            <w:vMerge w:val="restart"/>
            <w:tcBorders>
              <w:top w:val="single" w:color="FFFFFF" w:themeColor="background1"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extDirection w:val="btLr"/>
            <w:vAlign w:val="center"/>
          </w:tcPr>
          <w:p w:rsidRPr="004414CA" w:rsidR="00C8773B" w:rsidP="00967C80" w:rsidRDefault="00C8773B" w14:paraId="69A71700" w14:textId="77777777">
            <w:pPr>
              <w:pStyle w:val="Tableheader"/>
              <w:ind w:left="29"/>
              <w:jc w:val="left"/>
              <w:rPr>
                <w:rFonts w:asciiTheme="minorHAnsi" w:hAnsiTheme="minorHAnsi" w:cstheme="minorHAnsi"/>
              </w:rPr>
            </w:pPr>
            <w:r w:rsidRPr="004414CA">
              <w:rPr>
                <w:rFonts w:asciiTheme="minorHAnsi" w:hAnsiTheme="minorHAnsi" w:eastAsiaTheme="minorHAnsi" w:cstheme="minorHAnsi"/>
              </w:rPr>
              <w:t>Secondary Data Sources**</w:t>
            </w:r>
          </w:p>
        </w:tc>
      </w:tr>
      <w:tr w:rsidRPr="004414CA" w:rsidR="00C8773B" w:rsidTr="00672E00" w14:paraId="5E7A502A" w14:textId="77777777">
        <w:trPr>
          <w:cantSplit/>
          <w:trHeight w:val="1313"/>
        </w:trPr>
        <w:tc>
          <w:tcPr>
            <w:tcW w:w="1800" w:type="dxa"/>
            <w:vMerge/>
            <w:tcBorders>
              <w:top w:val="single" w:color="FFFFFF" w:themeColor="background1" w:sz="4" w:space="0"/>
              <w:left w:val="single" w:color="auto" w:sz="4" w:space="0"/>
              <w:bottom w:val="single" w:color="FFFFFF" w:themeColor="background1" w:sz="12" w:space="0"/>
              <w:right w:val="single" w:color="FFFFFF" w:themeColor="background1" w:sz="4" w:space="0"/>
            </w:tcBorders>
            <w:shd w:val="clear" w:color="auto" w:fill="0A357E"/>
            <w:vAlign w:val="center"/>
            <w:hideMark/>
          </w:tcPr>
          <w:p w:rsidRPr="004414CA" w:rsidR="00C8773B" w:rsidP="00967C80" w:rsidRDefault="00C8773B" w14:paraId="54A95AB1" w14:textId="77777777">
            <w:pPr>
              <w:rPr>
                <w:rFonts w:cstheme="minorHAnsi"/>
                <w:b/>
                <w:bCs/>
              </w:rPr>
            </w:pPr>
          </w:p>
        </w:tc>
        <w:tc>
          <w:tcPr>
            <w:tcW w:w="3575" w:type="dxa"/>
            <w:vMerge/>
            <w:tcBorders>
              <w:top w:val="single" w:color="FFFFFF" w:themeColor="background1" w:sz="4" w:space="0"/>
              <w:left w:val="single" w:color="FFFFFF" w:themeColor="background1" w:sz="4" w:space="0"/>
              <w:bottom w:val="single" w:color="FFFFFF" w:themeColor="background1" w:sz="12" w:space="0"/>
              <w:right w:val="single" w:color="FFFFFF" w:themeColor="background1" w:sz="4" w:space="0"/>
            </w:tcBorders>
            <w:shd w:val="clear" w:color="auto" w:fill="0A357E"/>
            <w:vAlign w:val="center"/>
            <w:hideMark/>
          </w:tcPr>
          <w:p w:rsidRPr="004414CA" w:rsidR="00C8773B" w:rsidP="00967C80" w:rsidRDefault="00C8773B" w14:paraId="00092780" w14:textId="77777777">
            <w:pPr>
              <w:rPr>
                <w:rFonts w:cstheme="minorHAnsi"/>
                <w:b/>
                <w:bCs/>
              </w:rPr>
            </w:pPr>
          </w:p>
        </w:tc>
        <w:tc>
          <w:tcPr>
            <w:tcW w:w="621" w:type="dxa"/>
            <w:vMerge/>
            <w:tcBorders>
              <w:top w:val="single" w:color="FFFFFF" w:themeColor="background1" w:sz="4" w:space="0"/>
              <w:left w:val="single" w:color="FFFFFF" w:themeColor="background1" w:sz="4" w:space="0"/>
              <w:bottom w:val="single" w:color="FFFFFF" w:themeColor="background1" w:sz="12" w:space="0"/>
              <w:right w:val="single" w:color="auto" w:sz="4" w:space="0"/>
            </w:tcBorders>
            <w:shd w:val="clear" w:color="auto" w:fill="0A357E"/>
            <w:vAlign w:val="center"/>
            <w:hideMark/>
          </w:tcPr>
          <w:p w:rsidRPr="004414CA" w:rsidR="00C8773B" w:rsidP="00967C80" w:rsidRDefault="00C8773B" w14:paraId="7A3CFBE4" w14:textId="77777777">
            <w:pPr>
              <w:rPr>
                <w:rFonts w:cstheme="minorHAnsi"/>
                <w:b/>
                <w:bCs/>
              </w:rPr>
            </w:pPr>
          </w:p>
        </w:tc>
        <w:tc>
          <w:tcPr>
            <w:tcW w:w="522" w:type="dxa"/>
            <w:tcBorders>
              <w:top w:val="single" w:color="auto"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textDirection w:val="btLr"/>
            <w:vAlign w:val="center"/>
            <w:hideMark/>
          </w:tcPr>
          <w:p w:rsidRPr="004414CA" w:rsidR="00C8773B" w:rsidP="00967C80" w:rsidRDefault="00C8773B" w14:paraId="109841FC" w14:textId="77777777">
            <w:pPr>
              <w:pStyle w:val="Tableheader"/>
              <w:ind w:left="29"/>
              <w:jc w:val="left"/>
              <w:rPr>
                <w:rFonts w:asciiTheme="minorHAnsi" w:hAnsiTheme="minorHAnsi" w:cstheme="minorHAnsi"/>
              </w:rPr>
            </w:pPr>
            <w:r w:rsidRPr="004414CA">
              <w:rPr>
                <w:rFonts w:asciiTheme="minorHAnsi" w:hAnsiTheme="minorHAnsi" w:cstheme="minorHAnsi"/>
              </w:rPr>
              <w:t>Applicants</w:t>
            </w:r>
          </w:p>
        </w:tc>
        <w:tc>
          <w:tcPr>
            <w:tcW w:w="538" w:type="dxa"/>
            <w:tcBorders>
              <w:top w:val="single" w:color="auto"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extDirection w:val="btLr"/>
            <w:vAlign w:val="center"/>
            <w:hideMark/>
          </w:tcPr>
          <w:p w:rsidRPr="004414CA" w:rsidR="00C8773B" w:rsidP="00967C80" w:rsidRDefault="00C8773B" w14:paraId="3C280DE1" w14:textId="77777777">
            <w:pPr>
              <w:pStyle w:val="Tableheader"/>
              <w:ind w:left="29"/>
              <w:jc w:val="left"/>
              <w:rPr>
                <w:rFonts w:asciiTheme="minorHAnsi" w:hAnsiTheme="minorHAnsi" w:cstheme="minorHAnsi"/>
              </w:rPr>
            </w:pPr>
            <w:r w:rsidRPr="004414CA">
              <w:rPr>
                <w:rFonts w:asciiTheme="minorHAnsi" w:hAnsiTheme="minorHAnsi" w:cstheme="minorHAnsi"/>
              </w:rPr>
              <w:t>Awardees</w:t>
            </w:r>
          </w:p>
        </w:tc>
        <w:tc>
          <w:tcPr>
            <w:tcW w:w="621" w:type="dxa"/>
            <w:tcBorders>
              <w:top w:val="single" w:color="auto" w:sz="4" w:space="0"/>
              <w:left w:val="single" w:color="auto" w:sz="4" w:space="0"/>
              <w:bottom w:val="single" w:color="auto" w:sz="4" w:space="0"/>
              <w:right w:val="single" w:color="auto" w:sz="4" w:space="0"/>
            </w:tcBorders>
            <w:shd w:val="clear" w:color="auto" w:fill="BFBFBF" w:themeFill="background1" w:themeFillShade="BF"/>
            <w:textDirection w:val="btLr"/>
            <w:vAlign w:val="center"/>
          </w:tcPr>
          <w:p w:rsidRPr="004414CA" w:rsidR="00C8773B" w:rsidP="00967C80" w:rsidRDefault="00C8773B" w14:paraId="67A94674" w14:textId="77777777">
            <w:pPr>
              <w:pStyle w:val="Tableheader"/>
              <w:ind w:left="29" w:right="113"/>
              <w:rPr>
                <w:rFonts w:asciiTheme="minorHAnsi" w:hAnsiTheme="minorHAnsi" w:cstheme="minorHAnsi"/>
              </w:rPr>
            </w:pPr>
            <w:r>
              <w:rPr>
                <w:rFonts w:asciiTheme="minorHAnsi" w:hAnsiTheme="minorHAnsi" w:cstheme="minorHAnsi"/>
              </w:rPr>
              <w:t>Non-awardees</w:t>
            </w:r>
          </w:p>
        </w:tc>
        <w:tc>
          <w:tcPr>
            <w:tcW w:w="621" w:type="dxa"/>
            <w:tcBorders>
              <w:top w:val="single" w:color="auto" w:sz="4" w:space="0"/>
              <w:left w:val="single" w:color="auto" w:sz="4" w:space="0"/>
              <w:bottom w:val="single" w:color="auto" w:sz="4" w:space="0"/>
              <w:right w:val="single" w:color="auto" w:sz="4" w:space="0"/>
            </w:tcBorders>
            <w:shd w:val="clear" w:color="auto" w:fill="BFBFBF" w:themeFill="background1" w:themeFillShade="BF"/>
            <w:textDirection w:val="btLr"/>
            <w:vAlign w:val="center"/>
            <w:hideMark/>
          </w:tcPr>
          <w:p w:rsidRPr="004414CA" w:rsidR="00C8773B" w:rsidP="00967C80" w:rsidRDefault="00C8773B" w14:paraId="6400C88C" w14:textId="77777777">
            <w:pPr>
              <w:pStyle w:val="Tableheader"/>
              <w:ind w:left="29" w:right="113"/>
              <w:rPr>
                <w:rFonts w:asciiTheme="minorHAnsi" w:hAnsiTheme="minorHAnsi" w:cstheme="minorHAnsi"/>
              </w:rPr>
            </w:pPr>
            <w:r w:rsidRPr="004414CA">
              <w:rPr>
                <w:rFonts w:asciiTheme="minorHAnsi" w:hAnsiTheme="minorHAnsi" w:cstheme="minorHAnsi"/>
              </w:rPr>
              <w:t>Other Stakeholders</w:t>
            </w:r>
          </w:p>
        </w:tc>
        <w:tc>
          <w:tcPr>
            <w:tcW w:w="533" w:type="dxa"/>
            <w:tcBorders>
              <w:top w:val="single" w:color="auto" w:sz="4" w:space="0"/>
              <w:left w:val="single" w:color="auto" w:sz="4" w:space="0"/>
              <w:bottom w:val="single" w:color="FFFFFF" w:themeColor="background1" w:sz="4" w:space="0"/>
              <w:right w:val="single" w:color="FFFFFF" w:themeColor="background1" w:sz="4" w:space="0"/>
            </w:tcBorders>
            <w:shd w:val="clear" w:color="auto" w:fill="BFBFBF" w:themeFill="background1" w:themeFillShade="BF"/>
            <w:textDirection w:val="btLr"/>
            <w:vAlign w:val="center"/>
            <w:hideMark/>
          </w:tcPr>
          <w:p w:rsidRPr="004414CA" w:rsidR="00C8773B" w:rsidP="00967C80" w:rsidRDefault="00C8773B" w14:paraId="0D1A9F18" w14:textId="77777777">
            <w:pPr>
              <w:pStyle w:val="Tableheader"/>
              <w:ind w:left="29"/>
              <w:jc w:val="left"/>
              <w:rPr>
                <w:rFonts w:asciiTheme="minorHAnsi" w:hAnsiTheme="minorHAnsi" w:eastAsiaTheme="minorHAnsi" w:cstheme="minorHAnsi"/>
                <w:sz w:val="18"/>
              </w:rPr>
            </w:pPr>
            <w:r w:rsidRPr="004414CA">
              <w:rPr>
                <w:rFonts w:asciiTheme="minorHAnsi" w:hAnsiTheme="minorHAnsi" w:eastAsiaTheme="minorHAnsi" w:cstheme="minorHAnsi"/>
                <w:sz w:val="18"/>
              </w:rPr>
              <w:t>Applicants</w:t>
            </w:r>
          </w:p>
        </w:tc>
        <w:tc>
          <w:tcPr>
            <w:tcW w:w="529" w:type="dxa"/>
            <w:tcBorders>
              <w:top w:val="single" w:color="auto"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extDirection w:val="btLr"/>
            <w:vAlign w:val="center"/>
          </w:tcPr>
          <w:p w:rsidRPr="004414CA" w:rsidR="00C8773B" w:rsidP="00967C80" w:rsidRDefault="00C8773B" w14:paraId="51561556" w14:textId="77777777">
            <w:pPr>
              <w:pStyle w:val="Tableheader"/>
              <w:ind w:left="29"/>
              <w:jc w:val="left"/>
              <w:rPr>
                <w:rFonts w:asciiTheme="minorHAnsi" w:hAnsiTheme="minorHAnsi" w:eastAsiaTheme="minorHAnsi" w:cstheme="minorHAnsi"/>
                <w:sz w:val="18"/>
              </w:rPr>
            </w:pPr>
            <w:r w:rsidRPr="004414CA">
              <w:rPr>
                <w:rFonts w:asciiTheme="minorHAnsi" w:hAnsiTheme="minorHAnsi" w:eastAsiaTheme="minorHAnsi" w:cstheme="minorHAnsi"/>
                <w:sz w:val="18"/>
              </w:rPr>
              <w:t>Awardees</w:t>
            </w:r>
          </w:p>
        </w:tc>
        <w:tc>
          <w:tcPr>
            <w:tcW w:w="611" w:type="dxa"/>
            <w:vMerge/>
            <w:tcBorders>
              <w:top w:val="single" w:color="FFFFFF" w:themeColor="background1" w:sz="4" w:space="0"/>
              <w:left w:val="single" w:color="auto" w:sz="4" w:space="0"/>
              <w:bottom w:val="single" w:color="FFFFFF" w:themeColor="background1" w:sz="12" w:space="0"/>
              <w:right w:val="single" w:color="auto" w:sz="4" w:space="0"/>
            </w:tcBorders>
            <w:shd w:val="clear" w:color="auto" w:fill="0A357E"/>
            <w:textDirection w:val="btLr"/>
          </w:tcPr>
          <w:p w:rsidRPr="004414CA" w:rsidR="00C8773B" w:rsidP="00967C80" w:rsidRDefault="00C8773B" w14:paraId="6E7D783B" w14:textId="77777777">
            <w:pPr>
              <w:pStyle w:val="Tableheader"/>
              <w:rPr>
                <w:rFonts w:asciiTheme="minorHAnsi" w:hAnsiTheme="minorHAnsi" w:eastAsiaTheme="minorHAnsi" w:cstheme="minorHAnsi"/>
              </w:rPr>
            </w:pPr>
          </w:p>
        </w:tc>
      </w:tr>
      <w:tr w:rsidRPr="004414CA" w:rsidR="0030289F" w:rsidTr="00672E00" w14:paraId="47E9B51A" w14:textId="77777777">
        <w:trPr>
          <w:cantSplit/>
          <w:trHeight w:val="1008"/>
        </w:trPr>
        <w:tc>
          <w:tcPr>
            <w:tcW w:w="1800" w:type="dxa"/>
            <w:vMerge w:val="restart"/>
            <w:tcBorders>
              <w:top w:val="nil"/>
              <w:left w:val="single" w:color="auto" w:sz="4" w:space="0"/>
              <w:bottom w:val="single" w:color="auto" w:sz="8" w:space="0"/>
              <w:right w:val="single" w:color="auto" w:sz="8" w:space="0"/>
            </w:tcBorders>
            <w:tcMar>
              <w:top w:w="0" w:type="dxa"/>
              <w:left w:w="108" w:type="dxa"/>
              <w:bottom w:w="0" w:type="dxa"/>
              <w:right w:w="108" w:type="dxa"/>
            </w:tcMar>
          </w:tcPr>
          <w:p w:rsidRPr="004414CA" w:rsidR="0030289F" w:rsidP="00B70C85" w:rsidRDefault="00CF09F6" w14:paraId="33C0F5F1" w14:textId="572B5164">
            <w:pPr>
              <w:pStyle w:val="table-text"/>
              <w:rPr>
                <w:rFonts w:asciiTheme="minorHAnsi" w:hAnsiTheme="minorHAnsi" w:cstheme="minorHAnsi"/>
              </w:rPr>
            </w:pPr>
            <w:r>
              <w:rPr>
                <w:rFonts w:asciiTheme="minorHAnsi" w:hAnsiTheme="minorHAnsi" w:cstheme="minorHAnsi"/>
              </w:rPr>
              <w:t xml:space="preserve">4. </w:t>
            </w:r>
            <w:r w:rsidR="00270380">
              <w:rPr>
                <w:rFonts w:asciiTheme="minorHAnsi" w:hAnsiTheme="minorHAnsi" w:cstheme="minorHAnsi"/>
              </w:rPr>
              <w:t>To what extent, if any, did</w:t>
            </w:r>
            <w:r w:rsidR="001F2EB4">
              <w:rPr>
                <w:rFonts w:asciiTheme="minorHAnsi" w:hAnsiTheme="minorHAnsi" w:cstheme="minorHAnsi"/>
              </w:rPr>
              <w:t xml:space="preserve"> KidneyX </w:t>
            </w:r>
            <w:r w:rsidR="00672E00">
              <w:rPr>
                <w:rFonts w:asciiTheme="minorHAnsi" w:hAnsiTheme="minorHAnsi" w:cstheme="minorHAnsi"/>
              </w:rPr>
              <w:t>support</w:t>
            </w:r>
            <w:r w:rsidR="001F2EB4">
              <w:rPr>
                <w:rFonts w:asciiTheme="minorHAnsi" w:hAnsiTheme="minorHAnsi" w:cstheme="minorHAnsi"/>
              </w:rPr>
              <w:t xml:space="preserve"> innovations that integrate patient and caregiver needs and concerns?</w:t>
            </w:r>
          </w:p>
        </w:tc>
        <w:tc>
          <w:tcPr>
            <w:tcW w:w="357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1F2EB4" w14:paraId="0CA7EFDA" w14:textId="7E106454">
            <w:pPr>
              <w:pStyle w:val="table-text"/>
              <w:numPr>
                <w:ilvl w:val="0"/>
                <w:numId w:val="22"/>
              </w:numPr>
              <w:ind w:left="337" w:hanging="337"/>
              <w:rPr>
                <w:rFonts w:asciiTheme="minorHAnsi" w:hAnsiTheme="minorHAnsi" w:cstheme="minorHAnsi"/>
              </w:rPr>
            </w:pPr>
            <w:r>
              <w:rPr>
                <w:rFonts w:asciiTheme="minorHAnsi" w:hAnsiTheme="minorHAnsi" w:cstheme="minorHAnsi"/>
              </w:rPr>
              <w:t>Nature and degree of patient and caregiver influence on innovations from KidneyX participants</w:t>
            </w:r>
          </w:p>
        </w:tc>
        <w:tc>
          <w:tcPr>
            <w:tcW w:w="621" w:type="dxa"/>
            <w:tcBorders>
              <w:top w:val="nil"/>
              <w:left w:val="nil"/>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21A934BF" w14:textId="77777777">
            <w:pPr>
              <w:jc w:val="center"/>
              <w:rPr>
                <w:rFonts w:ascii="Arial" w:hAnsi="Arial" w:cs="Arial"/>
              </w:rPr>
            </w:pPr>
            <w:r w:rsidRPr="00EB78E3">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73593FDA" w14:textId="77777777">
            <w:pPr>
              <w:jc w:val="center"/>
              <w:rPr>
                <w:rFonts w:ascii="Arial" w:hAnsi="Arial" w:cs="Arial"/>
              </w:rPr>
            </w:pPr>
          </w:p>
        </w:tc>
        <w:tc>
          <w:tcPr>
            <w:tcW w:w="538" w:type="dxa"/>
            <w:tcBorders>
              <w:top w:val="nil"/>
              <w:left w:val="nil"/>
              <w:bottom w:val="single" w:color="auto" w:sz="8" w:space="0"/>
              <w:right w:val="single" w:color="auto" w:sz="4" w:space="0"/>
            </w:tcBorders>
            <w:tcMar>
              <w:top w:w="0" w:type="dxa"/>
              <w:left w:w="108" w:type="dxa"/>
              <w:bottom w:w="0" w:type="dxa"/>
              <w:right w:w="108" w:type="dxa"/>
            </w:tcMar>
          </w:tcPr>
          <w:p w:rsidRPr="00EB78E3" w:rsidR="0030289F" w:rsidP="00B70C85" w:rsidRDefault="0030289F" w14:paraId="41F37E70"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vAlign w:val="center"/>
          </w:tcPr>
          <w:p w:rsidRPr="00EB78E3" w:rsidR="0030289F" w:rsidP="0030289F" w:rsidRDefault="0030289F" w14:paraId="533A1B2F"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B78E3" w:rsidR="0030289F" w:rsidP="0030289F" w:rsidRDefault="0030289F" w14:paraId="35466C6C" w14:textId="4C3CCABA">
            <w:pPr>
              <w:jc w:val="center"/>
              <w:rPr>
                <w:rFonts w:ascii="Arial" w:hAnsi="Arial" w:cs="Arial"/>
              </w:rPr>
            </w:pPr>
            <w:r w:rsidRPr="00EB78E3">
              <w:rPr>
                <w:rFonts w:ascii="Arial" w:hAnsi="Arial" w:cs="Arial"/>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69BA4DFD" w14:textId="77777777">
            <w:pPr>
              <w:jc w:val="center"/>
              <w:rPr>
                <w:rFonts w:ascii="Arial" w:hAnsi="Arial" w:cs="Arial"/>
              </w:rPr>
            </w:pPr>
          </w:p>
        </w:tc>
        <w:tc>
          <w:tcPr>
            <w:tcW w:w="529" w:type="dxa"/>
            <w:tcBorders>
              <w:top w:val="nil"/>
              <w:left w:val="nil"/>
              <w:bottom w:val="single" w:color="auto" w:sz="8" w:space="0"/>
              <w:right w:val="single" w:color="auto" w:sz="8" w:space="0"/>
            </w:tcBorders>
          </w:tcPr>
          <w:p w:rsidRPr="00EB78E3" w:rsidR="0030289F" w:rsidP="00B70C85" w:rsidRDefault="0030289F" w14:paraId="2B4ECC30" w14:textId="77777777">
            <w:pPr>
              <w:jc w:val="center"/>
              <w:rPr>
                <w:rFonts w:ascii="Arial" w:hAnsi="Arial" w:cs="Arial"/>
              </w:rPr>
            </w:pPr>
          </w:p>
        </w:tc>
        <w:tc>
          <w:tcPr>
            <w:tcW w:w="611" w:type="dxa"/>
            <w:tcBorders>
              <w:top w:val="nil"/>
              <w:left w:val="nil"/>
              <w:bottom w:val="single" w:color="auto" w:sz="8" w:space="0"/>
              <w:right w:val="single" w:color="auto" w:sz="4" w:space="0"/>
            </w:tcBorders>
          </w:tcPr>
          <w:p w:rsidRPr="00EB78E3" w:rsidR="0030289F" w:rsidP="00B70C85" w:rsidRDefault="0030289F" w14:paraId="08FC08C9" w14:textId="77777777">
            <w:pPr>
              <w:jc w:val="center"/>
              <w:rPr>
                <w:rFonts w:ascii="Arial" w:hAnsi="Arial" w:cs="Arial"/>
              </w:rPr>
            </w:pPr>
          </w:p>
        </w:tc>
      </w:tr>
      <w:tr w:rsidRPr="004414CA" w:rsidR="0030289F" w:rsidTr="00672E00" w14:paraId="7BA2BA8F" w14:textId="77777777">
        <w:trPr>
          <w:cantSplit/>
          <w:trHeight w:val="1008"/>
        </w:trPr>
        <w:tc>
          <w:tcPr>
            <w:tcW w:w="1800" w:type="dxa"/>
            <w:vMerge/>
            <w:tcBorders>
              <w:top w:val="nil"/>
              <w:left w:val="single" w:color="auto" w:sz="4" w:space="0"/>
              <w:bottom w:val="single" w:color="auto" w:sz="8" w:space="0"/>
              <w:right w:val="single" w:color="auto" w:sz="8" w:space="0"/>
            </w:tcBorders>
          </w:tcPr>
          <w:p w:rsidRPr="004414CA" w:rsidR="0030289F" w:rsidP="00B70C85" w:rsidRDefault="0030289F" w14:paraId="6BD5751E" w14:textId="77777777">
            <w:pPr>
              <w:pStyle w:val="table-text"/>
              <w:rPr>
                <w:rFonts w:asciiTheme="minorHAnsi" w:hAnsiTheme="minorHAnsi" w:eastAsiaTheme="minorHAnsi" w:cstheme="minorHAnsi"/>
              </w:rPr>
            </w:pPr>
          </w:p>
        </w:tc>
        <w:tc>
          <w:tcPr>
            <w:tcW w:w="3575"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FE1639" w:rsidRDefault="001F2EB4" w14:paraId="76FAF575" w14:textId="5D16C5C5">
            <w:pPr>
              <w:pStyle w:val="table-text"/>
              <w:numPr>
                <w:ilvl w:val="0"/>
                <w:numId w:val="22"/>
              </w:numPr>
              <w:ind w:left="337" w:hanging="337"/>
              <w:rPr>
                <w:rFonts w:asciiTheme="minorHAnsi" w:hAnsiTheme="minorHAnsi" w:cstheme="minorHAnsi"/>
              </w:rPr>
            </w:pPr>
            <w:r>
              <w:rPr>
                <w:rFonts w:asciiTheme="minorHAnsi" w:hAnsiTheme="minorHAnsi" w:cstheme="minorHAnsi"/>
              </w:rPr>
              <w:t>Degree to which KidneyX participants increased their understanding of patient and caregiver needs and concerns</w:t>
            </w:r>
          </w:p>
        </w:tc>
        <w:tc>
          <w:tcPr>
            <w:tcW w:w="621" w:type="dxa"/>
            <w:tcBorders>
              <w:top w:val="nil"/>
              <w:left w:val="nil"/>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14A7898F" w14:textId="77777777">
            <w:pPr>
              <w:jc w:val="center"/>
              <w:rPr>
                <w:rFonts w:ascii="Arial" w:hAnsi="Arial" w:cs="Arial"/>
              </w:rPr>
            </w:pPr>
            <w:r w:rsidRPr="00EB78E3">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7A54F6C2" w14:textId="77777777">
            <w:pPr>
              <w:jc w:val="center"/>
              <w:rPr>
                <w:rFonts w:ascii="Arial" w:hAnsi="Arial" w:cs="Arial"/>
              </w:rPr>
            </w:pPr>
            <w:r w:rsidRPr="00EB78E3">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tcPr>
          <w:p w:rsidRPr="00EB78E3" w:rsidR="0030289F" w:rsidP="00B70C85" w:rsidRDefault="0030289F" w14:paraId="288B5914" w14:textId="77777777">
            <w:pPr>
              <w:jc w:val="center"/>
              <w:rPr>
                <w:rFonts w:ascii="Arial" w:hAnsi="Arial" w:cs="Arial"/>
              </w:rPr>
            </w:pPr>
            <w:r w:rsidRPr="00EB78E3">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Pr="00EB78E3" w:rsidR="0030289F" w:rsidP="0030289F" w:rsidRDefault="0030289F" w14:paraId="4A3459A5"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B78E3" w:rsidR="0030289F" w:rsidP="0030289F" w:rsidRDefault="0030289F" w14:paraId="04E51DA0" w14:textId="7731BD34">
            <w:pPr>
              <w:jc w:val="center"/>
              <w:rPr>
                <w:rFonts w:ascii="Arial" w:hAnsi="Arial" w:cs="Arial"/>
              </w:rPr>
            </w:pP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64AE2FEE" w14:textId="77777777">
            <w:pPr>
              <w:jc w:val="center"/>
              <w:rPr>
                <w:rFonts w:ascii="Arial" w:hAnsi="Arial" w:cs="Arial"/>
              </w:rPr>
            </w:pPr>
            <w:r w:rsidRPr="00EB78E3">
              <w:rPr>
                <w:rFonts w:ascii="Arial" w:hAnsi="Arial" w:cs="Arial"/>
              </w:rPr>
              <w:t>X</w:t>
            </w:r>
          </w:p>
        </w:tc>
        <w:tc>
          <w:tcPr>
            <w:tcW w:w="529" w:type="dxa"/>
            <w:tcBorders>
              <w:top w:val="nil"/>
              <w:left w:val="nil"/>
              <w:bottom w:val="single" w:color="auto" w:sz="8" w:space="0"/>
              <w:right w:val="single" w:color="auto" w:sz="8" w:space="0"/>
            </w:tcBorders>
          </w:tcPr>
          <w:p w:rsidRPr="00EB78E3" w:rsidR="0030289F" w:rsidP="00B70C85" w:rsidRDefault="0030289F" w14:paraId="0971AF21" w14:textId="77777777">
            <w:pPr>
              <w:jc w:val="center"/>
              <w:rPr>
                <w:rFonts w:ascii="Arial" w:hAnsi="Arial" w:cs="Arial"/>
              </w:rPr>
            </w:pPr>
            <w:r w:rsidRPr="00EB78E3">
              <w:rPr>
                <w:rFonts w:ascii="Arial" w:hAnsi="Arial" w:cs="Arial"/>
              </w:rPr>
              <w:t>X</w:t>
            </w:r>
          </w:p>
        </w:tc>
        <w:tc>
          <w:tcPr>
            <w:tcW w:w="611" w:type="dxa"/>
            <w:tcBorders>
              <w:top w:val="nil"/>
              <w:left w:val="nil"/>
              <w:bottom w:val="single" w:color="auto" w:sz="8" w:space="0"/>
              <w:right w:val="single" w:color="auto" w:sz="4" w:space="0"/>
            </w:tcBorders>
          </w:tcPr>
          <w:p w:rsidRPr="00EB78E3" w:rsidR="0030289F" w:rsidP="00B70C85" w:rsidRDefault="0030289F" w14:paraId="69584D84" w14:textId="77777777">
            <w:pPr>
              <w:jc w:val="center"/>
              <w:rPr>
                <w:rFonts w:ascii="Arial" w:hAnsi="Arial" w:cs="Arial"/>
              </w:rPr>
            </w:pPr>
          </w:p>
        </w:tc>
      </w:tr>
      <w:tr w:rsidRPr="004414CA" w:rsidR="0030289F" w:rsidTr="00672E00" w14:paraId="00264944" w14:textId="77777777">
        <w:trPr>
          <w:cantSplit/>
          <w:trHeight w:val="1008"/>
        </w:trPr>
        <w:tc>
          <w:tcPr>
            <w:tcW w:w="1800" w:type="dxa"/>
            <w:vMerge/>
            <w:tcBorders>
              <w:top w:val="nil"/>
              <w:left w:val="single" w:color="auto" w:sz="4" w:space="0"/>
              <w:bottom w:val="single" w:color="auto" w:sz="8" w:space="0"/>
              <w:right w:val="single" w:color="auto" w:sz="8" w:space="0"/>
            </w:tcBorders>
            <w:hideMark/>
          </w:tcPr>
          <w:p w:rsidRPr="004414CA" w:rsidR="0030289F" w:rsidP="00B70C85" w:rsidRDefault="0030289F" w14:paraId="2CDBF896" w14:textId="77777777">
            <w:pPr>
              <w:pStyle w:val="table-text"/>
              <w:rPr>
                <w:rFonts w:asciiTheme="minorHAnsi" w:hAnsiTheme="minorHAnsi" w:eastAsiaTheme="minorHAnsi" w:cstheme="minorHAnsi"/>
              </w:rPr>
            </w:pPr>
          </w:p>
        </w:tc>
        <w:tc>
          <w:tcPr>
            <w:tcW w:w="357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1F2EB4" w14:paraId="0DDC570E" w14:textId="6123ABC9">
            <w:pPr>
              <w:pStyle w:val="table-text"/>
              <w:numPr>
                <w:ilvl w:val="0"/>
                <w:numId w:val="22"/>
              </w:numPr>
              <w:ind w:left="337" w:hanging="337"/>
              <w:rPr>
                <w:rFonts w:asciiTheme="minorHAnsi" w:hAnsiTheme="minorHAnsi" w:cstheme="minorHAnsi"/>
              </w:rPr>
            </w:pPr>
            <w:r>
              <w:rPr>
                <w:rFonts w:asciiTheme="minorHAnsi" w:hAnsiTheme="minorHAnsi" w:cstheme="minorHAnsi"/>
              </w:rPr>
              <w:t>Degree to which KidneyX participants continued to involve patients and caregivers in the innovation process</w:t>
            </w:r>
          </w:p>
        </w:tc>
        <w:tc>
          <w:tcPr>
            <w:tcW w:w="621" w:type="dxa"/>
            <w:tcBorders>
              <w:top w:val="nil"/>
              <w:left w:val="nil"/>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59046F47" w14:textId="77777777">
            <w:pPr>
              <w:jc w:val="center"/>
              <w:rPr>
                <w:rFonts w:ascii="Arial" w:hAnsi="Arial" w:cs="Arial"/>
              </w:rPr>
            </w:pPr>
            <w:r w:rsidRPr="00EB78E3">
              <w:rPr>
                <w:rFonts w:ascii="Arial" w:hAnsi="Arial" w:cs="Arial"/>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1A2DE3AB" w14:textId="77777777">
            <w:pPr>
              <w:jc w:val="center"/>
              <w:rPr>
                <w:rFonts w:ascii="Arial" w:hAnsi="Arial" w:cs="Arial"/>
              </w:rPr>
            </w:pPr>
            <w:r w:rsidRPr="00EB78E3">
              <w:rPr>
                <w:rFonts w:ascii="Arial" w:hAnsi="Arial" w:cs="Arial"/>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tcPr>
          <w:p w:rsidRPr="00EB78E3" w:rsidR="0030289F" w:rsidP="00B70C85" w:rsidRDefault="0030289F" w14:paraId="6D83C7AC" w14:textId="77777777">
            <w:pPr>
              <w:jc w:val="center"/>
              <w:rPr>
                <w:rFonts w:ascii="Arial" w:hAnsi="Arial" w:cs="Arial"/>
              </w:rPr>
            </w:pPr>
            <w:r w:rsidRPr="00EB78E3">
              <w:rPr>
                <w:rFonts w:ascii="Arial" w:hAnsi="Arial" w:cs="Arial"/>
              </w:rPr>
              <w:t>X</w:t>
            </w:r>
          </w:p>
        </w:tc>
        <w:tc>
          <w:tcPr>
            <w:tcW w:w="621" w:type="dxa"/>
            <w:tcBorders>
              <w:top w:val="single" w:color="auto" w:sz="4" w:space="0"/>
              <w:left w:val="single" w:color="auto" w:sz="4" w:space="0"/>
              <w:bottom w:val="single" w:color="auto" w:sz="4" w:space="0"/>
              <w:right w:val="single" w:color="auto" w:sz="4" w:space="0"/>
            </w:tcBorders>
            <w:vAlign w:val="center"/>
          </w:tcPr>
          <w:p w:rsidRPr="00EB78E3" w:rsidR="0030289F" w:rsidP="0030289F" w:rsidRDefault="0030289F" w14:paraId="598F280E" w14:textId="77777777">
            <w:pPr>
              <w:jc w:val="center"/>
              <w:rPr>
                <w:rFonts w:ascii="Arial" w:hAnsi="Arial" w:cs="Arial"/>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B78E3" w:rsidR="0030289F" w:rsidP="0030289F" w:rsidRDefault="0030289F" w14:paraId="7390064B" w14:textId="555FDC31">
            <w:pPr>
              <w:jc w:val="center"/>
              <w:rPr>
                <w:rFonts w:ascii="Arial" w:hAnsi="Arial" w:cs="Arial"/>
              </w:rPr>
            </w:pP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EB78E3" w:rsidR="0030289F" w:rsidP="00B70C85" w:rsidRDefault="0030289F" w14:paraId="774E7257" w14:textId="77777777">
            <w:pPr>
              <w:jc w:val="center"/>
              <w:rPr>
                <w:rFonts w:ascii="Arial" w:hAnsi="Arial" w:cs="Arial"/>
              </w:rPr>
            </w:pPr>
            <w:r w:rsidRPr="00EB78E3">
              <w:rPr>
                <w:rFonts w:ascii="Arial" w:hAnsi="Arial" w:cs="Arial"/>
              </w:rPr>
              <w:t>X</w:t>
            </w:r>
          </w:p>
        </w:tc>
        <w:tc>
          <w:tcPr>
            <w:tcW w:w="529" w:type="dxa"/>
            <w:tcBorders>
              <w:top w:val="nil"/>
              <w:left w:val="nil"/>
              <w:bottom w:val="single" w:color="auto" w:sz="8" w:space="0"/>
              <w:right w:val="single" w:color="auto" w:sz="8" w:space="0"/>
            </w:tcBorders>
          </w:tcPr>
          <w:p w:rsidRPr="00EB78E3" w:rsidR="0030289F" w:rsidP="00B70C85" w:rsidRDefault="0030289F" w14:paraId="178560A1" w14:textId="77777777">
            <w:pPr>
              <w:jc w:val="center"/>
              <w:rPr>
                <w:rFonts w:ascii="Arial" w:hAnsi="Arial" w:cs="Arial"/>
              </w:rPr>
            </w:pPr>
            <w:r w:rsidRPr="00EB78E3">
              <w:rPr>
                <w:rFonts w:ascii="Arial" w:hAnsi="Arial" w:cs="Arial"/>
              </w:rPr>
              <w:t>X</w:t>
            </w:r>
          </w:p>
        </w:tc>
        <w:tc>
          <w:tcPr>
            <w:tcW w:w="611" w:type="dxa"/>
            <w:tcBorders>
              <w:top w:val="nil"/>
              <w:left w:val="nil"/>
              <w:bottom w:val="single" w:color="auto" w:sz="8" w:space="0"/>
              <w:right w:val="single" w:color="auto" w:sz="4" w:space="0"/>
            </w:tcBorders>
          </w:tcPr>
          <w:p w:rsidRPr="00EB78E3" w:rsidR="0030289F" w:rsidP="00B70C85" w:rsidRDefault="0030289F" w14:paraId="72D8BF0D" w14:textId="77777777">
            <w:pPr>
              <w:jc w:val="center"/>
              <w:rPr>
                <w:rFonts w:ascii="Arial" w:hAnsi="Arial" w:cs="Arial"/>
              </w:rPr>
            </w:pPr>
          </w:p>
        </w:tc>
      </w:tr>
      <w:tr w:rsidRPr="004414CA" w:rsidR="0030289F" w:rsidTr="00672E00" w14:paraId="72380831" w14:textId="77777777">
        <w:trPr>
          <w:cantSplit/>
          <w:trHeight w:val="1008"/>
        </w:trPr>
        <w:tc>
          <w:tcPr>
            <w:tcW w:w="1800" w:type="dxa"/>
            <w:vMerge/>
            <w:tcBorders>
              <w:top w:val="nil"/>
              <w:left w:val="single" w:color="auto" w:sz="4" w:space="0"/>
              <w:bottom w:val="single" w:color="auto" w:sz="8" w:space="0"/>
              <w:right w:val="single" w:color="auto" w:sz="8" w:space="0"/>
            </w:tcBorders>
            <w:hideMark/>
          </w:tcPr>
          <w:p w:rsidRPr="004414CA" w:rsidR="0030289F" w:rsidP="00B70C85" w:rsidRDefault="0030289F" w14:paraId="57D56CC6" w14:textId="77777777">
            <w:pPr>
              <w:pStyle w:val="table-text"/>
              <w:rPr>
                <w:rFonts w:asciiTheme="minorHAnsi" w:hAnsiTheme="minorHAnsi" w:eastAsiaTheme="minorHAnsi" w:cstheme="minorHAnsi"/>
              </w:rPr>
            </w:pPr>
          </w:p>
        </w:tc>
        <w:tc>
          <w:tcPr>
            <w:tcW w:w="357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1F2EB4" w14:paraId="31BAD52E" w14:textId="27D840D2">
            <w:pPr>
              <w:pStyle w:val="table-text"/>
              <w:numPr>
                <w:ilvl w:val="0"/>
                <w:numId w:val="22"/>
              </w:numPr>
              <w:ind w:left="337" w:hanging="337"/>
              <w:rPr>
                <w:rFonts w:asciiTheme="minorHAnsi" w:hAnsiTheme="minorHAnsi" w:cstheme="minorHAnsi"/>
              </w:rPr>
            </w:pPr>
            <w:r>
              <w:rPr>
                <w:rFonts w:asciiTheme="minorHAnsi" w:hAnsiTheme="minorHAnsi" w:cstheme="minorHAnsi"/>
              </w:rPr>
              <w:t>Degree to which solutions from KidneyX participants aligned with patient and caregiver needs and priorities</w:t>
            </w:r>
          </w:p>
        </w:tc>
        <w:tc>
          <w:tcPr>
            <w:tcW w:w="621"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B70C85" w:rsidRDefault="0030289F" w14:paraId="67910121" w14:textId="77777777">
            <w:pPr>
              <w:jc w:val="center"/>
              <w:rPr>
                <w:rFonts w:cstheme="minorHAnsi"/>
              </w:rPr>
            </w:pPr>
            <w:r w:rsidRPr="004414CA">
              <w:rPr>
                <w:rFonts w:cstheme="minorHAnsi"/>
              </w:rPr>
              <w:t>X</w:t>
            </w:r>
          </w:p>
        </w:tc>
        <w:tc>
          <w:tcPr>
            <w:tcW w:w="522" w:type="dxa"/>
            <w:tcBorders>
              <w:top w:val="nil"/>
              <w:left w:val="nil"/>
              <w:bottom w:val="single" w:color="auto" w:sz="8" w:space="0"/>
              <w:right w:val="single" w:color="auto" w:sz="8" w:space="0"/>
            </w:tcBorders>
            <w:tcMar>
              <w:top w:w="0" w:type="dxa"/>
              <w:left w:w="108" w:type="dxa"/>
              <w:bottom w:w="0" w:type="dxa"/>
              <w:right w:w="108" w:type="dxa"/>
            </w:tcMar>
          </w:tcPr>
          <w:p w:rsidRPr="004414CA" w:rsidR="0030289F" w:rsidP="00B70C85" w:rsidRDefault="0030289F" w14:paraId="40E52A67" w14:textId="77777777">
            <w:pPr>
              <w:jc w:val="center"/>
              <w:rPr>
                <w:rFonts w:cstheme="minorHAnsi"/>
              </w:rPr>
            </w:pPr>
          </w:p>
        </w:tc>
        <w:tc>
          <w:tcPr>
            <w:tcW w:w="538" w:type="dxa"/>
            <w:tcBorders>
              <w:top w:val="nil"/>
              <w:left w:val="nil"/>
              <w:bottom w:val="single" w:color="auto" w:sz="8" w:space="0"/>
              <w:right w:val="single" w:color="auto" w:sz="4" w:space="0"/>
            </w:tcBorders>
            <w:tcMar>
              <w:top w:w="0" w:type="dxa"/>
              <w:left w:w="108" w:type="dxa"/>
              <w:bottom w:w="0" w:type="dxa"/>
              <w:right w:w="108" w:type="dxa"/>
            </w:tcMar>
          </w:tcPr>
          <w:p w:rsidRPr="004414CA" w:rsidR="0030289F" w:rsidP="00B70C85" w:rsidRDefault="0030289F" w14:paraId="32987BF9" w14:textId="77777777">
            <w:pPr>
              <w:jc w:val="center"/>
              <w:rPr>
                <w:rFonts w:cstheme="minorHAnsi"/>
              </w:rPr>
            </w:pPr>
          </w:p>
        </w:tc>
        <w:tc>
          <w:tcPr>
            <w:tcW w:w="621" w:type="dxa"/>
            <w:tcBorders>
              <w:top w:val="single" w:color="auto" w:sz="4" w:space="0"/>
              <w:left w:val="single" w:color="auto" w:sz="4" w:space="0"/>
              <w:bottom w:val="single" w:color="auto" w:sz="4" w:space="0"/>
              <w:right w:val="single" w:color="auto" w:sz="4" w:space="0"/>
            </w:tcBorders>
            <w:vAlign w:val="center"/>
          </w:tcPr>
          <w:p w:rsidRPr="004414CA" w:rsidR="0030289F" w:rsidP="0030289F" w:rsidRDefault="0030289F" w14:paraId="01AC6572" w14:textId="77777777">
            <w:pPr>
              <w:jc w:val="center"/>
              <w:rPr>
                <w:rFonts w:cstheme="minorHAnsi"/>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1ED8CF09" w14:textId="64007C46">
            <w:pPr>
              <w:jc w:val="center"/>
              <w:rPr>
                <w:rFonts w:cstheme="minorHAnsi"/>
              </w:rPr>
            </w:pP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4414CA" w:rsidR="0030289F" w:rsidP="00B70C85" w:rsidRDefault="0030289F" w14:paraId="7E8B3BFF" w14:textId="77777777">
            <w:pPr>
              <w:jc w:val="center"/>
              <w:rPr>
                <w:rFonts w:cstheme="minorHAnsi"/>
              </w:rPr>
            </w:pPr>
          </w:p>
        </w:tc>
        <w:tc>
          <w:tcPr>
            <w:tcW w:w="529" w:type="dxa"/>
            <w:tcBorders>
              <w:top w:val="nil"/>
              <w:left w:val="nil"/>
              <w:bottom w:val="single" w:color="auto" w:sz="8" w:space="0"/>
              <w:right w:val="single" w:color="auto" w:sz="8" w:space="0"/>
            </w:tcBorders>
          </w:tcPr>
          <w:p w:rsidRPr="004414CA" w:rsidR="0030289F" w:rsidP="00B70C85" w:rsidRDefault="0030289F" w14:paraId="3E899A86" w14:textId="77777777">
            <w:pPr>
              <w:jc w:val="center"/>
              <w:rPr>
                <w:rFonts w:cstheme="minorHAnsi"/>
              </w:rPr>
            </w:pPr>
          </w:p>
        </w:tc>
        <w:tc>
          <w:tcPr>
            <w:tcW w:w="611" w:type="dxa"/>
            <w:tcBorders>
              <w:top w:val="nil"/>
              <w:left w:val="nil"/>
              <w:bottom w:val="single" w:color="auto" w:sz="8" w:space="0"/>
              <w:right w:val="single" w:color="auto" w:sz="4" w:space="0"/>
            </w:tcBorders>
          </w:tcPr>
          <w:p w:rsidRPr="004414CA" w:rsidR="0030289F" w:rsidP="00B70C85" w:rsidRDefault="0030289F" w14:paraId="3FF9EE4E" w14:textId="77777777">
            <w:pPr>
              <w:jc w:val="center"/>
              <w:rPr>
                <w:rFonts w:cstheme="minorHAnsi"/>
              </w:rPr>
            </w:pPr>
          </w:p>
        </w:tc>
      </w:tr>
      <w:tr w:rsidRPr="004414CA" w:rsidR="0030289F" w:rsidTr="00672E00" w14:paraId="6ECFED56" w14:textId="77777777">
        <w:trPr>
          <w:cantSplit/>
          <w:trHeight w:val="1008"/>
        </w:trPr>
        <w:tc>
          <w:tcPr>
            <w:tcW w:w="1800" w:type="dxa"/>
            <w:vMerge w:val="restart"/>
            <w:tcBorders>
              <w:top w:val="nil"/>
              <w:left w:val="single" w:color="auto" w:sz="4" w:space="0"/>
              <w:bottom w:val="single" w:color="auto" w:sz="8" w:space="0"/>
              <w:right w:val="single" w:color="auto" w:sz="8" w:space="0"/>
            </w:tcBorders>
            <w:tcMar>
              <w:top w:w="0" w:type="dxa"/>
              <w:left w:w="108" w:type="dxa"/>
              <w:bottom w:w="0" w:type="dxa"/>
              <w:right w:w="108" w:type="dxa"/>
            </w:tcMar>
          </w:tcPr>
          <w:p w:rsidRPr="004414CA" w:rsidR="0030289F" w:rsidP="00B70C85" w:rsidRDefault="00CF09F6" w14:paraId="6A9F222E" w14:textId="258C9B9C">
            <w:pPr>
              <w:pStyle w:val="table-text"/>
              <w:rPr>
                <w:rFonts w:asciiTheme="minorHAnsi" w:hAnsiTheme="minorHAnsi" w:cstheme="minorHAnsi"/>
              </w:rPr>
            </w:pPr>
            <w:r>
              <w:rPr>
                <w:rFonts w:asciiTheme="minorHAnsi" w:hAnsiTheme="minorHAnsi" w:cstheme="minorHAnsi"/>
              </w:rPr>
              <w:t>5.</w:t>
            </w:r>
            <w:r w:rsidR="001F28EC">
              <w:rPr>
                <w:rFonts w:asciiTheme="minorHAnsi" w:hAnsiTheme="minorHAnsi" w:cstheme="minorHAnsi"/>
              </w:rPr>
              <w:t>To what extent, if any, did</w:t>
            </w:r>
            <w:r w:rsidR="001F2EB4">
              <w:rPr>
                <w:rFonts w:asciiTheme="minorHAnsi" w:hAnsiTheme="minorHAnsi" w:cstheme="minorHAnsi"/>
              </w:rPr>
              <w:t xml:space="preserve"> KidneyX generate interest and awareness in kidney technology and innovation </w:t>
            </w:r>
            <w:r w:rsidR="00691930">
              <w:rPr>
                <w:rFonts w:asciiTheme="minorHAnsi" w:hAnsiTheme="minorHAnsi" w:cstheme="minorHAnsi"/>
              </w:rPr>
              <w:t>from those outside the kidney domain?</w:t>
            </w:r>
          </w:p>
          <w:p w:rsidRPr="004414CA" w:rsidR="0030289F" w:rsidP="00B70C85" w:rsidRDefault="0030289F" w14:paraId="75EF2B94" w14:textId="77777777">
            <w:pPr>
              <w:pStyle w:val="table-text"/>
              <w:rPr>
                <w:rFonts w:asciiTheme="minorHAnsi" w:hAnsiTheme="minorHAnsi" w:cstheme="minorHAnsi"/>
              </w:rPr>
            </w:pPr>
          </w:p>
        </w:tc>
        <w:tc>
          <w:tcPr>
            <w:tcW w:w="357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691930" w14:paraId="7367CA0B" w14:textId="1E39D39F">
            <w:pPr>
              <w:pStyle w:val="table-text"/>
              <w:numPr>
                <w:ilvl w:val="0"/>
                <w:numId w:val="22"/>
              </w:numPr>
              <w:ind w:left="337" w:hanging="337"/>
              <w:rPr>
                <w:rFonts w:asciiTheme="minorHAnsi" w:hAnsiTheme="minorHAnsi" w:cstheme="minorHAnsi"/>
              </w:rPr>
            </w:pPr>
            <w:r>
              <w:rPr>
                <w:rFonts w:asciiTheme="minorHAnsi" w:hAnsiTheme="minorHAnsi" w:cstheme="minorHAnsi"/>
              </w:rPr>
              <w:t xml:space="preserve">Additional funding invested in kidney innovation </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B70C85" w:rsidRDefault="0030289F" w14:paraId="6FBEFCCF" w14:textId="77777777">
            <w:pPr>
              <w:jc w:val="center"/>
              <w:rPr>
                <w:rFonts w:cstheme="minorHAnsi"/>
              </w:rPr>
            </w:pP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B70C85" w:rsidRDefault="0030289F" w14:paraId="0CF571EF" w14:textId="77777777">
            <w:pPr>
              <w:jc w:val="center"/>
              <w:rPr>
                <w:rFonts w:cstheme="minorHAnsi"/>
              </w:rPr>
            </w:pPr>
            <w:r w:rsidRPr="004414CA">
              <w:rPr>
                <w:rFonts w:cstheme="minorHAnsi"/>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B70C85" w:rsidRDefault="0030289F" w14:paraId="3F20A47B" w14:textId="77777777">
            <w:pPr>
              <w:jc w:val="center"/>
              <w:rPr>
                <w:rFonts w:cstheme="minorHAnsi"/>
              </w:rPr>
            </w:pPr>
          </w:p>
        </w:tc>
        <w:tc>
          <w:tcPr>
            <w:tcW w:w="621" w:type="dxa"/>
            <w:tcBorders>
              <w:top w:val="single" w:color="auto" w:sz="4" w:space="0"/>
              <w:left w:val="single" w:color="auto" w:sz="4" w:space="0"/>
              <w:bottom w:val="single" w:color="auto" w:sz="4" w:space="0"/>
              <w:right w:val="single" w:color="auto" w:sz="4" w:space="0"/>
            </w:tcBorders>
            <w:vAlign w:val="center"/>
          </w:tcPr>
          <w:p w:rsidRPr="004414CA" w:rsidR="0030289F" w:rsidP="0030289F" w:rsidRDefault="0030289F" w14:paraId="52ED6DE1" w14:textId="7BF2B0E7">
            <w:pPr>
              <w:jc w:val="center"/>
              <w:rPr>
                <w:rFonts w:cstheme="minorHAnsi"/>
              </w:rPr>
            </w:pPr>
            <w:r>
              <w:rPr>
                <w:rFonts w:cstheme="minorHAnsi"/>
              </w:rPr>
              <w:t>X</w:t>
            </w: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6252E789" w14:textId="4DBC7BFD">
            <w:pPr>
              <w:jc w:val="center"/>
              <w:rPr>
                <w:rFonts w:cstheme="minorHAnsi"/>
              </w:rPr>
            </w:pPr>
            <w:r w:rsidRPr="004414CA">
              <w:rPr>
                <w:rFonts w:cstheme="minorHAnsi"/>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B70C85" w:rsidRDefault="0030289F" w14:paraId="21895F58" w14:textId="77777777">
            <w:pPr>
              <w:jc w:val="center"/>
              <w:rPr>
                <w:rFonts w:cstheme="minorHAnsi"/>
              </w:rPr>
            </w:pPr>
            <w:r w:rsidRPr="004414CA">
              <w:rPr>
                <w:rFonts w:cstheme="minorHAnsi"/>
              </w:rPr>
              <w:t>X</w:t>
            </w:r>
          </w:p>
        </w:tc>
        <w:tc>
          <w:tcPr>
            <w:tcW w:w="529" w:type="dxa"/>
            <w:tcBorders>
              <w:top w:val="nil"/>
              <w:left w:val="nil"/>
              <w:bottom w:val="single" w:color="auto" w:sz="8" w:space="0"/>
              <w:right w:val="single" w:color="auto" w:sz="8" w:space="0"/>
            </w:tcBorders>
            <w:vAlign w:val="center"/>
          </w:tcPr>
          <w:p w:rsidRPr="004414CA" w:rsidR="0030289F" w:rsidP="00B70C85" w:rsidRDefault="0030289F" w14:paraId="2E1B6E03" w14:textId="77777777">
            <w:pPr>
              <w:jc w:val="center"/>
              <w:rPr>
                <w:rFonts w:cstheme="minorHAnsi"/>
              </w:rPr>
            </w:pPr>
          </w:p>
        </w:tc>
        <w:tc>
          <w:tcPr>
            <w:tcW w:w="611" w:type="dxa"/>
            <w:tcBorders>
              <w:top w:val="nil"/>
              <w:left w:val="nil"/>
              <w:bottom w:val="single" w:color="auto" w:sz="8" w:space="0"/>
              <w:right w:val="single" w:color="auto" w:sz="4" w:space="0"/>
            </w:tcBorders>
            <w:vAlign w:val="center"/>
          </w:tcPr>
          <w:p w:rsidRPr="004414CA" w:rsidR="0030289F" w:rsidP="00B70C85" w:rsidRDefault="0030289F" w14:paraId="6D584806" w14:textId="77777777">
            <w:pPr>
              <w:jc w:val="center"/>
              <w:rPr>
                <w:rFonts w:cstheme="minorHAnsi"/>
              </w:rPr>
            </w:pPr>
            <w:r w:rsidRPr="004414CA">
              <w:rPr>
                <w:rFonts w:cstheme="minorHAnsi"/>
              </w:rPr>
              <w:t>X</w:t>
            </w:r>
          </w:p>
        </w:tc>
      </w:tr>
      <w:tr w:rsidRPr="004414CA" w:rsidR="0030289F" w:rsidTr="00672E00" w14:paraId="3E7341F1" w14:textId="77777777">
        <w:trPr>
          <w:cantSplit/>
          <w:trHeight w:val="1008"/>
        </w:trPr>
        <w:tc>
          <w:tcPr>
            <w:tcW w:w="1800" w:type="dxa"/>
            <w:vMerge/>
            <w:tcBorders>
              <w:top w:val="nil"/>
              <w:left w:val="single" w:color="auto" w:sz="4" w:space="0"/>
              <w:bottom w:val="single" w:color="auto" w:sz="8" w:space="0"/>
              <w:right w:val="single" w:color="auto" w:sz="8" w:space="0"/>
            </w:tcBorders>
            <w:vAlign w:val="center"/>
            <w:hideMark/>
          </w:tcPr>
          <w:p w:rsidRPr="004414CA" w:rsidR="0030289F" w:rsidP="00B70C85" w:rsidRDefault="0030289F" w14:paraId="39D0F075" w14:textId="77777777">
            <w:pPr>
              <w:rPr>
                <w:rFonts w:cstheme="minorHAnsi"/>
              </w:rPr>
            </w:pPr>
          </w:p>
        </w:tc>
        <w:tc>
          <w:tcPr>
            <w:tcW w:w="3575" w:type="dxa"/>
            <w:tcBorders>
              <w:top w:val="nil"/>
              <w:left w:val="nil"/>
              <w:bottom w:val="single" w:color="auto" w:sz="8" w:space="0"/>
              <w:right w:val="single" w:color="auto" w:sz="8" w:space="0"/>
            </w:tcBorders>
            <w:tcMar>
              <w:top w:w="0" w:type="dxa"/>
              <w:left w:w="108" w:type="dxa"/>
              <w:bottom w:w="0" w:type="dxa"/>
              <w:right w:w="108" w:type="dxa"/>
            </w:tcMar>
            <w:hideMark/>
          </w:tcPr>
          <w:p w:rsidRPr="004414CA" w:rsidR="0030289F" w:rsidP="00FE1639" w:rsidRDefault="00691930" w14:paraId="1FA587DB" w14:textId="410AB85C">
            <w:pPr>
              <w:pStyle w:val="table-text"/>
              <w:numPr>
                <w:ilvl w:val="0"/>
                <w:numId w:val="22"/>
              </w:numPr>
              <w:ind w:left="337" w:hanging="337"/>
              <w:rPr>
                <w:rFonts w:asciiTheme="minorHAnsi" w:hAnsiTheme="minorHAnsi" w:cstheme="minorHAnsi"/>
              </w:rPr>
            </w:pPr>
            <w:r>
              <w:rPr>
                <w:rFonts w:asciiTheme="minorHAnsi" w:hAnsiTheme="minorHAnsi" w:cstheme="minorHAnsi"/>
              </w:rPr>
              <w:t xml:space="preserve">Change in the scale and speed of innovations in kidney technology from nontraditional innovators </w:t>
            </w:r>
          </w:p>
        </w:tc>
        <w:tc>
          <w:tcPr>
            <w:tcW w:w="6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B70C85" w:rsidRDefault="0030289F" w14:paraId="2C599DBF" w14:textId="77777777">
            <w:pPr>
              <w:jc w:val="center"/>
              <w:rPr>
                <w:rFonts w:cstheme="minorHAnsi"/>
              </w:rPr>
            </w:pPr>
          </w:p>
        </w:tc>
        <w:tc>
          <w:tcPr>
            <w:tcW w:w="522" w:type="dxa"/>
            <w:tcBorders>
              <w:top w:val="nil"/>
              <w:left w:val="nil"/>
              <w:bottom w:val="single" w:color="auto" w:sz="8" w:space="0"/>
              <w:right w:val="single" w:color="auto" w:sz="8" w:space="0"/>
            </w:tcBorders>
            <w:tcMar>
              <w:top w:w="0" w:type="dxa"/>
              <w:left w:w="108" w:type="dxa"/>
              <w:bottom w:w="0" w:type="dxa"/>
              <w:right w:w="108" w:type="dxa"/>
            </w:tcMar>
            <w:vAlign w:val="center"/>
          </w:tcPr>
          <w:p w:rsidRPr="004414CA" w:rsidR="0030289F" w:rsidP="00B70C85" w:rsidRDefault="0030289F" w14:paraId="05058347" w14:textId="77777777">
            <w:pPr>
              <w:jc w:val="center"/>
              <w:rPr>
                <w:rFonts w:cstheme="minorHAnsi"/>
              </w:rPr>
            </w:pPr>
            <w:r w:rsidRPr="004414CA">
              <w:rPr>
                <w:rFonts w:cstheme="minorHAnsi"/>
              </w:rPr>
              <w:t>X</w:t>
            </w:r>
          </w:p>
        </w:tc>
        <w:tc>
          <w:tcPr>
            <w:tcW w:w="538" w:type="dxa"/>
            <w:tcBorders>
              <w:top w:val="nil"/>
              <w:left w:val="nil"/>
              <w:bottom w:val="single" w:color="auto" w:sz="8" w:space="0"/>
              <w:right w:val="single" w:color="auto" w:sz="4" w:space="0"/>
            </w:tcBorders>
            <w:tcMar>
              <w:top w:w="0" w:type="dxa"/>
              <w:left w:w="108" w:type="dxa"/>
              <w:bottom w:w="0" w:type="dxa"/>
              <w:right w:w="108" w:type="dxa"/>
            </w:tcMar>
            <w:vAlign w:val="center"/>
          </w:tcPr>
          <w:p w:rsidRPr="004414CA" w:rsidR="0030289F" w:rsidP="00B70C85" w:rsidRDefault="0030289F" w14:paraId="3F89FAEF" w14:textId="77777777">
            <w:pPr>
              <w:jc w:val="center"/>
              <w:rPr>
                <w:rFonts w:cstheme="minorHAnsi"/>
              </w:rPr>
            </w:pPr>
            <w:r w:rsidRPr="004414CA">
              <w:rPr>
                <w:rFonts w:cstheme="minorHAnsi"/>
              </w:rPr>
              <w:t>X</w:t>
            </w:r>
          </w:p>
        </w:tc>
        <w:tc>
          <w:tcPr>
            <w:tcW w:w="621" w:type="dxa"/>
            <w:tcBorders>
              <w:top w:val="single" w:color="auto" w:sz="4" w:space="0"/>
              <w:left w:val="single" w:color="auto" w:sz="4" w:space="0"/>
              <w:bottom w:val="single" w:color="auto" w:sz="4" w:space="0"/>
              <w:right w:val="single" w:color="auto" w:sz="4" w:space="0"/>
            </w:tcBorders>
            <w:vAlign w:val="center"/>
          </w:tcPr>
          <w:p w:rsidRPr="004414CA" w:rsidR="0030289F" w:rsidP="0030289F" w:rsidRDefault="0030289F" w14:paraId="20CCFB08" w14:textId="28799278">
            <w:pPr>
              <w:jc w:val="center"/>
              <w:rPr>
                <w:rFonts w:cstheme="minorHAnsi"/>
              </w:rPr>
            </w:pPr>
            <w:r>
              <w:rPr>
                <w:rFonts w:cstheme="minorHAnsi"/>
              </w:rPr>
              <w:t>X</w:t>
            </w: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2B6C68E2" w14:textId="799D40D4">
            <w:pPr>
              <w:jc w:val="center"/>
              <w:rPr>
                <w:rFonts w:cstheme="minorHAnsi"/>
              </w:rPr>
            </w:pPr>
            <w:r w:rsidRPr="004414CA">
              <w:rPr>
                <w:rFonts w:cstheme="minorHAnsi"/>
              </w:rPr>
              <w:t>X</w:t>
            </w:r>
          </w:p>
        </w:tc>
        <w:tc>
          <w:tcPr>
            <w:tcW w:w="53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rsidRPr="004414CA" w:rsidR="0030289F" w:rsidP="00B70C85" w:rsidRDefault="0030289F" w14:paraId="79007992" w14:textId="77777777">
            <w:pPr>
              <w:jc w:val="center"/>
              <w:rPr>
                <w:rFonts w:cstheme="minorHAnsi"/>
              </w:rPr>
            </w:pPr>
            <w:r w:rsidRPr="004414CA">
              <w:rPr>
                <w:rFonts w:cstheme="minorHAnsi"/>
              </w:rPr>
              <w:t>X</w:t>
            </w:r>
          </w:p>
        </w:tc>
        <w:tc>
          <w:tcPr>
            <w:tcW w:w="529" w:type="dxa"/>
            <w:tcBorders>
              <w:top w:val="nil"/>
              <w:left w:val="nil"/>
              <w:bottom w:val="single" w:color="auto" w:sz="8" w:space="0"/>
              <w:right w:val="single" w:color="auto" w:sz="8" w:space="0"/>
            </w:tcBorders>
            <w:vAlign w:val="center"/>
          </w:tcPr>
          <w:p w:rsidRPr="004414CA" w:rsidR="0030289F" w:rsidP="00B70C85" w:rsidRDefault="0030289F" w14:paraId="2244BD38" w14:textId="77777777">
            <w:pPr>
              <w:jc w:val="center"/>
              <w:rPr>
                <w:rFonts w:cstheme="minorHAnsi"/>
              </w:rPr>
            </w:pPr>
            <w:r w:rsidRPr="004414CA">
              <w:rPr>
                <w:rFonts w:cstheme="minorHAnsi"/>
              </w:rPr>
              <w:t>X</w:t>
            </w:r>
          </w:p>
        </w:tc>
        <w:tc>
          <w:tcPr>
            <w:tcW w:w="611" w:type="dxa"/>
            <w:tcBorders>
              <w:top w:val="nil"/>
              <w:left w:val="nil"/>
              <w:bottom w:val="single" w:color="auto" w:sz="8" w:space="0"/>
              <w:right w:val="single" w:color="auto" w:sz="4" w:space="0"/>
            </w:tcBorders>
            <w:vAlign w:val="center"/>
          </w:tcPr>
          <w:p w:rsidRPr="004414CA" w:rsidR="0030289F" w:rsidP="00B70C85" w:rsidRDefault="0030289F" w14:paraId="421BC577" w14:textId="77777777">
            <w:pPr>
              <w:jc w:val="center"/>
              <w:rPr>
                <w:rFonts w:cstheme="minorHAnsi"/>
              </w:rPr>
            </w:pPr>
            <w:r w:rsidRPr="004414CA">
              <w:rPr>
                <w:rFonts w:cstheme="minorHAnsi"/>
              </w:rPr>
              <w:t>X</w:t>
            </w:r>
          </w:p>
        </w:tc>
      </w:tr>
      <w:tr w:rsidRPr="004414CA" w:rsidR="0030289F" w:rsidTr="00672E00" w14:paraId="3BA467A8" w14:textId="77777777">
        <w:trPr>
          <w:cantSplit/>
          <w:trHeight w:val="1008"/>
        </w:trPr>
        <w:tc>
          <w:tcPr>
            <w:tcW w:w="1800" w:type="dxa"/>
            <w:vMerge/>
            <w:tcBorders>
              <w:top w:val="nil"/>
              <w:left w:val="single" w:color="auto" w:sz="4" w:space="0"/>
              <w:bottom w:val="single" w:color="auto" w:sz="4" w:space="0"/>
              <w:right w:val="single" w:color="auto" w:sz="8" w:space="0"/>
            </w:tcBorders>
            <w:vAlign w:val="center"/>
            <w:hideMark/>
          </w:tcPr>
          <w:p w:rsidRPr="004414CA" w:rsidR="0030289F" w:rsidP="00B70C85" w:rsidRDefault="0030289F" w14:paraId="66B5A0FA" w14:textId="77777777">
            <w:pPr>
              <w:rPr>
                <w:rFonts w:cstheme="minorHAnsi"/>
              </w:rPr>
            </w:pPr>
          </w:p>
        </w:tc>
        <w:tc>
          <w:tcPr>
            <w:tcW w:w="3575" w:type="dxa"/>
            <w:tcBorders>
              <w:top w:val="nil"/>
              <w:left w:val="nil"/>
              <w:bottom w:val="single" w:color="auto" w:sz="4" w:space="0"/>
              <w:right w:val="single" w:color="auto" w:sz="8" w:space="0"/>
            </w:tcBorders>
            <w:tcMar>
              <w:top w:w="0" w:type="dxa"/>
              <w:left w:w="108" w:type="dxa"/>
              <w:bottom w:w="0" w:type="dxa"/>
              <w:right w:w="108" w:type="dxa"/>
            </w:tcMar>
            <w:hideMark/>
          </w:tcPr>
          <w:p w:rsidRPr="004414CA" w:rsidR="0030289F" w:rsidP="00FE1639" w:rsidRDefault="00E92C1F" w14:paraId="60ED7C46" w14:textId="21FB215C">
            <w:pPr>
              <w:pStyle w:val="table-text"/>
              <w:numPr>
                <w:ilvl w:val="0"/>
                <w:numId w:val="22"/>
              </w:numPr>
              <w:ind w:left="337" w:hanging="337"/>
              <w:rPr>
                <w:rFonts w:asciiTheme="minorHAnsi" w:hAnsiTheme="minorHAnsi" w:cstheme="minorHAnsi"/>
                <w:szCs w:val="20"/>
              </w:rPr>
            </w:pPr>
            <w:r>
              <w:rPr>
                <w:rFonts w:asciiTheme="minorHAnsi" w:hAnsiTheme="minorHAnsi" w:cstheme="minorHAnsi"/>
                <w:szCs w:val="20"/>
              </w:rPr>
              <w:t>Level of awareness about KidneyX among innovators outside the traditional kidney technology community, and participation by such innovators in KidneyX activities</w:t>
            </w:r>
            <w:r w:rsidR="001F28EC">
              <w:rPr>
                <w:rFonts w:asciiTheme="minorHAnsi" w:hAnsiTheme="minorHAnsi" w:cstheme="minorHAnsi"/>
                <w:szCs w:val="20"/>
              </w:rPr>
              <w:t>.</w:t>
            </w:r>
          </w:p>
        </w:tc>
        <w:tc>
          <w:tcPr>
            <w:tcW w:w="621" w:type="dxa"/>
            <w:tcBorders>
              <w:top w:val="nil"/>
              <w:left w:val="nil"/>
              <w:bottom w:val="single" w:color="auto" w:sz="4" w:space="0"/>
              <w:right w:val="single" w:color="auto" w:sz="8" w:space="0"/>
            </w:tcBorders>
            <w:tcMar>
              <w:top w:w="0" w:type="dxa"/>
              <w:left w:w="108" w:type="dxa"/>
              <w:bottom w:w="0" w:type="dxa"/>
              <w:right w:w="108" w:type="dxa"/>
            </w:tcMar>
            <w:vAlign w:val="center"/>
          </w:tcPr>
          <w:p w:rsidRPr="004414CA" w:rsidR="0030289F" w:rsidP="00B70C85" w:rsidRDefault="0030289F" w14:paraId="11C56106" w14:textId="77777777">
            <w:pPr>
              <w:jc w:val="center"/>
              <w:rPr>
                <w:rFonts w:cstheme="minorHAnsi"/>
              </w:rPr>
            </w:pPr>
            <w:r w:rsidRPr="004414CA">
              <w:rPr>
                <w:rFonts w:cstheme="minorHAnsi"/>
              </w:rPr>
              <w:t>X</w:t>
            </w:r>
          </w:p>
        </w:tc>
        <w:tc>
          <w:tcPr>
            <w:tcW w:w="522" w:type="dxa"/>
            <w:tcBorders>
              <w:top w:val="nil"/>
              <w:left w:val="nil"/>
              <w:bottom w:val="single" w:color="auto" w:sz="4" w:space="0"/>
              <w:right w:val="single" w:color="auto" w:sz="8" w:space="0"/>
            </w:tcBorders>
            <w:tcMar>
              <w:top w:w="0" w:type="dxa"/>
              <w:left w:w="108" w:type="dxa"/>
              <w:bottom w:w="0" w:type="dxa"/>
              <w:right w:w="108" w:type="dxa"/>
            </w:tcMar>
            <w:vAlign w:val="center"/>
          </w:tcPr>
          <w:p w:rsidRPr="004414CA" w:rsidR="0030289F" w:rsidP="00B70C85" w:rsidRDefault="0030289F" w14:paraId="5C27E39E" w14:textId="77777777">
            <w:pPr>
              <w:jc w:val="center"/>
              <w:rPr>
                <w:rFonts w:cstheme="minorHAnsi"/>
              </w:rPr>
            </w:pPr>
          </w:p>
        </w:tc>
        <w:tc>
          <w:tcPr>
            <w:tcW w:w="538" w:type="dxa"/>
            <w:tcBorders>
              <w:top w:val="nil"/>
              <w:left w:val="nil"/>
              <w:bottom w:val="single" w:color="auto" w:sz="4" w:space="0"/>
              <w:right w:val="single" w:color="auto" w:sz="4" w:space="0"/>
            </w:tcBorders>
            <w:tcMar>
              <w:top w:w="0" w:type="dxa"/>
              <w:left w:w="108" w:type="dxa"/>
              <w:bottom w:w="0" w:type="dxa"/>
              <w:right w:w="108" w:type="dxa"/>
            </w:tcMar>
            <w:vAlign w:val="center"/>
          </w:tcPr>
          <w:p w:rsidRPr="004414CA" w:rsidR="0030289F" w:rsidP="00B70C85" w:rsidRDefault="0030289F" w14:paraId="01540655" w14:textId="77777777">
            <w:pPr>
              <w:jc w:val="center"/>
              <w:rPr>
                <w:rFonts w:cstheme="minorHAnsi"/>
              </w:rPr>
            </w:pPr>
            <w:r w:rsidRPr="004414CA">
              <w:rPr>
                <w:rFonts w:cstheme="minorHAnsi"/>
              </w:rPr>
              <w:t>X</w:t>
            </w:r>
          </w:p>
        </w:tc>
        <w:tc>
          <w:tcPr>
            <w:tcW w:w="621" w:type="dxa"/>
            <w:tcBorders>
              <w:top w:val="single" w:color="auto" w:sz="4" w:space="0"/>
              <w:left w:val="single" w:color="auto" w:sz="4" w:space="0"/>
              <w:bottom w:val="single" w:color="auto" w:sz="4" w:space="0"/>
              <w:right w:val="single" w:color="auto" w:sz="4" w:space="0"/>
            </w:tcBorders>
            <w:vAlign w:val="center"/>
          </w:tcPr>
          <w:p w:rsidRPr="004414CA" w:rsidR="0030289F" w:rsidP="0030289F" w:rsidRDefault="0030289F" w14:paraId="5B0A9C95" w14:textId="77777777">
            <w:pPr>
              <w:jc w:val="center"/>
              <w:rPr>
                <w:rFonts w:cstheme="minorHAnsi"/>
              </w:rPr>
            </w:pPr>
          </w:p>
        </w:tc>
        <w:tc>
          <w:tcPr>
            <w:tcW w:w="6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414CA" w:rsidR="0030289F" w:rsidP="0030289F" w:rsidRDefault="0030289F" w14:paraId="0F83ADDE" w14:textId="72C718AD">
            <w:pPr>
              <w:jc w:val="center"/>
              <w:rPr>
                <w:rFonts w:cstheme="minorHAnsi"/>
              </w:rPr>
            </w:pPr>
            <w:r w:rsidRPr="004414CA">
              <w:rPr>
                <w:rFonts w:cstheme="minorHAnsi"/>
              </w:rPr>
              <w:t>X</w:t>
            </w:r>
          </w:p>
        </w:tc>
        <w:tc>
          <w:tcPr>
            <w:tcW w:w="533" w:type="dxa"/>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rsidRPr="004414CA" w:rsidR="0030289F" w:rsidP="00B70C85" w:rsidRDefault="0030289F" w14:paraId="49B1DFF6" w14:textId="77777777">
            <w:pPr>
              <w:jc w:val="center"/>
              <w:rPr>
                <w:rFonts w:cstheme="minorHAnsi"/>
              </w:rPr>
            </w:pPr>
          </w:p>
        </w:tc>
        <w:tc>
          <w:tcPr>
            <w:tcW w:w="529" w:type="dxa"/>
            <w:tcBorders>
              <w:top w:val="nil"/>
              <w:left w:val="nil"/>
              <w:bottom w:val="single" w:color="auto" w:sz="4" w:space="0"/>
              <w:right w:val="single" w:color="auto" w:sz="8" w:space="0"/>
            </w:tcBorders>
            <w:vAlign w:val="center"/>
          </w:tcPr>
          <w:p w:rsidRPr="004414CA" w:rsidR="0030289F" w:rsidP="00B70C85" w:rsidRDefault="0030289F" w14:paraId="47E9BC31" w14:textId="77777777">
            <w:pPr>
              <w:jc w:val="center"/>
              <w:rPr>
                <w:rFonts w:cstheme="minorHAnsi"/>
              </w:rPr>
            </w:pPr>
            <w:r w:rsidRPr="004414CA">
              <w:rPr>
                <w:rFonts w:cstheme="minorHAnsi"/>
              </w:rPr>
              <w:t>X</w:t>
            </w:r>
          </w:p>
        </w:tc>
        <w:tc>
          <w:tcPr>
            <w:tcW w:w="611" w:type="dxa"/>
            <w:tcBorders>
              <w:top w:val="nil"/>
              <w:left w:val="nil"/>
              <w:bottom w:val="single" w:color="auto" w:sz="4" w:space="0"/>
              <w:right w:val="single" w:color="auto" w:sz="4" w:space="0"/>
            </w:tcBorders>
            <w:vAlign w:val="center"/>
          </w:tcPr>
          <w:p w:rsidRPr="004414CA" w:rsidR="0030289F" w:rsidP="00B70C85" w:rsidRDefault="0030289F" w14:paraId="6CE58175" w14:textId="77777777">
            <w:pPr>
              <w:jc w:val="center"/>
              <w:rPr>
                <w:rFonts w:cstheme="minorHAnsi"/>
              </w:rPr>
            </w:pPr>
            <w:r w:rsidRPr="004414CA">
              <w:rPr>
                <w:rFonts w:cstheme="minorHAnsi"/>
              </w:rPr>
              <w:t>X</w:t>
            </w:r>
          </w:p>
        </w:tc>
      </w:tr>
    </w:tbl>
    <w:p w:rsidRPr="00FE1687" w:rsidR="00C4509A" w:rsidP="003D315C" w:rsidRDefault="00C4509A" w14:paraId="775BF945" w14:textId="701BFF22">
      <w:pPr>
        <w:pStyle w:val="tabfigsourcefullpg"/>
        <w:ind w:left="270" w:hanging="270"/>
      </w:pPr>
      <w:r w:rsidRPr="00FE1687">
        <w:t>*</w:t>
      </w:r>
      <w:r>
        <w:t xml:space="preserve"> </w:t>
      </w:r>
      <w:r w:rsidR="003D315C">
        <w:tab/>
      </w:r>
      <w:r w:rsidRPr="00FE1687">
        <w:t>Program documents include</w:t>
      </w:r>
      <w:r w:rsidR="00A757C5">
        <w:t>d</w:t>
      </w:r>
      <w:r w:rsidRPr="00FE1687">
        <w:t xml:space="preserve"> documents related to the prize competitions and general program documents (e.g., strategy, planning documents)</w:t>
      </w:r>
      <w:r>
        <w:t>.</w:t>
      </w:r>
    </w:p>
    <w:p w:rsidRPr="00FE1687" w:rsidR="00C4509A" w:rsidP="003D315C" w:rsidRDefault="00C4509A" w14:paraId="1E76D57D" w14:textId="76FB13CA">
      <w:pPr>
        <w:pStyle w:val="tabfigsourcefullpg"/>
        <w:ind w:left="270" w:hanging="270"/>
        <w:rPr>
          <w:rFonts w:eastAsiaTheme="minorHAnsi"/>
        </w:rPr>
      </w:pPr>
      <w:r w:rsidRPr="00FE1687">
        <w:rPr>
          <w:rFonts w:eastAsiaTheme="minorHAnsi"/>
        </w:rPr>
        <w:t xml:space="preserve">** </w:t>
      </w:r>
      <w:r w:rsidR="003D315C">
        <w:rPr>
          <w:rFonts w:eastAsiaTheme="minorHAnsi"/>
        </w:rPr>
        <w:tab/>
      </w:r>
      <w:r w:rsidRPr="00FE1687">
        <w:rPr>
          <w:rFonts w:eastAsiaTheme="minorHAnsi"/>
        </w:rPr>
        <w:t>Secondary data sources include</w:t>
      </w:r>
      <w:r w:rsidR="00A757C5">
        <w:rPr>
          <w:rFonts w:eastAsiaTheme="minorHAnsi"/>
        </w:rPr>
        <w:t>d</w:t>
      </w:r>
      <w:r w:rsidRPr="00FE1687">
        <w:t xml:space="preserve"> Web of Science, </w:t>
      </w:r>
      <w:r w:rsidR="000B2EEB">
        <w:t>U</w:t>
      </w:r>
      <w:r w:rsidR="00A757C5">
        <w:t>.</w:t>
      </w:r>
      <w:r w:rsidR="000B2EEB">
        <w:t>S</w:t>
      </w:r>
      <w:r w:rsidR="00A757C5">
        <w:t>.</w:t>
      </w:r>
      <w:r w:rsidR="000B2EEB">
        <w:t xml:space="preserve"> Patent &amp; Trademark Office</w:t>
      </w:r>
      <w:r w:rsidRPr="00FE1687">
        <w:t>, D&amp;B Hoovers, Crunchbase, and similar</w:t>
      </w:r>
      <w:r w:rsidR="00285044">
        <w:t xml:space="preserve"> sources</w:t>
      </w:r>
      <w:r w:rsidRPr="00FE1687">
        <w:t>.</w:t>
      </w:r>
    </w:p>
    <w:p w:rsidRPr="002238BD" w:rsidR="00FA4059" w:rsidP="002215B0" w:rsidRDefault="00FA4059" w14:paraId="2D104077" w14:textId="77777777"/>
    <w:p w:rsidR="00C8773B" w:rsidRDefault="00C8773B" w14:paraId="7D6BE1BE" w14:textId="77777777">
      <w:pPr>
        <w:rPr>
          <w:rFonts w:asciiTheme="majorHAnsi" w:hAnsiTheme="majorHAnsi" w:eastAsiaTheme="majorEastAsia" w:cstheme="majorBidi"/>
          <w:b/>
          <w:szCs w:val="24"/>
        </w:rPr>
      </w:pPr>
      <w:r>
        <w:br w:type="page"/>
      </w:r>
    </w:p>
    <w:p w:rsidRPr="00313DF0" w:rsidR="001F28EC" w:rsidP="001F28EC" w:rsidRDefault="00882717" w14:paraId="5E37CEE5" w14:textId="2CC77580">
      <w:pPr>
        <w:pStyle w:val="BodyText2"/>
      </w:pPr>
      <w:r>
        <w:lastRenderedPageBreak/>
        <w:t xml:space="preserve"> </w:t>
      </w:r>
      <w:r w:rsidRPr="00313DF0" w:rsidR="001F28EC">
        <w:t>The evaluation</w:t>
      </w:r>
      <w:r w:rsidR="001F28EC">
        <w:t xml:space="preserve"> will attempt to estimate the change in the rate and direction of innovation in kidney technology </w:t>
      </w:r>
      <w:r w:rsidR="001D5D06">
        <w:t xml:space="preserve">during the evaluation period </w:t>
      </w:r>
      <w:r w:rsidR="001F28EC">
        <w:t xml:space="preserve">through </w:t>
      </w:r>
      <w:r w:rsidR="0061260C">
        <w:t xml:space="preserve">qualitative and descriptive analyses based conceptually on the logic of </w:t>
      </w:r>
      <w:r w:rsidR="0039261B">
        <w:t>difference-in-difference</w:t>
      </w:r>
      <w:r w:rsidR="001F28EC">
        <w:t xml:space="preserve">. </w:t>
      </w:r>
      <w:r w:rsidRPr="00313DF0" w:rsidR="001F28EC">
        <w:t xml:space="preserve">Using this logical framework, </w:t>
      </w:r>
      <w:r w:rsidR="001F28EC">
        <w:t>we will measure the changes in innovation outcomes</w:t>
      </w:r>
      <w:r w:rsidRPr="00313DF0" w:rsidR="001F28EC">
        <w:t xml:space="preserve"> at different points</w:t>
      </w:r>
      <w:r w:rsidR="001F28EC">
        <w:t xml:space="preserve"> in time between entrants in KidneyX competitions who are named as prizewinners with the changes at the same points in time for two</w:t>
      </w:r>
      <w:r w:rsidRPr="00313DF0" w:rsidR="001F28EC">
        <w:t xml:space="preserve"> primary comparison groups:</w:t>
      </w:r>
    </w:p>
    <w:p w:rsidRPr="00313DF0" w:rsidR="001F28EC" w:rsidP="001F28EC" w:rsidRDefault="001F28EC" w14:paraId="1E091E2E" w14:textId="77777777">
      <w:pPr>
        <w:pStyle w:val="BodyText2"/>
        <w:numPr>
          <w:ilvl w:val="0"/>
          <w:numId w:val="24"/>
        </w:numPr>
      </w:pPr>
      <w:r w:rsidRPr="00313DF0">
        <w:t xml:space="preserve">Innovators in the kidney technology domain who do not </w:t>
      </w:r>
      <w:r>
        <w:t>enter a KidneyX competition.</w:t>
      </w:r>
    </w:p>
    <w:p w:rsidR="001F28EC" w:rsidP="001F28EC" w:rsidRDefault="001F28EC" w14:paraId="5ED78F45" w14:textId="77777777">
      <w:pPr>
        <w:pStyle w:val="BodyText2"/>
        <w:numPr>
          <w:ilvl w:val="0"/>
          <w:numId w:val="24"/>
        </w:numPr>
      </w:pPr>
      <w:r w:rsidRPr="00313DF0">
        <w:t xml:space="preserve">Innovators in the kidney technology domain who </w:t>
      </w:r>
      <w:r>
        <w:t>enter a</w:t>
      </w:r>
      <w:r w:rsidRPr="00313DF0">
        <w:t xml:space="preserve"> KidneyX </w:t>
      </w:r>
      <w:r>
        <w:t xml:space="preserve">competition </w:t>
      </w:r>
      <w:r w:rsidRPr="00313DF0">
        <w:t xml:space="preserve">but </w:t>
      </w:r>
      <w:r>
        <w:t>are not awarded a prize</w:t>
      </w:r>
      <w:r w:rsidRPr="00313DF0">
        <w:t>.</w:t>
      </w:r>
    </w:p>
    <w:p w:rsidR="001F28EC" w:rsidP="001F28EC" w:rsidRDefault="001F28EC" w14:paraId="0EA02BA0" w14:textId="0399A3C6">
      <w:pPr>
        <w:pStyle w:val="BodyText2"/>
      </w:pPr>
      <w:r w:rsidRPr="00313DF0">
        <w:t xml:space="preserve">Although the comparison groups are meant to </w:t>
      </w:r>
      <w:r>
        <w:t>provide evidence of the counterfactual</w:t>
      </w:r>
      <w:r w:rsidRPr="00313DF0">
        <w:t xml:space="preserve"> (i.e., how innovation in kidney technology, treatments, and solutions would progress if the KidneyX initiative did not exist), we note that even the first comparison group may be affected by the activities and influences of </w:t>
      </w:r>
      <w:r w:rsidRPr="00654221">
        <w:t>KidneyX.</w:t>
      </w:r>
      <w:r w:rsidRPr="00313DF0">
        <w:t xml:space="preserve"> For example, the publicity and attention that KidneyX brings to the challenges and significance of kidney disease detection and treatment may </w:t>
      </w:r>
      <w:r>
        <w:t>induce</w:t>
      </w:r>
      <w:r w:rsidRPr="00313DF0">
        <w:t xml:space="preserve"> increased interest and investment in innovations unrelated to the KidneyX initiative. </w:t>
      </w:r>
      <w:r>
        <w:t xml:space="preserve">Our study is intended to detect differential changes in outcome trends across the groups, but substantial data and careful analysis will be needed to attribute any such differences to the KidneyX initiative. Due to the complex innovation environment and the expected dynamism in how KidneyX is implemented, we </w:t>
      </w:r>
      <w:r w:rsidR="001D5D06">
        <w:t>intend to probe relationships between KidneyX activities and observed changes in kidney technology innovation, even though the study parameters preclude any determination of causality between KidneyX and the observed changes</w:t>
      </w:r>
      <w:r w:rsidRPr="00313DF0">
        <w:t>.</w:t>
      </w:r>
    </w:p>
    <w:p w:rsidRPr="003D315C" w:rsidR="00473542" w:rsidP="007C2171" w:rsidRDefault="00F418D6" w14:paraId="4B8B8ABB" w14:textId="31B65FA2">
      <w:pPr>
        <w:pStyle w:val="Heading2"/>
      </w:pPr>
      <w:r w:rsidRPr="003D315C">
        <w:t xml:space="preserve">Purpose and </w:t>
      </w:r>
      <w:r w:rsidRPr="003D315C" w:rsidR="00CB151D">
        <w:t>use of information coll</w:t>
      </w:r>
      <w:r w:rsidRPr="003D315C">
        <w:t>ection</w:t>
      </w:r>
    </w:p>
    <w:p w:rsidR="004333FC" w:rsidP="00397615" w:rsidRDefault="00F239B6" w14:paraId="418A8430" w14:textId="12D85A11">
      <w:pPr>
        <w:pStyle w:val="BodyText2"/>
      </w:pPr>
      <w:r w:rsidRPr="009B591D">
        <w:rPr>
          <w:rFonts w:asciiTheme="majorHAnsi" w:hAnsiTheme="majorHAnsi" w:eastAsiaTheme="majorEastAsia" w:cstheme="majorBidi"/>
          <w:iCs/>
          <w:szCs w:val="22"/>
        </w:rPr>
        <w:t xml:space="preserve">The purpose of this data collection is to support </w:t>
      </w:r>
      <w:r w:rsidR="00783B06">
        <w:rPr>
          <w:rFonts w:asciiTheme="majorHAnsi" w:hAnsiTheme="majorHAnsi" w:eastAsiaTheme="majorEastAsia" w:cstheme="majorBidi"/>
          <w:iCs/>
          <w:szCs w:val="22"/>
        </w:rPr>
        <w:t xml:space="preserve">an independent </w:t>
      </w:r>
      <w:r w:rsidRPr="009B591D">
        <w:rPr>
          <w:rFonts w:asciiTheme="majorHAnsi" w:hAnsiTheme="majorHAnsi" w:eastAsiaTheme="majorEastAsia" w:cstheme="majorBidi"/>
          <w:iCs/>
          <w:szCs w:val="22"/>
        </w:rPr>
        <w:t>evaluation of the Kidney</w:t>
      </w:r>
      <w:r w:rsidRPr="009B591D">
        <w:t xml:space="preserve"> Innovation Accelerator (KidneyX) initiative organized by the U.S. Department of Health and Human Services (HHS). </w:t>
      </w:r>
      <w:r w:rsidRPr="00FE1639" w:rsidR="004333FC">
        <w:t xml:space="preserve">Section </w:t>
      </w:r>
      <w:r w:rsidR="00192F13">
        <w:t>401</w:t>
      </w:r>
      <w:r w:rsidRPr="00FE1639" w:rsidR="00192F13">
        <w:t xml:space="preserve"> </w:t>
      </w:r>
      <w:r w:rsidRPr="00FE1639" w:rsidR="004333FC">
        <w:t xml:space="preserve">of </w:t>
      </w:r>
      <w:r w:rsidR="00FE46B1">
        <w:t xml:space="preserve">the Pandemic and All-Hazards Preparedness Act of </w:t>
      </w:r>
      <w:r w:rsidR="007B16E9">
        <w:t xml:space="preserve">2006 authorized the Secretary of Health and Human Services to </w:t>
      </w:r>
      <w:r w:rsidR="00CC41EB">
        <w:t xml:space="preserve">use prize payments to support and encourage biomedical innovation. </w:t>
      </w:r>
      <w:r w:rsidR="006834F1">
        <w:t xml:space="preserve">The America COMPETES Reauthorization Act, as amended, </w:t>
      </w:r>
      <w:r w:rsidRPr="00FE1639" w:rsidR="004333FC">
        <w:t xml:space="preserve">requires reports to Congress </w:t>
      </w:r>
      <w:r w:rsidR="00691930">
        <w:t xml:space="preserve">every two years </w:t>
      </w:r>
      <w:r w:rsidR="006834F1">
        <w:t xml:space="preserve">on prize competitions administered by </w:t>
      </w:r>
      <w:r w:rsidRPr="006F1223" w:rsidR="006834F1">
        <w:t>HHS and other agencies</w:t>
      </w:r>
      <w:r w:rsidRPr="006F1223" w:rsidR="004333FC">
        <w:t>. The data collected under this submission will help HHS inform</w:t>
      </w:r>
      <w:r w:rsidRPr="00FE1639" w:rsidR="004333FC">
        <w:t xml:space="preserve"> the required reports to Congress</w:t>
      </w:r>
      <w:r w:rsidR="00D24EB6">
        <w:t xml:space="preserve"> and also </w:t>
      </w:r>
      <w:r w:rsidR="00CE52A5">
        <w:t xml:space="preserve">support departmental evidence-building activities required under the </w:t>
      </w:r>
      <w:r w:rsidR="00F315FD">
        <w:t>Foundations of Evidence-Based Policymaking Act of 2018</w:t>
      </w:r>
      <w:r w:rsidRPr="00FE1639" w:rsidR="004333FC">
        <w:t xml:space="preserve">. </w:t>
      </w:r>
    </w:p>
    <w:p w:rsidRPr="00FE1639" w:rsidR="00416B73" w:rsidP="00397615" w:rsidRDefault="00691930" w14:paraId="05D0271F" w14:textId="382C9056">
      <w:pPr>
        <w:pStyle w:val="BodyText2"/>
      </w:pPr>
      <w:r>
        <w:lastRenderedPageBreak/>
        <w:t xml:space="preserve">This evaluation will assess the effectiveness of the KidneyX initiative in promoting innovation in kidney technology, based on </w:t>
      </w:r>
      <w:r w:rsidR="00E56BC9">
        <w:t>how HHS implements the initiative</w:t>
      </w:r>
      <w:r>
        <w:t xml:space="preserve"> and the </w:t>
      </w:r>
      <w:r w:rsidR="00672E00">
        <w:t>experiences of</w:t>
      </w:r>
      <w:r>
        <w:t xml:space="preserve"> KidneyX participants and non-participants</w:t>
      </w:r>
      <w:r w:rsidR="009A33F8">
        <w:t>, pre- and post-competition</w:t>
      </w:r>
      <w:r>
        <w:t>.</w:t>
      </w:r>
      <w:r w:rsidRPr="00F020CA" w:rsidR="003C19C5">
        <w:t xml:space="preserve"> </w:t>
      </w:r>
      <w:r>
        <w:t xml:space="preserve">For this evaluation, participants include </w:t>
      </w:r>
      <w:r w:rsidR="00C8773B">
        <w:t>applicants</w:t>
      </w:r>
      <w:r>
        <w:t xml:space="preserve"> awarded prizes in KidneyX competitions and non-awardee </w:t>
      </w:r>
      <w:r w:rsidR="00C8773B">
        <w:t>applicants</w:t>
      </w:r>
      <w:r>
        <w:t xml:space="preserve">. Non-participants are individuals and organizations engaged in kidney technology development who do not submit entries into KidneyX competitions. </w:t>
      </w:r>
      <w:r w:rsidR="00C8773B">
        <w:t>W</w:t>
      </w:r>
      <w:r w:rsidRPr="00F020CA" w:rsidR="003C19C5">
        <w:t xml:space="preserve">e will </w:t>
      </w:r>
      <w:r w:rsidRPr="00F020CA" w:rsidR="00A20D91">
        <w:t xml:space="preserve">gather data from </w:t>
      </w:r>
      <w:r w:rsidR="00C8773B">
        <w:t>awardee applicants, non-awardees, non-participants, and</w:t>
      </w:r>
      <w:r w:rsidRPr="00F020CA" w:rsidR="00A20D91">
        <w:t xml:space="preserve"> other stakeholders through </w:t>
      </w:r>
      <w:r w:rsidRPr="00F020CA" w:rsidR="003E2F7B">
        <w:t>Web</w:t>
      </w:r>
      <w:r w:rsidRPr="00F020CA" w:rsidR="00A20D91">
        <w:t xml:space="preserve">-based surveys and telephone </w:t>
      </w:r>
      <w:r w:rsidRPr="00F020CA" w:rsidR="000E3EBD">
        <w:t xml:space="preserve">interviews. </w:t>
      </w:r>
      <w:r w:rsidR="00C8773B">
        <w:t xml:space="preserve">The surveys and interviews will serve to both validate the data collected through each method and to provide more specific detail on the conditions and context affecting these groups. </w:t>
      </w:r>
      <w:r w:rsidRPr="00FE1639" w:rsidR="00116848">
        <w:t>Each proposed data collection is described below.</w:t>
      </w:r>
    </w:p>
    <w:p w:rsidR="00FB4156" w:rsidP="007C2171" w:rsidRDefault="003D315C" w14:paraId="63A799F5" w14:textId="25BF36E5">
      <w:pPr>
        <w:pStyle w:val="Heading3"/>
      </w:pPr>
      <w:r>
        <w:t>.</w:t>
      </w:r>
      <w:r>
        <w:tab/>
      </w:r>
      <w:r w:rsidRPr="00FE1639" w:rsidR="003A7CAA">
        <w:t>Survey Data Collection</w:t>
      </w:r>
    </w:p>
    <w:p w:rsidRPr="00FE1639" w:rsidR="008D51EA" w:rsidP="00397615" w:rsidRDefault="003C0371" w14:paraId="2218226C" w14:textId="576C67DD">
      <w:pPr>
        <w:pStyle w:val="BodyText2"/>
      </w:pPr>
      <w:r w:rsidRPr="00E92C1F">
        <w:rPr>
          <w:b/>
          <w:bCs/>
          <w:u w:val="single"/>
        </w:rPr>
        <w:t>Pre-</w:t>
      </w:r>
      <w:r w:rsidRPr="00E92C1F" w:rsidR="00B72D3A">
        <w:rPr>
          <w:b/>
          <w:bCs/>
          <w:u w:val="single"/>
        </w:rPr>
        <w:t>a</w:t>
      </w:r>
      <w:r w:rsidRPr="00E92C1F">
        <w:rPr>
          <w:b/>
          <w:bCs/>
          <w:u w:val="single"/>
        </w:rPr>
        <w:t xml:space="preserve">ward </w:t>
      </w:r>
      <w:r w:rsidRPr="00E92C1F" w:rsidR="00B72D3A">
        <w:rPr>
          <w:b/>
          <w:bCs/>
          <w:u w:val="single"/>
        </w:rPr>
        <w:t>s</w:t>
      </w:r>
      <w:r w:rsidRPr="00E92C1F">
        <w:rPr>
          <w:b/>
          <w:bCs/>
          <w:u w:val="single"/>
        </w:rPr>
        <w:t xml:space="preserve">urvey of </w:t>
      </w:r>
      <w:r w:rsidRPr="00E92C1F" w:rsidR="00B72D3A">
        <w:rPr>
          <w:b/>
          <w:bCs/>
          <w:u w:val="single"/>
        </w:rPr>
        <w:t>a</w:t>
      </w:r>
      <w:r w:rsidRPr="00E92C1F">
        <w:rPr>
          <w:b/>
          <w:bCs/>
          <w:u w:val="single"/>
        </w:rPr>
        <w:t xml:space="preserve">ll </w:t>
      </w:r>
      <w:r w:rsidRPr="00E92C1F" w:rsidR="00B72D3A">
        <w:rPr>
          <w:b/>
          <w:bCs/>
          <w:u w:val="single"/>
        </w:rPr>
        <w:t>KidneyX applicants</w:t>
      </w:r>
      <w:r w:rsidRPr="00E92C1F" w:rsidR="00B72D3A">
        <w:rPr>
          <w:b/>
          <w:bCs/>
        </w:rPr>
        <w:t>:</w:t>
      </w:r>
      <w:r w:rsidRPr="00FE1639" w:rsidR="00C94E2F">
        <w:t xml:space="preserve"> </w:t>
      </w:r>
      <w:r w:rsidRPr="00FE1639" w:rsidR="000048D2">
        <w:t xml:space="preserve">The </w:t>
      </w:r>
      <w:r w:rsidRPr="00FE1639" w:rsidR="0025059A">
        <w:t>pre-</w:t>
      </w:r>
      <w:r w:rsidR="0025059A">
        <w:t>a</w:t>
      </w:r>
      <w:r w:rsidRPr="00FE1639" w:rsidR="0025059A">
        <w:t xml:space="preserve">ward survey </w:t>
      </w:r>
      <w:r w:rsidRPr="00FE1639" w:rsidR="009954AA">
        <w:t xml:space="preserve">instrument </w:t>
      </w:r>
      <w:r w:rsidRPr="00FE1639" w:rsidR="000048D2">
        <w:t xml:space="preserve">will </w:t>
      </w:r>
      <w:r w:rsidRPr="00FE1639" w:rsidR="009954AA">
        <w:t>be administered to</w:t>
      </w:r>
      <w:r w:rsidRPr="00FE1639" w:rsidR="000048D2">
        <w:t xml:space="preserve"> all applicants </w:t>
      </w:r>
      <w:r w:rsidR="00A757C5">
        <w:t>to</w:t>
      </w:r>
      <w:r w:rsidRPr="00FE1639" w:rsidR="00A757C5">
        <w:t xml:space="preserve"> </w:t>
      </w:r>
      <w:r w:rsidRPr="00FE1639" w:rsidR="000048D2">
        <w:t xml:space="preserve">the KidneyX prize competitions. </w:t>
      </w:r>
      <w:r w:rsidRPr="00FE1639" w:rsidR="00CB0016">
        <w:t xml:space="preserve">The </w:t>
      </w:r>
      <w:r w:rsidRPr="00FE1639" w:rsidR="0025059A">
        <w:t>pre-</w:t>
      </w:r>
      <w:r w:rsidR="0025059A">
        <w:t>a</w:t>
      </w:r>
      <w:r w:rsidRPr="00FE1639" w:rsidR="0025059A">
        <w:t xml:space="preserve">ward survey </w:t>
      </w:r>
      <w:r w:rsidRPr="00FE1639" w:rsidR="000048D2">
        <w:t xml:space="preserve">will be launched after a competition’s submission deadline and will close before winners are announced. </w:t>
      </w:r>
      <w:r w:rsidR="00C8773B">
        <w:t xml:space="preserve">These data will establish the baseline conditions for applicants prior to the award announcement. </w:t>
      </w:r>
      <w:r w:rsidRPr="00FE1639" w:rsidR="000048D2">
        <w:t xml:space="preserve">The </w:t>
      </w:r>
      <w:r w:rsidRPr="00FE1639" w:rsidR="0025059A">
        <w:t>pre-</w:t>
      </w:r>
      <w:r w:rsidR="0025059A">
        <w:t>a</w:t>
      </w:r>
      <w:r w:rsidRPr="00FE1639" w:rsidR="0025059A">
        <w:t xml:space="preserve">ward survey </w:t>
      </w:r>
      <w:r w:rsidRPr="00FE1639" w:rsidR="000048D2">
        <w:t>will focus on how applicants became interested in KidneyX, their experiences with the application process, their broader initial perceptions about KidneyX, and their forward-looking expectations and goals.</w:t>
      </w:r>
      <w:r w:rsidRPr="00FE1639" w:rsidR="00FB2C05">
        <w:t xml:space="preserve"> </w:t>
      </w:r>
      <w:r w:rsidRPr="00FE1639" w:rsidR="00D4419F">
        <w:t xml:space="preserve">Data gathered using the </w:t>
      </w:r>
      <w:r w:rsidRPr="00FE1639" w:rsidR="0025059A">
        <w:t>pre-</w:t>
      </w:r>
      <w:r w:rsidR="0025059A">
        <w:t>a</w:t>
      </w:r>
      <w:r w:rsidRPr="00FE1639" w:rsidR="0025059A">
        <w:t xml:space="preserve">ward </w:t>
      </w:r>
      <w:r w:rsidR="0025059A">
        <w:t>s</w:t>
      </w:r>
      <w:r w:rsidRPr="00FE1639" w:rsidR="0025059A">
        <w:t xml:space="preserve">urvey </w:t>
      </w:r>
      <w:r w:rsidRPr="00FE1639" w:rsidR="00D4419F">
        <w:t>will assist in answering Evaluation Question</w:t>
      </w:r>
      <w:r w:rsidRPr="00FE1639" w:rsidR="00E56631">
        <w:t>s</w:t>
      </w:r>
      <w:r w:rsidRPr="00FE1639" w:rsidR="00D4419F">
        <w:t xml:space="preserve"> </w:t>
      </w:r>
      <w:r w:rsidR="00672E00">
        <w:t>2 and 5.</w:t>
      </w:r>
      <w:r w:rsidRPr="00FE1639" w:rsidR="00D4419F">
        <w:t xml:space="preserve"> </w:t>
      </w:r>
      <w:r w:rsidRPr="00FE1639" w:rsidR="00CA5777">
        <w:t xml:space="preserve">The </w:t>
      </w:r>
      <w:r w:rsidRPr="00FE1639" w:rsidR="0025059A">
        <w:t>pre-</w:t>
      </w:r>
      <w:r w:rsidR="0025059A">
        <w:t>a</w:t>
      </w:r>
      <w:r w:rsidRPr="00FE1639" w:rsidR="0025059A">
        <w:t xml:space="preserve">ward survey </w:t>
      </w:r>
      <w:r w:rsidR="0025059A">
        <w:t>i</w:t>
      </w:r>
      <w:r w:rsidRPr="00FE1639" w:rsidR="0025059A">
        <w:t xml:space="preserve">nstrument </w:t>
      </w:r>
      <w:r w:rsidRPr="00FE1639" w:rsidR="00CA5777">
        <w:t xml:space="preserve">is provided in Attachment </w:t>
      </w:r>
      <w:r w:rsidRPr="00E82DC0" w:rsidR="0043381B">
        <w:t>A</w:t>
      </w:r>
      <w:r w:rsidRPr="00FE1639" w:rsidR="00CA5777">
        <w:t>.</w:t>
      </w:r>
    </w:p>
    <w:p w:rsidRPr="00FE1639" w:rsidR="00C94E2F" w:rsidP="00397615" w:rsidRDefault="00C94E2F" w14:paraId="24FA91F8" w14:textId="63A167F0">
      <w:pPr>
        <w:pStyle w:val="BodyText2"/>
      </w:pPr>
      <w:r w:rsidRPr="00E92C1F">
        <w:rPr>
          <w:b/>
          <w:bCs/>
          <w:u w:val="single"/>
        </w:rPr>
        <w:t>Post-award surveys of all KidneyX awardees and non-awardees</w:t>
      </w:r>
      <w:r w:rsidRPr="00E92C1F">
        <w:rPr>
          <w:b/>
          <w:bCs/>
        </w:rPr>
        <w:t xml:space="preserve">: </w:t>
      </w:r>
      <w:r w:rsidRPr="00FE1639" w:rsidR="00F11326">
        <w:t xml:space="preserve">The </w:t>
      </w:r>
      <w:r w:rsidRPr="00FE1639" w:rsidR="0025059A">
        <w:t>post-</w:t>
      </w:r>
      <w:r w:rsidR="0025059A">
        <w:t>a</w:t>
      </w:r>
      <w:r w:rsidRPr="00FE1639" w:rsidR="0025059A">
        <w:t xml:space="preserve">ward survey </w:t>
      </w:r>
      <w:r w:rsidRPr="00FE1639" w:rsidR="00F11326">
        <w:t xml:space="preserve">of non-awardees will </w:t>
      </w:r>
      <w:r w:rsidR="00D165B9">
        <w:t>request responses from</w:t>
      </w:r>
      <w:r w:rsidRPr="00FE1639" w:rsidR="00D165B9">
        <w:t xml:space="preserve"> </w:t>
      </w:r>
      <w:r w:rsidRPr="00FE1639" w:rsidR="00F11326">
        <w:t xml:space="preserve">applicants who, after the prize competition announcements, were not selected for an award. Meanwhile, the </w:t>
      </w:r>
      <w:r w:rsidRPr="00FE1639" w:rsidR="0025059A">
        <w:t>post-</w:t>
      </w:r>
      <w:r w:rsidR="0025059A">
        <w:t>a</w:t>
      </w:r>
      <w:r w:rsidRPr="00FE1639" w:rsidR="0025059A">
        <w:t xml:space="preserve">ward survey </w:t>
      </w:r>
      <w:r w:rsidRPr="00FE1639" w:rsidR="00F11326">
        <w:t xml:space="preserve">of awardees will </w:t>
      </w:r>
      <w:r w:rsidR="00097948">
        <w:t>gather data from</w:t>
      </w:r>
      <w:r w:rsidRPr="00FE1639" w:rsidR="00097948">
        <w:t xml:space="preserve"> </w:t>
      </w:r>
      <w:r w:rsidRPr="00FE1639" w:rsidR="00F11326">
        <w:t xml:space="preserve">applicants who were ultimately selected as a prize competition winner. </w:t>
      </w:r>
      <w:r w:rsidR="00C8773B">
        <w:t xml:space="preserve">These two surveys will identify and probe outcomes experienced by these two groups of applicants. </w:t>
      </w:r>
      <w:r w:rsidR="00E92C1F">
        <w:t xml:space="preserve">Non-awardees in particular will be queried about their level of satisfaction with the submission process, and suggestions on methods to improve that process. </w:t>
      </w:r>
      <w:r w:rsidRPr="00FE1639" w:rsidR="00F11326">
        <w:t xml:space="preserve">The </w:t>
      </w:r>
      <w:r w:rsidR="00E92C1F">
        <w:t>p</w:t>
      </w:r>
      <w:r w:rsidRPr="00FE1639" w:rsidR="00F11326">
        <w:t>ost-</w:t>
      </w:r>
      <w:r w:rsidR="00097948">
        <w:t>a</w:t>
      </w:r>
      <w:r w:rsidRPr="00FE1639" w:rsidR="00097948">
        <w:t xml:space="preserve">ward </w:t>
      </w:r>
      <w:r w:rsidR="0025059A">
        <w:t>s</w:t>
      </w:r>
      <w:r w:rsidRPr="00FE1639" w:rsidR="00F11326">
        <w:t xml:space="preserve">urveys will be launched synchronously to both groups 6 months after </w:t>
      </w:r>
      <w:r w:rsidR="00216585">
        <w:t>each</w:t>
      </w:r>
      <w:r w:rsidRPr="00FE1639" w:rsidR="00216585">
        <w:t xml:space="preserve"> </w:t>
      </w:r>
      <w:r w:rsidRPr="00FE1639" w:rsidR="00F11326">
        <w:t xml:space="preserve">prize announcement so that the two groups </w:t>
      </w:r>
      <w:r w:rsidRPr="00FE1639" w:rsidR="00D65A22">
        <w:t>are temporally</w:t>
      </w:r>
      <w:r w:rsidRPr="00FE1639" w:rsidR="00F11326">
        <w:t xml:space="preserve"> </w:t>
      </w:r>
      <w:r w:rsidRPr="00FE1639" w:rsidR="00D65A22">
        <w:t>consistent</w:t>
      </w:r>
      <w:r w:rsidRPr="00FE1639" w:rsidR="00F11326">
        <w:t>, enabling more direct comparisons</w:t>
      </w:r>
      <w:r w:rsidR="00226A58">
        <w:t xml:space="preserve"> of</w:t>
      </w:r>
      <w:r w:rsidR="006F3F69">
        <w:t xml:space="preserve"> </w:t>
      </w:r>
      <w:r w:rsidR="00672E00">
        <w:t>their activities and experiences</w:t>
      </w:r>
      <w:r w:rsidR="00783BA8">
        <w:t xml:space="preserve"> </w:t>
      </w:r>
      <w:r w:rsidR="00226A58">
        <w:t>pre- and post-award</w:t>
      </w:r>
      <w:r w:rsidRPr="00FE1639" w:rsidR="00F11326">
        <w:t xml:space="preserve">. Surveys will remain open for approximately 2 months. Although many questions will be identical for these two groups, the two </w:t>
      </w:r>
      <w:r w:rsidRPr="00FE1639" w:rsidR="0025059A">
        <w:t>post-</w:t>
      </w:r>
      <w:r w:rsidR="0025059A">
        <w:t>award</w:t>
      </w:r>
      <w:r w:rsidRPr="00FE1639" w:rsidR="0025059A">
        <w:t xml:space="preserve"> </w:t>
      </w:r>
      <w:r w:rsidRPr="00FE1639" w:rsidR="0025059A">
        <w:lastRenderedPageBreak/>
        <w:t xml:space="preserve">surveys </w:t>
      </w:r>
      <w:r w:rsidRPr="00FE1639" w:rsidR="00F11326">
        <w:t xml:space="preserve">will necessarily vary somewhat to probe whether an award, distinct from simply participating, had any tangible or intangible </w:t>
      </w:r>
      <w:r w:rsidR="00C8773B">
        <w:t>effect on an applicant</w:t>
      </w:r>
      <w:r w:rsidRPr="00FE1639" w:rsidR="00F11326">
        <w:t xml:space="preserve">. The </w:t>
      </w:r>
      <w:r w:rsidRPr="00FE1639" w:rsidR="0025059A">
        <w:t>post-</w:t>
      </w:r>
      <w:r w:rsidR="0025059A">
        <w:t>award</w:t>
      </w:r>
      <w:r w:rsidRPr="00FE1639" w:rsidR="0025059A">
        <w:t xml:space="preserve"> surveys </w:t>
      </w:r>
      <w:r w:rsidRPr="00FE1639" w:rsidR="00F11326">
        <w:t>will generate data on how winners spent the prize money, KidneyX’s facilitation of regulatory or commercial pathways and outcomes, and the concrete interactions with HHS, its partners, and other stakeholders that may have been enabling</w:t>
      </w:r>
      <w:r w:rsidRPr="00FE1639" w:rsidR="00F70DE1">
        <w:t xml:space="preserve"> f</w:t>
      </w:r>
      <w:r w:rsidRPr="00FE1639" w:rsidR="00124937">
        <w:t>actors</w:t>
      </w:r>
      <w:r w:rsidRPr="00FE1639" w:rsidR="00F11326">
        <w:t>.</w:t>
      </w:r>
      <w:r w:rsidRPr="00FE1639" w:rsidR="00CA5777">
        <w:t xml:space="preserve"> </w:t>
      </w:r>
      <w:r w:rsidRPr="00FE1639" w:rsidR="00273F07">
        <w:t xml:space="preserve">Data gathered using the </w:t>
      </w:r>
      <w:r w:rsidRPr="00FE1639" w:rsidR="0025059A">
        <w:t>post-</w:t>
      </w:r>
      <w:r w:rsidR="0025059A">
        <w:t>a</w:t>
      </w:r>
      <w:r w:rsidRPr="00FE1639" w:rsidR="0025059A">
        <w:t>ward</w:t>
      </w:r>
      <w:r w:rsidR="0025059A">
        <w:t xml:space="preserve"> s</w:t>
      </w:r>
      <w:r w:rsidRPr="00FE1639" w:rsidR="0025059A">
        <w:t xml:space="preserve">urvey </w:t>
      </w:r>
      <w:r w:rsidRPr="00FE1639" w:rsidR="00273F07">
        <w:t>will assist in answering</w:t>
      </w:r>
      <w:r w:rsidR="00A55DCA">
        <w:t xml:space="preserve"> </w:t>
      </w:r>
      <w:r w:rsidRPr="00FE1639" w:rsidR="00273F07">
        <w:t>Evaluation Questions</w:t>
      </w:r>
      <w:r w:rsidR="00270380">
        <w:t xml:space="preserve"> 2, 3 and 4</w:t>
      </w:r>
      <w:r w:rsidRPr="00FE1639" w:rsidR="00273F07">
        <w:t xml:space="preserve">. </w:t>
      </w:r>
      <w:r w:rsidRPr="00FE1639" w:rsidR="00CA5777">
        <w:t xml:space="preserve">The </w:t>
      </w:r>
      <w:r w:rsidRPr="00FE1639" w:rsidR="0025059A">
        <w:t>post-</w:t>
      </w:r>
      <w:r w:rsidR="0025059A">
        <w:t>a</w:t>
      </w:r>
      <w:r w:rsidRPr="00FE1639" w:rsidR="0025059A">
        <w:t xml:space="preserve">ward survey </w:t>
      </w:r>
      <w:r w:rsidR="0025059A">
        <w:t>i</w:t>
      </w:r>
      <w:r w:rsidRPr="00FE1639" w:rsidR="0025059A">
        <w:t xml:space="preserve">nstrument </w:t>
      </w:r>
      <w:r w:rsidRPr="00FE1639" w:rsidR="00CA5777">
        <w:t xml:space="preserve">is provided in Attachment </w:t>
      </w:r>
      <w:r w:rsidRPr="0025059A" w:rsidR="0043381B">
        <w:t>B</w:t>
      </w:r>
      <w:r w:rsidRPr="00FE1639" w:rsidR="00CA5777">
        <w:t>.</w:t>
      </w:r>
    </w:p>
    <w:p w:rsidRPr="00FE1639" w:rsidR="00862789" w:rsidP="00397615" w:rsidRDefault="00862789" w14:paraId="77352424" w14:textId="3A32F38C">
      <w:pPr>
        <w:pStyle w:val="BodyText2"/>
      </w:pPr>
      <w:r w:rsidRPr="00FE1639">
        <w:t xml:space="preserve">The projected number of respondents for </w:t>
      </w:r>
      <w:r w:rsidRPr="00FE1639" w:rsidR="001D7095">
        <w:t xml:space="preserve">the </w:t>
      </w:r>
      <w:r w:rsidRPr="00FE1639" w:rsidR="00925ECF">
        <w:t>pre- and post-</w:t>
      </w:r>
      <w:r w:rsidR="00925ECF">
        <w:t>a</w:t>
      </w:r>
      <w:r w:rsidRPr="00FE1639" w:rsidR="00925ECF">
        <w:t xml:space="preserve">ward surveys </w:t>
      </w:r>
      <w:r w:rsidRPr="00FE1639">
        <w:t xml:space="preserve">is unclear </w:t>
      </w:r>
      <w:r w:rsidR="00097948">
        <w:t>because of the</w:t>
      </w:r>
      <w:r w:rsidRPr="00FE1639">
        <w:t xml:space="preserve"> uncertainty about the number of KidneyX applicants. We plan to survey the population of applicants to maximize the validity of the analytical results because of the potential of a rather small number of applicants</w:t>
      </w:r>
      <w:r w:rsidR="00904CB1">
        <w:t xml:space="preserve">, </w:t>
      </w:r>
      <w:r w:rsidR="001D7543">
        <w:t xml:space="preserve">survey </w:t>
      </w:r>
      <w:r w:rsidR="00904CB1">
        <w:t>non-r</w:t>
      </w:r>
      <w:r w:rsidR="004E209A">
        <w:t xml:space="preserve">esponse, </w:t>
      </w:r>
      <w:r w:rsidR="001D7543">
        <w:t>and</w:t>
      </w:r>
      <w:r w:rsidRPr="00FE1639">
        <w:t xml:space="preserve"> an expected high degree of heterogeneity among applicants.</w:t>
      </w:r>
    </w:p>
    <w:p w:rsidRPr="00917126" w:rsidR="003A7CAA" w:rsidP="007C2171" w:rsidRDefault="003D315C" w14:paraId="45CCF5D7" w14:textId="163D1FDD">
      <w:pPr>
        <w:pStyle w:val="Heading3"/>
      </w:pPr>
      <w:r>
        <w:t>.</w:t>
      </w:r>
      <w:r>
        <w:tab/>
      </w:r>
      <w:r w:rsidR="00D33946">
        <w:t>Qualitative</w:t>
      </w:r>
      <w:r w:rsidRPr="00917126" w:rsidR="00D33946">
        <w:t xml:space="preserve"> </w:t>
      </w:r>
      <w:r w:rsidRPr="00917126" w:rsidR="003A7CAA">
        <w:t>Data Collection</w:t>
      </w:r>
    </w:p>
    <w:p w:rsidR="00D33946" w:rsidP="00397615" w:rsidRDefault="00D33946" w14:paraId="5E96FBDB" w14:textId="27009FF2">
      <w:pPr>
        <w:pStyle w:val="BodyText2"/>
      </w:pPr>
      <w:r>
        <w:t>As part of the qualitative data collection, the RTI team will review documents related to KidneyX and to each competition and code any content that is likely to affect the outcomes from each competition. This content could include competition rules, required applicant qualifications, and the innovations targeted by the competition. We will store the coded content for analysis concurrent with the analysis of data collected through interviews.</w:t>
      </w:r>
    </w:p>
    <w:p w:rsidR="00D33946" w:rsidP="00397615" w:rsidRDefault="00D3098B" w14:paraId="7139798E" w14:textId="19EC6AF2">
      <w:pPr>
        <w:pStyle w:val="BodyText2"/>
      </w:pPr>
      <w:r w:rsidRPr="00FE1639">
        <w:t xml:space="preserve">RTI </w:t>
      </w:r>
      <w:r w:rsidR="00097948">
        <w:t xml:space="preserve">International </w:t>
      </w:r>
      <w:r w:rsidRPr="00FE1639">
        <w:t xml:space="preserve">will conduct up to 30 semistructured telephone interviews for each year of the evaluation period. Interviews will be up to 45 minutes long and will provide contextual insights that build on findings </w:t>
      </w:r>
      <w:r w:rsidRPr="00831539">
        <w:t>from our document review.</w:t>
      </w:r>
      <w:r w:rsidRPr="00831539" w:rsidR="005C1DF0">
        <w:t xml:space="preserve"> </w:t>
      </w:r>
      <w:r w:rsidR="00173576">
        <w:t>For each competition under KidneyX, w</w:t>
      </w:r>
      <w:r w:rsidRPr="00831539" w:rsidR="00173576">
        <w:t xml:space="preserve">e </w:t>
      </w:r>
      <w:r w:rsidRPr="00831539" w:rsidR="003A7CAA">
        <w:t xml:space="preserve">will interview selected applicants immediately after </w:t>
      </w:r>
      <w:r w:rsidR="00173576">
        <w:t>the end of the submission period, primarily to elicit views on their motivation for entering the competition</w:t>
      </w:r>
      <w:r w:rsidR="00270380">
        <w:t>,</w:t>
      </w:r>
      <w:r w:rsidR="00173576">
        <w:t xml:space="preserve"> impressions of the submission </w:t>
      </w:r>
      <w:r w:rsidR="00270380">
        <w:t>process, and experience with engaging patients and care partners while preparing submissions</w:t>
      </w:r>
      <w:r w:rsidR="00173576">
        <w:t xml:space="preserve">. We will then interview awardees and non-awardee applicants </w:t>
      </w:r>
      <w:r w:rsidR="00D33946">
        <w:t xml:space="preserve">8 months </w:t>
      </w:r>
      <w:r w:rsidR="00173576">
        <w:t>after announcement of the competition’s prizewinners</w:t>
      </w:r>
      <w:r w:rsidRPr="00831539" w:rsidR="003A7CAA">
        <w:t xml:space="preserve"> to examine the difference in outcomes between awardee and non-awardee applicants. </w:t>
      </w:r>
      <w:r w:rsidRPr="00E92C1F" w:rsidR="00E92C1F">
        <w:t xml:space="preserve"> </w:t>
      </w:r>
      <w:r w:rsidR="00E92C1F">
        <w:t xml:space="preserve">Non-awardees in particular will be queried about their level of satisfaction with the submission process, and suggestions on methods to improve that process. </w:t>
      </w:r>
      <w:r w:rsidRPr="00831539" w:rsidR="003A7CAA">
        <w:t xml:space="preserve">We will interview </w:t>
      </w:r>
      <w:r w:rsidRPr="00831539" w:rsidR="000A2D85">
        <w:t xml:space="preserve">other stakeholders </w:t>
      </w:r>
      <w:r w:rsidRPr="00831539" w:rsidR="00272081">
        <w:t>8 months after award</w:t>
      </w:r>
      <w:r w:rsidRPr="00831539" w:rsidR="00A572D4">
        <w:t>s are made</w:t>
      </w:r>
      <w:r w:rsidR="00D33946">
        <w:t xml:space="preserve"> to solicit their views on how the competition was structured and conducted</w:t>
      </w:r>
      <w:r w:rsidRPr="00831539" w:rsidR="003A7CAA">
        <w:t>.</w:t>
      </w:r>
    </w:p>
    <w:p w:rsidRPr="00831539" w:rsidR="003A7CAA" w:rsidP="00397615" w:rsidRDefault="00D33946" w14:paraId="5DD414C8" w14:textId="5DAACB6F">
      <w:pPr>
        <w:pStyle w:val="BodyText2"/>
      </w:pPr>
      <w:r>
        <w:lastRenderedPageBreak/>
        <w:t xml:space="preserve">As the Redesign Dialysis Phase 1 competition awards have been made, we will only conduct post-award interviews for that competition. For future KidneyX competitions, we will conduct both pre-award and post-award interviews. </w:t>
      </w:r>
      <w:r w:rsidRPr="00831539" w:rsidR="005C1DF0">
        <w:t xml:space="preserve"> </w:t>
      </w:r>
      <w:r w:rsidRPr="00831539" w:rsidR="00661970">
        <w:t xml:space="preserve">An overview of the </w:t>
      </w:r>
      <w:r w:rsidRPr="00831539" w:rsidR="00A572D4">
        <w:t xml:space="preserve">annual schedule for </w:t>
      </w:r>
      <w:r w:rsidRPr="00831539" w:rsidR="00661970">
        <w:t xml:space="preserve">qualitative data collection is provided in Exhibit </w:t>
      </w:r>
      <w:r w:rsidRPr="00831539" w:rsidR="0043381B">
        <w:t>2</w:t>
      </w:r>
      <w:r w:rsidRPr="00831539" w:rsidR="00661970">
        <w:t>.</w:t>
      </w:r>
    </w:p>
    <w:p w:rsidRPr="00831539" w:rsidR="00661970" w:rsidP="004A7134" w:rsidRDefault="00661970" w14:paraId="62F230A7" w14:textId="17417E10">
      <w:pPr>
        <w:pStyle w:val="FigureTitle"/>
        <w:ind w:left="540" w:hanging="360"/>
        <w:rPr>
          <w:sz w:val="24"/>
          <w:szCs w:val="24"/>
        </w:rPr>
      </w:pPr>
      <w:bookmarkStart w:name="_Toc532371861" w:id="5"/>
      <w:r w:rsidRPr="00831539">
        <w:rPr>
          <w:sz w:val="24"/>
          <w:szCs w:val="24"/>
        </w:rPr>
        <w:t xml:space="preserve">Exhibit </w:t>
      </w:r>
      <w:r w:rsidRPr="00831539" w:rsidR="0043381B">
        <w:rPr>
          <w:sz w:val="24"/>
          <w:szCs w:val="24"/>
        </w:rPr>
        <w:t>2</w:t>
      </w:r>
      <w:r w:rsidRPr="00831539">
        <w:rPr>
          <w:sz w:val="24"/>
          <w:szCs w:val="24"/>
        </w:rPr>
        <w:t>.</w:t>
      </w:r>
      <w:r w:rsidRPr="00831539">
        <w:rPr>
          <w:sz w:val="24"/>
          <w:szCs w:val="24"/>
        </w:rPr>
        <w:tab/>
        <w:t xml:space="preserve">Overview of </w:t>
      </w:r>
      <w:r w:rsidRPr="00831539" w:rsidR="00A572D4">
        <w:rPr>
          <w:sz w:val="24"/>
          <w:szCs w:val="24"/>
        </w:rPr>
        <w:t xml:space="preserve">Annual </w:t>
      </w:r>
      <w:r w:rsidRPr="00831539">
        <w:rPr>
          <w:sz w:val="24"/>
          <w:szCs w:val="24"/>
        </w:rPr>
        <w:t xml:space="preserve">Qualitative Data Collection </w:t>
      </w:r>
      <w:bookmarkEnd w:id="5"/>
    </w:p>
    <w:tbl>
      <w:tblPr>
        <w:tblW w:w="5390" w:type="pct"/>
        <w:tblInd w:w="85" w:type="dxa"/>
        <w:tblLayout w:type="fixed"/>
        <w:tblCellMar>
          <w:left w:w="58" w:type="dxa"/>
          <w:right w:w="58" w:type="dxa"/>
        </w:tblCellMar>
        <w:tblLook w:val="04A0" w:firstRow="1" w:lastRow="0" w:firstColumn="1" w:lastColumn="0" w:noHBand="0" w:noVBand="1"/>
      </w:tblPr>
      <w:tblGrid>
        <w:gridCol w:w="2644"/>
        <w:gridCol w:w="1687"/>
        <w:gridCol w:w="1687"/>
        <w:gridCol w:w="1399"/>
        <w:gridCol w:w="1399"/>
        <w:gridCol w:w="1399"/>
      </w:tblGrid>
      <w:tr w:rsidRPr="00831539" w:rsidR="003E2F7B" w:rsidTr="00611ECC" w14:paraId="4FE88B62" w14:textId="77777777">
        <w:tc>
          <w:tcPr>
            <w:tcW w:w="2609" w:type="dxa"/>
            <w:vMerge w:val="restart"/>
            <w:tcBorders>
              <w:top w:val="single" w:color="auto" w:sz="4" w:space="0"/>
              <w:left w:val="single" w:color="auto" w:sz="4" w:space="0"/>
              <w:bottom w:val="single" w:color="auto" w:sz="4" w:space="0"/>
            </w:tcBorders>
            <w:shd w:val="clear" w:color="auto" w:fill="BFBFBF" w:themeFill="background1" w:themeFillShade="BF"/>
          </w:tcPr>
          <w:p w:rsidRPr="00831539" w:rsidR="003E2F7B" w:rsidP="0071322C" w:rsidRDefault="003E2F7B" w14:paraId="004167BD" w14:textId="77777777">
            <w:pPr>
              <w:pStyle w:val="Tableheader"/>
            </w:pPr>
          </w:p>
        </w:tc>
        <w:tc>
          <w:tcPr>
            <w:tcW w:w="3330" w:type="dxa"/>
            <w:gridSpan w:val="2"/>
            <w:tcBorders>
              <w:top w:val="single" w:color="auto" w:sz="4" w:space="0"/>
              <w:bottom w:val="single" w:color="FFFFFF" w:themeColor="background1" w:sz="4" w:space="0"/>
              <w:right w:val="single" w:color="FFFFFF" w:themeColor="background1" w:sz="4" w:space="0"/>
            </w:tcBorders>
            <w:shd w:val="clear" w:color="auto" w:fill="BFBFBF" w:themeFill="background1" w:themeFillShade="BF"/>
          </w:tcPr>
          <w:p w:rsidRPr="00831539" w:rsidR="003E2F7B" w:rsidP="0071322C" w:rsidRDefault="003E2F7B" w14:paraId="683574CE" w14:textId="77777777">
            <w:pPr>
              <w:pStyle w:val="Tableheader"/>
            </w:pPr>
            <w:r w:rsidRPr="00831539">
              <w:t>Document Review</w:t>
            </w:r>
          </w:p>
        </w:tc>
        <w:tc>
          <w:tcPr>
            <w:tcW w:w="4140" w:type="dxa"/>
            <w:gridSpan w:val="3"/>
            <w:tcBorders>
              <w:top w:val="single" w:color="auto" w:sz="4" w:space="0"/>
              <w:left w:val="single" w:color="FFFFFF" w:themeColor="background1" w:sz="4" w:space="0"/>
              <w:bottom w:val="single" w:color="FFFFFF" w:themeColor="background1" w:sz="4" w:space="0"/>
              <w:right w:val="single" w:color="auto" w:sz="4" w:space="0"/>
            </w:tcBorders>
            <w:shd w:val="clear" w:color="auto" w:fill="BFBFBF" w:themeFill="background1" w:themeFillShade="BF"/>
          </w:tcPr>
          <w:p w:rsidRPr="00831539" w:rsidR="003E2F7B" w:rsidP="0071322C" w:rsidRDefault="003E2F7B" w14:paraId="65CEF70D" w14:textId="77777777">
            <w:pPr>
              <w:pStyle w:val="Tableheader"/>
            </w:pPr>
            <w:r w:rsidRPr="00831539">
              <w:t>Stakeholder Interviews</w:t>
            </w:r>
          </w:p>
        </w:tc>
      </w:tr>
      <w:tr w:rsidRPr="00831539" w:rsidR="003E2F7B" w:rsidTr="00611ECC" w14:paraId="75FB0F2A" w14:textId="77777777">
        <w:tc>
          <w:tcPr>
            <w:tcW w:w="2609" w:type="dxa"/>
            <w:vMerge/>
            <w:tcBorders>
              <w:left w:val="single" w:color="auto" w:sz="4" w:space="0"/>
              <w:bottom w:val="single" w:color="auto" w:sz="4" w:space="0"/>
            </w:tcBorders>
            <w:shd w:val="clear" w:color="auto" w:fill="BFBFBF" w:themeFill="background1" w:themeFillShade="BF"/>
            <w:vAlign w:val="bottom"/>
            <w:hideMark/>
          </w:tcPr>
          <w:p w:rsidRPr="00831539" w:rsidR="003E2F7B" w:rsidP="0071322C" w:rsidRDefault="003E2F7B" w14:paraId="27380A64" w14:textId="77777777">
            <w:pPr>
              <w:pStyle w:val="Tableheader"/>
            </w:pPr>
          </w:p>
        </w:tc>
        <w:tc>
          <w:tcPr>
            <w:tcW w:w="1665" w:type="dxa"/>
            <w:tcBorders>
              <w:top w:val="single" w:color="FFFFFF" w:themeColor="background1" w:sz="4" w:space="0"/>
              <w:bottom w:val="single" w:color="auto" w:sz="4" w:space="0"/>
              <w:right w:val="single" w:color="auto" w:sz="4" w:space="0"/>
            </w:tcBorders>
            <w:shd w:val="clear" w:color="auto" w:fill="BFBFBF" w:themeFill="background1" w:themeFillShade="BF"/>
            <w:vAlign w:val="bottom"/>
          </w:tcPr>
          <w:p w:rsidRPr="00831539" w:rsidR="003E2F7B" w:rsidP="0071322C" w:rsidRDefault="003E2F7B" w14:paraId="2BF3655D" w14:textId="77777777">
            <w:pPr>
              <w:pStyle w:val="Tableheader"/>
            </w:pPr>
            <w:r w:rsidRPr="00831539">
              <w:t>General Program Documents</w:t>
            </w:r>
          </w:p>
        </w:tc>
        <w:tc>
          <w:tcPr>
            <w:tcW w:w="1665" w:type="dxa"/>
            <w:tcBorders>
              <w:top w:val="single" w:color="FFFFFF" w:themeColor="background1" w:sz="4" w:space="0"/>
              <w:left w:val="single" w:color="auto" w:sz="4" w:space="0"/>
              <w:bottom w:val="single" w:color="auto" w:sz="4" w:space="0"/>
              <w:right w:val="single" w:color="auto" w:sz="4" w:space="0"/>
            </w:tcBorders>
            <w:shd w:val="clear" w:color="auto" w:fill="BFBFBF" w:themeFill="background1" w:themeFillShade="BF"/>
            <w:vAlign w:val="bottom"/>
          </w:tcPr>
          <w:p w:rsidRPr="00831539" w:rsidR="003E2F7B" w:rsidP="0071322C" w:rsidRDefault="003E2F7B" w14:paraId="33845BC1" w14:textId="77777777">
            <w:pPr>
              <w:pStyle w:val="Tableheader"/>
            </w:pPr>
            <w:r w:rsidRPr="00831539">
              <w:t>Prize Competition Document</w:t>
            </w:r>
          </w:p>
        </w:tc>
        <w:tc>
          <w:tcPr>
            <w:tcW w:w="1380" w:type="dxa"/>
            <w:tcBorders>
              <w:top w:val="single" w:color="FFFFFF" w:themeColor="background1" w:sz="4" w:space="0"/>
              <w:left w:val="single" w:color="auto" w:sz="4" w:space="0"/>
              <w:bottom w:val="single" w:color="auto" w:sz="4" w:space="0"/>
              <w:right w:val="single" w:color="auto" w:sz="4" w:space="0"/>
            </w:tcBorders>
            <w:shd w:val="clear" w:color="auto" w:fill="BFBFBF" w:themeFill="background1" w:themeFillShade="BF"/>
            <w:vAlign w:val="bottom"/>
            <w:hideMark/>
          </w:tcPr>
          <w:p w:rsidRPr="00831539" w:rsidR="003E2F7B" w:rsidP="0071322C" w:rsidRDefault="003E2F7B" w14:paraId="77C0D313" w14:textId="77777777">
            <w:pPr>
              <w:pStyle w:val="Tableheader"/>
            </w:pPr>
            <w:r w:rsidRPr="00831539">
              <w:t>Applicants</w:t>
            </w:r>
          </w:p>
        </w:tc>
        <w:tc>
          <w:tcPr>
            <w:tcW w:w="1380" w:type="dxa"/>
            <w:tcBorders>
              <w:top w:val="single" w:color="FFFFFF" w:themeColor="background1" w:sz="4" w:space="0"/>
              <w:left w:val="single" w:color="auto" w:sz="4" w:space="0"/>
              <w:bottom w:val="single" w:color="auto" w:sz="4" w:space="0"/>
              <w:right w:val="single" w:color="auto" w:sz="4" w:space="0"/>
            </w:tcBorders>
            <w:shd w:val="clear" w:color="auto" w:fill="BFBFBF" w:themeFill="background1" w:themeFillShade="BF"/>
            <w:vAlign w:val="bottom"/>
            <w:hideMark/>
          </w:tcPr>
          <w:p w:rsidRPr="00831539" w:rsidR="003E2F7B" w:rsidP="0071322C" w:rsidRDefault="003E2F7B" w14:paraId="3B6E898C" w14:textId="77777777">
            <w:pPr>
              <w:pStyle w:val="Tableheader"/>
            </w:pPr>
            <w:r w:rsidRPr="00831539">
              <w:t>Awardees</w:t>
            </w:r>
          </w:p>
        </w:tc>
        <w:tc>
          <w:tcPr>
            <w:tcW w:w="1380" w:type="dxa"/>
            <w:tcBorders>
              <w:top w:val="single" w:color="FFFFFF" w:themeColor="background1" w:sz="4" w:space="0"/>
              <w:left w:val="single" w:color="auto" w:sz="4" w:space="0"/>
              <w:bottom w:val="single" w:color="auto" w:sz="4" w:space="0"/>
              <w:right w:val="single" w:color="auto" w:sz="4" w:space="0"/>
            </w:tcBorders>
            <w:shd w:val="clear" w:color="auto" w:fill="BFBFBF" w:themeFill="background1" w:themeFillShade="BF"/>
            <w:vAlign w:val="bottom"/>
            <w:hideMark/>
          </w:tcPr>
          <w:p w:rsidRPr="00831539" w:rsidR="003E2F7B" w:rsidP="0071322C" w:rsidRDefault="003E2F7B" w14:paraId="1A9F8D43" w14:textId="77777777">
            <w:pPr>
              <w:pStyle w:val="Tableheader"/>
            </w:pPr>
            <w:r w:rsidRPr="00831539">
              <w:t>Other Stakeholders</w:t>
            </w:r>
          </w:p>
        </w:tc>
      </w:tr>
      <w:tr w:rsidRPr="00831539" w:rsidR="00661970" w:rsidTr="00611ECC" w14:paraId="7A6C1282" w14:textId="77777777">
        <w:tc>
          <w:tcPr>
            <w:tcW w:w="10079" w:type="dxa"/>
            <w:gridSpan w:val="6"/>
            <w:tcBorders>
              <w:top w:val="nil"/>
              <w:left w:val="single" w:color="auto" w:sz="8" w:space="0"/>
              <w:bottom w:val="single" w:color="auto" w:sz="8" w:space="0"/>
              <w:right w:val="single" w:color="auto" w:sz="4" w:space="0"/>
            </w:tcBorders>
            <w:tcMar>
              <w:top w:w="0" w:type="dxa"/>
              <w:left w:w="108" w:type="dxa"/>
              <w:bottom w:w="0" w:type="dxa"/>
              <w:right w:w="108" w:type="dxa"/>
            </w:tcMar>
            <w:hideMark/>
          </w:tcPr>
          <w:p w:rsidRPr="00831539" w:rsidR="00661970" w:rsidP="0071322C" w:rsidRDefault="00D33946" w14:paraId="3B81B791" w14:textId="2A387B32">
            <w:pPr>
              <w:pStyle w:val="Tableheader"/>
            </w:pPr>
            <w:r>
              <w:t>Redesign Dialysis Phase 1 Competition (Awarded April 2019)</w:t>
            </w:r>
          </w:p>
        </w:tc>
      </w:tr>
      <w:tr w:rsidRPr="00831539" w:rsidR="00661970" w:rsidTr="00611ECC" w14:paraId="6ED6BA0B" w14:textId="77777777">
        <w:tc>
          <w:tcPr>
            <w:tcW w:w="2609" w:type="dxa"/>
            <w:tcBorders>
              <w:top w:val="nil"/>
              <w:left w:val="single" w:color="auto" w:sz="8" w:space="0"/>
              <w:bottom w:val="single" w:color="auto" w:sz="8" w:space="0"/>
              <w:right w:val="single" w:color="auto" w:sz="4" w:space="0"/>
            </w:tcBorders>
            <w:hideMark/>
          </w:tcPr>
          <w:p w:rsidRPr="00831539" w:rsidR="00661970" w:rsidP="0071322C" w:rsidRDefault="00661970" w14:paraId="1F0F0774" w14:textId="77777777">
            <w:pPr>
              <w:pStyle w:val="table-text"/>
              <w:rPr>
                <w:rFonts w:ascii="Times New Roman" w:hAnsi="Times New Roman"/>
              </w:rPr>
            </w:pPr>
            <w:r w:rsidRPr="00831539">
              <w:rPr>
                <w:rFonts w:ascii="Times New Roman" w:hAnsi="Times New Roman"/>
              </w:rPr>
              <w:t xml:space="preserve">Submission period </w:t>
            </w: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1E9DBB4B" w14:textId="77777777">
            <w:pPr>
              <w:pStyle w:val="table-text"/>
              <w:jc w:val="center"/>
            </w:pP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2426F108"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04F99002"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751656DE"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750F810D" w14:textId="77777777">
            <w:pPr>
              <w:pStyle w:val="table-text"/>
              <w:jc w:val="center"/>
            </w:pPr>
          </w:p>
        </w:tc>
      </w:tr>
      <w:tr w:rsidRPr="00831539" w:rsidR="00661970" w:rsidTr="00611ECC" w14:paraId="1B9C47BA" w14:textId="77777777">
        <w:tc>
          <w:tcPr>
            <w:tcW w:w="2609" w:type="dxa"/>
            <w:tcBorders>
              <w:top w:val="nil"/>
              <w:left w:val="single" w:color="auto" w:sz="8" w:space="0"/>
              <w:bottom w:val="single" w:color="auto" w:sz="8" w:space="0"/>
              <w:right w:val="single" w:color="auto" w:sz="4" w:space="0"/>
            </w:tcBorders>
            <w:hideMark/>
          </w:tcPr>
          <w:p w:rsidRPr="00831539" w:rsidR="00661970" w:rsidP="0071322C" w:rsidRDefault="00661970" w14:paraId="6BB4CF86" w14:textId="77777777">
            <w:pPr>
              <w:pStyle w:val="table-text"/>
              <w:rPr>
                <w:rFonts w:ascii="Times New Roman" w:hAnsi="Times New Roman"/>
              </w:rPr>
            </w:pPr>
            <w:r w:rsidRPr="00831539">
              <w:rPr>
                <w:rFonts w:ascii="Times New Roman" w:hAnsi="Times New Roman"/>
              </w:rPr>
              <w:t>8 mos. after award</w:t>
            </w: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128A487C" w14:textId="77777777">
            <w:pPr>
              <w:pStyle w:val="table-text"/>
              <w:jc w:val="center"/>
            </w:pP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5E0B79D0"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31539" w:rsidR="00661970" w:rsidP="0071322C" w:rsidRDefault="00661970" w14:paraId="794D0650"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31539" w:rsidR="00661970" w:rsidP="0071322C" w:rsidRDefault="00661970" w14:paraId="1AF81E88"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31539" w:rsidR="00661970" w:rsidP="0071322C" w:rsidRDefault="00661970" w14:paraId="3BB7F770" w14:textId="77777777">
            <w:pPr>
              <w:pStyle w:val="table-text"/>
              <w:jc w:val="center"/>
            </w:pPr>
            <w:r w:rsidRPr="00831539">
              <w:t>X</w:t>
            </w:r>
          </w:p>
        </w:tc>
      </w:tr>
      <w:tr w:rsidRPr="00831539" w:rsidR="00661970" w:rsidTr="00611ECC" w14:paraId="055548B1" w14:textId="77777777">
        <w:tc>
          <w:tcPr>
            <w:tcW w:w="10079" w:type="dxa"/>
            <w:gridSpan w:val="6"/>
            <w:tcBorders>
              <w:top w:val="nil"/>
              <w:left w:val="single" w:color="auto" w:sz="8" w:space="0"/>
              <w:bottom w:val="single" w:color="auto" w:sz="4" w:space="0"/>
              <w:right w:val="single" w:color="auto" w:sz="4" w:space="0"/>
            </w:tcBorders>
            <w:hideMark/>
          </w:tcPr>
          <w:p w:rsidRPr="00831539" w:rsidR="00661970" w:rsidP="0071322C" w:rsidRDefault="00D33946" w14:paraId="55785B59" w14:textId="3F4E096E">
            <w:pPr>
              <w:pStyle w:val="Tableheader"/>
              <w:rPr>
                <w:rFonts w:ascii="Times New Roman" w:hAnsi="Times New Roman"/>
              </w:rPr>
            </w:pPr>
            <w:r>
              <w:rPr>
                <w:rFonts w:ascii="Times New Roman" w:hAnsi="Times New Roman"/>
              </w:rPr>
              <w:t>Subsequent KidneyX Competitions</w:t>
            </w:r>
          </w:p>
        </w:tc>
      </w:tr>
      <w:tr w:rsidRPr="00831539" w:rsidR="00661970" w:rsidTr="00611ECC" w14:paraId="7733B93F" w14:textId="77777777">
        <w:tc>
          <w:tcPr>
            <w:tcW w:w="2609" w:type="dxa"/>
            <w:tcBorders>
              <w:top w:val="single" w:color="auto" w:sz="4" w:space="0"/>
              <w:left w:val="single" w:color="auto" w:sz="4" w:space="0"/>
              <w:bottom w:val="single" w:color="auto" w:sz="4" w:space="0"/>
              <w:right w:val="single" w:color="auto" w:sz="4" w:space="0"/>
            </w:tcBorders>
            <w:hideMark/>
          </w:tcPr>
          <w:p w:rsidRPr="00831539" w:rsidR="00661970" w:rsidP="0071322C" w:rsidRDefault="00661970" w14:paraId="33D25C3C" w14:textId="77777777">
            <w:pPr>
              <w:pStyle w:val="table-text"/>
              <w:rPr>
                <w:rFonts w:ascii="Times New Roman" w:hAnsi="Times New Roman"/>
              </w:rPr>
            </w:pPr>
            <w:r w:rsidRPr="00831539">
              <w:rPr>
                <w:rFonts w:ascii="Times New Roman" w:hAnsi="Times New Roman"/>
              </w:rPr>
              <w:t xml:space="preserve">Submission period </w:t>
            </w: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28292A89" w14:textId="77777777">
            <w:pPr>
              <w:pStyle w:val="table-text"/>
              <w:jc w:val="center"/>
            </w:pP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4E51A136"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2CA26D7C"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6E4EF1DB"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65A14728" w14:textId="77777777">
            <w:pPr>
              <w:pStyle w:val="table-text"/>
              <w:jc w:val="center"/>
            </w:pPr>
          </w:p>
        </w:tc>
      </w:tr>
      <w:tr w:rsidRPr="00831539" w:rsidR="00661970" w:rsidTr="00611ECC" w14:paraId="25C4A88F" w14:textId="77777777">
        <w:tc>
          <w:tcPr>
            <w:tcW w:w="2609"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16569F6C" w14:textId="77777777">
            <w:pPr>
              <w:pStyle w:val="table-text"/>
              <w:rPr>
                <w:rFonts w:ascii="Times New Roman" w:hAnsi="Times New Roman"/>
              </w:rPr>
            </w:pPr>
            <w:r w:rsidRPr="00831539">
              <w:rPr>
                <w:rFonts w:ascii="Times New Roman" w:hAnsi="Times New Roman"/>
              </w:rPr>
              <w:t>Immediately after submission</w:t>
            </w: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142EBDB1" w14:textId="77777777">
            <w:pPr>
              <w:pStyle w:val="table-text"/>
              <w:jc w:val="center"/>
            </w:pP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602FDF67"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279A63C9"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68F2E90A"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49E3085D" w14:textId="77777777">
            <w:pPr>
              <w:pStyle w:val="table-text"/>
              <w:jc w:val="center"/>
            </w:pPr>
          </w:p>
        </w:tc>
      </w:tr>
      <w:tr w:rsidRPr="00831539" w:rsidR="00661970" w:rsidTr="00611ECC" w14:paraId="1B7D43B5" w14:textId="77777777">
        <w:trPr>
          <w:trHeight w:val="458"/>
        </w:trPr>
        <w:tc>
          <w:tcPr>
            <w:tcW w:w="2609" w:type="dxa"/>
            <w:tcBorders>
              <w:top w:val="single" w:color="auto" w:sz="4" w:space="0"/>
              <w:left w:val="single" w:color="auto" w:sz="4" w:space="0"/>
              <w:bottom w:val="single" w:color="auto" w:sz="4" w:space="0"/>
              <w:right w:val="single" w:color="auto" w:sz="4" w:space="0"/>
            </w:tcBorders>
            <w:hideMark/>
          </w:tcPr>
          <w:p w:rsidRPr="00831539" w:rsidR="00661970" w:rsidP="0071322C" w:rsidRDefault="00661970" w14:paraId="04834873" w14:textId="77777777">
            <w:pPr>
              <w:pStyle w:val="table-text"/>
              <w:rPr>
                <w:rFonts w:ascii="Times New Roman" w:hAnsi="Times New Roman"/>
              </w:rPr>
            </w:pPr>
            <w:r w:rsidRPr="00831539">
              <w:rPr>
                <w:rFonts w:ascii="Times New Roman" w:hAnsi="Times New Roman"/>
              </w:rPr>
              <w:t>8 mos. after award</w:t>
            </w: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3B7F16BB" w14:textId="77777777">
            <w:pPr>
              <w:pStyle w:val="table-text"/>
              <w:jc w:val="center"/>
            </w:pP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1597CB31"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31539" w:rsidR="00661970" w:rsidP="0071322C" w:rsidRDefault="00661970" w14:paraId="7B5AE6AC"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31539" w:rsidR="00661970" w:rsidP="0071322C" w:rsidRDefault="00661970" w14:paraId="69504673" w14:textId="77777777">
            <w:pPr>
              <w:pStyle w:val="table-text"/>
              <w:jc w:val="center"/>
            </w:pPr>
            <w:r w:rsidRPr="00831539">
              <w:t>X</w:t>
            </w: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31539" w:rsidR="00661970" w:rsidP="0071322C" w:rsidRDefault="00661970" w14:paraId="47AB8E42" w14:textId="77777777">
            <w:pPr>
              <w:pStyle w:val="table-text"/>
              <w:jc w:val="center"/>
            </w:pPr>
            <w:r w:rsidRPr="00831539">
              <w:t>X</w:t>
            </w:r>
          </w:p>
        </w:tc>
      </w:tr>
      <w:tr w:rsidRPr="00831539" w:rsidR="00661970" w:rsidTr="00611ECC" w14:paraId="72E8BA7A" w14:textId="77777777">
        <w:tc>
          <w:tcPr>
            <w:tcW w:w="10079"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2F9B4667" w14:textId="77777777">
            <w:pPr>
              <w:pStyle w:val="Tableheader"/>
              <w:rPr>
                <w:rFonts w:ascii="Times New Roman" w:hAnsi="Times New Roman"/>
              </w:rPr>
            </w:pPr>
            <w:r w:rsidRPr="00831539">
              <w:rPr>
                <w:rFonts w:ascii="Times New Roman" w:hAnsi="Times New Roman"/>
              </w:rPr>
              <w:t>Ongoing</w:t>
            </w:r>
          </w:p>
        </w:tc>
      </w:tr>
      <w:tr w:rsidRPr="00831539" w:rsidR="00661970" w:rsidTr="00611ECC" w14:paraId="2E9CE26C" w14:textId="77777777">
        <w:tc>
          <w:tcPr>
            <w:tcW w:w="2609"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6546CB16" w14:textId="77777777">
            <w:pPr>
              <w:pStyle w:val="table-text"/>
              <w:rPr>
                <w:rFonts w:ascii="Times New Roman" w:hAnsi="Times New Roman"/>
              </w:rPr>
            </w:pPr>
            <w:r w:rsidRPr="00831539">
              <w:rPr>
                <w:rFonts w:ascii="Times New Roman" w:hAnsi="Times New Roman"/>
              </w:rPr>
              <w:t>As documents are available</w:t>
            </w: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67E9F311" w14:textId="77777777">
            <w:pPr>
              <w:pStyle w:val="table-text"/>
              <w:jc w:val="center"/>
            </w:pPr>
            <w:r w:rsidRPr="00831539">
              <w:t>X</w:t>
            </w:r>
          </w:p>
        </w:tc>
        <w:tc>
          <w:tcPr>
            <w:tcW w:w="1665" w:type="dxa"/>
            <w:tcBorders>
              <w:top w:val="single" w:color="auto" w:sz="4" w:space="0"/>
              <w:left w:val="single" w:color="auto" w:sz="4" w:space="0"/>
              <w:bottom w:val="single" w:color="auto" w:sz="4" w:space="0"/>
              <w:right w:val="single" w:color="auto" w:sz="4" w:space="0"/>
            </w:tcBorders>
          </w:tcPr>
          <w:p w:rsidRPr="00831539" w:rsidR="00661970" w:rsidP="0071322C" w:rsidRDefault="00661970" w14:paraId="151EB87B"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56981056"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22B7A24A" w14:textId="77777777">
            <w:pPr>
              <w:pStyle w:val="table-text"/>
              <w:jc w:val="cente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31539" w:rsidR="00661970" w:rsidP="0071322C" w:rsidRDefault="00661970" w14:paraId="79D9ABB3" w14:textId="77777777">
            <w:pPr>
              <w:pStyle w:val="table-text"/>
              <w:jc w:val="center"/>
            </w:pPr>
          </w:p>
        </w:tc>
      </w:tr>
    </w:tbl>
    <w:p w:rsidRPr="00831539" w:rsidR="00BD5887" w:rsidP="00397615" w:rsidRDefault="00BD5887" w14:paraId="10799F52" w14:textId="77777777">
      <w:pPr>
        <w:pStyle w:val="BodyText2"/>
      </w:pPr>
    </w:p>
    <w:p w:rsidRPr="00831539" w:rsidR="009825F3" w:rsidP="00397615" w:rsidRDefault="009825F3" w14:paraId="10EF18C9" w14:textId="5587A6A2">
      <w:pPr>
        <w:pStyle w:val="BodyText2"/>
      </w:pPr>
      <w:r w:rsidRPr="00831539">
        <w:rPr>
          <w:u w:val="single"/>
        </w:rPr>
        <w:t>Applicant Interviews</w:t>
      </w:r>
      <w:r w:rsidRPr="00831539">
        <w:t xml:space="preserve">: </w:t>
      </w:r>
      <w:r w:rsidRPr="00831539" w:rsidR="00F52B09">
        <w:t xml:space="preserve">For each prize competition, we will interview a </w:t>
      </w:r>
      <w:r w:rsidRPr="00831539" w:rsidR="00807A67">
        <w:t xml:space="preserve">sample of </w:t>
      </w:r>
      <w:r w:rsidRPr="00831539" w:rsidR="000F2477">
        <w:t xml:space="preserve">applicants before </w:t>
      </w:r>
      <w:r w:rsidRPr="00831539" w:rsidR="008178AE">
        <w:t>competition winners are announced.</w:t>
      </w:r>
      <w:r w:rsidRPr="00831539" w:rsidR="005C1DF0">
        <w:t xml:space="preserve"> </w:t>
      </w:r>
      <w:r w:rsidRPr="00831539" w:rsidR="00E140A3">
        <w:t xml:space="preserve">These interviews will gather information </w:t>
      </w:r>
      <w:r w:rsidRPr="00831539" w:rsidR="00807A67">
        <w:t xml:space="preserve">about </w:t>
      </w:r>
      <w:r w:rsidRPr="00831539" w:rsidR="0089209F">
        <w:t>respondent</w:t>
      </w:r>
      <w:r w:rsidRPr="00831539" w:rsidR="00854E65">
        <w:t xml:space="preserve">s’ perspectives on the </w:t>
      </w:r>
      <w:r w:rsidRPr="00831539" w:rsidR="008617B4">
        <w:t xml:space="preserve">challenge </w:t>
      </w:r>
      <w:r w:rsidRPr="00831539" w:rsidR="00854E65">
        <w:t>application process.</w:t>
      </w:r>
      <w:r w:rsidRPr="00831539" w:rsidR="005C1DF0">
        <w:t xml:space="preserve"> </w:t>
      </w:r>
      <w:r w:rsidRPr="00831539" w:rsidR="00E140A3">
        <w:t xml:space="preserve">Data gathered during the </w:t>
      </w:r>
      <w:r w:rsidRPr="00831539" w:rsidR="00807A67">
        <w:t>applicant interviews</w:t>
      </w:r>
      <w:r w:rsidRPr="00831539" w:rsidR="00E140A3">
        <w:t xml:space="preserve"> will inform responses to Evaluation </w:t>
      </w:r>
      <w:r w:rsidR="001D0923">
        <w:t>2, 4 and 5</w:t>
      </w:r>
      <w:r w:rsidRPr="00831539" w:rsidR="00E140A3">
        <w:t xml:space="preserve">. </w:t>
      </w:r>
      <w:r w:rsidR="0025059A">
        <w:t>Up</w:t>
      </w:r>
      <w:r w:rsidRPr="00831539" w:rsidR="00807A67">
        <w:t xml:space="preserve"> to </w:t>
      </w:r>
      <w:r w:rsidRPr="00831539" w:rsidR="008178AE">
        <w:t>12</w:t>
      </w:r>
      <w:r w:rsidRPr="00831539" w:rsidR="00807A67">
        <w:t xml:space="preserve"> respondents </w:t>
      </w:r>
      <w:r w:rsidR="0025059A">
        <w:t xml:space="preserve">will be interviewed </w:t>
      </w:r>
      <w:r w:rsidRPr="00831539" w:rsidR="00807A67">
        <w:t>per year</w:t>
      </w:r>
      <w:r w:rsidR="0025059A">
        <w:t>,</w:t>
      </w:r>
      <w:r w:rsidRPr="00831539" w:rsidR="00807A67">
        <w:t xml:space="preserve"> </w:t>
      </w:r>
      <w:r w:rsidR="0025059A">
        <w:t>each taking</w:t>
      </w:r>
      <w:r w:rsidRPr="00831539" w:rsidR="00E140A3">
        <w:t xml:space="preserve"> approximately </w:t>
      </w:r>
      <w:r w:rsidRPr="00831539" w:rsidR="008178AE">
        <w:t>45</w:t>
      </w:r>
      <w:r w:rsidRPr="00831539" w:rsidR="00E140A3">
        <w:t xml:space="preserve"> minutes to complete. The </w:t>
      </w:r>
      <w:r w:rsidRPr="00831539" w:rsidR="008178AE">
        <w:t>applicant interview guide</w:t>
      </w:r>
      <w:r w:rsidRPr="00831539" w:rsidR="00E140A3">
        <w:t xml:space="preserve"> is provided in Attachment </w:t>
      </w:r>
      <w:r w:rsidRPr="00831539" w:rsidR="0043381B">
        <w:t>C</w:t>
      </w:r>
      <w:r w:rsidRPr="00831539" w:rsidR="007065C6">
        <w:t>.</w:t>
      </w:r>
    </w:p>
    <w:p w:rsidRPr="00831539" w:rsidR="00E140A3" w:rsidP="00397615" w:rsidRDefault="00E140A3" w14:paraId="7C6F5F09" w14:textId="25BBB5DF">
      <w:pPr>
        <w:pStyle w:val="BodyText2"/>
      </w:pPr>
      <w:r w:rsidRPr="00831539">
        <w:rPr>
          <w:u w:val="single"/>
        </w:rPr>
        <w:t>Non-</w:t>
      </w:r>
      <w:r w:rsidRPr="00831539" w:rsidR="00097948">
        <w:rPr>
          <w:u w:val="single"/>
        </w:rPr>
        <w:t xml:space="preserve">awardee </w:t>
      </w:r>
      <w:r w:rsidRPr="00831539">
        <w:rPr>
          <w:u w:val="single"/>
        </w:rPr>
        <w:t>Interviews</w:t>
      </w:r>
      <w:r w:rsidRPr="00831539">
        <w:t xml:space="preserve">: </w:t>
      </w:r>
      <w:r w:rsidRPr="00831539" w:rsidR="00303B60">
        <w:t xml:space="preserve">For each prize competition, we will interview </w:t>
      </w:r>
      <w:r w:rsidRPr="00831539" w:rsidR="0052299D">
        <w:t>selected</w:t>
      </w:r>
      <w:r w:rsidRPr="00831539" w:rsidR="00303B60">
        <w:t xml:space="preserve"> </w:t>
      </w:r>
      <w:r w:rsidRPr="00831539" w:rsidR="003152B1">
        <w:t>non-awardee applicants</w:t>
      </w:r>
      <w:r w:rsidRPr="00831539" w:rsidR="00303B60">
        <w:t>.</w:t>
      </w:r>
      <w:r w:rsidRPr="00831539" w:rsidR="005C1DF0">
        <w:t xml:space="preserve"> </w:t>
      </w:r>
      <w:r w:rsidRPr="00831539" w:rsidR="00303B60">
        <w:t xml:space="preserve">These interviews will gather information about </w:t>
      </w:r>
      <w:r w:rsidRPr="00831539" w:rsidR="00263104">
        <w:t>non-awardee</w:t>
      </w:r>
      <w:r w:rsidRPr="00831539" w:rsidR="008617B4">
        <w:t xml:space="preserve"> perspective</w:t>
      </w:r>
      <w:r w:rsidRPr="00831539" w:rsidR="00263104">
        <w:t>s</w:t>
      </w:r>
      <w:r w:rsidRPr="00831539" w:rsidR="008617B4">
        <w:t xml:space="preserve"> on KidneyX</w:t>
      </w:r>
      <w:r w:rsidRPr="00831539" w:rsidR="00097948">
        <w:t>,</w:t>
      </w:r>
      <w:r w:rsidRPr="00831539" w:rsidR="001E08AA">
        <w:t xml:space="preserve"> including whether their work to develop a submission has been beneficial (e.g., judging feedback useful) and whether they plan to resubmit to KidneyX and/or seek other investors.</w:t>
      </w:r>
      <w:r w:rsidRPr="00831539" w:rsidR="005C1DF0">
        <w:t xml:space="preserve"> </w:t>
      </w:r>
      <w:r w:rsidRPr="00831539" w:rsidR="00303B60">
        <w:t xml:space="preserve">Data gathered during the </w:t>
      </w:r>
      <w:r w:rsidRPr="00831539" w:rsidR="006D4F5C">
        <w:t>non-awardee</w:t>
      </w:r>
      <w:r w:rsidRPr="00831539" w:rsidR="00303B60">
        <w:t xml:space="preserve"> interviews interview will inform responses to Evaluation Questions </w:t>
      </w:r>
      <w:r w:rsidR="001D0923">
        <w:t>2, 3, 4, and 5</w:t>
      </w:r>
      <w:r w:rsidRPr="00831539" w:rsidR="00303B60">
        <w:t xml:space="preserve">. This interview will be administered to up to </w:t>
      </w:r>
      <w:r w:rsidRPr="00831539" w:rsidR="0005227C">
        <w:t>6</w:t>
      </w:r>
      <w:r w:rsidRPr="00831539" w:rsidR="00303B60">
        <w:t xml:space="preserve"> respondents per year and take approximately </w:t>
      </w:r>
      <w:r w:rsidRPr="00831539" w:rsidR="003152B1">
        <w:t>45</w:t>
      </w:r>
      <w:r w:rsidRPr="00831539" w:rsidR="00303B60">
        <w:t xml:space="preserve"> minutes to complete. The </w:t>
      </w:r>
      <w:r w:rsidRPr="00831539" w:rsidR="003152B1">
        <w:t>non-awardee</w:t>
      </w:r>
      <w:r w:rsidRPr="00831539" w:rsidR="00303B60">
        <w:t xml:space="preserve"> instrument is provided in Attachment </w:t>
      </w:r>
      <w:r w:rsidRPr="00831539" w:rsidR="0043381B">
        <w:t>D</w:t>
      </w:r>
      <w:r w:rsidRPr="00831539" w:rsidR="007065C6">
        <w:t>.</w:t>
      </w:r>
    </w:p>
    <w:p w:rsidRPr="00831539" w:rsidR="009825F3" w:rsidP="00397615" w:rsidRDefault="009825F3" w14:paraId="3B57C9D4" w14:textId="02B17578">
      <w:pPr>
        <w:pStyle w:val="BodyText2"/>
      </w:pPr>
      <w:r w:rsidRPr="00831539">
        <w:rPr>
          <w:u w:val="single"/>
        </w:rPr>
        <w:t>Awardee Interviews</w:t>
      </w:r>
      <w:r w:rsidRPr="00831539">
        <w:t xml:space="preserve">: </w:t>
      </w:r>
      <w:r w:rsidRPr="00831539" w:rsidR="00303B60">
        <w:t xml:space="preserve">For each prize competition, we will interview a </w:t>
      </w:r>
      <w:r w:rsidRPr="00831539" w:rsidR="00D37309">
        <w:t xml:space="preserve">selection </w:t>
      </w:r>
      <w:r w:rsidRPr="00831539" w:rsidR="00303B60">
        <w:t xml:space="preserve">of </w:t>
      </w:r>
      <w:r w:rsidRPr="00831539" w:rsidR="00260A6C">
        <w:t>awardees</w:t>
      </w:r>
      <w:r w:rsidRPr="00831539" w:rsidR="00303B60">
        <w:t>.</w:t>
      </w:r>
      <w:r w:rsidRPr="00831539" w:rsidR="005C1DF0">
        <w:t xml:space="preserve"> </w:t>
      </w:r>
      <w:r w:rsidRPr="00831539" w:rsidR="00303B60">
        <w:t xml:space="preserve">These interviews will gather information about </w:t>
      </w:r>
      <w:r w:rsidRPr="00831539" w:rsidR="00263104">
        <w:t>awardee</w:t>
      </w:r>
      <w:r w:rsidRPr="00831539" w:rsidR="008617B4">
        <w:t xml:space="preserve"> </w:t>
      </w:r>
      <w:r w:rsidRPr="00831539" w:rsidR="0063468E">
        <w:t xml:space="preserve">experience with KidneyX </w:t>
      </w:r>
      <w:r w:rsidRPr="00831539" w:rsidR="0063468E">
        <w:lastRenderedPageBreak/>
        <w:t>after the award, for example</w:t>
      </w:r>
      <w:r w:rsidRPr="00831539" w:rsidR="0016796A">
        <w:t>,</w:t>
      </w:r>
      <w:r w:rsidRPr="00831539" w:rsidR="0063468E">
        <w:t xml:space="preserve"> the extent to which KidneyX facilitated access to investors and business experts and provided resources and guidance to help with commercialization</w:t>
      </w:r>
      <w:r w:rsidRPr="00831539" w:rsidR="008617B4">
        <w:t xml:space="preserve"> and experiences since award</w:t>
      </w:r>
      <w:r w:rsidRPr="00831539" w:rsidR="00303B60">
        <w:t xml:space="preserve">. Data gathered during the </w:t>
      </w:r>
      <w:r w:rsidRPr="00831539" w:rsidR="006D4F5C">
        <w:t>awardee</w:t>
      </w:r>
      <w:r w:rsidRPr="00831539" w:rsidR="00303B60">
        <w:t xml:space="preserve"> interviews will inform responses to Evaluation Questions </w:t>
      </w:r>
      <w:r w:rsidR="001D0923">
        <w:t>2, 3, 4, and 5</w:t>
      </w:r>
      <w:r w:rsidRPr="00831539" w:rsidR="00303B60">
        <w:t xml:space="preserve">. </w:t>
      </w:r>
      <w:r w:rsidR="001D0923">
        <w:t>Interviews will involve</w:t>
      </w:r>
      <w:r w:rsidRPr="00831539" w:rsidR="00303B60">
        <w:t xml:space="preserve"> up to </w:t>
      </w:r>
      <w:r w:rsidRPr="00831539" w:rsidR="0005227C">
        <w:t>6</w:t>
      </w:r>
      <w:r w:rsidRPr="00831539" w:rsidR="00303B60">
        <w:t xml:space="preserve"> respondents per year</w:t>
      </w:r>
      <w:r w:rsidR="001D0923">
        <w:t>,</w:t>
      </w:r>
      <w:r w:rsidRPr="00831539" w:rsidR="00303B60">
        <w:t xml:space="preserve"> and </w:t>
      </w:r>
      <w:r w:rsidR="001D0923">
        <w:t xml:space="preserve">each interview will </w:t>
      </w:r>
      <w:r w:rsidRPr="00831539" w:rsidR="00303B60">
        <w:t xml:space="preserve">take approximately </w:t>
      </w:r>
      <w:r w:rsidRPr="00831539" w:rsidR="008617B4">
        <w:t>45</w:t>
      </w:r>
      <w:r w:rsidRPr="00831539" w:rsidR="00303B60">
        <w:t xml:space="preserve"> minutes to complete. The </w:t>
      </w:r>
      <w:r w:rsidRPr="00831539" w:rsidR="008617B4">
        <w:t>awardee</w:t>
      </w:r>
      <w:r w:rsidRPr="00831539" w:rsidR="00303B60">
        <w:t xml:space="preserve"> </w:t>
      </w:r>
      <w:r w:rsidRPr="00831539" w:rsidR="007065C6">
        <w:t>interview guide</w:t>
      </w:r>
      <w:r w:rsidRPr="00831539" w:rsidR="00303B60">
        <w:t xml:space="preserve"> is provided in Attachment </w:t>
      </w:r>
      <w:r w:rsidRPr="00831539" w:rsidR="0043381B">
        <w:t>E</w:t>
      </w:r>
      <w:r w:rsidRPr="00831539" w:rsidR="00303B60">
        <w:t>.</w:t>
      </w:r>
    </w:p>
    <w:p w:rsidRPr="00831539" w:rsidR="00263104" w:rsidP="00397615" w:rsidRDefault="00E140A3" w14:paraId="59ACC1ED" w14:textId="0011E42D">
      <w:pPr>
        <w:pStyle w:val="BodyText2"/>
      </w:pPr>
      <w:r w:rsidRPr="00831539">
        <w:rPr>
          <w:u w:val="single"/>
        </w:rPr>
        <w:t>Other Stakeholder Interviews</w:t>
      </w:r>
      <w:r w:rsidRPr="00831539">
        <w:t>:</w:t>
      </w:r>
      <w:r w:rsidRPr="00831539" w:rsidR="005C1DF0">
        <w:t xml:space="preserve"> </w:t>
      </w:r>
      <w:r w:rsidRPr="00831539" w:rsidR="00303B60">
        <w:t xml:space="preserve">For each prize competition, we will interview a sample of </w:t>
      </w:r>
      <w:r w:rsidRPr="00831539" w:rsidR="00D65C93">
        <w:t>non-applicant stakeholders</w:t>
      </w:r>
      <w:r w:rsidRPr="00831539" w:rsidR="001460A2">
        <w:t>, including</w:t>
      </w:r>
      <w:r w:rsidRPr="00831539" w:rsidR="00D65C93">
        <w:t xml:space="preserve"> </w:t>
      </w:r>
      <w:r w:rsidRPr="00831539" w:rsidR="001460A2">
        <w:t>non-</w:t>
      </w:r>
      <w:r w:rsidRPr="00831539" w:rsidR="00505767">
        <w:t>government partners</w:t>
      </w:r>
      <w:r w:rsidRPr="00831539" w:rsidR="001460A2">
        <w:t xml:space="preserve"> such as ASN executives,</w:t>
      </w:r>
      <w:r w:rsidRPr="00831539" w:rsidR="00505767">
        <w:t xml:space="preserve"> patient advocates</w:t>
      </w:r>
      <w:r w:rsidR="00C8773B">
        <w:t>, and other entities involved in funding or implementing KidneyX competitions</w:t>
      </w:r>
      <w:r w:rsidRPr="00831539" w:rsidR="00D65C93">
        <w:t>.</w:t>
      </w:r>
      <w:r w:rsidRPr="00831539" w:rsidR="005C1DF0">
        <w:t xml:space="preserve"> </w:t>
      </w:r>
      <w:r w:rsidRPr="00831539" w:rsidR="00303B60">
        <w:t xml:space="preserve">These interviews will gather information about </w:t>
      </w:r>
      <w:r w:rsidRPr="00831539" w:rsidR="00263104">
        <w:t xml:space="preserve">stakeholder perspectives </w:t>
      </w:r>
      <w:r w:rsidRPr="00831539" w:rsidR="0016796A">
        <w:t xml:space="preserve">on </w:t>
      </w:r>
      <w:r w:rsidRPr="00831539" w:rsidR="00E27FB5">
        <w:t>the KidneyX operations and progress toward achieving its objectives.</w:t>
      </w:r>
      <w:r w:rsidRPr="00831539" w:rsidR="005C1DF0">
        <w:t xml:space="preserve"> </w:t>
      </w:r>
      <w:r w:rsidRPr="00831539" w:rsidR="00303B60">
        <w:t xml:space="preserve">Data gathered during the </w:t>
      </w:r>
      <w:r w:rsidRPr="00831539" w:rsidR="000D6B75">
        <w:t>other stakeholder</w:t>
      </w:r>
      <w:r w:rsidRPr="00831539" w:rsidR="00303B60">
        <w:t xml:space="preserve"> interviews will inform responses to Evaluation Questions </w:t>
      </w:r>
      <w:r w:rsidR="001D0923">
        <w:t>1, 2, 4, and 5</w:t>
      </w:r>
      <w:r w:rsidRPr="00831539" w:rsidR="00303B60">
        <w:t xml:space="preserve">. </w:t>
      </w:r>
      <w:r w:rsidR="001D0923">
        <w:t>Up to</w:t>
      </w:r>
      <w:r w:rsidRPr="00831539" w:rsidR="00303B60">
        <w:t xml:space="preserve"> </w:t>
      </w:r>
      <w:r w:rsidRPr="00831539" w:rsidR="0005227C">
        <w:t>6</w:t>
      </w:r>
      <w:r w:rsidRPr="00831539" w:rsidR="00303B60">
        <w:t xml:space="preserve"> respondents per year </w:t>
      </w:r>
      <w:r w:rsidR="001D0923">
        <w:t xml:space="preserve">will be interviewed, </w:t>
      </w:r>
      <w:r w:rsidRPr="00831539" w:rsidR="00303B60">
        <w:t xml:space="preserve">and </w:t>
      </w:r>
      <w:r w:rsidR="001D0923">
        <w:t xml:space="preserve">each will </w:t>
      </w:r>
      <w:r w:rsidRPr="00831539" w:rsidR="00303B60">
        <w:t xml:space="preserve">take approximately </w:t>
      </w:r>
      <w:r w:rsidRPr="00831539" w:rsidR="00263104">
        <w:t>45</w:t>
      </w:r>
      <w:r w:rsidRPr="00831539" w:rsidR="00303B60">
        <w:t xml:space="preserve"> minutes to complete. </w:t>
      </w:r>
      <w:r w:rsidRPr="00831539" w:rsidR="00263104">
        <w:t>The other</w:t>
      </w:r>
      <w:r w:rsidR="001D0923">
        <w:t xml:space="preserve"> </w:t>
      </w:r>
      <w:r w:rsidRPr="00831539" w:rsidR="00263104">
        <w:t xml:space="preserve">stakeholder interview guide is provided in Attachment </w:t>
      </w:r>
      <w:r w:rsidRPr="00831539" w:rsidR="0043381B">
        <w:t>F</w:t>
      </w:r>
      <w:r w:rsidRPr="00831539" w:rsidR="00263104">
        <w:t>.</w:t>
      </w:r>
    </w:p>
    <w:p w:rsidRPr="006C4EB1" w:rsidR="00595874" w:rsidP="00397615" w:rsidRDefault="006C4EB1" w14:paraId="6ED0D673" w14:textId="6292CDDF">
      <w:pPr>
        <w:pStyle w:val="BodyText2"/>
      </w:pPr>
      <w:r w:rsidRPr="00831539">
        <w:t>In all interviews</w:t>
      </w:r>
      <w:r w:rsidRPr="00831539" w:rsidR="000D7792">
        <w:t>,</w:t>
      </w:r>
      <w:r w:rsidRPr="00831539">
        <w:t xml:space="preserve"> we will ask for recommendations about how KidneyX could</w:t>
      </w:r>
      <w:r w:rsidRPr="006C4EB1">
        <w:t xml:space="preserve"> be strengthened</w:t>
      </w:r>
      <w:r w:rsidR="00C8773B">
        <w:t xml:space="preserve">, to inform </w:t>
      </w:r>
      <w:r w:rsidR="00D100CE">
        <w:t xml:space="preserve">our findings on how </w:t>
      </w:r>
      <w:r w:rsidR="00D33946">
        <w:t xml:space="preserve">HHS may improve the </w:t>
      </w:r>
      <w:r w:rsidR="00D100CE">
        <w:t xml:space="preserve">outcomes </w:t>
      </w:r>
      <w:r w:rsidR="00D33946">
        <w:t xml:space="preserve">from KidneyX </w:t>
      </w:r>
      <w:r w:rsidR="00D100CE">
        <w:t>through changes to the initiative itself</w:t>
      </w:r>
      <w:r w:rsidRPr="006C4EB1">
        <w:t>.</w:t>
      </w:r>
    </w:p>
    <w:p w:rsidRPr="002238BD" w:rsidR="00C570E9" w:rsidP="007C2171" w:rsidRDefault="00882717" w14:paraId="0EEEB11D" w14:textId="4DE081B2">
      <w:pPr>
        <w:pStyle w:val="Heading2"/>
      </w:pPr>
      <w:r>
        <w:tab/>
      </w:r>
      <w:r w:rsidRPr="002238BD" w:rsidR="0099395C">
        <w:t xml:space="preserve">Use of </w:t>
      </w:r>
      <w:r w:rsidRPr="002238BD" w:rsidR="00CB151D">
        <w:t>improved information technology and burden re</w:t>
      </w:r>
      <w:r w:rsidRPr="002238BD" w:rsidR="0099395C">
        <w:t>duction</w:t>
      </w:r>
    </w:p>
    <w:p w:rsidR="007A0191" w:rsidP="00397615" w:rsidRDefault="002D3D6A" w14:paraId="3E92C468" w14:textId="05D31FF1">
      <w:pPr>
        <w:pStyle w:val="BodyText2"/>
        <w:rPr>
          <w:lang w:eastAsia="x-none"/>
        </w:rPr>
      </w:pPr>
      <w:r>
        <w:t>Web-based survey data will be collected electronically through Survey</w:t>
      </w:r>
      <w:r w:rsidR="00AD2836">
        <w:t>Gizmo</w:t>
      </w:r>
      <w:r>
        <w:t xml:space="preserve"> software to eliminate the burden of completing and transmitting a paper-based format.</w:t>
      </w:r>
      <w:r w:rsidR="005C1DF0">
        <w:t xml:space="preserve"> </w:t>
      </w:r>
      <w:r>
        <w:t>T</w:t>
      </w:r>
      <w:r>
        <w:rPr>
          <w:lang w:eastAsia="x-none"/>
        </w:rPr>
        <w:t>he surveys will be compatible with smartphones, tablets</w:t>
      </w:r>
      <w:r w:rsidR="000D7792">
        <w:rPr>
          <w:lang w:eastAsia="x-none"/>
        </w:rPr>
        <w:t>,</w:t>
      </w:r>
      <w:r>
        <w:rPr>
          <w:lang w:eastAsia="x-none"/>
        </w:rPr>
        <w:t xml:space="preserve"> and traditional laptop and desktop computers. The surveys will allow respondents to pause and return to complete </w:t>
      </w:r>
      <w:r w:rsidR="000D7792">
        <w:rPr>
          <w:lang w:eastAsia="x-none"/>
        </w:rPr>
        <w:t>them</w:t>
      </w:r>
      <w:r>
        <w:rPr>
          <w:lang w:eastAsia="x-none"/>
        </w:rPr>
        <w:t xml:space="preserve"> at a later time</w:t>
      </w:r>
      <w:r w:rsidR="005F0743">
        <w:rPr>
          <w:lang w:eastAsia="x-none"/>
        </w:rPr>
        <w:t xml:space="preserve"> and</w:t>
      </w:r>
      <w:r>
        <w:rPr>
          <w:lang w:eastAsia="x-none"/>
        </w:rPr>
        <w:t xml:space="preserve"> will be programmed with skip patterns to reduce respondent burden (i.e.</w:t>
      </w:r>
      <w:r w:rsidR="000D7792">
        <w:rPr>
          <w:lang w:eastAsia="x-none"/>
        </w:rPr>
        <w:t>,</w:t>
      </w:r>
      <w:r>
        <w:rPr>
          <w:lang w:eastAsia="x-none"/>
        </w:rPr>
        <w:t xml:space="preserve"> respondents will see </w:t>
      </w:r>
      <w:r w:rsidR="000D7792">
        <w:rPr>
          <w:lang w:eastAsia="x-none"/>
        </w:rPr>
        <w:t xml:space="preserve">only the </w:t>
      </w:r>
      <w:r>
        <w:rPr>
          <w:lang w:eastAsia="x-none"/>
        </w:rPr>
        <w:t>items they are eligible to respond</w:t>
      </w:r>
      <w:r w:rsidR="000D7792">
        <w:rPr>
          <w:lang w:eastAsia="x-none"/>
        </w:rPr>
        <w:t xml:space="preserve"> to</w:t>
      </w:r>
      <w:r>
        <w:rPr>
          <w:lang w:eastAsia="x-none"/>
        </w:rPr>
        <w:t xml:space="preserve">). </w:t>
      </w:r>
    </w:p>
    <w:p w:rsidR="00551640" w:rsidP="00397615" w:rsidRDefault="00551640" w14:paraId="34EE0040" w14:textId="00475D3F">
      <w:pPr>
        <w:pStyle w:val="BodyText2"/>
        <w:rPr>
          <w:lang w:eastAsia="x-none"/>
        </w:rPr>
      </w:pPr>
      <w:r w:rsidRPr="00457055">
        <w:t xml:space="preserve">To maximize response rates, </w:t>
      </w:r>
      <w:r w:rsidR="00483DCE">
        <w:t xml:space="preserve">we will use </w:t>
      </w:r>
      <w:r>
        <w:t>procedures to</w:t>
      </w:r>
      <w:r w:rsidRPr="00457055">
        <w:t xml:space="preserve"> coordinate closely with HHS </w:t>
      </w:r>
      <w:r>
        <w:t>and to</w:t>
      </w:r>
      <w:r w:rsidRPr="00457055">
        <w:t xml:space="preserve"> communicate timely, appropriate reminders emphasiz</w:t>
      </w:r>
      <w:r>
        <w:t>ing</w:t>
      </w:r>
      <w:r w:rsidRPr="00457055">
        <w:t xml:space="preserve"> the importance of applicants’ participation in the surveys. </w:t>
      </w:r>
      <w:r w:rsidR="002D3D6A">
        <w:rPr>
          <w:lang w:eastAsia="x-none"/>
        </w:rPr>
        <w:t>For participants who do not complete the Web-based survey within 1 week of the initial invitation, we will send an e</w:t>
      </w:r>
      <w:r w:rsidR="000D7792">
        <w:rPr>
          <w:lang w:eastAsia="x-none"/>
        </w:rPr>
        <w:noBreakHyphen/>
      </w:r>
      <w:r w:rsidR="002D3D6A">
        <w:rPr>
          <w:lang w:eastAsia="x-none"/>
        </w:rPr>
        <w:t>mail reminder 1 week after the initial invitation</w:t>
      </w:r>
      <w:r>
        <w:rPr>
          <w:lang w:eastAsia="x-none"/>
        </w:rPr>
        <w:t>. Similarly, for participants who have not completed the survey within 2 weeks of the initial invitation, we will send an e</w:t>
      </w:r>
      <w:r w:rsidR="000D7792">
        <w:rPr>
          <w:lang w:eastAsia="x-none"/>
        </w:rPr>
        <w:t>-</w:t>
      </w:r>
      <w:r>
        <w:rPr>
          <w:lang w:eastAsia="x-none"/>
        </w:rPr>
        <w:t xml:space="preserve">mail reminder </w:t>
      </w:r>
      <w:r w:rsidR="002D3D6A">
        <w:rPr>
          <w:lang w:eastAsia="x-none"/>
        </w:rPr>
        <w:t xml:space="preserve">2 weeks after the initial invitation. </w:t>
      </w:r>
      <w:r>
        <w:rPr>
          <w:lang w:eastAsia="x-none"/>
        </w:rPr>
        <w:t xml:space="preserve">A final e-mail reminder will be sent 3 weeks after the initial invitation to those that have not yet completed </w:t>
      </w:r>
      <w:r>
        <w:rPr>
          <w:lang w:eastAsia="x-none"/>
        </w:rPr>
        <w:lastRenderedPageBreak/>
        <w:t>the survey. E</w:t>
      </w:r>
      <w:r w:rsidR="000D7792">
        <w:rPr>
          <w:lang w:eastAsia="x-none"/>
        </w:rPr>
        <w:t>-</w:t>
      </w:r>
      <w:r>
        <w:rPr>
          <w:lang w:eastAsia="x-none"/>
        </w:rPr>
        <w:t>mails will come from a</w:t>
      </w:r>
      <w:r w:rsidR="005C44D7">
        <w:rPr>
          <w:lang w:eastAsia="x-none"/>
        </w:rPr>
        <w:t>n</w:t>
      </w:r>
      <w:r>
        <w:rPr>
          <w:lang w:eastAsia="x-none"/>
        </w:rPr>
        <w:t xml:space="preserve"> e</w:t>
      </w:r>
      <w:r w:rsidR="000D7792">
        <w:rPr>
          <w:lang w:eastAsia="x-none"/>
        </w:rPr>
        <w:t>-</w:t>
      </w:r>
      <w:r>
        <w:rPr>
          <w:lang w:eastAsia="x-none"/>
        </w:rPr>
        <w:t>mail address</w:t>
      </w:r>
      <w:r w:rsidR="005C44D7">
        <w:rPr>
          <w:lang w:eastAsia="x-none"/>
        </w:rPr>
        <w:t xml:space="preserve"> easily associated with KidneyX,</w:t>
      </w:r>
      <w:r>
        <w:rPr>
          <w:lang w:eastAsia="x-none"/>
        </w:rPr>
        <w:t xml:space="preserve"> such as </w:t>
      </w:r>
      <w:hyperlink w:history="1" r:id="rId12">
        <w:r w:rsidRPr="0051200F">
          <w:rPr>
            <w:rStyle w:val="Hyperlink"/>
            <w:lang w:eastAsia="x-none"/>
          </w:rPr>
          <w:t>KidneyX_Survey@rti.org</w:t>
        </w:r>
      </w:hyperlink>
      <w:r w:rsidR="005C44D7">
        <w:rPr>
          <w:rStyle w:val="Hyperlink"/>
          <w:lang w:eastAsia="x-none"/>
        </w:rPr>
        <w:t>,</w:t>
      </w:r>
      <w:r>
        <w:rPr>
          <w:lang w:eastAsia="x-none"/>
        </w:rPr>
        <w:t xml:space="preserve"> so that respondents are more likely to open the e</w:t>
      </w:r>
      <w:r w:rsidR="000D7792">
        <w:rPr>
          <w:lang w:eastAsia="x-none"/>
        </w:rPr>
        <w:t>-</w:t>
      </w:r>
      <w:r>
        <w:rPr>
          <w:lang w:eastAsia="x-none"/>
        </w:rPr>
        <w:t xml:space="preserve">mail. The surveys will be closed upon reaching 4 weeks after the initial invitation. These procedures will </w:t>
      </w:r>
      <w:r w:rsidR="00483DCE">
        <w:rPr>
          <w:lang w:eastAsia="x-none"/>
        </w:rPr>
        <w:t>help</w:t>
      </w:r>
      <w:r>
        <w:rPr>
          <w:lang w:eastAsia="x-none"/>
        </w:rPr>
        <w:t xml:space="preserve"> </w:t>
      </w:r>
      <w:r w:rsidR="00483DCE">
        <w:rPr>
          <w:lang w:eastAsia="x-none"/>
        </w:rPr>
        <w:t xml:space="preserve">maximize </w:t>
      </w:r>
      <w:r>
        <w:rPr>
          <w:lang w:eastAsia="x-none"/>
        </w:rPr>
        <w:t xml:space="preserve">the response rate. </w:t>
      </w:r>
    </w:p>
    <w:p w:rsidRPr="00FE1639" w:rsidR="002D3D6A" w:rsidP="00397615" w:rsidRDefault="002D3D6A" w14:paraId="165B4867" w14:textId="62295D6F">
      <w:pPr>
        <w:pStyle w:val="BodyText2"/>
      </w:pPr>
      <w:r>
        <w:t xml:space="preserve">Telephone interviews will collect qualitative data </w:t>
      </w:r>
      <w:r w:rsidR="005C44D7">
        <w:t>at lower cost and</w:t>
      </w:r>
      <w:r w:rsidR="00134707">
        <w:t xml:space="preserve"> </w:t>
      </w:r>
      <w:r>
        <w:t xml:space="preserve">respondent burden </w:t>
      </w:r>
      <w:r w:rsidR="00483DCE">
        <w:t xml:space="preserve">than </w:t>
      </w:r>
      <w:r w:rsidR="0010014C">
        <w:t>in-person interviews</w:t>
      </w:r>
      <w:r>
        <w:t xml:space="preserve">. </w:t>
      </w:r>
      <w:r>
        <w:rPr>
          <w:lang w:val="x-none"/>
        </w:rPr>
        <w:t xml:space="preserve">To reduce the burden on </w:t>
      </w:r>
      <w:r w:rsidR="0010014C">
        <w:t>respondents</w:t>
      </w:r>
      <w:r w:rsidR="005C44D7">
        <w:t xml:space="preserve"> further</w:t>
      </w:r>
      <w:r w:rsidR="0010014C">
        <w:t xml:space="preserve">, </w:t>
      </w:r>
      <w:r w:rsidR="0026269B">
        <w:t>we</w:t>
      </w:r>
      <w:r>
        <w:rPr>
          <w:lang w:val="x-none"/>
        </w:rPr>
        <w:t xml:space="preserve"> will review </w:t>
      </w:r>
      <w:r w:rsidR="0026269B">
        <w:t>interim survey data and</w:t>
      </w:r>
      <w:r>
        <w:rPr>
          <w:lang w:val="x-none"/>
        </w:rPr>
        <w:t xml:space="preserve"> program documents</w:t>
      </w:r>
      <w:r w:rsidR="0026269B">
        <w:t xml:space="preserve"> </w:t>
      </w:r>
      <w:r w:rsidR="00483DCE">
        <w:t>before</w:t>
      </w:r>
      <w:r w:rsidR="0026269B">
        <w:t xml:space="preserve"> </w:t>
      </w:r>
      <w:r w:rsidR="00D10FE1">
        <w:t xml:space="preserve">conducting interviews so that we can focus </w:t>
      </w:r>
      <w:r w:rsidR="00483DCE">
        <w:t>the d</w:t>
      </w:r>
      <w:r w:rsidR="00D10FE1">
        <w:t>iscussions</w:t>
      </w:r>
      <w:r w:rsidR="00FE1639">
        <w:t xml:space="preserve">. </w:t>
      </w:r>
    </w:p>
    <w:p w:rsidRPr="002238BD" w:rsidR="005927A9" w:rsidP="007C2171" w:rsidRDefault="00882717" w14:paraId="55A8712D" w14:textId="54D4EAEF">
      <w:pPr>
        <w:pStyle w:val="Heading2"/>
      </w:pPr>
      <w:r>
        <w:tab/>
      </w:r>
      <w:r w:rsidRPr="002238BD" w:rsidR="00CA558A">
        <w:t xml:space="preserve">Efforts to </w:t>
      </w:r>
      <w:r w:rsidRPr="002238BD" w:rsidR="00CB151D">
        <w:t>identify duplication and use of similar informa</w:t>
      </w:r>
      <w:r w:rsidRPr="002238BD" w:rsidR="00CA558A">
        <w:t>tion</w:t>
      </w:r>
    </w:p>
    <w:p w:rsidRPr="00FE1639" w:rsidR="00E5611F" w:rsidP="00397615" w:rsidRDefault="00E5611F" w14:paraId="512532C6" w14:textId="22CBB958">
      <w:pPr>
        <w:pStyle w:val="BodyText2"/>
      </w:pPr>
      <w:r w:rsidRPr="00FE1639">
        <w:t xml:space="preserve">In formulating the evaluation plan, the research evaluation team has carefully considered how to minimize burden by supplementing existing administrative and secondary data sources with targeted primary data collection. To this end, the evaluation </w:t>
      </w:r>
      <w:r w:rsidR="00483DCE">
        <w:t xml:space="preserve">will </w:t>
      </w:r>
      <w:r w:rsidRPr="00FE1639">
        <w:t>incorporate the following approaches to reducing duplication to employ similar information.</w:t>
      </w:r>
    </w:p>
    <w:p w:rsidRPr="00FE1639" w:rsidR="00E5611F" w:rsidP="007C2171" w:rsidRDefault="003B1B90" w14:paraId="43C686BF" w14:textId="57D8155D">
      <w:pPr>
        <w:pStyle w:val="Heading3"/>
      </w:pPr>
      <w:r>
        <w:t>.</w:t>
      </w:r>
      <w:r>
        <w:tab/>
      </w:r>
      <w:r w:rsidRPr="00FE1639" w:rsidR="00E5611F">
        <w:t>Use of Administrative Data</w:t>
      </w:r>
    </w:p>
    <w:p w:rsidRPr="00FE1639" w:rsidR="00481B4A" w:rsidP="00397615" w:rsidRDefault="00CD6F1C" w14:paraId="2A421CDA" w14:textId="40FCD41A">
      <w:pPr>
        <w:pStyle w:val="BodyText2"/>
      </w:pPr>
      <w:bookmarkStart w:name="_Hlk513100650" w:id="6"/>
      <w:r w:rsidRPr="00FE1639">
        <w:t xml:space="preserve">We will use administrative data </w:t>
      </w:r>
      <w:r w:rsidR="005C44D7">
        <w:t>submitted</w:t>
      </w:r>
      <w:r w:rsidRPr="00FE1639" w:rsidR="005C44D7">
        <w:t xml:space="preserve"> </w:t>
      </w:r>
      <w:r w:rsidRPr="00FE1639">
        <w:t>by applicants</w:t>
      </w:r>
      <w:r w:rsidR="005C44D7">
        <w:t xml:space="preserve"> before, during, and after each competition</w:t>
      </w:r>
      <w:r w:rsidRPr="00FE1639">
        <w:t xml:space="preserve"> </w:t>
      </w:r>
      <w:r w:rsidRPr="00FE1639" w:rsidR="00F2741E">
        <w:t xml:space="preserve">to supplant data that would otherwise be obtained through primary data collections. Administrative data collections will include </w:t>
      </w:r>
      <w:r w:rsidRPr="00FE1639" w:rsidR="00981470">
        <w:t xml:space="preserve">data generated through the mandated use of the </w:t>
      </w:r>
      <w:r w:rsidR="005C44D7">
        <w:t>Compete</w:t>
      </w:r>
      <w:r w:rsidRPr="00FE1639" w:rsidR="00981470">
        <w:t xml:space="preserve">.gov platform </w:t>
      </w:r>
      <w:r w:rsidR="001F145C">
        <w:t>and</w:t>
      </w:r>
      <w:r w:rsidRPr="00FE1639" w:rsidR="00D762B5">
        <w:t xml:space="preserve"> any other administrative documents </w:t>
      </w:r>
      <w:r w:rsidRPr="00FE1639" w:rsidR="008B06B5">
        <w:t>submitted to KidneyX</w:t>
      </w:r>
      <w:r w:rsidRPr="00FE1639" w:rsidR="00D762B5">
        <w:t xml:space="preserve">, including </w:t>
      </w:r>
      <w:r w:rsidRPr="00FE1639" w:rsidR="008B06B5">
        <w:t>in</w:t>
      </w:r>
      <w:r w:rsidRPr="00FE1639" w:rsidR="00BF7925">
        <w:t xml:space="preserve">formational </w:t>
      </w:r>
      <w:r w:rsidRPr="00FE1639" w:rsidR="00D762B5">
        <w:t>queries and correspondence</w:t>
      </w:r>
      <w:r w:rsidRPr="00FE1639" w:rsidR="00FA1561">
        <w:t xml:space="preserve"> that </w:t>
      </w:r>
      <w:r w:rsidRPr="00FE1639" w:rsidR="001F145C">
        <w:t xml:space="preserve">KidneyX </w:t>
      </w:r>
      <w:r w:rsidRPr="00FE1639" w:rsidR="00FA1561">
        <w:t xml:space="preserve">may have </w:t>
      </w:r>
      <w:r w:rsidRPr="00FE1639" w:rsidR="001E1C81">
        <w:t>documented</w:t>
      </w:r>
      <w:r w:rsidRPr="00FE1639" w:rsidR="00FA1561">
        <w:t>.</w:t>
      </w:r>
    </w:p>
    <w:bookmarkEnd w:id="6"/>
    <w:p w:rsidRPr="00FE1639" w:rsidR="00C53DED" w:rsidP="007C2171" w:rsidRDefault="003B1B90" w14:paraId="5EB8CD2A" w14:textId="56CE5BA5">
      <w:pPr>
        <w:pStyle w:val="Heading3"/>
      </w:pPr>
      <w:r>
        <w:t>.</w:t>
      </w:r>
      <w:r>
        <w:tab/>
      </w:r>
      <w:r w:rsidRPr="00FE1639" w:rsidR="00E5611F">
        <w:t>Use of Secondary Data</w:t>
      </w:r>
      <w:r w:rsidR="00401994">
        <w:t xml:space="preserve"> </w:t>
      </w:r>
    </w:p>
    <w:p w:rsidR="008D565C" w:rsidP="005C44D7" w:rsidRDefault="00027F6D" w14:paraId="1ABEA34C" w14:textId="0072AB34">
      <w:pPr>
        <w:pStyle w:val="BodyText2"/>
      </w:pPr>
      <w:r w:rsidRPr="00FE1639">
        <w:t xml:space="preserve">We will use secondary data maintained by U.S. federal agencies </w:t>
      </w:r>
      <w:r w:rsidR="001F145C">
        <w:t>and</w:t>
      </w:r>
      <w:r w:rsidRPr="00FE1639">
        <w:t xml:space="preserve"> private companies and organizations to </w:t>
      </w:r>
      <w:r w:rsidRPr="00FE1639" w:rsidR="00C70B76">
        <w:t xml:space="preserve">measure outcomes </w:t>
      </w:r>
      <w:r w:rsidR="001D0923">
        <w:t>from</w:t>
      </w:r>
      <w:r w:rsidR="005C44D7">
        <w:t xml:space="preserve"> innovation-related activities</w:t>
      </w:r>
      <w:r w:rsidR="001D0923">
        <w:t xml:space="preserve"> of awardee and non-awardee applicants</w:t>
      </w:r>
      <w:r w:rsidR="005C44D7">
        <w:t xml:space="preserve"> </w:t>
      </w:r>
      <w:r w:rsidRPr="00FE1639" w:rsidR="00CC468E">
        <w:t xml:space="preserve">from </w:t>
      </w:r>
      <w:r w:rsidRPr="00FE1639" w:rsidR="00C70B76">
        <w:t>baseline (</w:t>
      </w:r>
      <w:r w:rsidR="005C44D7">
        <w:t>prior to</w:t>
      </w:r>
      <w:r w:rsidRPr="00FE1639" w:rsidR="005C44D7">
        <w:t xml:space="preserve"> </w:t>
      </w:r>
      <w:r w:rsidRPr="00FE1639" w:rsidR="00C70B76">
        <w:t xml:space="preserve">competition entry) </w:t>
      </w:r>
      <w:r w:rsidRPr="00FE1639" w:rsidR="0052338F">
        <w:t xml:space="preserve">to </w:t>
      </w:r>
      <w:r w:rsidR="005C44D7">
        <w:t>post-intervention</w:t>
      </w:r>
      <w:r w:rsidRPr="00FE1639">
        <w:t>.</w:t>
      </w:r>
      <w:r w:rsidRPr="00FE1639" w:rsidR="00F75554">
        <w:t xml:space="preserve"> </w:t>
      </w:r>
      <w:r w:rsidR="001F145C">
        <w:t>Exhibit 3</w:t>
      </w:r>
      <w:r w:rsidRPr="00FE1639" w:rsidR="001945A6">
        <w:t xml:space="preserve"> lists data elements that </w:t>
      </w:r>
      <w:r w:rsidR="00616528">
        <w:t xml:space="preserve">we </w:t>
      </w:r>
      <w:r w:rsidRPr="00FE1639" w:rsidR="001945A6">
        <w:t xml:space="preserve">will </w:t>
      </w:r>
      <w:r w:rsidRPr="00FE1639" w:rsidR="003B1123">
        <w:t>obtain from secondary sources</w:t>
      </w:r>
      <w:r w:rsidRPr="00FE1639" w:rsidR="001945A6">
        <w:t xml:space="preserve">. </w:t>
      </w:r>
      <w:r w:rsidRPr="00FE1639" w:rsidR="00F75554">
        <w:t xml:space="preserve">Each wave of secondary data collection will </w:t>
      </w:r>
      <w:r w:rsidRPr="00FE1639" w:rsidR="00967E94">
        <w:t xml:space="preserve">measure change over time in </w:t>
      </w:r>
      <w:r w:rsidRPr="00FE1639" w:rsidR="00EE25AE">
        <w:t xml:space="preserve">key outcomes that are directly </w:t>
      </w:r>
      <w:r w:rsidR="00A251B3">
        <w:t>related to</w:t>
      </w:r>
      <w:r w:rsidRPr="00FE1639" w:rsidR="00EE25AE">
        <w:t xml:space="preserve"> th</w:t>
      </w:r>
      <w:r w:rsidRPr="00FE1639" w:rsidR="001945A6">
        <w:t>e aims of KidneyX.</w:t>
      </w:r>
      <w:r w:rsidRPr="00FE1639" w:rsidR="006E2C09">
        <w:t xml:space="preserve"> </w:t>
      </w:r>
    </w:p>
    <w:p w:rsidRPr="00FE1639" w:rsidR="001D0923" w:rsidP="001D0923" w:rsidRDefault="001D0923" w14:paraId="28903115" w14:textId="77777777">
      <w:pPr>
        <w:pStyle w:val="BodyText2"/>
      </w:pPr>
      <w:r>
        <w:t xml:space="preserve">We will construct a monitoring data system that will identify both participant and non-participant firms and researchers relevant to the kidney technology domain in these databases, and extract records mentioning those entities on an intermittent basis. These databases have all been used in prior academic studies of innovation activity in the US economy (Dalle, den Besten, and Menon, 2017; Corredoira, Goldfarb, and Shi, 2018; Fortunato et al., 2018). Each dataset </w:t>
      </w:r>
      <w:r>
        <w:lastRenderedPageBreak/>
        <w:t>describes particular aspects of innovation; therefore, we will integrate records from all sources to construct a more complete view of the level of innovation activity over time in this domain.</w:t>
      </w:r>
    </w:p>
    <w:p w:rsidRPr="00FE1639" w:rsidR="001D0923" w:rsidP="005C44D7" w:rsidRDefault="001D0923" w14:paraId="7585C980" w14:textId="77777777">
      <w:pPr>
        <w:pStyle w:val="BodyText2"/>
      </w:pPr>
    </w:p>
    <w:p w:rsidRPr="005E5692" w:rsidR="00BB56E0" w:rsidP="007C2171" w:rsidRDefault="001F145C" w14:paraId="6FF67753" w14:textId="15E3D3E9">
      <w:pPr>
        <w:pStyle w:val="FigureTitle"/>
        <w:ind w:left="360" w:hanging="360"/>
        <w:rPr>
          <w:szCs w:val="24"/>
        </w:rPr>
      </w:pPr>
      <w:r w:rsidRPr="00285044">
        <w:rPr>
          <w:sz w:val="24"/>
          <w:szCs w:val="24"/>
        </w:rPr>
        <w:t>Exhibit 3.</w:t>
      </w:r>
      <w:r w:rsidRPr="00285044">
        <w:rPr>
          <w:sz w:val="24"/>
          <w:szCs w:val="24"/>
        </w:rPr>
        <w:tab/>
      </w:r>
      <w:r w:rsidRPr="00285044">
        <w:rPr>
          <w:rFonts w:eastAsia="Calibri"/>
          <w:sz w:val="24"/>
          <w:szCs w:val="24"/>
        </w:rPr>
        <w:t>Data Elements and Secondary Sources</w:t>
      </w:r>
      <w:r w:rsidRPr="00285044">
        <w:rPr>
          <w:sz w:val="24"/>
          <w:szCs w:val="24"/>
        </w:rPr>
        <w:t xml:space="preserve"> </w:t>
      </w:r>
    </w:p>
    <w:tbl>
      <w:tblPr>
        <w:tblStyle w:val="TableGrid1"/>
        <w:tblW w:w="9450" w:type="dxa"/>
        <w:tblLook w:val="04A0" w:firstRow="1" w:lastRow="0" w:firstColumn="1" w:lastColumn="0" w:noHBand="0" w:noVBand="1"/>
      </w:tblPr>
      <w:tblGrid>
        <w:gridCol w:w="5490"/>
        <w:gridCol w:w="3960"/>
      </w:tblGrid>
      <w:tr w:rsidRPr="00AB3967" w:rsidR="003A3F74" w:rsidTr="001D0923" w14:paraId="73853509" w14:textId="77777777">
        <w:tc>
          <w:tcPr>
            <w:tcW w:w="5490" w:type="dxa"/>
            <w:tcBorders>
              <w:left w:val="nil"/>
            </w:tcBorders>
            <w:shd w:val="clear" w:color="auto" w:fill="BFBFBF" w:themeFill="background1" w:themeFillShade="BF"/>
            <w:vAlign w:val="bottom"/>
          </w:tcPr>
          <w:p w:rsidRPr="00AB3967" w:rsidR="003A3F74" w:rsidP="007C2171" w:rsidRDefault="003A3F74" w14:paraId="6D0318ED" w14:textId="01DDA5F6">
            <w:pPr>
              <w:keepNext/>
              <w:jc w:val="center"/>
              <w:rPr>
                <w:rFonts w:eastAsia="Calibri" w:asciiTheme="majorHAnsi" w:hAnsiTheme="majorHAnsi" w:cstheme="majorHAnsi"/>
                <w:sz w:val="22"/>
              </w:rPr>
            </w:pPr>
            <w:r w:rsidRPr="00B3524B">
              <w:rPr>
                <w:rFonts w:eastAsia="Calibri" w:asciiTheme="majorHAnsi" w:hAnsiTheme="majorHAnsi" w:cstheme="majorHAnsi"/>
                <w:b/>
                <w:sz w:val="22"/>
              </w:rPr>
              <w:t>Data Sources</w:t>
            </w:r>
          </w:p>
        </w:tc>
        <w:tc>
          <w:tcPr>
            <w:tcW w:w="3960" w:type="dxa"/>
            <w:shd w:val="clear" w:color="auto" w:fill="BFBFBF" w:themeFill="background1" w:themeFillShade="BF"/>
            <w:vAlign w:val="bottom"/>
          </w:tcPr>
          <w:p w:rsidRPr="00AB3967" w:rsidR="003A3F74" w:rsidP="007C2171" w:rsidRDefault="003A3F74" w14:paraId="2AE02200" w14:textId="0344BAB8">
            <w:pPr>
              <w:keepNext/>
              <w:jc w:val="center"/>
              <w:rPr>
                <w:rFonts w:eastAsia="Calibri" w:asciiTheme="majorHAnsi" w:hAnsiTheme="majorHAnsi" w:cstheme="majorHAnsi"/>
                <w:sz w:val="22"/>
              </w:rPr>
            </w:pPr>
            <w:r w:rsidRPr="00B3524B">
              <w:rPr>
                <w:rFonts w:eastAsia="Calibri" w:asciiTheme="majorHAnsi" w:hAnsiTheme="majorHAnsi" w:cstheme="majorHAnsi"/>
                <w:b/>
                <w:sz w:val="22"/>
              </w:rPr>
              <w:t>Data Elements</w:t>
            </w:r>
          </w:p>
        </w:tc>
      </w:tr>
      <w:tr w:rsidRPr="00AB3967" w:rsidR="003A3F74" w:rsidTr="001D0923" w14:paraId="5E3C2F94" w14:textId="77777777">
        <w:trPr>
          <w:trHeight w:val="20"/>
        </w:trPr>
        <w:tc>
          <w:tcPr>
            <w:tcW w:w="5490" w:type="dxa"/>
            <w:tcBorders>
              <w:left w:val="nil"/>
            </w:tcBorders>
          </w:tcPr>
          <w:p w:rsidRPr="00AB3967" w:rsidR="003A3F74" w:rsidP="007C2171" w:rsidRDefault="003A3F74" w14:paraId="47CED223" w14:textId="43556362">
            <w:pPr>
              <w:keepNext/>
              <w:rPr>
                <w:rFonts w:eastAsia="Calibri" w:asciiTheme="majorHAnsi" w:hAnsiTheme="majorHAnsi" w:cstheme="majorHAnsi"/>
                <w:sz w:val="22"/>
              </w:rPr>
            </w:pPr>
            <w:r w:rsidRPr="00AB3967">
              <w:rPr>
                <w:rFonts w:eastAsia="Calibri" w:asciiTheme="majorHAnsi" w:hAnsiTheme="majorHAnsi" w:cstheme="majorHAnsi"/>
                <w:sz w:val="22"/>
              </w:rPr>
              <w:t>U.S. Patent and Trademark Office databases and similar third-party sources such as PatSnap and Google Patents</w:t>
            </w:r>
          </w:p>
        </w:tc>
        <w:tc>
          <w:tcPr>
            <w:tcW w:w="3960" w:type="dxa"/>
          </w:tcPr>
          <w:p w:rsidRPr="00AB3967" w:rsidR="003A3F74" w:rsidP="007C2171" w:rsidRDefault="003A3F74" w14:paraId="6440FF41" w14:textId="77777777">
            <w:pPr>
              <w:keepNext/>
              <w:rPr>
                <w:rFonts w:eastAsia="Calibri" w:asciiTheme="majorHAnsi" w:hAnsiTheme="majorHAnsi" w:cstheme="majorHAnsi"/>
                <w:sz w:val="22"/>
              </w:rPr>
            </w:pPr>
            <w:r w:rsidRPr="00AB3967">
              <w:rPr>
                <w:rFonts w:eastAsia="Calibri" w:asciiTheme="majorHAnsi" w:hAnsiTheme="majorHAnsi" w:cstheme="majorHAnsi"/>
                <w:sz w:val="22"/>
              </w:rPr>
              <w:t>Patent applications</w:t>
            </w:r>
          </w:p>
          <w:p w:rsidRPr="00AB3967" w:rsidR="003A3F74" w:rsidP="007C2171" w:rsidRDefault="003A3F74" w14:paraId="64605225" w14:textId="2C8D39C8">
            <w:pPr>
              <w:keepNext/>
              <w:rPr>
                <w:rFonts w:eastAsia="Calibri" w:asciiTheme="majorHAnsi" w:hAnsiTheme="majorHAnsi" w:cstheme="majorHAnsi"/>
                <w:sz w:val="22"/>
              </w:rPr>
            </w:pPr>
            <w:r w:rsidRPr="00AB3967">
              <w:rPr>
                <w:rFonts w:eastAsia="Calibri" w:asciiTheme="majorHAnsi" w:hAnsiTheme="majorHAnsi" w:cstheme="majorHAnsi"/>
                <w:sz w:val="22"/>
              </w:rPr>
              <w:t>Patent approvals</w:t>
            </w:r>
          </w:p>
        </w:tc>
      </w:tr>
      <w:tr w:rsidRPr="00AB3967" w:rsidR="003A3F74" w:rsidTr="001D0923" w14:paraId="26B5B81E" w14:textId="77777777">
        <w:trPr>
          <w:trHeight w:val="20"/>
        </w:trPr>
        <w:tc>
          <w:tcPr>
            <w:tcW w:w="5490" w:type="dxa"/>
            <w:tcBorders>
              <w:left w:val="nil"/>
            </w:tcBorders>
          </w:tcPr>
          <w:p w:rsidRPr="00AB3967" w:rsidR="003A3F74" w:rsidP="007C2171" w:rsidRDefault="003A3F74" w14:paraId="1408DDA3" w14:textId="68DDBC7B">
            <w:pPr>
              <w:keepNext/>
              <w:rPr>
                <w:rFonts w:eastAsia="Calibri" w:asciiTheme="majorHAnsi" w:hAnsiTheme="majorHAnsi" w:cstheme="majorHAnsi"/>
                <w:sz w:val="22"/>
              </w:rPr>
            </w:pPr>
            <w:r w:rsidRPr="00AB3967">
              <w:rPr>
                <w:rFonts w:eastAsia="Calibri" w:asciiTheme="majorHAnsi" w:hAnsiTheme="majorHAnsi" w:cstheme="majorHAnsi"/>
                <w:sz w:val="22"/>
              </w:rPr>
              <w:t>Web of Science database from Clarivate Analytics</w:t>
            </w:r>
          </w:p>
        </w:tc>
        <w:tc>
          <w:tcPr>
            <w:tcW w:w="3960" w:type="dxa"/>
          </w:tcPr>
          <w:p w:rsidRPr="00AB3967" w:rsidR="003A3F74" w:rsidP="007C2171" w:rsidRDefault="003A3F74" w14:paraId="332B7F0C" w14:textId="51B38D26">
            <w:pPr>
              <w:keepNext/>
              <w:rPr>
                <w:rFonts w:eastAsia="Calibri" w:asciiTheme="majorHAnsi" w:hAnsiTheme="majorHAnsi" w:cstheme="majorHAnsi"/>
                <w:sz w:val="22"/>
              </w:rPr>
            </w:pPr>
            <w:r w:rsidRPr="00AB3967">
              <w:rPr>
                <w:rFonts w:eastAsia="Calibri" w:asciiTheme="majorHAnsi" w:hAnsiTheme="majorHAnsi" w:cstheme="majorHAnsi"/>
                <w:sz w:val="22"/>
              </w:rPr>
              <w:t>Published academic literature</w:t>
            </w:r>
          </w:p>
        </w:tc>
      </w:tr>
      <w:tr w:rsidRPr="00AB3967" w:rsidR="003A3F74" w:rsidTr="001D0923" w14:paraId="61446C66" w14:textId="77777777">
        <w:trPr>
          <w:trHeight w:val="20"/>
        </w:trPr>
        <w:tc>
          <w:tcPr>
            <w:tcW w:w="5490" w:type="dxa"/>
            <w:tcBorders>
              <w:left w:val="nil"/>
            </w:tcBorders>
          </w:tcPr>
          <w:p w:rsidRPr="00AB3967" w:rsidR="003A3F74" w:rsidP="007C2171" w:rsidRDefault="003A3F74" w14:paraId="578B535A" w14:textId="746A1B92">
            <w:pPr>
              <w:keepNext/>
              <w:rPr>
                <w:rFonts w:eastAsia="Calibri" w:asciiTheme="majorHAnsi" w:hAnsiTheme="majorHAnsi" w:cstheme="majorHAnsi"/>
                <w:sz w:val="22"/>
              </w:rPr>
            </w:pPr>
            <w:r w:rsidRPr="00AB3967">
              <w:rPr>
                <w:rFonts w:eastAsia="Calibri" w:asciiTheme="majorHAnsi" w:hAnsiTheme="majorHAnsi" w:cstheme="majorHAnsi"/>
                <w:sz w:val="22"/>
              </w:rPr>
              <w:t>The Small Business Administration’s TechNet database</w:t>
            </w:r>
          </w:p>
        </w:tc>
        <w:tc>
          <w:tcPr>
            <w:tcW w:w="3960" w:type="dxa"/>
          </w:tcPr>
          <w:p w:rsidRPr="00AB3967" w:rsidR="003A3F74" w:rsidP="007C2171" w:rsidRDefault="003A3F74" w14:paraId="347E8CEB" w14:textId="77777777">
            <w:pPr>
              <w:keepNext/>
              <w:rPr>
                <w:rFonts w:eastAsia="Calibri" w:asciiTheme="majorHAnsi" w:hAnsiTheme="majorHAnsi" w:cstheme="majorHAnsi"/>
                <w:sz w:val="22"/>
              </w:rPr>
            </w:pPr>
            <w:r w:rsidRPr="00AB3967">
              <w:rPr>
                <w:rFonts w:eastAsia="Calibri" w:asciiTheme="majorHAnsi" w:hAnsiTheme="majorHAnsi" w:cstheme="majorHAnsi"/>
                <w:sz w:val="22"/>
              </w:rPr>
              <w:t>SBIR/STTR applications</w:t>
            </w:r>
          </w:p>
          <w:p w:rsidRPr="00AB3967" w:rsidR="003A3F74" w:rsidP="007C2171" w:rsidRDefault="003A3F74" w14:paraId="170977C5" w14:textId="75F0F4B3">
            <w:pPr>
              <w:keepNext/>
              <w:rPr>
                <w:rFonts w:eastAsia="Calibri" w:asciiTheme="majorHAnsi" w:hAnsiTheme="majorHAnsi" w:cstheme="majorHAnsi"/>
                <w:sz w:val="22"/>
              </w:rPr>
            </w:pPr>
            <w:r w:rsidRPr="00AB3967">
              <w:rPr>
                <w:rFonts w:eastAsia="Calibri" w:asciiTheme="majorHAnsi" w:hAnsiTheme="majorHAnsi" w:cstheme="majorHAnsi"/>
                <w:sz w:val="22"/>
              </w:rPr>
              <w:t>SBIR/STTR awards</w:t>
            </w:r>
          </w:p>
        </w:tc>
      </w:tr>
      <w:tr w:rsidRPr="00AB3967" w:rsidR="003A3F74" w:rsidTr="001D0923" w14:paraId="08900237" w14:textId="77777777">
        <w:trPr>
          <w:trHeight w:val="20"/>
        </w:trPr>
        <w:tc>
          <w:tcPr>
            <w:tcW w:w="5490" w:type="dxa"/>
            <w:tcBorders>
              <w:left w:val="nil"/>
            </w:tcBorders>
          </w:tcPr>
          <w:p w:rsidRPr="00AB3967" w:rsidR="003A3F74" w:rsidP="007C2171" w:rsidRDefault="003A3F74" w14:paraId="1C48A1D4" w14:textId="3146EC79">
            <w:pPr>
              <w:keepNext/>
              <w:rPr>
                <w:rFonts w:eastAsia="Calibri" w:asciiTheme="majorHAnsi" w:hAnsiTheme="majorHAnsi" w:cstheme="majorHAnsi"/>
                <w:sz w:val="22"/>
              </w:rPr>
            </w:pPr>
            <w:r w:rsidRPr="00AB3967">
              <w:rPr>
                <w:rFonts w:eastAsia="Calibri" w:asciiTheme="majorHAnsi" w:hAnsiTheme="majorHAnsi" w:cstheme="majorHAnsi"/>
                <w:sz w:val="22"/>
              </w:rPr>
              <w:t>Crunchbase</w:t>
            </w:r>
            <w:r w:rsidR="00924A8B">
              <w:rPr>
                <w:rFonts w:eastAsia="Calibri" w:asciiTheme="majorHAnsi" w:hAnsiTheme="majorHAnsi" w:cstheme="majorHAnsi"/>
                <w:sz w:val="22"/>
              </w:rPr>
              <w:br/>
              <w:t>Pitchb</w:t>
            </w:r>
            <w:r w:rsidR="00B2545D">
              <w:rPr>
                <w:rFonts w:eastAsia="Calibri" w:asciiTheme="majorHAnsi" w:hAnsiTheme="majorHAnsi" w:cstheme="majorHAnsi"/>
                <w:sz w:val="22"/>
              </w:rPr>
              <w:t>ook</w:t>
            </w:r>
          </w:p>
        </w:tc>
        <w:tc>
          <w:tcPr>
            <w:tcW w:w="3960" w:type="dxa"/>
          </w:tcPr>
          <w:p w:rsidRPr="00AB3967" w:rsidR="003A3F74" w:rsidP="007C2171" w:rsidRDefault="003A3F74" w14:paraId="1E0436C7" w14:textId="77777777">
            <w:pPr>
              <w:keepNext/>
              <w:rPr>
                <w:rFonts w:eastAsia="Calibri" w:asciiTheme="majorHAnsi" w:hAnsiTheme="majorHAnsi" w:cstheme="majorHAnsi"/>
                <w:sz w:val="22"/>
              </w:rPr>
            </w:pPr>
            <w:r w:rsidRPr="00AB3967">
              <w:rPr>
                <w:rFonts w:eastAsia="Calibri" w:asciiTheme="majorHAnsi" w:hAnsiTheme="majorHAnsi" w:cstheme="majorHAnsi"/>
                <w:sz w:val="22"/>
              </w:rPr>
              <w:t>Funding information about startups</w:t>
            </w:r>
          </w:p>
          <w:p w:rsidRPr="00AB3967" w:rsidR="003A3F74" w:rsidP="007C2171" w:rsidRDefault="003A3F74" w14:paraId="2975000F" w14:textId="22B61FBA">
            <w:pPr>
              <w:keepNext/>
              <w:rPr>
                <w:rFonts w:eastAsia="Calibri" w:asciiTheme="majorHAnsi" w:hAnsiTheme="majorHAnsi" w:cstheme="majorHAnsi"/>
                <w:sz w:val="22"/>
              </w:rPr>
            </w:pPr>
            <w:r w:rsidRPr="00AB3967">
              <w:rPr>
                <w:rFonts w:eastAsia="Calibri" w:asciiTheme="majorHAnsi" w:hAnsiTheme="majorHAnsi" w:cstheme="majorHAnsi"/>
                <w:sz w:val="22"/>
              </w:rPr>
              <w:t>Significant news about startups</w:t>
            </w:r>
          </w:p>
        </w:tc>
      </w:tr>
      <w:tr w:rsidRPr="00AB3967" w:rsidR="003A3F74" w:rsidTr="001D0923" w14:paraId="5046324C" w14:textId="77777777">
        <w:trPr>
          <w:trHeight w:val="20"/>
        </w:trPr>
        <w:tc>
          <w:tcPr>
            <w:tcW w:w="5490" w:type="dxa"/>
            <w:vMerge w:val="restart"/>
            <w:tcBorders>
              <w:left w:val="nil"/>
            </w:tcBorders>
          </w:tcPr>
          <w:p w:rsidRPr="00AB3967" w:rsidR="003A3F74" w:rsidP="007C2171" w:rsidRDefault="003A3F74" w14:paraId="36E6B59C" w14:textId="7CA38AFF">
            <w:pPr>
              <w:keepNext/>
              <w:rPr>
                <w:rFonts w:eastAsia="Calibri" w:asciiTheme="majorHAnsi" w:hAnsiTheme="majorHAnsi" w:cstheme="majorHAnsi"/>
                <w:sz w:val="22"/>
              </w:rPr>
            </w:pPr>
            <w:r w:rsidRPr="00AB3967">
              <w:rPr>
                <w:rFonts w:eastAsia="Calibri" w:asciiTheme="majorHAnsi" w:hAnsiTheme="majorHAnsi" w:cstheme="majorHAnsi"/>
                <w:sz w:val="22"/>
              </w:rPr>
              <w:t>D&amp;B Hoovers</w:t>
            </w:r>
          </w:p>
        </w:tc>
        <w:tc>
          <w:tcPr>
            <w:tcW w:w="3960" w:type="dxa"/>
          </w:tcPr>
          <w:p w:rsidRPr="00AB3967" w:rsidR="003A3F74" w:rsidP="007C2171" w:rsidRDefault="003A3F74" w14:paraId="40C631ED" w14:textId="77777777">
            <w:pPr>
              <w:keepNext/>
              <w:rPr>
                <w:rFonts w:eastAsia="Calibri" w:asciiTheme="majorHAnsi" w:hAnsiTheme="majorHAnsi" w:cstheme="majorHAnsi"/>
                <w:sz w:val="22"/>
              </w:rPr>
            </w:pPr>
            <w:r w:rsidRPr="00AB3967">
              <w:rPr>
                <w:rFonts w:eastAsia="Calibri" w:asciiTheme="majorHAnsi" w:hAnsiTheme="majorHAnsi" w:cstheme="majorHAnsi"/>
                <w:sz w:val="22"/>
              </w:rPr>
              <w:t>Status as an active company</w:t>
            </w:r>
          </w:p>
          <w:p w:rsidRPr="00AB3967" w:rsidR="003A3F74" w:rsidP="007C2171" w:rsidRDefault="003A3F74" w14:paraId="4BD1F238" w14:textId="0E7617E9">
            <w:pPr>
              <w:keepNext/>
              <w:rPr>
                <w:rFonts w:eastAsia="Calibri" w:asciiTheme="majorHAnsi" w:hAnsiTheme="majorHAnsi" w:cstheme="majorHAnsi"/>
                <w:sz w:val="22"/>
              </w:rPr>
            </w:pPr>
            <w:r w:rsidRPr="00AB3967">
              <w:rPr>
                <w:rFonts w:eastAsia="Calibri" w:asciiTheme="majorHAnsi" w:hAnsiTheme="majorHAnsi" w:cstheme="majorHAnsi"/>
                <w:sz w:val="22"/>
              </w:rPr>
              <w:t>Company revenues</w:t>
            </w:r>
          </w:p>
        </w:tc>
      </w:tr>
      <w:tr w:rsidRPr="00AB3967" w:rsidR="003A3F74" w:rsidTr="001D0923" w14:paraId="6C00561E" w14:textId="77777777">
        <w:trPr>
          <w:trHeight w:val="20"/>
        </w:trPr>
        <w:tc>
          <w:tcPr>
            <w:tcW w:w="5490" w:type="dxa"/>
            <w:vMerge/>
            <w:tcBorders>
              <w:left w:val="nil"/>
            </w:tcBorders>
          </w:tcPr>
          <w:p w:rsidRPr="00AB3967" w:rsidR="003A3F74" w:rsidP="009508A4" w:rsidRDefault="003A3F74" w14:paraId="6AD7A0B7" w14:textId="77777777">
            <w:pPr>
              <w:keepNext/>
              <w:rPr>
                <w:rFonts w:eastAsia="Calibri" w:asciiTheme="majorHAnsi" w:hAnsiTheme="majorHAnsi" w:cstheme="majorHAnsi"/>
                <w:sz w:val="22"/>
              </w:rPr>
            </w:pPr>
          </w:p>
        </w:tc>
        <w:tc>
          <w:tcPr>
            <w:tcW w:w="3960" w:type="dxa"/>
          </w:tcPr>
          <w:p w:rsidRPr="00AB3967" w:rsidR="003A3F74" w:rsidP="009508A4" w:rsidRDefault="003A3F74" w14:paraId="6D3D8410" w14:textId="290E7FB6">
            <w:pPr>
              <w:keepNext/>
              <w:rPr>
                <w:rFonts w:eastAsia="Calibri" w:asciiTheme="majorHAnsi" w:hAnsiTheme="majorHAnsi" w:cstheme="majorHAnsi"/>
                <w:sz w:val="22"/>
              </w:rPr>
            </w:pPr>
            <w:r w:rsidRPr="00AB3967">
              <w:rPr>
                <w:rFonts w:eastAsia="Calibri" w:asciiTheme="majorHAnsi" w:hAnsiTheme="majorHAnsi" w:cstheme="majorHAnsi"/>
                <w:sz w:val="22"/>
              </w:rPr>
              <w:t>Company job creation</w:t>
            </w:r>
          </w:p>
        </w:tc>
      </w:tr>
      <w:tr w:rsidRPr="00AB3967" w:rsidR="003A3F74" w:rsidTr="001D0923" w14:paraId="5000C3E3" w14:textId="77777777">
        <w:trPr>
          <w:trHeight w:val="20"/>
        </w:trPr>
        <w:tc>
          <w:tcPr>
            <w:tcW w:w="5490" w:type="dxa"/>
            <w:tcBorders>
              <w:left w:val="nil"/>
            </w:tcBorders>
          </w:tcPr>
          <w:p w:rsidRPr="00AB3967" w:rsidR="003A3F74" w:rsidP="007C2171" w:rsidRDefault="003A3F74" w14:paraId="3C78DEE4" w14:textId="5718F602">
            <w:pPr>
              <w:keepNext/>
              <w:rPr>
                <w:rFonts w:eastAsia="Calibri" w:asciiTheme="majorHAnsi" w:hAnsiTheme="majorHAnsi" w:cstheme="majorHAnsi"/>
                <w:sz w:val="22"/>
              </w:rPr>
            </w:pPr>
            <w:r w:rsidRPr="00AB3967">
              <w:rPr>
                <w:rFonts w:eastAsia="Calibri" w:asciiTheme="majorHAnsi" w:hAnsiTheme="majorHAnsi" w:cstheme="majorHAnsi"/>
                <w:sz w:val="22"/>
              </w:rPr>
              <w:t>USASpe</w:t>
            </w:r>
            <w:r>
              <w:rPr>
                <w:rFonts w:eastAsia="Calibri" w:asciiTheme="majorHAnsi" w:hAnsiTheme="majorHAnsi" w:cstheme="majorHAnsi"/>
                <w:sz w:val="22"/>
              </w:rPr>
              <w:t>n</w:t>
            </w:r>
            <w:r w:rsidRPr="00AB3967">
              <w:rPr>
                <w:rFonts w:eastAsia="Calibri" w:asciiTheme="majorHAnsi" w:hAnsiTheme="majorHAnsi" w:cstheme="majorHAnsi"/>
                <w:sz w:val="22"/>
              </w:rPr>
              <w:t>ding.gov</w:t>
            </w:r>
          </w:p>
        </w:tc>
        <w:tc>
          <w:tcPr>
            <w:tcW w:w="3960" w:type="dxa"/>
          </w:tcPr>
          <w:p w:rsidRPr="00AB3967" w:rsidR="003A3F74" w:rsidP="007C2171" w:rsidRDefault="003A3F74" w14:paraId="040BB3E3" w14:textId="06D2E63F">
            <w:pPr>
              <w:keepNext/>
              <w:rPr>
                <w:rFonts w:eastAsia="Calibri" w:asciiTheme="majorHAnsi" w:hAnsiTheme="majorHAnsi" w:cstheme="majorHAnsi"/>
                <w:sz w:val="22"/>
              </w:rPr>
            </w:pPr>
            <w:r w:rsidRPr="00AB3967">
              <w:rPr>
                <w:rFonts w:eastAsia="Calibri" w:asciiTheme="majorHAnsi" w:hAnsiTheme="majorHAnsi" w:cstheme="majorHAnsi"/>
                <w:sz w:val="22"/>
              </w:rPr>
              <w:t>Funding raised from U.S. federal government</w:t>
            </w:r>
          </w:p>
        </w:tc>
      </w:tr>
      <w:tr w:rsidRPr="00AB3967" w:rsidR="003A3F74" w:rsidTr="001D0923" w14:paraId="52217139" w14:textId="77777777">
        <w:trPr>
          <w:trHeight w:val="20"/>
        </w:trPr>
        <w:tc>
          <w:tcPr>
            <w:tcW w:w="5490" w:type="dxa"/>
            <w:tcBorders>
              <w:left w:val="nil"/>
            </w:tcBorders>
          </w:tcPr>
          <w:p w:rsidRPr="00AB3967" w:rsidR="003A3F74" w:rsidP="007C2171" w:rsidRDefault="003A3F74" w14:paraId="610D9E68" w14:textId="0A7CF912">
            <w:pPr>
              <w:keepNext/>
              <w:rPr>
                <w:rFonts w:eastAsia="Calibri" w:asciiTheme="majorHAnsi" w:hAnsiTheme="majorHAnsi" w:cstheme="majorHAnsi"/>
                <w:sz w:val="22"/>
              </w:rPr>
            </w:pPr>
            <w:r w:rsidRPr="00AB3967">
              <w:rPr>
                <w:rFonts w:eastAsia="Calibri" w:asciiTheme="majorHAnsi" w:hAnsiTheme="majorHAnsi" w:cstheme="majorHAnsi"/>
                <w:sz w:val="22"/>
              </w:rPr>
              <w:t>Social media sites including AngelList, LinkedIn</w:t>
            </w:r>
          </w:p>
        </w:tc>
        <w:tc>
          <w:tcPr>
            <w:tcW w:w="3960" w:type="dxa"/>
          </w:tcPr>
          <w:p w:rsidRPr="00AB3967" w:rsidR="003A3F74" w:rsidP="007C2171" w:rsidRDefault="003A3F74" w14:paraId="6282E1E8" w14:textId="33EE9FB7">
            <w:pPr>
              <w:keepNext/>
              <w:rPr>
                <w:rFonts w:eastAsia="Calibri" w:asciiTheme="majorHAnsi" w:hAnsiTheme="majorHAnsi" w:cstheme="majorHAnsi"/>
                <w:sz w:val="22"/>
              </w:rPr>
            </w:pPr>
            <w:r w:rsidRPr="00AB3967">
              <w:rPr>
                <w:rFonts w:eastAsia="Calibri" w:asciiTheme="majorHAnsi" w:hAnsiTheme="majorHAnsi" w:cstheme="majorHAnsi"/>
                <w:sz w:val="22"/>
              </w:rPr>
              <w:t>Significant news about startup companies</w:t>
            </w:r>
          </w:p>
        </w:tc>
      </w:tr>
    </w:tbl>
    <w:p w:rsidR="005C44D7" w:rsidP="005C44D7" w:rsidRDefault="005C44D7" w14:paraId="22F41A49" w14:textId="77777777">
      <w:pPr>
        <w:pStyle w:val="BodyText2"/>
      </w:pPr>
    </w:p>
    <w:p w:rsidRPr="00AB3967" w:rsidR="00381110" w:rsidP="001D0923" w:rsidRDefault="005C44D7" w14:paraId="4C1BD85E" w14:textId="06C9F7E0">
      <w:pPr>
        <w:pStyle w:val="BodyText2"/>
      </w:pPr>
      <w:r w:rsidRPr="00FE1639">
        <w:t>However</w:t>
      </w:r>
      <w:r>
        <w:t>,</w:t>
      </w:r>
      <w:r w:rsidRPr="00FE1639">
        <w:t xml:space="preserve"> several evaluation questions cannot be answered with administrative and secondary data sources, particularly those related to the experiences of applicants and the specific design elements of KidneyX that contributed to or detracted from applicants’ ability to </w:t>
      </w:r>
      <w:r w:rsidR="001D0923">
        <w:t>achieve success in developing and introducing innovations in kidney technology</w:t>
      </w:r>
      <w:r w:rsidRPr="00FE1639">
        <w:t>. As a result, the primary data collection instruments included in this submission have been developed to obtain complementary and augmented information.</w:t>
      </w:r>
    </w:p>
    <w:p w:rsidRPr="002238BD" w:rsidR="005927A9" w:rsidP="007C2171" w:rsidRDefault="003B1B90" w14:paraId="471F20B6" w14:textId="1BE8E852">
      <w:pPr>
        <w:pStyle w:val="Heading2"/>
      </w:pPr>
      <w:r>
        <w:t xml:space="preserve"> </w:t>
      </w:r>
      <w:r>
        <w:tab/>
      </w:r>
      <w:r w:rsidRPr="240F67D2" w:rsidR="240F67D2">
        <w:t xml:space="preserve">Impact on </w:t>
      </w:r>
      <w:r w:rsidRPr="240F67D2" w:rsidR="00CB151D">
        <w:t>small businesses or other small enti</w:t>
      </w:r>
      <w:r w:rsidRPr="240F67D2" w:rsidR="240F67D2">
        <w:t>ties</w:t>
      </w:r>
    </w:p>
    <w:p w:rsidR="00BB58E7" w:rsidP="00397615" w:rsidRDefault="00193D41" w14:paraId="562122A4" w14:textId="77777777">
      <w:pPr>
        <w:pStyle w:val="BodyText2"/>
      </w:pPr>
      <w:r w:rsidRPr="00EC112E">
        <w:t xml:space="preserve">Applicants to the KidneyX prize competitions are </w:t>
      </w:r>
      <w:r w:rsidRPr="00EC112E" w:rsidR="001D79BB">
        <w:t>likely to be entrepreneurs who have or aspire to have startup companies or small bu</w:t>
      </w:r>
      <w:r w:rsidRPr="00EC112E" w:rsidR="001C682F">
        <w:t>sinesses focused on commercializing the</w:t>
      </w:r>
      <w:r w:rsidRPr="00EC112E" w:rsidR="00C73578">
        <w:t xml:space="preserve"> projects </w:t>
      </w:r>
      <w:r w:rsidRPr="00EC112E" w:rsidR="00B90E62">
        <w:t>proposed</w:t>
      </w:r>
      <w:r w:rsidRPr="00EC112E" w:rsidR="00C73578">
        <w:t xml:space="preserve"> in their applications. </w:t>
      </w:r>
      <w:r w:rsidRPr="00EC112E" w:rsidR="00B90E62">
        <w:t xml:space="preserve">Therefore, </w:t>
      </w:r>
      <w:r w:rsidR="00795878">
        <w:t xml:space="preserve">we will use </w:t>
      </w:r>
      <w:r w:rsidRPr="00EC112E" w:rsidR="001A6C96">
        <w:t xml:space="preserve">administrative and secondary data collections to minimize the </w:t>
      </w:r>
      <w:r w:rsidRPr="00EC112E" w:rsidR="00924FBA">
        <w:t xml:space="preserve">time </w:t>
      </w:r>
      <w:r w:rsidRPr="00EC112E" w:rsidR="00C70E5A">
        <w:t xml:space="preserve">burden </w:t>
      </w:r>
      <w:r w:rsidRPr="00EC112E" w:rsidR="00795878">
        <w:t>o</w:t>
      </w:r>
      <w:r w:rsidR="00795878">
        <w:t>n</w:t>
      </w:r>
      <w:r w:rsidRPr="00EC112E" w:rsidR="00795878">
        <w:t xml:space="preserve"> </w:t>
      </w:r>
      <w:r w:rsidRPr="00EC112E" w:rsidR="00197D41">
        <w:t xml:space="preserve">applicants </w:t>
      </w:r>
      <w:r w:rsidRPr="00EC112E" w:rsidR="004E6919">
        <w:t xml:space="preserve">from whom we plan to collect </w:t>
      </w:r>
      <w:r w:rsidRPr="00EC112E" w:rsidR="009538FD">
        <w:t>primary data</w:t>
      </w:r>
      <w:r w:rsidRPr="00EC112E" w:rsidR="00B53BC9">
        <w:t>.</w:t>
      </w:r>
      <w:r w:rsidRPr="00EC112E" w:rsidR="00561F49">
        <w:t xml:space="preserve"> </w:t>
      </w:r>
    </w:p>
    <w:p w:rsidRPr="00EC112E" w:rsidR="003E4C13" w:rsidP="00397615" w:rsidRDefault="00BB58E7" w14:paraId="2B61F6AF" w14:textId="29D392A7">
      <w:pPr>
        <w:pStyle w:val="BodyText2"/>
      </w:pPr>
      <w:r>
        <w:t>The small firms surveyed and interviewed are likely to be privately-held enterprises that are not subject to extensive disclosure requirements.</w:t>
      </w:r>
      <w:r w:rsidRPr="00EC112E" w:rsidR="00536BA2">
        <w:t xml:space="preserve"> </w:t>
      </w:r>
      <w:r>
        <w:t xml:space="preserve">It is likely that information </w:t>
      </w:r>
      <w:r w:rsidRPr="00EC112E" w:rsidR="00536BA2">
        <w:t xml:space="preserve">collected from </w:t>
      </w:r>
      <w:r>
        <w:t xml:space="preserve">such </w:t>
      </w:r>
      <w:r w:rsidRPr="00EC112E" w:rsidR="00536BA2">
        <w:t>applicants via the primary data collection instruments included in this application</w:t>
      </w:r>
      <w:r w:rsidRPr="00EC112E" w:rsidR="00401166">
        <w:t xml:space="preserve"> may be business</w:t>
      </w:r>
      <w:r w:rsidR="00795878">
        <w:t xml:space="preserve"> </w:t>
      </w:r>
      <w:r w:rsidRPr="00EC112E" w:rsidR="00401166">
        <w:t>sensitive</w:t>
      </w:r>
      <w:r w:rsidRPr="00EC112E" w:rsidR="001A4047">
        <w:t xml:space="preserve"> and </w:t>
      </w:r>
      <w:r w:rsidRPr="00EC112E" w:rsidR="001237E5">
        <w:t xml:space="preserve">not </w:t>
      </w:r>
      <w:r w:rsidRPr="00EC112E" w:rsidR="001A4047">
        <w:t>publicly available</w:t>
      </w:r>
      <w:r w:rsidRPr="00EC112E" w:rsidR="008F2AA2">
        <w:t xml:space="preserve">. </w:t>
      </w:r>
      <w:r>
        <w:t xml:space="preserve">To protect the proprietary interests of those firms, and to </w:t>
      </w:r>
      <w:r w:rsidR="0033703D">
        <w:t xml:space="preserve">provide assurance that survey and interview respondents can share opinions with candor, </w:t>
      </w:r>
      <w:r w:rsidR="0033703D">
        <w:lastRenderedPageBreak/>
        <w:t xml:space="preserve">all information collected under this request will be stored on servers at RTI’s computing facilities and accessible only to members of the RTI project team. </w:t>
      </w:r>
    </w:p>
    <w:p w:rsidRPr="002238BD" w:rsidR="00DF5B00" w:rsidP="007C2171" w:rsidRDefault="003B1B90" w14:paraId="6BB9AC3B" w14:textId="7C1B01E5">
      <w:pPr>
        <w:pStyle w:val="Heading2"/>
      </w:pPr>
      <w:r>
        <w:t xml:space="preserve"> </w:t>
      </w:r>
      <w:r>
        <w:tab/>
      </w:r>
      <w:r w:rsidRPr="002238BD" w:rsidR="008406A7">
        <w:t>Consequences of</w:t>
      </w:r>
      <w:r w:rsidRPr="002238BD" w:rsidR="00CB151D">
        <w:t xml:space="preserve"> collecting the information less fr</w:t>
      </w:r>
      <w:r w:rsidRPr="002238BD" w:rsidR="008406A7">
        <w:t>equently</w:t>
      </w:r>
    </w:p>
    <w:p w:rsidRPr="00EC112E" w:rsidR="00D04943" w:rsidP="00397615" w:rsidRDefault="00D04943" w14:paraId="7081C1FE" w14:textId="165C8348">
      <w:pPr>
        <w:pStyle w:val="BodyText2"/>
      </w:pPr>
      <w:r w:rsidRPr="00EC112E">
        <w:t xml:space="preserve">Each of the primary data collection instruments described above will obtain information necessary to answer evaluation research questions. Primary data collections have been designed to gather those data </w:t>
      </w:r>
      <w:r w:rsidR="00795878">
        <w:t>that</w:t>
      </w:r>
      <w:r w:rsidRPr="00EC112E" w:rsidR="00795878">
        <w:t xml:space="preserve"> </w:t>
      </w:r>
      <w:r w:rsidRPr="00EC112E">
        <w:t xml:space="preserve">are not obtainable by administrative or secondary means. Efforts also have been made to reduce the burden of primary data collection on participants through revision of the structured client interview based on consultation </w:t>
      </w:r>
      <w:r w:rsidRPr="00EC112E" w:rsidR="004414CA">
        <w:t>with HHS</w:t>
      </w:r>
      <w:r w:rsidRPr="00EC112E">
        <w:t xml:space="preserve">. </w:t>
      </w:r>
    </w:p>
    <w:p w:rsidRPr="002238BD" w:rsidR="00584C0F" w:rsidP="007C2171" w:rsidRDefault="003B1B90" w14:paraId="2263C273" w14:textId="5467FF4E">
      <w:pPr>
        <w:pStyle w:val="Heading2"/>
      </w:pPr>
      <w:r>
        <w:t xml:space="preserve"> </w:t>
      </w:r>
      <w:r>
        <w:tab/>
      </w:r>
      <w:r w:rsidRPr="002238BD" w:rsidR="00697EC2">
        <w:t>Special</w:t>
      </w:r>
      <w:r w:rsidRPr="002238BD" w:rsidR="00CB151D">
        <w:t xml:space="preserve"> circumstances relating to the guide</w:t>
      </w:r>
      <w:r w:rsidRPr="002238BD" w:rsidR="00697EC2">
        <w:t>lines of 5 CFR 1320.5</w:t>
      </w:r>
    </w:p>
    <w:p w:rsidRPr="002238BD" w:rsidR="00C70AD7" w:rsidP="00397615" w:rsidRDefault="00C70AD7" w14:paraId="5290BFC6" w14:textId="0670F5BA">
      <w:pPr>
        <w:pStyle w:val="BodyText2"/>
      </w:pPr>
      <w:r w:rsidRPr="002238BD">
        <w:t>The information collection complies with 5 CFR 1320.5(d)(2)</w:t>
      </w:r>
      <w:r w:rsidRPr="002238BD" w:rsidR="00B52EE9">
        <w:t>.</w:t>
      </w:r>
      <w:r w:rsidR="00323EB1">
        <w:t xml:space="preserve"> In particular, confidential information collected under this request will be stored on RTI’s IT infrastructure located at RTI’s physical facilities. </w:t>
      </w:r>
      <w:r w:rsidRPr="00323EB1" w:rsidR="00323EB1">
        <w:t xml:space="preserve">To ensure compliance with all applicable information security laws, statutes, and agency directives, RTI has voluntarily and enthusiastically implemented the IT security guidelines and principles published by </w:t>
      </w:r>
      <w:r w:rsidR="00323EB1">
        <w:t>the National Institute for Standards and Technology (NIST)</w:t>
      </w:r>
      <w:r w:rsidRPr="00323EB1" w:rsidR="00323EB1">
        <w:t>.</w:t>
      </w:r>
      <w:r w:rsidR="00323EB1">
        <w:t xml:space="preserve"> In particular, RTI’s IT facilities and processes comply with applicable elements of Federal Information Processing Standard (FIPS) 199 published by NIST</w:t>
      </w:r>
      <w:r w:rsidR="00DF3CB0">
        <w:t>.</w:t>
      </w:r>
      <w:r w:rsidR="00323EB1">
        <w:t xml:space="preserve"> </w:t>
      </w:r>
      <w:r w:rsidRPr="00323EB1" w:rsidR="00323EB1">
        <w:t>RTI’s network meets all National Institute of Standards and Technology (NIST) confidentiality, integrity, and availability security standards, allowing RTI to provide the appropriate level of security for the information, including personally identifiable information (PII)</w:t>
      </w:r>
      <w:r w:rsidR="00323EB1">
        <w:t>. Any protected or confidential information collected either intentionally or inadvertently will remain protected under these standards.</w:t>
      </w:r>
    </w:p>
    <w:p w:rsidRPr="002238BD" w:rsidR="00291C45" w:rsidP="007C2171" w:rsidRDefault="003B1B90" w14:paraId="4AEF54EE" w14:textId="0DA30BC0">
      <w:pPr>
        <w:pStyle w:val="Heading2"/>
      </w:pPr>
      <w:r>
        <w:t xml:space="preserve"> </w:t>
      </w:r>
      <w:r>
        <w:tab/>
      </w:r>
      <w:r w:rsidRPr="27CC3C20" w:rsidR="27CC3C20">
        <w:t xml:space="preserve">Comments in </w:t>
      </w:r>
      <w:r w:rsidRPr="27CC3C20" w:rsidR="00CB151D">
        <w:t xml:space="preserve">response </w:t>
      </w:r>
      <w:r w:rsidRPr="27CC3C20" w:rsidR="27CC3C20">
        <w:t xml:space="preserve">to the </w:t>
      </w:r>
      <w:r w:rsidRPr="00285044" w:rsidR="27CC3C20">
        <w:rPr>
          <w:i/>
        </w:rPr>
        <w:t>Federal Register</w:t>
      </w:r>
      <w:r w:rsidRPr="27CC3C20" w:rsidR="27CC3C20">
        <w:t xml:space="preserve"> Notice and </w:t>
      </w:r>
      <w:r w:rsidRPr="27CC3C20" w:rsidR="00CB151D">
        <w:t xml:space="preserve">efforts to consult </w:t>
      </w:r>
      <w:r w:rsidR="00CB151D">
        <w:t>o</w:t>
      </w:r>
      <w:r w:rsidRPr="27CC3C20" w:rsidR="00CB151D">
        <w:t>utside the agen</w:t>
      </w:r>
      <w:r w:rsidRPr="27CC3C20" w:rsidR="27CC3C20">
        <w:t>cy</w:t>
      </w:r>
    </w:p>
    <w:p w:rsidRPr="00EC112E" w:rsidR="00B52EE9" w:rsidP="00397615" w:rsidRDefault="003075E6" w14:paraId="787EB1AB" w14:textId="7FEA5BA2">
      <w:pPr>
        <w:pStyle w:val="BodyText2"/>
      </w:pPr>
      <w:r w:rsidRPr="00EC112E">
        <w:t xml:space="preserve">On </w:t>
      </w:r>
      <w:r w:rsidR="00425D83">
        <w:t>June 6, 2019</w:t>
      </w:r>
      <w:r w:rsidRPr="00EC112E">
        <w:t>, a 60-</w:t>
      </w:r>
      <w:r w:rsidR="00795878">
        <w:t>d</w:t>
      </w:r>
      <w:r w:rsidRPr="00EC112E" w:rsidR="00795878">
        <w:t xml:space="preserve">ay </w:t>
      </w:r>
      <w:r w:rsidRPr="00285044">
        <w:rPr>
          <w:i/>
        </w:rPr>
        <w:t>Federal Register</w:t>
      </w:r>
      <w:r w:rsidRPr="00EC112E">
        <w:t xml:space="preserve"> Notice was published at </w:t>
      </w:r>
      <w:r w:rsidR="00425D83">
        <w:t>Register Volume 84, Number 109</w:t>
      </w:r>
      <w:r w:rsidR="00955526">
        <w:t>, pg</w:t>
      </w:r>
      <w:r w:rsidRPr="00EC112E">
        <w:t>.</w:t>
      </w:r>
      <w:r w:rsidR="00955526">
        <w:t xml:space="preserve"> #26418.  </w:t>
      </w:r>
      <w:r w:rsidRPr="00EC112E">
        <w:t xml:space="preserve"> </w:t>
      </w:r>
      <w:r w:rsidRPr="00425D83">
        <w:t xml:space="preserve">No </w:t>
      </w:r>
      <w:r w:rsidR="00955526">
        <w:t xml:space="preserve">public </w:t>
      </w:r>
      <w:r w:rsidRPr="00425D83">
        <w:t>comments were received.</w:t>
      </w:r>
    </w:p>
    <w:p w:rsidRPr="00EC112E" w:rsidR="00584C0F" w:rsidP="00397615" w:rsidRDefault="00A26D44" w14:paraId="5C52D3A6" w14:textId="14A0577A">
      <w:pPr>
        <w:pStyle w:val="BodyText2"/>
      </w:pPr>
      <w:r w:rsidRPr="00EC112E">
        <w:t xml:space="preserve">The evaluation design </w:t>
      </w:r>
      <w:r w:rsidRPr="00EC112E" w:rsidR="004E3AE2">
        <w:t>has been</w:t>
      </w:r>
      <w:r w:rsidRPr="00EC112E">
        <w:t xml:space="preserve"> informed by the HHS </w:t>
      </w:r>
      <w:r w:rsidRPr="00EC112E" w:rsidR="0004424F">
        <w:t>KidneyX Technical Working Group a</w:t>
      </w:r>
      <w:r w:rsidR="00795878">
        <w:t>nd</w:t>
      </w:r>
      <w:r w:rsidRPr="00EC112E" w:rsidR="0004424F">
        <w:t xml:space="preserve"> non-government partners such as KidneyX partners at</w:t>
      </w:r>
      <w:r w:rsidRPr="00EC112E" w:rsidR="00083A61">
        <w:t xml:space="preserve"> </w:t>
      </w:r>
      <w:r w:rsidRPr="00EC112E" w:rsidR="0004424F">
        <w:t>A</w:t>
      </w:r>
      <w:r w:rsidR="00795878">
        <w:t>SN</w:t>
      </w:r>
      <w:r w:rsidRPr="00EC112E" w:rsidR="00EC112E">
        <w:t>.</w:t>
      </w:r>
      <w:r w:rsidR="005C1DF0">
        <w:t xml:space="preserve"> </w:t>
      </w:r>
      <w:r w:rsidR="00323EB1">
        <w:t xml:space="preserve">The RTI project team also maintains active membership in the American Evaluation Association, particularly the Research and Technology Development Topical Interest Group, and consults regularly with peers involved in similar evaluations. </w:t>
      </w:r>
      <w:r w:rsidR="00470759">
        <w:t>The design is also informed by discussions and deliberations conducted at the National Academies of Science, Engineering and Medicine workshop on the Role of Inducement Prizes on May 24, 2019.</w:t>
      </w:r>
    </w:p>
    <w:p w:rsidR="00CB0F84" w:rsidP="007C2171" w:rsidRDefault="003B1B90" w14:paraId="69291254" w14:textId="4CCBA3D1">
      <w:pPr>
        <w:pStyle w:val="Heading2"/>
      </w:pPr>
      <w:r>
        <w:lastRenderedPageBreak/>
        <w:t xml:space="preserve"> </w:t>
      </w:r>
      <w:r>
        <w:tab/>
      </w:r>
      <w:r w:rsidRPr="002238BD" w:rsidR="00ED6003">
        <w:t xml:space="preserve">Explain any </w:t>
      </w:r>
      <w:r w:rsidRPr="002238BD" w:rsidR="00CB151D">
        <w:t>decision to provide any payment or gift to respondents, other than remuneration of contractors or g</w:t>
      </w:r>
      <w:r w:rsidRPr="002238BD" w:rsidR="00795878">
        <w:t>rantees</w:t>
      </w:r>
    </w:p>
    <w:p w:rsidRPr="00CC12F4" w:rsidR="00D04943" w:rsidP="00397615" w:rsidRDefault="00D04943" w14:paraId="6F3C5EC8" w14:textId="7C2B9DBB">
      <w:pPr>
        <w:pStyle w:val="BodyText2"/>
      </w:pPr>
      <w:r w:rsidRPr="00CC12F4">
        <w:t>We will no</w:t>
      </w:r>
      <w:r w:rsidR="00795878">
        <w:t>t</w:t>
      </w:r>
      <w:r w:rsidRPr="00CC12F4">
        <w:t xml:space="preserve"> </w:t>
      </w:r>
      <w:r w:rsidRPr="00CC12F4" w:rsidR="00795878">
        <w:t>provid</w:t>
      </w:r>
      <w:r w:rsidR="00795878">
        <w:t>e</w:t>
      </w:r>
      <w:r w:rsidRPr="00CC12F4" w:rsidR="00795878">
        <w:t xml:space="preserve"> </w:t>
      </w:r>
      <w:r w:rsidRPr="00CC12F4">
        <w:t xml:space="preserve">any remuneration or incentive to respondents. </w:t>
      </w:r>
    </w:p>
    <w:p w:rsidRPr="002238BD" w:rsidR="00CB0F84" w:rsidP="007C2171" w:rsidRDefault="003B1B90" w14:paraId="40938651" w14:textId="118CFB1D">
      <w:pPr>
        <w:pStyle w:val="Heading2"/>
      </w:pPr>
      <w:bookmarkStart w:name="_Hlk500842749" w:id="7"/>
      <w:r>
        <w:t xml:space="preserve"> </w:t>
      </w:r>
      <w:r>
        <w:tab/>
      </w:r>
      <w:r w:rsidRPr="002238BD" w:rsidR="00ED6003">
        <w:t xml:space="preserve">Describe any </w:t>
      </w:r>
      <w:r w:rsidRPr="002238BD" w:rsidR="00CB151D">
        <w:t>assurance of confidentiality provided to respondents and the basis for the assurance in statute, regulation, or agency p</w:t>
      </w:r>
      <w:r w:rsidRPr="002238BD" w:rsidR="00795878">
        <w:t>oli</w:t>
      </w:r>
      <w:r w:rsidRPr="002238BD" w:rsidR="00CB0F84">
        <w:t>cy</w:t>
      </w:r>
    </w:p>
    <w:p w:rsidR="00DD1B81" w:rsidP="00397615" w:rsidRDefault="00DD1B81" w14:paraId="20E4349F" w14:textId="1D1454DB">
      <w:pPr>
        <w:pStyle w:val="BodyText2"/>
      </w:pPr>
      <w:r w:rsidRPr="00DD1B81">
        <w:t xml:space="preserve">Before the start of both telephone and site visit interviews, we will remind all respondents that the information gained will be used for evaluation purposes only and </w:t>
      </w:r>
      <w:r w:rsidR="00BD5887">
        <w:t xml:space="preserve">will </w:t>
      </w:r>
      <w:r w:rsidRPr="00DD1B81">
        <w:t>not be attributable to any individual. Responses should not contain private information but will be aggregated to the extent possible so that individual answers will not be identifiable. For each respondent, we will collect name, professional affiliation, and title, but not Social Security numbers, home contact information, and similar information that could identify the respondent directly.</w:t>
      </w:r>
      <w:r w:rsidR="00DF3CB0">
        <w:t xml:space="preserve"> </w:t>
      </w:r>
    </w:p>
    <w:p w:rsidRPr="00DD1B81" w:rsidR="00DF3CB0" w:rsidP="00397615" w:rsidRDefault="00DF3CB0" w14:paraId="300806CA" w14:textId="7B05F168">
      <w:pPr>
        <w:pStyle w:val="BodyText2"/>
      </w:pPr>
      <w:r>
        <w:t xml:space="preserve">RTI information processing staff are trained on the current requirements of relevant federal legislation and regulation, including the </w:t>
      </w:r>
      <w:r w:rsidRPr="00323EB1">
        <w:t>Federal Information Security Modernization Act (FISMA)</w:t>
      </w:r>
      <w:r>
        <w:t xml:space="preserve"> of 2014</w:t>
      </w:r>
      <w:r w:rsidRPr="00323EB1">
        <w:t xml:space="preserve"> and the 2002 Confidential Information Protection and Statistical Efficiency Act (CIPSEA)</w:t>
      </w:r>
      <w:r>
        <w:t>. Any information collected under this request will be managed and stored under procedures that comply with these and other applicable statutes. RTI’s information systems and processes are audited on a regular basis to ensure conformance with government and industry standards for information protection and security.</w:t>
      </w:r>
    </w:p>
    <w:p w:rsidRPr="002238BD" w:rsidR="00ED6003" w:rsidP="001D5CA3" w:rsidRDefault="003B1B90" w14:paraId="03E93468" w14:textId="744C87A1">
      <w:pPr>
        <w:pStyle w:val="Heading2"/>
        <w:keepLines/>
      </w:pPr>
      <w:r>
        <w:t xml:space="preserve"> </w:t>
      </w:r>
      <w:r>
        <w:tab/>
      </w:r>
      <w:r w:rsidRPr="002238BD" w:rsidR="00ED6003">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w:t>
      </w:r>
      <w:r w:rsidRPr="00E05987" w:rsidR="00ED6003">
        <w:t xml:space="preserve">their </w:t>
      </w:r>
      <w:r w:rsidRPr="00E05987" w:rsidR="00E05987">
        <w:t>consent</w:t>
      </w:r>
      <w:r w:rsidRPr="00E05987" w:rsidR="00ED6003">
        <w:t>.</w:t>
      </w:r>
      <w:r w:rsidR="00E05987">
        <w:t xml:space="preserve"> </w:t>
      </w:r>
    </w:p>
    <w:p w:rsidRPr="007C36F3" w:rsidR="00C53C7C" w:rsidP="00397615" w:rsidRDefault="00C53C7C" w14:paraId="6318E7A1" w14:textId="4985D389">
      <w:pPr>
        <w:pStyle w:val="BodyText2"/>
      </w:pPr>
      <w:r w:rsidRPr="007C36F3">
        <w:t xml:space="preserve">The Web-based surveys and semistructured telephone interviews will collect information about </w:t>
      </w:r>
      <w:r w:rsidR="007E501F">
        <w:t xml:space="preserve">respondent </w:t>
      </w:r>
      <w:r w:rsidRPr="009B3581" w:rsidR="007E501F">
        <w:t>experience</w:t>
      </w:r>
      <w:r w:rsidR="007E501F">
        <w:t>s</w:t>
      </w:r>
      <w:r w:rsidRPr="009B3581" w:rsidR="007E501F">
        <w:t xml:space="preserve"> with KidneyX</w:t>
      </w:r>
      <w:r w:rsidR="0061417A">
        <w:t xml:space="preserve">, </w:t>
      </w:r>
      <w:r w:rsidRPr="009B3581" w:rsidR="004C453B">
        <w:t xml:space="preserve">perspectives about KidneyX operations and progress </w:t>
      </w:r>
      <w:r w:rsidR="004C453B">
        <w:t>toward</w:t>
      </w:r>
      <w:r w:rsidRPr="009B3581" w:rsidR="004C453B">
        <w:t xml:space="preserve"> achieving its objectives</w:t>
      </w:r>
      <w:r w:rsidR="004C453B">
        <w:t xml:space="preserve">, and </w:t>
      </w:r>
      <w:r w:rsidRPr="009B3581" w:rsidR="004C453B">
        <w:t xml:space="preserve">recommendations </w:t>
      </w:r>
      <w:r w:rsidR="00BD5887">
        <w:t>for strengthening</w:t>
      </w:r>
      <w:r w:rsidRPr="009B3581" w:rsidR="004C453B">
        <w:t xml:space="preserve"> KidneyX.</w:t>
      </w:r>
      <w:r w:rsidRPr="007C36F3">
        <w:t xml:space="preserve"> Neither the </w:t>
      </w:r>
      <w:r w:rsidRPr="007C36F3" w:rsidR="003E2F7B">
        <w:t>Web</w:t>
      </w:r>
      <w:r w:rsidRPr="007C36F3">
        <w:t>-based surveys nor the telephone interviews will have</w:t>
      </w:r>
      <w:r w:rsidRPr="004C453B">
        <w:t xml:space="preserve"> questions of a sensitive nature, such as criminal behavior, sexual behavior and attitudes, alcohol or drug use, religious beliefs, and other matters that are commonly considered private.</w:t>
      </w:r>
      <w:r w:rsidR="005C1DF0">
        <w:t xml:space="preserve"> </w:t>
      </w:r>
      <w:r w:rsidRPr="004C453B">
        <w:t>We are not collecting individuals</w:t>
      </w:r>
      <w:r w:rsidR="00886305">
        <w:t>’</w:t>
      </w:r>
      <w:r w:rsidRPr="004C453B">
        <w:t xml:space="preserve"> race or ethnicity data or diagnoses of medical conditions from interviewees or survey respondents.</w:t>
      </w:r>
      <w:r w:rsidR="005C1DF0">
        <w:t xml:space="preserve"> </w:t>
      </w:r>
      <w:r w:rsidRPr="007C36F3">
        <w:t xml:space="preserve">Respondents may provide professional judgments and opinions, as well as facts, during data collection. Some of the information relates to organizational effectiveness and </w:t>
      </w:r>
      <w:r w:rsidRPr="007C36F3">
        <w:lastRenderedPageBreak/>
        <w:t>could therefore be considered sensitive by a portion of respondents; however, disclosure of this information is unlikely to result in liability or competitive disadvantage to the organization.</w:t>
      </w:r>
    </w:p>
    <w:bookmarkEnd w:id="7"/>
    <w:p w:rsidRPr="002238BD" w:rsidR="004E3AE2" w:rsidP="007C2171" w:rsidRDefault="003B1B90" w14:paraId="0236D563" w14:textId="465C8116">
      <w:pPr>
        <w:pStyle w:val="Heading2"/>
      </w:pPr>
      <w:r>
        <w:t xml:space="preserve"> </w:t>
      </w:r>
      <w:r>
        <w:tab/>
      </w:r>
      <w:r w:rsidRPr="27CC3C20" w:rsidR="27CC3C20">
        <w:t xml:space="preserve">Estimates of </w:t>
      </w:r>
      <w:r w:rsidRPr="27CC3C20" w:rsidR="00CB151D">
        <w:t>annualized b</w:t>
      </w:r>
      <w:r w:rsidR="00C82E4C">
        <w:t>urden hours</w:t>
      </w:r>
    </w:p>
    <w:p w:rsidRPr="00EC112E" w:rsidR="00C04380" w:rsidP="00397615" w:rsidRDefault="00C04380" w14:paraId="73863E71" w14:textId="77777777">
      <w:pPr>
        <w:pStyle w:val="BodyText2"/>
      </w:pPr>
      <w:r w:rsidRPr="00EC112E">
        <w:t xml:space="preserve">The following table provides estimates of the average annual burden for collecting the proposed information. </w:t>
      </w:r>
    </w:p>
    <w:p w:rsidRPr="00783B06" w:rsidR="00C04380" w:rsidP="00783B06" w:rsidRDefault="00783B06" w14:paraId="79A2A4AA" w14:textId="41ED4F19">
      <w:pPr>
        <w:jc w:val="center"/>
        <w:rPr>
          <w:rFonts w:ascii="Times New Roman" w:hAnsi="Times New Roman" w:cs="Times New Roman"/>
          <w:b/>
          <w:szCs w:val="24"/>
        </w:rPr>
      </w:pPr>
      <w:r>
        <w:rPr>
          <w:rFonts w:ascii="Times New Roman" w:hAnsi="Times New Roman" w:cs="Times New Roman"/>
          <w:b/>
          <w:szCs w:val="24"/>
        </w:rPr>
        <w:t xml:space="preserve">Table 12a. </w:t>
      </w:r>
      <w:r w:rsidRPr="00FE1639" w:rsidR="00C04380">
        <w:rPr>
          <w:rFonts w:ascii="Times New Roman" w:hAnsi="Times New Roman" w:cs="Times New Roman"/>
          <w:b/>
          <w:szCs w:val="24"/>
        </w:rPr>
        <w:t>Estimated A</w:t>
      </w:r>
      <w:r w:rsidR="00C82E4C">
        <w:rPr>
          <w:rFonts w:ascii="Times New Roman" w:hAnsi="Times New Roman" w:cs="Times New Roman"/>
          <w:b/>
          <w:szCs w:val="24"/>
        </w:rPr>
        <w:t>nnualized Burden Hours</w:t>
      </w:r>
      <w:r w:rsidRPr="00FE1639" w:rsidR="00C04380">
        <w:rPr>
          <w:rFonts w:ascii="Times New Roman" w:hAnsi="Times New Roman" w:cs="Times New Roman"/>
          <w:b/>
          <w:szCs w:val="24"/>
        </w:rPr>
        <w:t xml:space="preserve"> to Respondents</w:t>
      </w:r>
    </w:p>
    <w:tbl>
      <w:tblPr>
        <w:tblW w:w="5618" w:type="pct"/>
        <w:jc w:val="center"/>
        <w:tblBorders>
          <w:top w:val="single" w:color="000000" w:sz="4" w:space="0"/>
          <w:left w:val="single" w:color="000000" w:sz="4" w:space="0"/>
          <w:right w:val="single" w:color="000000" w:sz="4" w:space="0"/>
          <w:insideH w:val="single" w:color="000000" w:sz="4" w:space="0"/>
          <w:insideV w:val="single" w:color="000000" w:sz="4" w:space="0"/>
        </w:tblBorders>
        <w:tblLayout w:type="fixed"/>
        <w:tblCellMar>
          <w:left w:w="86" w:type="dxa"/>
          <w:right w:w="86" w:type="dxa"/>
        </w:tblCellMar>
        <w:tblLook w:val="04A0" w:firstRow="1" w:lastRow="0" w:firstColumn="1" w:lastColumn="0" w:noHBand="0" w:noVBand="1"/>
      </w:tblPr>
      <w:tblGrid>
        <w:gridCol w:w="1926"/>
        <w:gridCol w:w="2018"/>
        <w:gridCol w:w="1647"/>
        <w:gridCol w:w="1560"/>
        <w:gridCol w:w="2023"/>
        <w:gridCol w:w="1536"/>
      </w:tblGrid>
      <w:tr w:rsidRPr="002D2B65" w:rsidR="00C82E4C" w:rsidTr="001D5CA3" w14:paraId="2A77B7E6" w14:textId="77777777">
        <w:trPr>
          <w:cantSplit/>
          <w:jc w:val="center"/>
        </w:trPr>
        <w:tc>
          <w:tcPr>
            <w:tcW w:w="1889" w:type="dxa"/>
            <w:shd w:val="clear" w:color="auto" w:fill="D9D9D9" w:themeFill="background1" w:themeFillShade="D9"/>
            <w:vAlign w:val="center"/>
            <w:hideMark/>
          </w:tcPr>
          <w:p w:rsidRPr="002D2B65" w:rsidR="00C82E4C" w:rsidP="00C82E4C" w:rsidRDefault="00C82E4C" w14:paraId="38CA32A3" w14:textId="77777777">
            <w:pPr>
              <w:keepNext/>
              <w:jc w:val="center"/>
              <w:rPr>
                <w:rFonts w:ascii="Times New Roman" w:hAnsi="Times New Roman"/>
                <w:b/>
                <w:bCs/>
              </w:rPr>
            </w:pPr>
            <w:r w:rsidRPr="002D2B65">
              <w:rPr>
                <w:rFonts w:ascii="Times New Roman" w:hAnsi="Times New Roman"/>
                <w:b/>
                <w:bCs/>
              </w:rPr>
              <w:t>Type of Respondent</w:t>
            </w:r>
          </w:p>
        </w:tc>
        <w:tc>
          <w:tcPr>
            <w:tcW w:w="1980" w:type="dxa"/>
            <w:shd w:val="clear" w:color="auto" w:fill="D9D9D9" w:themeFill="background1" w:themeFillShade="D9"/>
            <w:vAlign w:val="center"/>
            <w:hideMark/>
          </w:tcPr>
          <w:p w:rsidRPr="002D2B65" w:rsidR="00C82E4C" w:rsidP="004E4584" w:rsidRDefault="00C82E4C" w14:paraId="40057C38" w14:textId="77777777">
            <w:pPr>
              <w:keepNext/>
              <w:jc w:val="center"/>
              <w:rPr>
                <w:rFonts w:ascii="Times New Roman" w:hAnsi="Times New Roman"/>
                <w:b/>
                <w:bCs/>
              </w:rPr>
            </w:pPr>
            <w:r w:rsidRPr="002D2B65">
              <w:rPr>
                <w:rFonts w:ascii="Times New Roman" w:hAnsi="Times New Roman"/>
                <w:b/>
                <w:bCs/>
              </w:rPr>
              <w:t>Form Name</w:t>
            </w:r>
          </w:p>
        </w:tc>
        <w:tc>
          <w:tcPr>
            <w:tcW w:w="1616" w:type="dxa"/>
            <w:shd w:val="clear" w:color="auto" w:fill="D9D9D9" w:themeFill="background1" w:themeFillShade="D9"/>
            <w:vAlign w:val="center"/>
            <w:hideMark/>
          </w:tcPr>
          <w:p w:rsidRPr="002D2B65" w:rsidR="00C82E4C" w:rsidP="004E4584" w:rsidRDefault="00C82E4C" w14:paraId="2D7B447D" w14:textId="37FF2E36">
            <w:pPr>
              <w:keepNext/>
              <w:jc w:val="center"/>
              <w:rPr>
                <w:rFonts w:ascii="Times New Roman" w:hAnsi="Times New Roman"/>
                <w:b/>
                <w:bCs/>
              </w:rPr>
            </w:pPr>
            <w:r w:rsidRPr="002D2B65">
              <w:rPr>
                <w:rFonts w:ascii="Times New Roman" w:hAnsi="Times New Roman"/>
                <w:b/>
                <w:bCs/>
              </w:rPr>
              <w:t>Number of Respondents</w:t>
            </w:r>
            <w:r w:rsidR="00DF3CB0">
              <w:rPr>
                <w:rFonts w:ascii="Times New Roman" w:hAnsi="Times New Roman"/>
                <w:b/>
                <w:bCs/>
              </w:rPr>
              <w:t xml:space="preserve"> (Expected)</w:t>
            </w:r>
          </w:p>
        </w:tc>
        <w:tc>
          <w:tcPr>
            <w:tcW w:w="1530" w:type="dxa"/>
            <w:shd w:val="clear" w:color="auto" w:fill="D9D9D9" w:themeFill="background1" w:themeFillShade="D9"/>
            <w:vAlign w:val="center"/>
            <w:hideMark/>
          </w:tcPr>
          <w:p w:rsidRPr="002D2B65" w:rsidR="00C82E4C" w:rsidP="004E4584" w:rsidRDefault="00C82E4C" w14:paraId="6CFF4893" w14:textId="77777777">
            <w:pPr>
              <w:keepNext/>
              <w:jc w:val="center"/>
              <w:rPr>
                <w:rFonts w:ascii="Times New Roman" w:hAnsi="Times New Roman"/>
                <w:b/>
                <w:bCs/>
              </w:rPr>
            </w:pPr>
            <w:r w:rsidRPr="002D2B65">
              <w:rPr>
                <w:rFonts w:ascii="Times New Roman" w:hAnsi="Times New Roman"/>
                <w:b/>
                <w:bCs/>
              </w:rPr>
              <w:t>Number of Responses per Respondent</w:t>
            </w:r>
          </w:p>
        </w:tc>
        <w:tc>
          <w:tcPr>
            <w:tcW w:w="1984" w:type="dxa"/>
            <w:shd w:val="clear" w:color="auto" w:fill="D9D9D9" w:themeFill="background1" w:themeFillShade="D9"/>
            <w:vAlign w:val="center"/>
            <w:hideMark/>
          </w:tcPr>
          <w:p w:rsidRPr="002D2B65" w:rsidR="00C82E4C" w:rsidP="004E4584" w:rsidRDefault="00C82E4C" w14:paraId="18900F17" w14:textId="77777777">
            <w:pPr>
              <w:keepNext/>
              <w:jc w:val="center"/>
              <w:rPr>
                <w:rFonts w:ascii="Times New Roman" w:hAnsi="Times New Roman"/>
                <w:b/>
                <w:bCs/>
              </w:rPr>
            </w:pPr>
            <w:r w:rsidRPr="002D2B65">
              <w:rPr>
                <w:rFonts w:ascii="Times New Roman" w:hAnsi="Times New Roman"/>
                <w:b/>
                <w:bCs/>
              </w:rPr>
              <w:t>Average Burden per Response (in min)</w:t>
            </w:r>
          </w:p>
        </w:tc>
        <w:tc>
          <w:tcPr>
            <w:tcW w:w="1507" w:type="dxa"/>
            <w:shd w:val="clear" w:color="auto" w:fill="D9D9D9" w:themeFill="background1" w:themeFillShade="D9"/>
            <w:vAlign w:val="center"/>
            <w:hideMark/>
          </w:tcPr>
          <w:p w:rsidRPr="002D2B65" w:rsidR="00C82E4C" w:rsidP="004E4584" w:rsidRDefault="00C82E4C" w14:paraId="699F972E" w14:textId="77777777">
            <w:pPr>
              <w:keepNext/>
              <w:jc w:val="center"/>
              <w:rPr>
                <w:rFonts w:ascii="Times New Roman" w:hAnsi="Times New Roman"/>
                <w:b/>
                <w:bCs/>
              </w:rPr>
            </w:pPr>
            <w:r w:rsidRPr="002D2B65">
              <w:rPr>
                <w:rFonts w:ascii="Times New Roman" w:hAnsi="Times New Roman"/>
                <w:b/>
                <w:bCs/>
              </w:rPr>
              <w:t>Total Burden (in hr)</w:t>
            </w:r>
          </w:p>
        </w:tc>
      </w:tr>
      <w:tr w:rsidRPr="002D2B65" w:rsidR="00C82E4C" w:rsidTr="001D5CA3" w14:paraId="596EDAD4" w14:textId="77777777">
        <w:trPr>
          <w:cantSplit/>
          <w:jc w:val="center"/>
        </w:trPr>
        <w:tc>
          <w:tcPr>
            <w:tcW w:w="1889" w:type="dxa"/>
            <w:vAlign w:val="center"/>
          </w:tcPr>
          <w:p w:rsidRPr="002D2B65" w:rsidR="00C82E4C" w:rsidP="004E4584" w:rsidRDefault="00C82E4C" w14:paraId="4DD6B384" w14:textId="77777777">
            <w:pPr>
              <w:jc w:val="center"/>
              <w:rPr>
                <w:rFonts w:ascii="Times New Roman" w:hAnsi="Times New Roman"/>
              </w:rPr>
            </w:pPr>
            <w:r w:rsidRPr="002D2B65">
              <w:rPr>
                <w:rFonts w:ascii="Times New Roman" w:hAnsi="Times New Roman"/>
              </w:rPr>
              <w:t>Prize competition applicants</w:t>
            </w:r>
          </w:p>
        </w:tc>
        <w:tc>
          <w:tcPr>
            <w:tcW w:w="1980" w:type="dxa"/>
            <w:vAlign w:val="center"/>
          </w:tcPr>
          <w:p w:rsidRPr="002D2B65" w:rsidR="00C82E4C" w:rsidP="004E4584" w:rsidRDefault="00C82E4C" w14:paraId="40B1BB4D" w14:textId="77777777">
            <w:pPr>
              <w:jc w:val="center"/>
              <w:rPr>
                <w:rFonts w:ascii="Times New Roman" w:hAnsi="Times New Roman"/>
              </w:rPr>
            </w:pPr>
            <w:r w:rsidRPr="002D2B65">
              <w:rPr>
                <w:rFonts w:ascii="Times New Roman" w:hAnsi="Times New Roman"/>
              </w:rPr>
              <w:t>Applicant Interview Guide</w:t>
            </w:r>
          </w:p>
        </w:tc>
        <w:tc>
          <w:tcPr>
            <w:tcW w:w="1616" w:type="dxa"/>
            <w:vAlign w:val="center"/>
          </w:tcPr>
          <w:p w:rsidRPr="002D2B65" w:rsidR="00C82E4C" w:rsidP="004E4584" w:rsidRDefault="00C82E4C" w14:paraId="7D6B4579" w14:textId="77777777">
            <w:pPr>
              <w:jc w:val="center"/>
              <w:rPr>
                <w:rFonts w:ascii="Times New Roman" w:hAnsi="Times New Roman"/>
              </w:rPr>
            </w:pPr>
            <w:r w:rsidRPr="002D2B65">
              <w:rPr>
                <w:rFonts w:ascii="Times New Roman" w:hAnsi="Times New Roman"/>
              </w:rPr>
              <w:t>12</w:t>
            </w:r>
          </w:p>
        </w:tc>
        <w:tc>
          <w:tcPr>
            <w:tcW w:w="1530" w:type="dxa"/>
            <w:noWrap/>
            <w:vAlign w:val="center"/>
          </w:tcPr>
          <w:p w:rsidRPr="002D2B65" w:rsidR="00C82E4C" w:rsidP="004E4584" w:rsidRDefault="00C82E4C" w14:paraId="17551E42" w14:textId="77777777">
            <w:pPr>
              <w:jc w:val="center"/>
              <w:rPr>
                <w:rFonts w:ascii="Times New Roman" w:hAnsi="Times New Roman"/>
              </w:rPr>
            </w:pPr>
            <w:r w:rsidRPr="002D2B65">
              <w:rPr>
                <w:rFonts w:ascii="Times New Roman" w:hAnsi="Times New Roman"/>
              </w:rPr>
              <w:t>1</w:t>
            </w:r>
          </w:p>
        </w:tc>
        <w:tc>
          <w:tcPr>
            <w:tcW w:w="1984" w:type="dxa"/>
            <w:noWrap/>
            <w:vAlign w:val="center"/>
          </w:tcPr>
          <w:p w:rsidRPr="002D2B65" w:rsidR="00C82E4C" w:rsidP="004E4584" w:rsidRDefault="00C82E4C" w14:paraId="377681A6" w14:textId="77777777">
            <w:pPr>
              <w:jc w:val="center"/>
              <w:rPr>
                <w:rFonts w:ascii="Times New Roman" w:hAnsi="Times New Roman"/>
                <w:highlight w:val="yellow"/>
              </w:rPr>
            </w:pPr>
            <w:r>
              <w:rPr>
                <w:rFonts w:ascii="Times New Roman" w:hAnsi="Times New Roman"/>
              </w:rPr>
              <w:t>50</w:t>
            </w:r>
            <w:r w:rsidRPr="002D2B65">
              <w:rPr>
                <w:rFonts w:ascii="Times New Roman" w:hAnsi="Times New Roman"/>
              </w:rPr>
              <w:t>/60</w:t>
            </w:r>
          </w:p>
        </w:tc>
        <w:tc>
          <w:tcPr>
            <w:tcW w:w="1507" w:type="dxa"/>
            <w:noWrap/>
            <w:vAlign w:val="center"/>
          </w:tcPr>
          <w:p w:rsidRPr="002D2B65" w:rsidR="00C82E4C" w:rsidP="004E4584" w:rsidRDefault="00C82E4C" w14:paraId="58589592" w14:textId="77777777">
            <w:pPr>
              <w:jc w:val="center"/>
              <w:rPr>
                <w:rFonts w:ascii="Times New Roman" w:hAnsi="Times New Roman"/>
                <w:highlight w:val="yellow"/>
              </w:rPr>
            </w:pPr>
            <w:r>
              <w:rPr>
                <w:rFonts w:ascii="Times New Roman" w:hAnsi="Times New Roman"/>
              </w:rPr>
              <w:t>10</w:t>
            </w:r>
          </w:p>
        </w:tc>
      </w:tr>
      <w:tr w:rsidRPr="002D2B65" w:rsidR="00C82E4C" w:rsidTr="001D5CA3" w14:paraId="448730F1" w14:textId="77777777">
        <w:trPr>
          <w:cantSplit/>
          <w:jc w:val="center"/>
        </w:trPr>
        <w:tc>
          <w:tcPr>
            <w:tcW w:w="1889" w:type="dxa"/>
            <w:vAlign w:val="center"/>
          </w:tcPr>
          <w:p w:rsidRPr="002D2B65" w:rsidR="00C82E4C" w:rsidP="004E4584" w:rsidRDefault="00C82E4C" w14:paraId="0CCDDA39" w14:textId="77777777">
            <w:pPr>
              <w:jc w:val="center"/>
              <w:rPr>
                <w:rFonts w:ascii="Times New Roman" w:hAnsi="Times New Roman"/>
              </w:rPr>
            </w:pPr>
            <w:r w:rsidRPr="002D2B65">
              <w:rPr>
                <w:rFonts w:ascii="Times New Roman" w:hAnsi="Times New Roman"/>
              </w:rPr>
              <w:t>Prize competition awardees</w:t>
            </w:r>
          </w:p>
        </w:tc>
        <w:tc>
          <w:tcPr>
            <w:tcW w:w="1980" w:type="dxa"/>
            <w:vAlign w:val="center"/>
          </w:tcPr>
          <w:p w:rsidRPr="002D2B65" w:rsidR="00C82E4C" w:rsidP="004E4584" w:rsidRDefault="00C82E4C" w14:paraId="50398310" w14:textId="77777777">
            <w:pPr>
              <w:jc w:val="center"/>
              <w:rPr>
                <w:rFonts w:ascii="Times New Roman" w:hAnsi="Times New Roman"/>
              </w:rPr>
            </w:pPr>
            <w:r w:rsidRPr="002D2B65">
              <w:rPr>
                <w:rFonts w:ascii="Times New Roman" w:hAnsi="Times New Roman"/>
              </w:rPr>
              <w:t>Awardee Interview Guide</w:t>
            </w:r>
          </w:p>
        </w:tc>
        <w:tc>
          <w:tcPr>
            <w:tcW w:w="1616" w:type="dxa"/>
            <w:vAlign w:val="center"/>
          </w:tcPr>
          <w:p w:rsidRPr="002D2B65" w:rsidR="00C82E4C" w:rsidP="004E4584" w:rsidRDefault="00C82E4C" w14:paraId="4965EC28" w14:textId="77777777">
            <w:pPr>
              <w:jc w:val="center"/>
              <w:rPr>
                <w:rFonts w:ascii="Times New Roman" w:hAnsi="Times New Roman"/>
              </w:rPr>
            </w:pPr>
            <w:r w:rsidRPr="002D2B65">
              <w:rPr>
                <w:rFonts w:ascii="Times New Roman" w:hAnsi="Times New Roman"/>
              </w:rPr>
              <w:t>6</w:t>
            </w:r>
          </w:p>
        </w:tc>
        <w:tc>
          <w:tcPr>
            <w:tcW w:w="1530" w:type="dxa"/>
            <w:noWrap/>
            <w:vAlign w:val="center"/>
          </w:tcPr>
          <w:p w:rsidRPr="002D2B65" w:rsidR="00C82E4C" w:rsidP="004E4584" w:rsidRDefault="00C82E4C" w14:paraId="66219139" w14:textId="77777777">
            <w:pPr>
              <w:jc w:val="center"/>
              <w:rPr>
                <w:rFonts w:ascii="Times New Roman" w:hAnsi="Times New Roman"/>
              </w:rPr>
            </w:pPr>
            <w:r w:rsidRPr="002D2B65">
              <w:rPr>
                <w:rFonts w:ascii="Times New Roman" w:hAnsi="Times New Roman"/>
              </w:rPr>
              <w:t>1</w:t>
            </w:r>
          </w:p>
        </w:tc>
        <w:tc>
          <w:tcPr>
            <w:tcW w:w="1984" w:type="dxa"/>
            <w:noWrap/>
            <w:vAlign w:val="center"/>
          </w:tcPr>
          <w:p w:rsidRPr="002D2B65" w:rsidR="00C82E4C" w:rsidP="004E4584" w:rsidRDefault="00C82E4C" w14:paraId="30CD179E" w14:textId="77777777">
            <w:pPr>
              <w:jc w:val="center"/>
              <w:rPr>
                <w:rFonts w:ascii="Times New Roman" w:hAnsi="Times New Roman"/>
                <w:highlight w:val="yellow"/>
              </w:rPr>
            </w:pPr>
            <w:r>
              <w:rPr>
                <w:rFonts w:ascii="Times New Roman" w:hAnsi="Times New Roman"/>
              </w:rPr>
              <w:t>50</w:t>
            </w:r>
            <w:r w:rsidRPr="002D2B65">
              <w:rPr>
                <w:rFonts w:ascii="Times New Roman" w:hAnsi="Times New Roman"/>
              </w:rPr>
              <w:t>/60</w:t>
            </w:r>
          </w:p>
        </w:tc>
        <w:tc>
          <w:tcPr>
            <w:tcW w:w="1507" w:type="dxa"/>
            <w:noWrap/>
            <w:vAlign w:val="center"/>
          </w:tcPr>
          <w:p w:rsidRPr="002D2B65" w:rsidR="00C82E4C" w:rsidP="004E4584" w:rsidRDefault="00C82E4C" w14:paraId="470FCF0E" w14:textId="77777777">
            <w:pPr>
              <w:jc w:val="center"/>
              <w:rPr>
                <w:rFonts w:ascii="Times New Roman" w:hAnsi="Times New Roman"/>
                <w:highlight w:val="yellow"/>
              </w:rPr>
            </w:pPr>
            <w:r w:rsidRPr="002D2B65">
              <w:rPr>
                <w:rFonts w:ascii="Times New Roman" w:hAnsi="Times New Roman"/>
              </w:rPr>
              <w:t>5</w:t>
            </w:r>
          </w:p>
        </w:tc>
      </w:tr>
      <w:tr w:rsidRPr="002D2B65" w:rsidR="00C82E4C" w:rsidTr="001D5CA3" w14:paraId="333AB88B" w14:textId="77777777">
        <w:trPr>
          <w:cantSplit/>
          <w:jc w:val="center"/>
        </w:trPr>
        <w:tc>
          <w:tcPr>
            <w:tcW w:w="1889" w:type="dxa"/>
            <w:vAlign w:val="center"/>
          </w:tcPr>
          <w:p w:rsidRPr="002D2B65" w:rsidR="00C82E4C" w:rsidP="004E4584" w:rsidRDefault="00C82E4C" w14:paraId="116D53C3" w14:textId="77777777">
            <w:pPr>
              <w:jc w:val="center"/>
              <w:rPr>
                <w:rFonts w:ascii="Times New Roman" w:hAnsi="Times New Roman"/>
              </w:rPr>
            </w:pPr>
            <w:r w:rsidRPr="002D2B65">
              <w:rPr>
                <w:rFonts w:ascii="Times New Roman" w:hAnsi="Times New Roman"/>
              </w:rPr>
              <w:t>Prize competition non-awardees</w:t>
            </w:r>
          </w:p>
        </w:tc>
        <w:tc>
          <w:tcPr>
            <w:tcW w:w="1980" w:type="dxa"/>
            <w:vAlign w:val="center"/>
          </w:tcPr>
          <w:p w:rsidRPr="002D2B65" w:rsidR="00C82E4C" w:rsidP="004E4584" w:rsidRDefault="00C82E4C" w14:paraId="2A331AE3" w14:textId="77777777">
            <w:pPr>
              <w:jc w:val="center"/>
              <w:rPr>
                <w:rFonts w:ascii="Times New Roman" w:hAnsi="Times New Roman"/>
              </w:rPr>
            </w:pPr>
            <w:r w:rsidRPr="002D2B65">
              <w:rPr>
                <w:rFonts w:ascii="Times New Roman" w:hAnsi="Times New Roman"/>
              </w:rPr>
              <w:t>Non-awardee Interview Guide</w:t>
            </w:r>
          </w:p>
        </w:tc>
        <w:tc>
          <w:tcPr>
            <w:tcW w:w="1616" w:type="dxa"/>
            <w:vAlign w:val="center"/>
          </w:tcPr>
          <w:p w:rsidRPr="002D2B65" w:rsidR="00C82E4C" w:rsidP="004E4584" w:rsidRDefault="00C82E4C" w14:paraId="059B2F0A" w14:textId="77777777">
            <w:pPr>
              <w:jc w:val="center"/>
              <w:rPr>
                <w:rFonts w:ascii="Times New Roman" w:hAnsi="Times New Roman"/>
              </w:rPr>
            </w:pPr>
            <w:r w:rsidRPr="002D2B65">
              <w:rPr>
                <w:rFonts w:ascii="Times New Roman" w:hAnsi="Times New Roman"/>
              </w:rPr>
              <w:t>6</w:t>
            </w:r>
          </w:p>
        </w:tc>
        <w:tc>
          <w:tcPr>
            <w:tcW w:w="1530" w:type="dxa"/>
            <w:noWrap/>
            <w:vAlign w:val="center"/>
          </w:tcPr>
          <w:p w:rsidRPr="002D2B65" w:rsidR="00C82E4C" w:rsidP="004E4584" w:rsidRDefault="00C82E4C" w14:paraId="2D684B6E" w14:textId="77777777">
            <w:pPr>
              <w:jc w:val="center"/>
              <w:rPr>
                <w:rFonts w:ascii="Times New Roman" w:hAnsi="Times New Roman"/>
              </w:rPr>
            </w:pPr>
            <w:r w:rsidRPr="002D2B65">
              <w:rPr>
                <w:rFonts w:ascii="Times New Roman" w:hAnsi="Times New Roman"/>
              </w:rPr>
              <w:t>1</w:t>
            </w:r>
          </w:p>
        </w:tc>
        <w:tc>
          <w:tcPr>
            <w:tcW w:w="1984" w:type="dxa"/>
            <w:noWrap/>
            <w:vAlign w:val="center"/>
          </w:tcPr>
          <w:p w:rsidRPr="002D2B65" w:rsidR="00C82E4C" w:rsidP="004E4584" w:rsidRDefault="00C82E4C" w14:paraId="152288AA" w14:textId="77777777">
            <w:pPr>
              <w:jc w:val="center"/>
              <w:rPr>
                <w:rFonts w:ascii="Times New Roman" w:hAnsi="Times New Roman"/>
                <w:highlight w:val="yellow"/>
              </w:rPr>
            </w:pPr>
            <w:r>
              <w:rPr>
                <w:rFonts w:ascii="Times New Roman" w:hAnsi="Times New Roman"/>
              </w:rPr>
              <w:t>50</w:t>
            </w:r>
            <w:r w:rsidRPr="002D2B65">
              <w:rPr>
                <w:rFonts w:ascii="Times New Roman" w:hAnsi="Times New Roman"/>
              </w:rPr>
              <w:t>/60</w:t>
            </w:r>
          </w:p>
        </w:tc>
        <w:tc>
          <w:tcPr>
            <w:tcW w:w="1507" w:type="dxa"/>
            <w:noWrap/>
            <w:vAlign w:val="center"/>
          </w:tcPr>
          <w:p w:rsidRPr="002D2B65" w:rsidR="00C82E4C" w:rsidP="004E4584" w:rsidRDefault="00C82E4C" w14:paraId="68E1A318" w14:textId="77777777">
            <w:pPr>
              <w:jc w:val="center"/>
              <w:rPr>
                <w:rFonts w:ascii="Times New Roman" w:hAnsi="Times New Roman"/>
                <w:highlight w:val="yellow"/>
              </w:rPr>
            </w:pPr>
            <w:r w:rsidRPr="002D2B65">
              <w:rPr>
                <w:rFonts w:ascii="Times New Roman" w:hAnsi="Times New Roman"/>
              </w:rPr>
              <w:t>5</w:t>
            </w:r>
          </w:p>
        </w:tc>
      </w:tr>
      <w:tr w:rsidRPr="002D2B65" w:rsidR="00C82E4C" w:rsidTr="001D5CA3" w14:paraId="01732748" w14:textId="77777777">
        <w:trPr>
          <w:cantSplit/>
          <w:jc w:val="center"/>
        </w:trPr>
        <w:tc>
          <w:tcPr>
            <w:tcW w:w="1889" w:type="dxa"/>
            <w:vAlign w:val="center"/>
          </w:tcPr>
          <w:p w:rsidRPr="002D2B65" w:rsidR="00C82E4C" w:rsidP="004E4584" w:rsidRDefault="00C82E4C" w14:paraId="6EC68AC1" w14:textId="77777777">
            <w:pPr>
              <w:jc w:val="center"/>
              <w:rPr>
                <w:rFonts w:ascii="Times New Roman" w:hAnsi="Times New Roman"/>
              </w:rPr>
            </w:pPr>
            <w:r w:rsidRPr="002D2B65">
              <w:rPr>
                <w:rFonts w:ascii="Times New Roman" w:hAnsi="Times New Roman"/>
              </w:rPr>
              <w:t>Other Stakeholders</w:t>
            </w:r>
          </w:p>
        </w:tc>
        <w:tc>
          <w:tcPr>
            <w:tcW w:w="1980" w:type="dxa"/>
            <w:vAlign w:val="center"/>
          </w:tcPr>
          <w:p w:rsidRPr="002D2B65" w:rsidR="00C82E4C" w:rsidP="004E4584" w:rsidRDefault="00C82E4C" w14:paraId="51C5FB48" w14:textId="77777777">
            <w:pPr>
              <w:jc w:val="center"/>
              <w:rPr>
                <w:rFonts w:ascii="Times New Roman" w:hAnsi="Times New Roman"/>
              </w:rPr>
            </w:pPr>
            <w:r w:rsidRPr="002D2B65">
              <w:rPr>
                <w:rFonts w:ascii="Times New Roman" w:hAnsi="Times New Roman"/>
              </w:rPr>
              <w:t>Other Stakeholder Interview Guide</w:t>
            </w:r>
          </w:p>
        </w:tc>
        <w:tc>
          <w:tcPr>
            <w:tcW w:w="1616" w:type="dxa"/>
            <w:vAlign w:val="center"/>
          </w:tcPr>
          <w:p w:rsidRPr="002D2B65" w:rsidR="00C82E4C" w:rsidP="004E4584" w:rsidRDefault="00C82E4C" w14:paraId="3345EC06" w14:textId="77777777">
            <w:pPr>
              <w:jc w:val="center"/>
              <w:rPr>
                <w:rFonts w:ascii="Times New Roman" w:hAnsi="Times New Roman"/>
              </w:rPr>
            </w:pPr>
            <w:r w:rsidRPr="002D2B65">
              <w:rPr>
                <w:rFonts w:ascii="Times New Roman" w:hAnsi="Times New Roman"/>
              </w:rPr>
              <w:t>6</w:t>
            </w:r>
          </w:p>
        </w:tc>
        <w:tc>
          <w:tcPr>
            <w:tcW w:w="1530" w:type="dxa"/>
            <w:noWrap/>
            <w:vAlign w:val="center"/>
          </w:tcPr>
          <w:p w:rsidRPr="002D2B65" w:rsidR="00C82E4C" w:rsidP="004E4584" w:rsidRDefault="00C82E4C" w14:paraId="1C7C671E" w14:textId="77777777">
            <w:pPr>
              <w:jc w:val="center"/>
              <w:rPr>
                <w:rFonts w:ascii="Times New Roman" w:hAnsi="Times New Roman"/>
              </w:rPr>
            </w:pPr>
            <w:r w:rsidRPr="002D2B65">
              <w:rPr>
                <w:rFonts w:ascii="Times New Roman" w:hAnsi="Times New Roman"/>
              </w:rPr>
              <w:t>1</w:t>
            </w:r>
          </w:p>
        </w:tc>
        <w:tc>
          <w:tcPr>
            <w:tcW w:w="1984" w:type="dxa"/>
            <w:noWrap/>
            <w:vAlign w:val="center"/>
          </w:tcPr>
          <w:p w:rsidRPr="002D2B65" w:rsidR="00C82E4C" w:rsidP="004E4584" w:rsidRDefault="00C82E4C" w14:paraId="6B8CA191" w14:textId="77777777">
            <w:pPr>
              <w:jc w:val="center"/>
              <w:rPr>
                <w:rFonts w:ascii="Times New Roman" w:hAnsi="Times New Roman"/>
                <w:highlight w:val="yellow"/>
              </w:rPr>
            </w:pPr>
            <w:r>
              <w:rPr>
                <w:rFonts w:ascii="Times New Roman" w:hAnsi="Times New Roman"/>
              </w:rPr>
              <w:t>50</w:t>
            </w:r>
            <w:r w:rsidRPr="002D2B65">
              <w:rPr>
                <w:rFonts w:ascii="Times New Roman" w:hAnsi="Times New Roman"/>
              </w:rPr>
              <w:t>/60</w:t>
            </w:r>
          </w:p>
        </w:tc>
        <w:tc>
          <w:tcPr>
            <w:tcW w:w="1507" w:type="dxa"/>
            <w:noWrap/>
            <w:vAlign w:val="center"/>
          </w:tcPr>
          <w:p w:rsidRPr="002D2B65" w:rsidR="00C82E4C" w:rsidP="004E4584" w:rsidRDefault="00C82E4C" w14:paraId="0D1F364F" w14:textId="77777777">
            <w:pPr>
              <w:jc w:val="center"/>
              <w:rPr>
                <w:rFonts w:ascii="Times New Roman" w:hAnsi="Times New Roman"/>
                <w:highlight w:val="yellow"/>
              </w:rPr>
            </w:pPr>
            <w:r>
              <w:rPr>
                <w:rFonts w:ascii="Times New Roman" w:hAnsi="Times New Roman"/>
              </w:rPr>
              <w:t>5</w:t>
            </w:r>
          </w:p>
        </w:tc>
      </w:tr>
      <w:tr w:rsidRPr="002D2B65" w:rsidR="00C82E4C" w:rsidTr="001D5CA3" w14:paraId="3EACF87A" w14:textId="77777777">
        <w:trPr>
          <w:cantSplit/>
          <w:jc w:val="center"/>
        </w:trPr>
        <w:tc>
          <w:tcPr>
            <w:tcW w:w="1889" w:type="dxa"/>
            <w:tcBorders>
              <w:bottom w:val="single" w:color="auto" w:sz="4" w:space="0"/>
            </w:tcBorders>
            <w:vAlign w:val="center"/>
          </w:tcPr>
          <w:p w:rsidRPr="002D2B65" w:rsidR="00C82E4C" w:rsidP="004E4584" w:rsidRDefault="00C82E4C" w14:paraId="39B69992" w14:textId="77777777">
            <w:pPr>
              <w:jc w:val="center"/>
              <w:rPr>
                <w:rFonts w:ascii="Times New Roman" w:hAnsi="Times New Roman"/>
              </w:rPr>
            </w:pPr>
            <w:r w:rsidRPr="002D2B65">
              <w:rPr>
                <w:rFonts w:ascii="Times New Roman" w:hAnsi="Times New Roman"/>
              </w:rPr>
              <w:t>Prize competition applicants</w:t>
            </w:r>
          </w:p>
        </w:tc>
        <w:tc>
          <w:tcPr>
            <w:tcW w:w="1980" w:type="dxa"/>
            <w:tcBorders>
              <w:bottom w:val="single" w:color="auto" w:sz="4" w:space="0"/>
            </w:tcBorders>
            <w:vAlign w:val="center"/>
          </w:tcPr>
          <w:p w:rsidRPr="002D2B65" w:rsidR="00C82E4C" w:rsidP="004E4584" w:rsidRDefault="00C82E4C" w14:paraId="2D2E5A85" w14:textId="77777777">
            <w:pPr>
              <w:jc w:val="center"/>
              <w:rPr>
                <w:rFonts w:ascii="Times New Roman" w:hAnsi="Times New Roman"/>
              </w:rPr>
            </w:pPr>
            <w:r w:rsidRPr="002D2B65">
              <w:rPr>
                <w:rFonts w:ascii="Times New Roman" w:hAnsi="Times New Roman"/>
              </w:rPr>
              <w:t>Pre-award Survey Instrument</w:t>
            </w:r>
          </w:p>
        </w:tc>
        <w:tc>
          <w:tcPr>
            <w:tcW w:w="1616" w:type="dxa"/>
            <w:tcBorders>
              <w:bottom w:val="single" w:color="auto" w:sz="4" w:space="0"/>
            </w:tcBorders>
            <w:vAlign w:val="center"/>
          </w:tcPr>
          <w:p w:rsidRPr="002D2B65" w:rsidR="00C82E4C" w:rsidP="004E4584" w:rsidRDefault="00C82E4C" w14:paraId="66537582" w14:textId="77777777">
            <w:pPr>
              <w:jc w:val="center"/>
              <w:rPr>
                <w:rFonts w:ascii="Times New Roman" w:hAnsi="Times New Roman"/>
              </w:rPr>
            </w:pPr>
            <w:r w:rsidRPr="002D2B65">
              <w:rPr>
                <w:rFonts w:ascii="Times New Roman" w:hAnsi="Times New Roman"/>
              </w:rPr>
              <w:t>300</w:t>
            </w:r>
          </w:p>
        </w:tc>
        <w:tc>
          <w:tcPr>
            <w:tcW w:w="1530" w:type="dxa"/>
            <w:tcBorders>
              <w:bottom w:val="single" w:color="auto" w:sz="4" w:space="0"/>
            </w:tcBorders>
            <w:noWrap/>
            <w:vAlign w:val="center"/>
          </w:tcPr>
          <w:p w:rsidRPr="002D2B65" w:rsidR="00C82E4C" w:rsidP="004E4584" w:rsidRDefault="00C82E4C" w14:paraId="2ACFEA39" w14:textId="77777777">
            <w:pPr>
              <w:jc w:val="center"/>
              <w:rPr>
                <w:rFonts w:ascii="Times New Roman" w:hAnsi="Times New Roman"/>
              </w:rPr>
            </w:pPr>
            <w:r w:rsidRPr="002D2B65">
              <w:rPr>
                <w:rFonts w:ascii="Times New Roman" w:hAnsi="Times New Roman"/>
              </w:rPr>
              <w:t>1</w:t>
            </w:r>
          </w:p>
        </w:tc>
        <w:tc>
          <w:tcPr>
            <w:tcW w:w="1984" w:type="dxa"/>
            <w:tcBorders>
              <w:bottom w:val="single" w:color="auto" w:sz="4" w:space="0"/>
            </w:tcBorders>
            <w:noWrap/>
            <w:vAlign w:val="center"/>
          </w:tcPr>
          <w:p w:rsidRPr="002D2B65" w:rsidR="00C82E4C" w:rsidP="004E4584" w:rsidRDefault="00C82E4C" w14:paraId="05595910" w14:textId="77777777">
            <w:pPr>
              <w:jc w:val="center"/>
              <w:rPr>
                <w:rFonts w:ascii="Times New Roman" w:hAnsi="Times New Roman"/>
                <w:highlight w:val="yellow"/>
              </w:rPr>
            </w:pPr>
            <w:r w:rsidRPr="002D2B65">
              <w:rPr>
                <w:rFonts w:ascii="Times New Roman" w:hAnsi="Times New Roman"/>
              </w:rPr>
              <w:t>30/60</w:t>
            </w:r>
          </w:p>
        </w:tc>
        <w:tc>
          <w:tcPr>
            <w:tcW w:w="1507" w:type="dxa"/>
            <w:tcBorders>
              <w:bottom w:val="single" w:color="auto" w:sz="4" w:space="0"/>
            </w:tcBorders>
            <w:noWrap/>
            <w:vAlign w:val="center"/>
          </w:tcPr>
          <w:p w:rsidRPr="002D2B65" w:rsidR="00C82E4C" w:rsidP="004E4584" w:rsidRDefault="00C82E4C" w14:paraId="4FBA71CF" w14:textId="77777777">
            <w:pPr>
              <w:jc w:val="center"/>
              <w:rPr>
                <w:rFonts w:ascii="Times New Roman" w:hAnsi="Times New Roman"/>
                <w:highlight w:val="yellow"/>
              </w:rPr>
            </w:pPr>
            <w:r>
              <w:rPr>
                <w:rFonts w:ascii="Times New Roman" w:hAnsi="Times New Roman"/>
              </w:rPr>
              <w:t>150</w:t>
            </w:r>
          </w:p>
        </w:tc>
      </w:tr>
      <w:tr w:rsidRPr="002D2B65" w:rsidR="00C82E4C" w:rsidTr="001D5CA3" w14:paraId="2620C177" w14:textId="77777777">
        <w:trPr>
          <w:cantSplit/>
          <w:jc w:val="center"/>
        </w:trPr>
        <w:tc>
          <w:tcPr>
            <w:tcW w:w="1889" w:type="dxa"/>
            <w:tcBorders>
              <w:top w:val="single" w:color="auto" w:sz="4" w:space="0"/>
              <w:left w:val="single" w:color="auto" w:sz="4" w:space="0"/>
              <w:bottom w:val="single" w:color="auto" w:sz="4" w:space="0"/>
              <w:right w:val="single" w:color="auto" w:sz="4" w:space="0"/>
            </w:tcBorders>
            <w:vAlign w:val="center"/>
          </w:tcPr>
          <w:p w:rsidRPr="002D2B65" w:rsidR="00C82E4C" w:rsidP="004E4584" w:rsidRDefault="00C82E4C" w14:paraId="0CC537D7" w14:textId="77777777">
            <w:pPr>
              <w:jc w:val="center"/>
              <w:rPr>
                <w:rFonts w:ascii="Times New Roman" w:hAnsi="Times New Roman"/>
              </w:rPr>
            </w:pPr>
            <w:r w:rsidRPr="002D2B65">
              <w:rPr>
                <w:rFonts w:ascii="Times New Roman" w:hAnsi="Times New Roman"/>
              </w:rPr>
              <w:t>Prize competition awardees and non-awardees</w:t>
            </w:r>
          </w:p>
        </w:tc>
        <w:tc>
          <w:tcPr>
            <w:tcW w:w="1980" w:type="dxa"/>
            <w:tcBorders>
              <w:top w:val="single" w:color="auto" w:sz="4" w:space="0"/>
              <w:left w:val="single" w:color="auto" w:sz="4" w:space="0"/>
              <w:bottom w:val="single" w:color="auto" w:sz="4" w:space="0"/>
              <w:right w:val="single" w:color="auto" w:sz="4" w:space="0"/>
            </w:tcBorders>
            <w:vAlign w:val="center"/>
          </w:tcPr>
          <w:p w:rsidRPr="002D2B65" w:rsidR="00C82E4C" w:rsidP="004E4584" w:rsidRDefault="00C82E4C" w14:paraId="04FBEC94" w14:textId="77777777">
            <w:pPr>
              <w:jc w:val="center"/>
              <w:rPr>
                <w:rFonts w:ascii="Times New Roman" w:hAnsi="Times New Roman"/>
              </w:rPr>
            </w:pPr>
            <w:r w:rsidRPr="002D2B65">
              <w:rPr>
                <w:rFonts w:ascii="Times New Roman" w:hAnsi="Times New Roman"/>
              </w:rPr>
              <w:t>Post-award Survey Instrument</w:t>
            </w:r>
          </w:p>
        </w:tc>
        <w:tc>
          <w:tcPr>
            <w:tcW w:w="1616" w:type="dxa"/>
            <w:tcBorders>
              <w:top w:val="single" w:color="auto" w:sz="4" w:space="0"/>
              <w:left w:val="single" w:color="auto" w:sz="4" w:space="0"/>
              <w:bottom w:val="single" w:color="auto" w:sz="4" w:space="0"/>
              <w:right w:val="single" w:color="auto" w:sz="4" w:space="0"/>
            </w:tcBorders>
            <w:vAlign w:val="center"/>
          </w:tcPr>
          <w:p w:rsidRPr="002D2B65" w:rsidR="00C82E4C" w:rsidP="004E4584" w:rsidRDefault="00C82E4C" w14:paraId="4FAFA974" w14:textId="77777777">
            <w:pPr>
              <w:jc w:val="center"/>
              <w:rPr>
                <w:rFonts w:ascii="Times New Roman" w:hAnsi="Times New Roman"/>
              </w:rPr>
            </w:pPr>
            <w:r w:rsidRPr="002D2B65">
              <w:rPr>
                <w:rFonts w:ascii="Times New Roman" w:hAnsi="Times New Roman"/>
              </w:rPr>
              <w:t>300</w:t>
            </w:r>
          </w:p>
        </w:tc>
        <w:tc>
          <w:tcPr>
            <w:tcW w:w="1530" w:type="dxa"/>
            <w:tcBorders>
              <w:top w:val="single" w:color="auto" w:sz="4" w:space="0"/>
              <w:left w:val="single" w:color="auto" w:sz="4" w:space="0"/>
              <w:bottom w:val="single" w:color="auto" w:sz="4" w:space="0"/>
              <w:right w:val="single" w:color="auto" w:sz="4" w:space="0"/>
            </w:tcBorders>
            <w:noWrap/>
            <w:vAlign w:val="center"/>
          </w:tcPr>
          <w:p w:rsidRPr="002D2B65" w:rsidR="00C82E4C" w:rsidP="004E4584" w:rsidRDefault="00C82E4C" w14:paraId="2104B01E" w14:textId="77777777">
            <w:pPr>
              <w:jc w:val="center"/>
              <w:rPr>
                <w:rFonts w:ascii="Times New Roman" w:hAnsi="Times New Roman"/>
              </w:rPr>
            </w:pPr>
            <w:r w:rsidRPr="002D2B65">
              <w:rPr>
                <w:rFonts w:ascii="Times New Roman" w:hAnsi="Times New Roman"/>
              </w:rPr>
              <w:t>1</w:t>
            </w:r>
          </w:p>
        </w:tc>
        <w:tc>
          <w:tcPr>
            <w:tcW w:w="1984" w:type="dxa"/>
            <w:tcBorders>
              <w:top w:val="single" w:color="auto" w:sz="4" w:space="0"/>
              <w:left w:val="single" w:color="auto" w:sz="4" w:space="0"/>
              <w:bottom w:val="single" w:color="auto" w:sz="4" w:space="0"/>
              <w:right w:val="single" w:color="auto" w:sz="4" w:space="0"/>
            </w:tcBorders>
            <w:noWrap/>
            <w:vAlign w:val="center"/>
          </w:tcPr>
          <w:p w:rsidRPr="002D2B65" w:rsidR="00C82E4C" w:rsidP="004E4584" w:rsidRDefault="00C82E4C" w14:paraId="4BE534BB" w14:textId="77777777">
            <w:pPr>
              <w:jc w:val="center"/>
              <w:rPr>
                <w:rFonts w:ascii="Times New Roman" w:hAnsi="Times New Roman"/>
                <w:highlight w:val="yellow"/>
              </w:rPr>
            </w:pPr>
            <w:r w:rsidRPr="002D2B65">
              <w:rPr>
                <w:rFonts w:ascii="Times New Roman" w:hAnsi="Times New Roman"/>
              </w:rPr>
              <w:t>30/60</w:t>
            </w:r>
          </w:p>
        </w:tc>
        <w:tc>
          <w:tcPr>
            <w:tcW w:w="1507" w:type="dxa"/>
            <w:tcBorders>
              <w:top w:val="single" w:color="auto" w:sz="4" w:space="0"/>
              <w:left w:val="single" w:color="auto" w:sz="4" w:space="0"/>
              <w:bottom w:val="single" w:color="auto" w:sz="4" w:space="0"/>
              <w:right w:val="single" w:color="auto" w:sz="4" w:space="0"/>
            </w:tcBorders>
            <w:noWrap/>
            <w:vAlign w:val="center"/>
          </w:tcPr>
          <w:p w:rsidRPr="002D2B65" w:rsidR="00C82E4C" w:rsidP="004E4584" w:rsidRDefault="00C82E4C" w14:paraId="3324CEDD" w14:textId="77777777">
            <w:pPr>
              <w:jc w:val="center"/>
              <w:rPr>
                <w:rFonts w:ascii="Times New Roman" w:hAnsi="Times New Roman"/>
                <w:highlight w:val="yellow"/>
              </w:rPr>
            </w:pPr>
            <w:r>
              <w:rPr>
                <w:rFonts w:ascii="Times New Roman" w:hAnsi="Times New Roman"/>
              </w:rPr>
              <w:t>150</w:t>
            </w:r>
          </w:p>
        </w:tc>
      </w:tr>
      <w:tr w:rsidRPr="002D2B65" w:rsidR="002512FB" w:rsidTr="004E4584" w14:paraId="67DD4976" w14:textId="77777777">
        <w:trPr>
          <w:cantSplit/>
          <w:jc w:val="center"/>
        </w:trPr>
        <w:tc>
          <w:tcPr>
            <w:tcW w:w="8999" w:type="dxa"/>
            <w:gridSpan w:val="5"/>
            <w:tcBorders>
              <w:top w:val="single" w:color="auto" w:sz="4" w:space="0"/>
              <w:left w:val="single" w:color="auto" w:sz="4" w:space="0"/>
              <w:bottom w:val="single" w:color="auto" w:sz="4" w:space="0"/>
              <w:right w:val="single" w:color="auto" w:sz="4" w:space="0"/>
            </w:tcBorders>
          </w:tcPr>
          <w:p w:rsidRPr="002D2B65" w:rsidR="002512FB" w:rsidP="002512FB" w:rsidRDefault="002512FB" w14:paraId="1B281C7B" w14:textId="3CB29F17">
            <w:pPr>
              <w:jc w:val="right"/>
              <w:rPr>
                <w:rFonts w:ascii="Times New Roman" w:hAnsi="Times New Roman"/>
                <w:bCs/>
                <w:highlight w:val="yellow"/>
              </w:rPr>
            </w:pPr>
            <w:r w:rsidRPr="002D2B65">
              <w:rPr>
                <w:rFonts w:ascii="Times New Roman" w:hAnsi="Times New Roman"/>
                <w:bCs/>
              </w:rPr>
              <w:t> </w:t>
            </w:r>
            <w:r>
              <w:rPr>
                <w:rFonts w:ascii="Times New Roman" w:hAnsi="Times New Roman"/>
                <w:bCs/>
              </w:rPr>
              <w:t>TOTAL</w:t>
            </w:r>
          </w:p>
        </w:tc>
        <w:tc>
          <w:tcPr>
            <w:tcW w:w="1507" w:type="dxa"/>
            <w:tcBorders>
              <w:top w:val="single" w:color="auto" w:sz="4" w:space="0"/>
              <w:left w:val="single" w:color="auto" w:sz="4" w:space="0"/>
              <w:bottom w:val="single" w:color="auto" w:sz="4" w:space="0"/>
              <w:right w:val="single" w:color="auto" w:sz="4" w:space="0"/>
            </w:tcBorders>
            <w:hideMark/>
          </w:tcPr>
          <w:p w:rsidRPr="002D2B65" w:rsidR="002512FB" w:rsidP="004E4584" w:rsidRDefault="002512FB" w14:paraId="6CD94FF5" w14:textId="77777777">
            <w:pPr>
              <w:jc w:val="center"/>
              <w:rPr>
                <w:rFonts w:ascii="Times New Roman" w:hAnsi="Times New Roman"/>
                <w:bCs/>
              </w:rPr>
            </w:pPr>
            <w:r>
              <w:rPr>
                <w:rFonts w:ascii="Times New Roman" w:hAnsi="Times New Roman"/>
                <w:bCs/>
              </w:rPr>
              <w:t>325</w:t>
            </w:r>
          </w:p>
        </w:tc>
      </w:tr>
    </w:tbl>
    <w:p w:rsidR="00C04380" w:rsidP="00C82E4C" w:rsidRDefault="00C04380" w14:paraId="419C3691" w14:textId="4F2B3737">
      <w:pPr>
        <w:rPr>
          <w:color w:val="0070C0"/>
        </w:rPr>
      </w:pPr>
    </w:p>
    <w:p w:rsidRPr="00783B06" w:rsidR="00783B06" w:rsidP="00DF3CB0" w:rsidRDefault="00783B06" w14:paraId="47F22507" w14:textId="7E3C1252">
      <w:pPr>
        <w:keepNext/>
        <w:jc w:val="center"/>
        <w:rPr>
          <w:b/>
        </w:rPr>
      </w:pPr>
      <w:r w:rsidRPr="00783B06">
        <w:rPr>
          <w:b/>
        </w:rPr>
        <w:t>Table 12b. Estimated Annualized Cost to the Respondent</w:t>
      </w:r>
    </w:p>
    <w:tbl>
      <w:tblPr>
        <w:tblW w:w="3657" w:type="pct"/>
        <w:jc w:val="center"/>
        <w:tblBorders>
          <w:top w:val="single" w:color="000000" w:sz="4" w:space="0"/>
          <w:left w:val="single" w:color="000000" w:sz="4" w:space="0"/>
          <w:right w:val="single" w:color="000000" w:sz="4" w:space="0"/>
          <w:insideH w:val="single" w:color="000000" w:sz="4" w:space="0"/>
          <w:insideV w:val="single" w:color="000000" w:sz="4" w:space="0"/>
        </w:tblBorders>
        <w:tblLayout w:type="fixed"/>
        <w:tblCellMar>
          <w:left w:w="86" w:type="dxa"/>
          <w:right w:w="86" w:type="dxa"/>
        </w:tblCellMar>
        <w:tblLook w:val="04A0" w:firstRow="1" w:lastRow="0" w:firstColumn="1" w:lastColumn="0" w:noHBand="0" w:noVBand="1"/>
      </w:tblPr>
      <w:tblGrid>
        <w:gridCol w:w="1925"/>
        <w:gridCol w:w="2019"/>
        <w:gridCol w:w="1468"/>
        <w:gridCol w:w="1560"/>
      </w:tblGrid>
      <w:tr w:rsidRPr="002D2B65" w:rsidR="00783B06" w:rsidTr="00783B06" w14:paraId="5AB220E3" w14:textId="77777777">
        <w:trPr>
          <w:cantSplit/>
          <w:jc w:val="center"/>
        </w:trPr>
        <w:tc>
          <w:tcPr>
            <w:tcW w:w="1889" w:type="dxa"/>
            <w:shd w:val="clear" w:color="auto" w:fill="D9D9D9" w:themeFill="background1" w:themeFillShade="D9"/>
            <w:vAlign w:val="center"/>
            <w:hideMark/>
          </w:tcPr>
          <w:p w:rsidRPr="002D2B65" w:rsidR="00783B06" w:rsidP="004E4584" w:rsidRDefault="00783B06" w14:paraId="4FE6DA4D" w14:textId="77777777">
            <w:pPr>
              <w:keepNext/>
              <w:jc w:val="center"/>
              <w:rPr>
                <w:rFonts w:ascii="Times New Roman" w:hAnsi="Times New Roman"/>
                <w:b/>
                <w:bCs/>
              </w:rPr>
            </w:pPr>
            <w:r w:rsidRPr="002D2B65">
              <w:rPr>
                <w:rFonts w:ascii="Times New Roman" w:hAnsi="Times New Roman"/>
                <w:b/>
                <w:bCs/>
              </w:rPr>
              <w:t>Type of Respondent</w:t>
            </w:r>
          </w:p>
        </w:tc>
        <w:tc>
          <w:tcPr>
            <w:tcW w:w="1980" w:type="dxa"/>
            <w:shd w:val="clear" w:color="auto" w:fill="D9D9D9" w:themeFill="background1" w:themeFillShade="D9"/>
            <w:vAlign w:val="center"/>
            <w:hideMark/>
          </w:tcPr>
          <w:p w:rsidRPr="002D2B65" w:rsidR="00783B06" w:rsidP="004E4584" w:rsidRDefault="00783B06" w14:paraId="66519403" w14:textId="5E43A684">
            <w:pPr>
              <w:keepNext/>
              <w:jc w:val="center"/>
              <w:rPr>
                <w:rFonts w:ascii="Times New Roman" w:hAnsi="Times New Roman"/>
                <w:b/>
                <w:bCs/>
              </w:rPr>
            </w:pPr>
            <w:r>
              <w:rPr>
                <w:rFonts w:ascii="Times New Roman" w:hAnsi="Times New Roman"/>
                <w:b/>
                <w:bCs/>
              </w:rPr>
              <w:t>Total Burden (in hr)</w:t>
            </w:r>
          </w:p>
        </w:tc>
        <w:tc>
          <w:tcPr>
            <w:tcW w:w="1440" w:type="dxa"/>
            <w:shd w:val="clear" w:color="auto" w:fill="D9D9D9" w:themeFill="background1" w:themeFillShade="D9"/>
            <w:vAlign w:val="center"/>
            <w:hideMark/>
          </w:tcPr>
          <w:p w:rsidRPr="002D2B65" w:rsidR="00783B06" w:rsidP="004E4584" w:rsidRDefault="00783B06" w14:paraId="62A82156" w14:textId="1F182ED5">
            <w:pPr>
              <w:keepNext/>
              <w:jc w:val="center"/>
              <w:rPr>
                <w:rFonts w:ascii="Times New Roman" w:hAnsi="Times New Roman"/>
                <w:b/>
                <w:bCs/>
              </w:rPr>
            </w:pPr>
            <w:r>
              <w:rPr>
                <w:rFonts w:ascii="Times New Roman" w:hAnsi="Times New Roman"/>
                <w:b/>
                <w:bCs/>
              </w:rPr>
              <w:t>Hourly Wage Rate</w:t>
            </w:r>
          </w:p>
        </w:tc>
        <w:tc>
          <w:tcPr>
            <w:tcW w:w="1530" w:type="dxa"/>
            <w:shd w:val="clear" w:color="auto" w:fill="D9D9D9" w:themeFill="background1" w:themeFillShade="D9"/>
            <w:vAlign w:val="center"/>
            <w:hideMark/>
          </w:tcPr>
          <w:p w:rsidRPr="002D2B65" w:rsidR="00783B06" w:rsidP="004E4584" w:rsidRDefault="00783B06" w14:paraId="6713CFCF" w14:textId="2FC5C366">
            <w:pPr>
              <w:keepNext/>
              <w:jc w:val="center"/>
              <w:rPr>
                <w:rFonts w:ascii="Times New Roman" w:hAnsi="Times New Roman"/>
                <w:b/>
                <w:bCs/>
              </w:rPr>
            </w:pPr>
            <w:r>
              <w:rPr>
                <w:rFonts w:ascii="Times New Roman" w:hAnsi="Times New Roman"/>
                <w:b/>
                <w:bCs/>
              </w:rPr>
              <w:t>Total Respondent Costs</w:t>
            </w:r>
          </w:p>
        </w:tc>
      </w:tr>
      <w:tr w:rsidRPr="002D2B65" w:rsidR="002C7CA2" w:rsidTr="002C7CA2" w14:paraId="18657C0D" w14:textId="77777777">
        <w:trPr>
          <w:cantSplit/>
          <w:jc w:val="center"/>
        </w:trPr>
        <w:tc>
          <w:tcPr>
            <w:tcW w:w="1889" w:type="dxa"/>
            <w:vAlign w:val="center"/>
          </w:tcPr>
          <w:p w:rsidRPr="002D2B65" w:rsidR="002C7CA2" w:rsidP="002C7CA2" w:rsidRDefault="002C7CA2" w14:paraId="7EA485CB" w14:textId="77777777">
            <w:pPr>
              <w:jc w:val="center"/>
              <w:rPr>
                <w:rFonts w:ascii="Times New Roman" w:hAnsi="Times New Roman"/>
              </w:rPr>
            </w:pPr>
            <w:r w:rsidRPr="002D2B65">
              <w:rPr>
                <w:rFonts w:ascii="Times New Roman" w:hAnsi="Times New Roman"/>
              </w:rPr>
              <w:t>Prize competition applicants</w:t>
            </w:r>
          </w:p>
        </w:tc>
        <w:tc>
          <w:tcPr>
            <w:tcW w:w="1980" w:type="dxa"/>
            <w:vAlign w:val="center"/>
          </w:tcPr>
          <w:p w:rsidRPr="002D2B65" w:rsidR="002C7CA2" w:rsidP="002C7CA2" w:rsidRDefault="002C7CA2" w14:paraId="08ADBB14" w14:textId="479C1826">
            <w:pPr>
              <w:jc w:val="center"/>
              <w:rPr>
                <w:rFonts w:ascii="Times New Roman" w:hAnsi="Times New Roman"/>
              </w:rPr>
            </w:pPr>
            <w:r>
              <w:rPr>
                <w:rFonts w:ascii="Times New Roman" w:hAnsi="Times New Roman"/>
              </w:rPr>
              <w:t>10</w:t>
            </w:r>
          </w:p>
        </w:tc>
        <w:tc>
          <w:tcPr>
            <w:tcW w:w="1440" w:type="dxa"/>
            <w:vAlign w:val="center"/>
          </w:tcPr>
          <w:p w:rsidRPr="002D2B65" w:rsidR="002C7CA2" w:rsidP="002C7CA2" w:rsidRDefault="002C7CA2" w14:paraId="0BEEAB56" w14:textId="0B5DF52D">
            <w:pPr>
              <w:jc w:val="center"/>
              <w:rPr>
                <w:rFonts w:ascii="Times New Roman" w:hAnsi="Times New Roman"/>
              </w:rPr>
            </w:pPr>
            <w:r>
              <w:t>$75.08*</w:t>
            </w:r>
          </w:p>
        </w:tc>
        <w:tc>
          <w:tcPr>
            <w:tcW w:w="1530" w:type="dxa"/>
            <w:noWrap/>
            <w:vAlign w:val="center"/>
          </w:tcPr>
          <w:p w:rsidRPr="002D2B65" w:rsidR="002C7CA2" w:rsidP="002C7CA2" w:rsidRDefault="002512FB" w14:paraId="5E2FB724" w14:textId="1094C41E">
            <w:pPr>
              <w:jc w:val="center"/>
              <w:rPr>
                <w:rFonts w:ascii="Times New Roman" w:hAnsi="Times New Roman"/>
              </w:rPr>
            </w:pPr>
            <w:r>
              <w:t>$750.80</w:t>
            </w:r>
          </w:p>
        </w:tc>
      </w:tr>
      <w:tr w:rsidRPr="002D2B65" w:rsidR="002C7CA2" w:rsidTr="002C7CA2" w14:paraId="1DC2166D" w14:textId="77777777">
        <w:trPr>
          <w:cantSplit/>
          <w:jc w:val="center"/>
        </w:trPr>
        <w:tc>
          <w:tcPr>
            <w:tcW w:w="1889" w:type="dxa"/>
            <w:vAlign w:val="center"/>
          </w:tcPr>
          <w:p w:rsidRPr="002D2B65" w:rsidR="002C7CA2" w:rsidP="002C7CA2" w:rsidRDefault="002C7CA2" w14:paraId="0854ADEE" w14:textId="77777777">
            <w:pPr>
              <w:jc w:val="center"/>
              <w:rPr>
                <w:rFonts w:ascii="Times New Roman" w:hAnsi="Times New Roman"/>
              </w:rPr>
            </w:pPr>
            <w:r w:rsidRPr="002D2B65">
              <w:rPr>
                <w:rFonts w:ascii="Times New Roman" w:hAnsi="Times New Roman"/>
              </w:rPr>
              <w:t>Prize competition awardees</w:t>
            </w:r>
          </w:p>
        </w:tc>
        <w:tc>
          <w:tcPr>
            <w:tcW w:w="1980" w:type="dxa"/>
            <w:vAlign w:val="center"/>
          </w:tcPr>
          <w:p w:rsidRPr="002D2B65" w:rsidR="002C7CA2" w:rsidP="002C7CA2" w:rsidRDefault="002C7CA2" w14:paraId="33A14792" w14:textId="2363CD40">
            <w:pPr>
              <w:jc w:val="center"/>
              <w:rPr>
                <w:rFonts w:ascii="Times New Roman" w:hAnsi="Times New Roman"/>
              </w:rPr>
            </w:pPr>
            <w:r>
              <w:rPr>
                <w:rFonts w:ascii="Times New Roman" w:hAnsi="Times New Roman"/>
              </w:rPr>
              <w:t>5</w:t>
            </w:r>
          </w:p>
        </w:tc>
        <w:tc>
          <w:tcPr>
            <w:tcW w:w="1440" w:type="dxa"/>
            <w:vAlign w:val="center"/>
          </w:tcPr>
          <w:p w:rsidRPr="002D2B65" w:rsidR="002C7CA2" w:rsidP="002C7CA2" w:rsidRDefault="002C7CA2" w14:paraId="4D438A26" w14:textId="0DD5B2B1">
            <w:pPr>
              <w:jc w:val="center"/>
              <w:rPr>
                <w:rFonts w:ascii="Times New Roman" w:hAnsi="Times New Roman"/>
              </w:rPr>
            </w:pPr>
            <w:r>
              <w:t>$75.08*</w:t>
            </w:r>
          </w:p>
        </w:tc>
        <w:tc>
          <w:tcPr>
            <w:tcW w:w="1530" w:type="dxa"/>
            <w:noWrap/>
            <w:vAlign w:val="center"/>
          </w:tcPr>
          <w:p w:rsidRPr="002D2B65" w:rsidR="002C7CA2" w:rsidP="002512FB" w:rsidRDefault="002C7CA2" w14:paraId="3317B30A" w14:textId="64086278">
            <w:pPr>
              <w:jc w:val="center"/>
              <w:rPr>
                <w:rFonts w:ascii="Times New Roman" w:hAnsi="Times New Roman"/>
              </w:rPr>
            </w:pPr>
            <w:r w:rsidRPr="00A91E21">
              <w:t>$</w:t>
            </w:r>
            <w:r w:rsidR="002512FB">
              <w:t>375.40</w:t>
            </w:r>
          </w:p>
        </w:tc>
      </w:tr>
      <w:tr w:rsidRPr="002D2B65" w:rsidR="002C7CA2" w:rsidTr="002C7CA2" w14:paraId="5E962AF4" w14:textId="77777777">
        <w:trPr>
          <w:cantSplit/>
          <w:jc w:val="center"/>
        </w:trPr>
        <w:tc>
          <w:tcPr>
            <w:tcW w:w="1889" w:type="dxa"/>
            <w:vAlign w:val="center"/>
          </w:tcPr>
          <w:p w:rsidRPr="002D2B65" w:rsidR="002C7CA2" w:rsidP="002C7CA2" w:rsidRDefault="002C7CA2" w14:paraId="39E307F9" w14:textId="77777777">
            <w:pPr>
              <w:jc w:val="center"/>
              <w:rPr>
                <w:rFonts w:ascii="Times New Roman" w:hAnsi="Times New Roman"/>
              </w:rPr>
            </w:pPr>
            <w:r w:rsidRPr="002D2B65">
              <w:rPr>
                <w:rFonts w:ascii="Times New Roman" w:hAnsi="Times New Roman"/>
              </w:rPr>
              <w:t>Prize competition non-awardees</w:t>
            </w:r>
          </w:p>
        </w:tc>
        <w:tc>
          <w:tcPr>
            <w:tcW w:w="1980" w:type="dxa"/>
            <w:vAlign w:val="center"/>
          </w:tcPr>
          <w:p w:rsidRPr="002D2B65" w:rsidR="002C7CA2" w:rsidP="002C7CA2" w:rsidRDefault="002C7CA2" w14:paraId="55B5B405" w14:textId="0AA2C333">
            <w:pPr>
              <w:jc w:val="center"/>
              <w:rPr>
                <w:rFonts w:ascii="Times New Roman" w:hAnsi="Times New Roman"/>
              </w:rPr>
            </w:pPr>
            <w:r>
              <w:rPr>
                <w:rFonts w:ascii="Times New Roman" w:hAnsi="Times New Roman"/>
              </w:rPr>
              <w:t>5</w:t>
            </w:r>
          </w:p>
        </w:tc>
        <w:tc>
          <w:tcPr>
            <w:tcW w:w="1440" w:type="dxa"/>
            <w:vAlign w:val="center"/>
          </w:tcPr>
          <w:p w:rsidRPr="002D2B65" w:rsidR="002C7CA2" w:rsidP="002C7CA2" w:rsidRDefault="002C7CA2" w14:paraId="36C8187B" w14:textId="6141AEAF">
            <w:pPr>
              <w:jc w:val="center"/>
              <w:rPr>
                <w:rFonts w:ascii="Times New Roman" w:hAnsi="Times New Roman"/>
              </w:rPr>
            </w:pPr>
            <w:r>
              <w:t>$75.08*</w:t>
            </w:r>
          </w:p>
        </w:tc>
        <w:tc>
          <w:tcPr>
            <w:tcW w:w="1530" w:type="dxa"/>
            <w:noWrap/>
            <w:vAlign w:val="center"/>
          </w:tcPr>
          <w:p w:rsidRPr="002D2B65" w:rsidR="002C7CA2" w:rsidP="002C7CA2" w:rsidRDefault="002512FB" w14:paraId="355FF968" w14:textId="4459BAF9">
            <w:pPr>
              <w:jc w:val="center"/>
              <w:rPr>
                <w:rFonts w:ascii="Times New Roman" w:hAnsi="Times New Roman"/>
              </w:rPr>
            </w:pPr>
            <w:r w:rsidRPr="00A91E21">
              <w:t>$</w:t>
            </w:r>
            <w:r>
              <w:t>375.40</w:t>
            </w:r>
          </w:p>
        </w:tc>
      </w:tr>
      <w:tr w:rsidRPr="002D2B65" w:rsidR="002C7CA2" w:rsidTr="002C7CA2" w14:paraId="6F04AC36" w14:textId="77777777">
        <w:trPr>
          <w:cantSplit/>
          <w:jc w:val="center"/>
        </w:trPr>
        <w:tc>
          <w:tcPr>
            <w:tcW w:w="1889" w:type="dxa"/>
            <w:vAlign w:val="center"/>
          </w:tcPr>
          <w:p w:rsidRPr="002D2B65" w:rsidR="002C7CA2" w:rsidP="002C7CA2" w:rsidRDefault="002C7CA2" w14:paraId="41FABA0B" w14:textId="77777777">
            <w:pPr>
              <w:jc w:val="center"/>
              <w:rPr>
                <w:rFonts w:ascii="Times New Roman" w:hAnsi="Times New Roman"/>
              </w:rPr>
            </w:pPr>
            <w:r w:rsidRPr="002D2B65">
              <w:rPr>
                <w:rFonts w:ascii="Times New Roman" w:hAnsi="Times New Roman"/>
              </w:rPr>
              <w:t>Other Stakeholders</w:t>
            </w:r>
          </w:p>
        </w:tc>
        <w:tc>
          <w:tcPr>
            <w:tcW w:w="1980" w:type="dxa"/>
            <w:vAlign w:val="center"/>
          </w:tcPr>
          <w:p w:rsidRPr="002D2B65" w:rsidR="002C7CA2" w:rsidP="002C7CA2" w:rsidRDefault="002C7CA2" w14:paraId="4AC004F2" w14:textId="0A4FED30">
            <w:pPr>
              <w:jc w:val="center"/>
              <w:rPr>
                <w:rFonts w:ascii="Times New Roman" w:hAnsi="Times New Roman"/>
              </w:rPr>
            </w:pPr>
            <w:r>
              <w:rPr>
                <w:rFonts w:ascii="Times New Roman" w:hAnsi="Times New Roman"/>
              </w:rPr>
              <w:t>5</w:t>
            </w:r>
          </w:p>
        </w:tc>
        <w:tc>
          <w:tcPr>
            <w:tcW w:w="1440" w:type="dxa"/>
            <w:vAlign w:val="center"/>
          </w:tcPr>
          <w:p w:rsidRPr="002D2B65" w:rsidR="002C7CA2" w:rsidP="002C7CA2" w:rsidRDefault="002C7CA2" w14:paraId="438AA6A8" w14:textId="51776389">
            <w:pPr>
              <w:jc w:val="center"/>
              <w:rPr>
                <w:rFonts w:ascii="Times New Roman" w:hAnsi="Times New Roman"/>
              </w:rPr>
            </w:pPr>
            <w:r>
              <w:t>$75.08*</w:t>
            </w:r>
          </w:p>
        </w:tc>
        <w:tc>
          <w:tcPr>
            <w:tcW w:w="1530" w:type="dxa"/>
            <w:noWrap/>
            <w:vAlign w:val="center"/>
          </w:tcPr>
          <w:p w:rsidRPr="002D2B65" w:rsidR="002C7CA2" w:rsidP="002C7CA2" w:rsidRDefault="002512FB" w14:paraId="392866B4" w14:textId="77BDCC14">
            <w:pPr>
              <w:jc w:val="center"/>
              <w:rPr>
                <w:rFonts w:ascii="Times New Roman" w:hAnsi="Times New Roman"/>
              </w:rPr>
            </w:pPr>
            <w:r w:rsidRPr="00A91E21">
              <w:t>$</w:t>
            </w:r>
            <w:r>
              <w:t>375.40</w:t>
            </w:r>
          </w:p>
        </w:tc>
      </w:tr>
      <w:tr w:rsidRPr="002D2B65" w:rsidR="002C7CA2" w:rsidTr="002C7CA2" w14:paraId="1E48C9AC" w14:textId="77777777">
        <w:trPr>
          <w:cantSplit/>
          <w:jc w:val="center"/>
        </w:trPr>
        <w:tc>
          <w:tcPr>
            <w:tcW w:w="1889" w:type="dxa"/>
            <w:tcBorders>
              <w:bottom w:val="single" w:color="auto" w:sz="4" w:space="0"/>
            </w:tcBorders>
            <w:vAlign w:val="center"/>
          </w:tcPr>
          <w:p w:rsidRPr="002D2B65" w:rsidR="002C7CA2" w:rsidP="002C7CA2" w:rsidRDefault="002C7CA2" w14:paraId="214F8B94" w14:textId="77777777">
            <w:pPr>
              <w:jc w:val="center"/>
              <w:rPr>
                <w:rFonts w:ascii="Times New Roman" w:hAnsi="Times New Roman"/>
              </w:rPr>
            </w:pPr>
            <w:r w:rsidRPr="002D2B65">
              <w:rPr>
                <w:rFonts w:ascii="Times New Roman" w:hAnsi="Times New Roman"/>
              </w:rPr>
              <w:t>Prize competition applicants</w:t>
            </w:r>
          </w:p>
        </w:tc>
        <w:tc>
          <w:tcPr>
            <w:tcW w:w="1980" w:type="dxa"/>
            <w:tcBorders>
              <w:bottom w:val="single" w:color="auto" w:sz="4" w:space="0"/>
            </w:tcBorders>
            <w:vAlign w:val="center"/>
          </w:tcPr>
          <w:p w:rsidRPr="002D2B65" w:rsidR="002C7CA2" w:rsidP="002C7CA2" w:rsidRDefault="002C7CA2" w14:paraId="03AA7F44" w14:textId="0A5E9D7B">
            <w:pPr>
              <w:jc w:val="center"/>
              <w:rPr>
                <w:rFonts w:ascii="Times New Roman" w:hAnsi="Times New Roman"/>
              </w:rPr>
            </w:pPr>
            <w:r>
              <w:rPr>
                <w:rFonts w:ascii="Times New Roman" w:hAnsi="Times New Roman"/>
              </w:rPr>
              <w:t>150</w:t>
            </w:r>
          </w:p>
        </w:tc>
        <w:tc>
          <w:tcPr>
            <w:tcW w:w="1440" w:type="dxa"/>
            <w:tcBorders>
              <w:bottom w:val="single" w:color="auto" w:sz="4" w:space="0"/>
            </w:tcBorders>
            <w:vAlign w:val="center"/>
          </w:tcPr>
          <w:p w:rsidRPr="002D2B65" w:rsidR="002C7CA2" w:rsidP="002C7CA2" w:rsidRDefault="002C7CA2" w14:paraId="3EE106A8" w14:textId="0D70CE68">
            <w:pPr>
              <w:jc w:val="center"/>
              <w:rPr>
                <w:rFonts w:ascii="Times New Roman" w:hAnsi="Times New Roman"/>
              </w:rPr>
            </w:pPr>
            <w:r>
              <w:t>$75.08*</w:t>
            </w:r>
          </w:p>
        </w:tc>
        <w:tc>
          <w:tcPr>
            <w:tcW w:w="1530" w:type="dxa"/>
            <w:tcBorders>
              <w:bottom w:val="single" w:color="auto" w:sz="4" w:space="0"/>
            </w:tcBorders>
            <w:noWrap/>
            <w:vAlign w:val="center"/>
          </w:tcPr>
          <w:p w:rsidRPr="002D2B65" w:rsidR="002C7CA2" w:rsidP="002C7CA2" w:rsidRDefault="002C7CA2" w14:paraId="59C92249" w14:textId="0BB77EE8">
            <w:pPr>
              <w:jc w:val="center"/>
              <w:rPr>
                <w:rFonts w:ascii="Times New Roman" w:hAnsi="Times New Roman"/>
              </w:rPr>
            </w:pPr>
            <w:r w:rsidRPr="00A91E21">
              <w:t>$11,262.00</w:t>
            </w:r>
          </w:p>
        </w:tc>
      </w:tr>
      <w:tr w:rsidRPr="002D2B65" w:rsidR="002C7CA2" w:rsidTr="002C7CA2" w14:paraId="01036DEF" w14:textId="77777777">
        <w:trPr>
          <w:cantSplit/>
          <w:jc w:val="center"/>
        </w:trPr>
        <w:tc>
          <w:tcPr>
            <w:tcW w:w="1889" w:type="dxa"/>
            <w:tcBorders>
              <w:top w:val="single" w:color="auto" w:sz="4" w:space="0"/>
              <w:left w:val="single" w:color="auto" w:sz="4" w:space="0"/>
              <w:bottom w:val="single" w:color="auto" w:sz="4" w:space="0"/>
              <w:right w:val="single" w:color="auto" w:sz="4" w:space="0"/>
            </w:tcBorders>
            <w:vAlign w:val="center"/>
          </w:tcPr>
          <w:p w:rsidRPr="002D2B65" w:rsidR="002C7CA2" w:rsidP="002C7CA2" w:rsidRDefault="002C7CA2" w14:paraId="696D8E3E" w14:textId="77777777">
            <w:pPr>
              <w:jc w:val="center"/>
              <w:rPr>
                <w:rFonts w:ascii="Times New Roman" w:hAnsi="Times New Roman"/>
              </w:rPr>
            </w:pPr>
            <w:r w:rsidRPr="002D2B65">
              <w:rPr>
                <w:rFonts w:ascii="Times New Roman" w:hAnsi="Times New Roman"/>
              </w:rPr>
              <w:t>Prize competition awardees and non-awardees</w:t>
            </w:r>
          </w:p>
        </w:tc>
        <w:tc>
          <w:tcPr>
            <w:tcW w:w="1980" w:type="dxa"/>
            <w:tcBorders>
              <w:top w:val="single" w:color="auto" w:sz="4" w:space="0"/>
              <w:left w:val="single" w:color="auto" w:sz="4" w:space="0"/>
              <w:bottom w:val="single" w:color="auto" w:sz="4" w:space="0"/>
              <w:right w:val="single" w:color="auto" w:sz="4" w:space="0"/>
            </w:tcBorders>
            <w:vAlign w:val="center"/>
          </w:tcPr>
          <w:p w:rsidRPr="002D2B65" w:rsidR="002C7CA2" w:rsidP="002C7CA2" w:rsidRDefault="002C7CA2" w14:paraId="2AF6DAA8" w14:textId="7F0EB4E6">
            <w:pPr>
              <w:jc w:val="center"/>
              <w:rPr>
                <w:rFonts w:ascii="Times New Roman" w:hAnsi="Times New Roman"/>
              </w:rPr>
            </w:pPr>
            <w:r>
              <w:rPr>
                <w:rFonts w:ascii="Times New Roman" w:hAnsi="Times New Roman"/>
              </w:rPr>
              <w:t>150</w:t>
            </w:r>
          </w:p>
        </w:tc>
        <w:tc>
          <w:tcPr>
            <w:tcW w:w="1440" w:type="dxa"/>
            <w:tcBorders>
              <w:top w:val="single" w:color="auto" w:sz="4" w:space="0"/>
              <w:left w:val="single" w:color="auto" w:sz="4" w:space="0"/>
              <w:bottom w:val="single" w:color="auto" w:sz="4" w:space="0"/>
              <w:right w:val="single" w:color="auto" w:sz="4" w:space="0"/>
            </w:tcBorders>
            <w:vAlign w:val="center"/>
          </w:tcPr>
          <w:p w:rsidRPr="002D2B65" w:rsidR="002C7CA2" w:rsidP="002C7CA2" w:rsidRDefault="002C7CA2" w14:paraId="5B2F3BB7" w14:textId="461EB55C">
            <w:pPr>
              <w:jc w:val="center"/>
              <w:rPr>
                <w:rFonts w:ascii="Times New Roman" w:hAnsi="Times New Roman"/>
              </w:rPr>
            </w:pPr>
            <w:r>
              <w:t>$75.08*</w:t>
            </w:r>
          </w:p>
        </w:tc>
        <w:tc>
          <w:tcPr>
            <w:tcW w:w="1530" w:type="dxa"/>
            <w:tcBorders>
              <w:top w:val="single" w:color="auto" w:sz="4" w:space="0"/>
              <w:left w:val="single" w:color="auto" w:sz="4" w:space="0"/>
              <w:bottom w:val="single" w:color="auto" w:sz="4" w:space="0"/>
              <w:right w:val="single" w:color="auto" w:sz="4" w:space="0"/>
            </w:tcBorders>
            <w:noWrap/>
            <w:vAlign w:val="center"/>
          </w:tcPr>
          <w:p w:rsidRPr="002D2B65" w:rsidR="002C7CA2" w:rsidP="002C7CA2" w:rsidRDefault="002C7CA2" w14:paraId="3E12CFC5" w14:textId="36159709">
            <w:pPr>
              <w:jc w:val="center"/>
              <w:rPr>
                <w:rFonts w:ascii="Times New Roman" w:hAnsi="Times New Roman"/>
              </w:rPr>
            </w:pPr>
            <w:r w:rsidRPr="00A91E21">
              <w:t>$11,262.00</w:t>
            </w:r>
          </w:p>
        </w:tc>
      </w:tr>
      <w:tr w:rsidRPr="002D2B65" w:rsidR="002C7CA2" w:rsidTr="002C7CA2" w14:paraId="15697F3D" w14:textId="77777777">
        <w:trPr>
          <w:cantSplit/>
          <w:jc w:val="center"/>
        </w:trPr>
        <w:tc>
          <w:tcPr>
            <w:tcW w:w="1889" w:type="dxa"/>
            <w:tcBorders>
              <w:top w:val="single" w:color="auto" w:sz="4" w:space="0"/>
              <w:left w:val="single" w:color="auto" w:sz="4" w:space="0"/>
              <w:bottom w:val="single" w:color="auto" w:sz="4" w:space="0"/>
              <w:right w:val="single" w:color="auto" w:sz="4" w:space="0"/>
            </w:tcBorders>
            <w:vAlign w:val="center"/>
          </w:tcPr>
          <w:p w:rsidRPr="002D2B65" w:rsidR="002C7CA2" w:rsidP="002C7CA2" w:rsidRDefault="002C7CA2" w14:paraId="47BED44D" w14:textId="6A2481A7">
            <w:pPr>
              <w:jc w:val="center"/>
              <w:rPr>
                <w:rFonts w:ascii="Times New Roman" w:hAnsi="Times New Roman"/>
              </w:rPr>
            </w:pPr>
            <w:r>
              <w:rPr>
                <w:rFonts w:ascii="Times New Roman" w:hAnsi="Times New Roman"/>
              </w:rPr>
              <w:t>TOTAL</w:t>
            </w:r>
          </w:p>
        </w:tc>
        <w:tc>
          <w:tcPr>
            <w:tcW w:w="1980" w:type="dxa"/>
            <w:tcBorders>
              <w:top w:val="single" w:color="auto" w:sz="4" w:space="0"/>
              <w:left w:val="single" w:color="auto" w:sz="4" w:space="0"/>
              <w:bottom w:val="single" w:color="auto" w:sz="4" w:space="0"/>
              <w:right w:val="single" w:color="auto" w:sz="4" w:space="0"/>
            </w:tcBorders>
            <w:vAlign w:val="center"/>
          </w:tcPr>
          <w:p w:rsidR="002C7CA2" w:rsidP="002C7CA2" w:rsidRDefault="002C7CA2" w14:paraId="7EE3669C" w14:textId="3B73A418">
            <w:pPr>
              <w:jc w:val="center"/>
              <w:rPr>
                <w:rFonts w:ascii="Times New Roman" w:hAnsi="Times New Roman"/>
              </w:rPr>
            </w:pPr>
            <w:r>
              <w:rPr>
                <w:rFonts w:ascii="Times New Roman" w:hAnsi="Times New Roman"/>
              </w:rPr>
              <w:t>325</w:t>
            </w:r>
          </w:p>
        </w:tc>
        <w:tc>
          <w:tcPr>
            <w:tcW w:w="1440" w:type="dxa"/>
            <w:tcBorders>
              <w:top w:val="single" w:color="auto" w:sz="4" w:space="0"/>
              <w:left w:val="single" w:color="auto" w:sz="4" w:space="0"/>
              <w:bottom w:val="single" w:color="auto" w:sz="4" w:space="0"/>
              <w:right w:val="single" w:color="auto" w:sz="4" w:space="0"/>
            </w:tcBorders>
            <w:vAlign w:val="center"/>
          </w:tcPr>
          <w:p w:rsidRPr="002D2B65" w:rsidR="002C7CA2" w:rsidP="002C7CA2" w:rsidRDefault="002C7CA2" w14:paraId="74E46A4D" w14:textId="7FCE4087">
            <w:pPr>
              <w:jc w:val="center"/>
              <w:rPr>
                <w:rFonts w:ascii="Times New Roman" w:hAnsi="Times New Roman"/>
              </w:rPr>
            </w:pPr>
            <w:r>
              <w:t>$75.08*</w:t>
            </w:r>
          </w:p>
        </w:tc>
        <w:tc>
          <w:tcPr>
            <w:tcW w:w="1530" w:type="dxa"/>
            <w:tcBorders>
              <w:top w:val="single" w:color="auto" w:sz="4" w:space="0"/>
              <w:left w:val="single" w:color="auto" w:sz="4" w:space="0"/>
              <w:bottom w:val="single" w:color="auto" w:sz="4" w:space="0"/>
              <w:right w:val="single" w:color="auto" w:sz="4" w:space="0"/>
            </w:tcBorders>
            <w:noWrap/>
            <w:vAlign w:val="center"/>
          </w:tcPr>
          <w:p w:rsidRPr="002D2B65" w:rsidR="002C7CA2" w:rsidP="002C7CA2" w:rsidRDefault="002512FB" w14:paraId="79CF0115" w14:textId="11B42A7E">
            <w:pPr>
              <w:jc w:val="center"/>
              <w:rPr>
                <w:rFonts w:ascii="Times New Roman" w:hAnsi="Times New Roman"/>
              </w:rPr>
            </w:pPr>
            <w:r>
              <w:t>$24,401.00</w:t>
            </w:r>
          </w:p>
        </w:tc>
      </w:tr>
    </w:tbl>
    <w:p w:rsidR="00783B06" w:rsidP="002512FB" w:rsidRDefault="002512FB" w14:paraId="6197D87C" w14:textId="5637DE64">
      <w:pPr>
        <w:tabs>
          <w:tab w:val="left" w:pos="90"/>
        </w:tabs>
        <w:ind w:left="1260" w:right="1260"/>
        <w:rPr>
          <w:color w:val="0070C0"/>
        </w:rPr>
      </w:pPr>
      <w:r>
        <w:rPr>
          <w:rFonts w:eastAsia="Times New Roman" w:cstheme="minorHAnsi"/>
          <w:sz w:val="20"/>
        </w:rPr>
        <w:lastRenderedPageBreak/>
        <w:t>*Average hourly wage rate is estimated from the Annual Average Weekly Wage for Research and Development in Biotechnology (NAICS 541714) in 2017 according to the Bureau of Labor Statistics (Quarterly Census of Employment and Wages, 2017, Annual Averages, All Establishment Sizes) and converting to an hourly wage using the Bureau of Labor Statistics estimate of 42.5 Average Hours per Week Worked by Persons Who Usually Work Full Time in nonagricultural industries (Labor Force Statistics, Current Population Survey, Household Data, Annual Averages, 21. Persons at Work in Nonagricultural Industries by class of worker and usual full- or part-time Status [February 20, 2018]).</w:t>
      </w:r>
    </w:p>
    <w:p w:rsidRPr="003B1B90" w:rsidR="003B1B90" w:rsidP="003B1B90" w:rsidRDefault="003B1B90" w14:paraId="4A7A5792" w14:textId="77777777">
      <w:pPr>
        <w:pStyle w:val="BodyText2"/>
      </w:pPr>
    </w:p>
    <w:p w:rsidRPr="003B1B90" w:rsidR="001C5BB2" w:rsidP="007C2171" w:rsidRDefault="003B1B90" w14:paraId="11D17169" w14:textId="5566FB92">
      <w:pPr>
        <w:pStyle w:val="Heading2"/>
      </w:pPr>
      <w:r w:rsidRPr="003B1B90">
        <w:tab/>
      </w:r>
      <w:r w:rsidRPr="003B1B90" w:rsidR="27CC3C20">
        <w:t>Estimates of</w:t>
      </w:r>
      <w:r w:rsidRPr="003B1B90" w:rsidR="0067336D">
        <w:t xml:space="preserve"> </w:t>
      </w:r>
      <w:r w:rsidRPr="003B1B90" w:rsidR="00CB151D">
        <w:t>other total annual cost burden to respondents or record keep</w:t>
      </w:r>
      <w:r w:rsidRPr="003B1B90" w:rsidR="0067336D">
        <w:t xml:space="preserve">ers </w:t>
      </w:r>
    </w:p>
    <w:p w:rsidRPr="003B1B90" w:rsidR="009F1D3E" w:rsidP="003B1B90" w:rsidRDefault="009F1D3E" w14:paraId="07E8363E" w14:textId="0EA7B412">
      <w:pPr>
        <w:pStyle w:val="BodyText2"/>
      </w:pPr>
      <w:r w:rsidRPr="003B1B90">
        <w:t>There will be no direct costs to the respondents or record</w:t>
      </w:r>
      <w:r w:rsidRPr="003B1B90" w:rsidR="0067336D">
        <w:t xml:space="preserve"> </w:t>
      </w:r>
      <w:r w:rsidRPr="003B1B90">
        <w:t>keepers.</w:t>
      </w:r>
    </w:p>
    <w:p w:rsidRPr="002238BD" w:rsidR="008D1D4A" w:rsidP="007C2171" w:rsidRDefault="003B1B90" w14:paraId="572D8ABD" w14:textId="007307B8">
      <w:pPr>
        <w:pStyle w:val="Heading2"/>
      </w:pPr>
      <w:r>
        <w:t xml:space="preserve"> </w:t>
      </w:r>
      <w:r>
        <w:tab/>
      </w:r>
      <w:r w:rsidRPr="27CC3C20" w:rsidR="27CC3C20">
        <w:t xml:space="preserve">Annualized </w:t>
      </w:r>
      <w:r w:rsidRPr="27CC3C20" w:rsidR="00CB151D">
        <w:t>cost to the gover</w:t>
      </w:r>
      <w:r w:rsidRPr="27CC3C20" w:rsidR="0067336D">
        <w:t xml:space="preserve">nment </w:t>
      </w:r>
    </w:p>
    <w:p w:rsidRPr="008C3616" w:rsidR="00587DD8" w:rsidP="00397615" w:rsidRDefault="00587DD8" w14:paraId="08DB4010" w14:textId="33CB7D13">
      <w:pPr>
        <w:pStyle w:val="BodyText2"/>
      </w:pPr>
      <w:r w:rsidRPr="008C3616">
        <w:t xml:space="preserve">The evaluation will use data collected by HHS for programmatic purposes </w:t>
      </w:r>
      <w:r w:rsidRPr="008C3616" w:rsidR="00EB568D">
        <w:t>as part of the dataset. Therefore, no additional staff time is required for data collection.</w:t>
      </w:r>
      <w:r w:rsidRPr="008C3616" w:rsidR="00473F59">
        <w:t xml:space="preserve"> The estimated value of the contract to perform this evaluation with options is $727,115 over </w:t>
      </w:r>
      <w:r w:rsidR="0067336D">
        <w:t>5</w:t>
      </w:r>
      <w:r w:rsidRPr="008C3616" w:rsidR="0067336D">
        <w:t xml:space="preserve"> </w:t>
      </w:r>
      <w:r w:rsidRPr="008C3616" w:rsidR="00473F59">
        <w:t xml:space="preserve">years. Therefore, the estimated </w:t>
      </w:r>
      <w:r w:rsidR="007266B8">
        <w:t xml:space="preserve">annualized </w:t>
      </w:r>
      <w:r w:rsidRPr="008C3616" w:rsidR="00473F59">
        <w:t xml:space="preserve">cost to the government is </w:t>
      </w:r>
      <w:r w:rsidRPr="008C3616" w:rsidR="002A71A6">
        <w:t>$145,423.</w:t>
      </w:r>
    </w:p>
    <w:p w:rsidRPr="002238BD" w:rsidR="008D1D4A" w:rsidP="007C2171" w:rsidRDefault="003B1B90" w14:paraId="186EC5C3" w14:textId="4A09A310">
      <w:pPr>
        <w:pStyle w:val="Heading2"/>
      </w:pPr>
      <w:r>
        <w:t xml:space="preserve"> </w:t>
      </w:r>
      <w:r>
        <w:tab/>
      </w:r>
      <w:r w:rsidRPr="002238BD" w:rsidR="008D1D4A">
        <w:t xml:space="preserve">Explain the </w:t>
      </w:r>
      <w:r w:rsidRPr="002238BD" w:rsidR="00CB151D">
        <w:t>reasons for any program changes or adjustments reported in item</w:t>
      </w:r>
      <w:r w:rsidRPr="002238BD" w:rsidR="008D1D4A">
        <w:t xml:space="preserve">s 13 or 14 of the OMB </w:t>
      </w:r>
      <w:r w:rsidRPr="002238BD" w:rsidR="00CB151D">
        <w:t xml:space="preserve">form </w:t>
      </w:r>
      <w:r w:rsidRPr="002238BD" w:rsidR="008D1D4A">
        <w:t>83-I</w:t>
      </w:r>
    </w:p>
    <w:p w:rsidRPr="00860DD4" w:rsidR="00CC1757" w:rsidP="00397615" w:rsidRDefault="00CC1757" w14:paraId="52D92075" w14:textId="77777777">
      <w:pPr>
        <w:pStyle w:val="BodyText2"/>
      </w:pPr>
      <w:r w:rsidRPr="00860DD4">
        <w:t>This is a new data collection.</w:t>
      </w:r>
    </w:p>
    <w:p w:rsidR="00A57E1F" w:rsidP="007C2171" w:rsidRDefault="003B1B90" w14:paraId="265C7823" w14:textId="4FCD01A0">
      <w:pPr>
        <w:pStyle w:val="Heading2"/>
      </w:pPr>
      <w:r>
        <w:t xml:space="preserve"> </w:t>
      </w:r>
      <w:r>
        <w:tab/>
      </w:r>
      <w:r w:rsidRPr="27CC3C20" w:rsidR="27CC3C20">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65690" w:rsidR="00CC1757" w:rsidP="00397615" w:rsidRDefault="00CC1757" w14:paraId="4113EF6A" w14:textId="21D6AAA0">
      <w:pPr>
        <w:pStyle w:val="BodyText2"/>
      </w:pPr>
      <w:r w:rsidRPr="00D65690">
        <w:t>We will incorporate results from the evaluation in the following documents:</w:t>
      </w:r>
    </w:p>
    <w:p w:rsidRPr="00D65690" w:rsidR="00080DCE" w:rsidP="00E463DD" w:rsidRDefault="00080DCE" w14:paraId="3C72182D" w14:textId="35285CC5">
      <w:pPr>
        <w:pStyle w:val="ListParagraph"/>
        <w:numPr>
          <w:ilvl w:val="0"/>
          <w:numId w:val="5"/>
        </w:numPr>
        <w:spacing w:after="120"/>
        <w:ind w:left="1080"/>
        <w:contextualSpacing w:val="0"/>
      </w:pPr>
      <w:r w:rsidRPr="00D65690">
        <w:t xml:space="preserve">Final </w:t>
      </w:r>
      <w:r w:rsidRPr="00D65690" w:rsidR="00CD370C">
        <w:t>base per</w:t>
      </w:r>
      <w:r w:rsidRPr="00D65690">
        <w:t xml:space="preserve">iod Evaluation Report to be submitted to HHS in </w:t>
      </w:r>
      <w:r w:rsidR="009508A4">
        <w:t>May</w:t>
      </w:r>
      <w:r w:rsidRPr="00D65690" w:rsidR="009508A4">
        <w:t xml:space="preserve"> </w:t>
      </w:r>
      <w:r w:rsidRPr="00D65690">
        <w:t>2020</w:t>
      </w:r>
      <w:r w:rsidRPr="00D65690" w:rsidR="006E4CBA">
        <w:t xml:space="preserve"> providing a summary of evaluation status and preliminary findings.</w:t>
      </w:r>
      <w:r w:rsidR="005C1DF0">
        <w:t xml:space="preserve"> </w:t>
      </w:r>
    </w:p>
    <w:p w:rsidRPr="00D65690" w:rsidR="007C4528" w:rsidP="00E463DD" w:rsidRDefault="007C4528" w14:paraId="77065166" w14:textId="356A4453">
      <w:pPr>
        <w:pStyle w:val="ListParagraph"/>
        <w:numPr>
          <w:ilvl w:val="0"/>
          <w:numId w:val="5"/>
        </w:numPr>
        <w:spacing w:after="120"/>
        <w:ind w:left="1080"/>
        <w:contextualSpacing w:val="0"/>
      </w:pPr>
      <w:r w:rsidRPr="00D65690">
        <w:t xml:space="preserve">Option period </w:t>
      </w:r>
      <w:r w:rsidR="0025497B">
        <w:t>1</w:t>
      </w:r>
      <w:r w:rsidRPr="00D65690">
        <w:t xml:space="preserve"> </w:t>
      </w:r>
      <w:r w:rsidRPr="00D65690" w:rsidR="00254930">
        <w:t xml:space="preserve">Annual </w:t>
      </w:r>
      <w:r w:rsidRPr="00D65690">
        <w:t xml:space="preserve">Evaluation Report to be submitted to HHS in </w:t>
      </w:r>
      <w:r w:rsidR="00D2613C">
        <w:t>February</w:t>
      </w:r>
      <w:r w:rsidRPr="00D65690" w:rsidR="009250B3">
        <w:t xml:space="preserve"> 2021</w:t>
      </w:r>
      <w:r w:rsidRPr="00D65690">
        <w:t xml:space="preserve"> providing a summary of evaluation status and preliminary findings.</w:t>
      </w:r>
      <w:r w:rsidR="005C1DF0">
        <w:t xml:space="preserve"> </w:t>
      </w:r>
    </w:p>
    <w:p w:rsidR="009250B3" w:rsidP="00E463DD" w:rsidRDefault="009250B3" w14:paraId="25A2DBB0" w14:textId="5326DE9A">
      <w:pPr>
        <w:pStyle w:val="ListParagraph"/>
        <w:numPr>
          <w:ilvl w:val="0"/>
          <w:numId w:val="5"/>
        </w:numPr>
        <w:spacing w:after="120"/>
        <w:ind w:left="1080"/>
        <w:contextualSpacing w:val="0"/>
      </w:pPr>
      <w:r w:rsidRPr="00D65690">
        <w:t xml:space="preserve">Option period </w:t>
      </w:r>
      <w:r w:rsidR="0025497B">
        <w:t>2</w:t>
      </w:r>
      <w:r w:rsidRPr="00D65690">
        <w:t xml:space="preserve"> </w:t>
      </w:r>
      <w:r w:rsidRPr="00D65690" w:rsidR="00254930">
        <w:t xml:space="preserve">Annual </w:t>
      </w:r>
      <w:r w:rsidRPr="00D65690">
        <w:t xml:space="preserve">Evaluation Report to be submitted to HHS in </w:t>
      </w:r>
      <w:r w:rsidR="00D2613C">
        <w:t>February</w:t>
      </w:r>
      <w:r w:rsidRPr="00D65690" w:rsidR="00D2613C">
        <w:t xml:space="preserve"> </w:t>
      </w:r>
      <w:r w:rsidRPr="00D65690">
        <w:t>2022 providing a summary of evaluation status and preliminary findings.</w:t>
      </w:r>
      <w:r w:rsidR="005C1DF0">
        <w:t xml:space="preserve"> </w:t>
      </w:r>
    </w:p>
    <w:p w:rsidRPr="00D65690" w:rsidR="00D2613C" w:rsidP="00E463DD" w:rsidRDefault="00D2613C" w14:paraId="440AA482" w14:textId="6BA202BD">
      <w:pPr>
        <w:pStyle w:val="ListParagraph"/>
        <w:numPr>
          <w:ilvl w:val="0"/>
          <w:numId w:val="5"/>
        </w:numPr>
        <w:spacing w:after="120"/>
        <w:ind w:left="1080"/>
        <w:contextualSpacing w:val="0"/>
      </w:pPr>
      <w:r w:rsidRPr="00D65690">
        <w:t xml:space="preserve">Option period </w:t>
      </w:r>
      <w:r>
        <w:t>3</w:t>
      </w:r>
      <w:r w:rsidRPr="00D65690">
        <w:t xml:space="preserve"> Annual Evaluation Report to be submitted to HHS in </w:t>
      </w:r>
      <w:r>
        <w:t>February</w:t>
      </w:r>
      <w:r w:rsidRPr="00D65690">
        <w:t xml:space="preserve"> 202</w:t>
      </w:r>
      <w:r>
        <w:t>3</w:t>
      </w:r>
      <w:r w:rsidRPr="00D65690">
        <w:t xml:space="preserve"> providing a summary of evaluation status and preliminary findings.</w:t>
      </w:r>
      <w:r w:rsidR="005C1DF0">
        <w:t xml:space="preserve"> </w:t>
      </w:r>
    </w:p>
    <w:p w:rsidRPr="00D65690" w:rsidR="009250B3" w:rsidP="00E463DD" w:rsidRDefault="009250B3" w14:paraId="73D2AED9" w14:textId="34A8E773">
      <w:pPr>
        <w:pStyle w:val="ListParagraph"/>
        <w:numPr>
          <w:ilvl w:val="0"/>
          <w:numId w:val="5"/>
        </w:numPr>
        <w:spacing w:after="120"/>
        <w:ind w:left="1080"/>
        <w:contextualSpacing w:val="0"/>
      </w:pPr>
      <w:r w:rsidRPr="00D65690">
        <w:t xml:space="preserve">Final Evaluation Report to be submitted to HHS in </w:t>
      </w:r>
      <w:r w:rsidR="00D2613C">
        <w:t>August</w:t>
      </w:r>
      <w:r w:rsidRPr="00D65690">
        <w:t xml:space="preserve"> 202</w:t>
      </w:r>
      <w:r w:rsidRPr="00D65690" w:rsidR="00254930">
        <w:t>3</w:t>
      </w:r>
      <w:r w:rsidRPr="00D65690">
        <w:t xml:space="preserve"> providing a summary of evaluation status and preliminary findings.</w:t>
      </w:r>
      <w:r w:rsidR="005C1DF0">
        <w:t xml:space="preserve"> </w:t>
      </w:r>
    </w:p>
    <w:p w:rsidRPr="00CC1757" w:rsidR="00CC1757" w:rsidP="00CC1757" w:rsidRDefault="00CC1757" w14:paraId="6EC8E284" w14:textId="77777777">
      <w:pPr>
        <w:rPr>
          <w:color w:val="0070C0"/>
        </w:rPr>
      </w:pPr>
    </w:p>
    <w:p w:rsidRPr="00D4710E" w:rsidR="00CC1757" w:rsidP="00397615" w:rsidRDefault="00CC1757" w14:paraId="2BA6C396" w14:textId="615706A1">
      <w:pPr>
        <w:pStyle w:val="BodyText2"/>
      </w:pPr>
      <w:r w:rsidRPr="00D4710E">
        <w:lastRenderedPageBreak/>
        <w:t xml:space="preserve">The research team may also incorporate the aggregate results from the cross-site evaluation into journal articles, scholarly presentations, and </w:t>
      </w:r>
      <w:r w:rsidRPr="00D4710E" w:rsidR="00D4710E">
        <w:t>briefings for HHS</w:t>
      </w:r>
      <w:r w:rsidR="00CD370C">
        <w:t xml:space="preserve"> and</w:t>
      </w:r>
      <w:r w:rsidRPr="00D4710E" w:rsidR="00CD370C">
        <w:t xml:space="preserve"> </w:t>
      </w:r>
      <w:r w:rsidRPr="00D4710E" w:rsidR="00D4710E">
        <w:t>other government staff and stakeholders</w:t>
      </w:r>
      <w:r w:rsidRPr="00D4710E">
        <w:t xml:space="preserve"> related to the outcomes of the </w:t>
      </w:r>
      <w:r w:rsidRPr="00D4710E" w:rsidR="00D4710E">
        <w:t>KidneyX evaluation</w:t>
      </w:r>
      <w:r w:rsidRPr="00D4710E">
        <w:t>.</w:t>
      </w:r>
    </w:p>
    <w:p w:rsidRPr="003B1B90" w:rsidR="00CC1757" w:rsidP="007C2171" w:rsidRDefault="003B1B90" w14:paraId="33E481A4" w14:textId="621CCBC9">
      <w:pPr>
        <w:pStyle w:val="Heading2"/>
      </w:pPr>
      <w:r w:rsidRPr="003B1B90">
        <w:t xml:space="preserve"> </w:t>
      </w:r>
      <w:r w:rsidRPr="003B1B90">
        <w:tab/>
      </w:r>
      <w:r w:rsidRPr="003B1B90" w:rsidR="00CC1757">
        <w:t xml:space="preserve">If </w:t>
      </w:r>
      <w:r w:rsidRPr="003B1B90" w:rsidR="00CB151D">
        <w:t>seeking approval to not display the expiration da</w:t>
      </w:r>
      <w:r w:rsidRPr="003B1B90" w:rsidR="00CD370C">
        <w:t xml:space="preserve">te </w:t>
      </w:r>
      <w:r w:rsidRPr="003B1B90" w:rsidR="00CC1757">
        <w:t xml:space="preserve">for OMB </w:t>
      </w:r>
      <w:r w:rsidRPr="003B1B90" w:rsidR="00CB151D">
        <w:t>approval of the information collection, explain the reasons that display would be ina</w:t>
      </w:r>
      <w:r w:rsidRPr="003B1B90" w:rsidR="00CD370C">
        <w:t>ppropriate</w:t>
      </w:r>
    </w:p>
    <w:p w:rsidRPr="00EC112E" w:rsidR="00CC1757" w:rsidP="00397615" w:rsidRDefault="00CC1757" w14:paraId="32792B5C" w14:textId="77777777">
      <w:pPr>
        <w:pStyle w:val="BodyText2"/>
      </w:pPr>
      <w:r w:rsidRPr="00EC112E">
        <w:t>We are requesting no exemption.</w:t>
      </w:r>
    </w:p>
    <w:p w:rsidRPr="00860DD4" w:rsidR="00CC1757" w:rsidP="007C2171" w:rsidRDefault="003B1B90" w14:paraId="121FDE4B" w14:textId="7BF767DD">
      <w:pPr>
        <w:pStyle w:val="Heading2"/>
      </w:pPr>
      <w:r>
        <w:t xml:space="preserve"> </w:t>
      </w:r>
      <w:r>
        <w:tab/>
      </w:r>
      <w:r w:rsidRPr="00860DD4" w:rsidR="00CC1757">
        <w:t xml:space="preserve">Explain </w:t>
      </w:r>
      <w:r w:rsidRPr="00860DD4" w:rsidR="00CB151D">
        <w:t>each exception to the certification statement ide</w:t>
      </w:r>
      <w:r w:rsidRPr="00860DD4" w:rsidR="00CC1757">
        <w:t xml:space="preserve">ntified in Item 19, "Certification for Paperwork Reduction Act Submissions," of OMB </w:t>
      </w:r>
      <w:r w:rsidRPr="00860DD4" w:rsidR="00CB151D">
        <w:t xml:space="preserve">form </w:t>
      </w:r>
      <w:r w:rsidRPr="00860DD4" w:rsidR="00CC1757">
        <w:t>83-I</w:t>
      </w:r>
    </w:p>
    <w:p w:rsidRPr="00EC112E" w:rsidR="00CC1757" w:rsidP="00397615" w:rsidRDefault="00CC1757" w14:paraId="63A291AC" w14:textId="77777777">
      <w:pPr>
        <w:pStyle w:val="BodyText2"/>
      </w:pPr>
      <w:r w:rsidRPr="00EC112E">
        <w:t>There are no exceptions to the certification. These activities comply with the requirements in 5 CFR 1320.9.</w:t>
      </w:r>
    </w:p>
    <w:p w:rsidR="004049B1" w:rsidP="004049B1" w:rsidRDefault="004049B1" w14:paraId="1D810994" w14:textId="45198E04">
      <w:pPr>
        <w:rPr>
          <w:rFonts w:ascii="Times New Roman" w:hAnsi="Times New Roman" w:cs="Times New Roman"/>
          <w:szCs w:val="24"/>
        </w:rPr>
      </w:pPr>
    </w:p>
    <w:p w:rsidR="0061260C" w:rsidP="004049B1" w:rsidRDefault="0061260C" w14:paraId="006A1057" w14:textId="77777777">
      <w:pPr>
        <w:rPr>
          <w:rFonts w:ascii="Times New Roman" w:hAnsi="Times New Roman" w:cs="Times New Roman"/>
          <w:szCs w:val="24"/>
        </w:rPr>
      </w:pPr>
    </w:p>
    <w:p w:rsidR="00BB58E7" w:rsidP="004049B1" w:rsidRDefault="00BB58E7" w14:paraId="794FDE2B" w14:textId="07275206">
      <w:pPr>
        <w:rPr>
          <w:rFonts w:ascii="Times New Roman" w:hAnsi="Times New Roman" w:cs="Times New Roman"/>
          <w:b/>
          <w:bCs/>
          <w:szCs w:val="24"/>
        </w:rPr>
      </w:pPr>
      <w:r w:rsidRPr="00BB58E7">
        <w:rPr>
          <w:rFonts w:ascii="Times New Roman" w:hAnsi="Times New Roman" w:cs="Times New Roman"/>
          <w:b/>
          <w:bCs/>
          <w:szCs w:val="24"/>
        </w:rPr>
        <w:t>REFERENCES</w:t>
      </w:r>
    </w:p>
    <w:p w:rsidRPr="00BB58E7" w:rsidR="0061260C" w:rsidP="004049B1" w:rsidRDefault="0061260C" w14:paraId="0A825593" w14:textId="77777777">
      <w:pPr>
        <w:rPr>
          <w:rFonts w:ascii="Times New Roman" w:hAnsi="Times New Roman" w:cs="Times New Roman"/>
          <w:b/>
          <w:bCs/>
          <w:szCs w:val="24"/>
        </w:rPr>
      </w:pPr>
    </w:p>
    <w:p w:rsidRPr="001D5CA3" w:rsidR="001D5CA3" w:rsidP="004049B1" w:rsidRDefault="001D5CA3" w14:paraId="70043F73" w14:textId="08458D53">
      <w:r>
        <w:t xml:space="preserve">Corredoira, RA, Goldfarb, BD, Shi, Y. 2018. Federal funding and the rate and direction of inventive activity. </w:t>
      </w:r>
      <w:r>
        <w:rPr>
          <w:i/>
          <w:iCs/>
        </w:rPr>
        <w:t>Research Policy</w:t>
      </w:r>
      <w:r>
        <w:t>, 47(9), 1777-1800.</w:t>
      </w:r>
    </w:p>
    <w:p w:rsidRPr="001D5CA3" w:rsidR="001D5CA3" w:rsidP="004049B1" w:rsidRDefault="00BB58E7" w14:paraId="2D5D13A2" w14:textId="1DDED9AA">
      <w:r>
        <w:t xml:space="preserve">Dalle, </w:t>
      </w:r>
      <w:r w:rsidR="001D5CA3">
        <w:t xml:space="preserve">JM, </w:t>
      </w:r>
      <w:r>
        <w:t>den Besten</w:t>
      </w:r>
      <w:r w:rsidR="001D5CA3">
        <w:t>, M</w:t>
      </w:r>
      <w:r>
        <w:t xml:space="preserve">, Menon, </w:t>
      </w:r>
      <w:r w:rsidR="001D5CA3">
        <w:t xml:space="preserve">C. </w:t>
      </w:r>
      <w:r>
        <w:t>2017</w:t>
      </w:r>
      <w:r w:rsidR="001D5CA3">
        <w:t xml:space="preserve">. </w:t>
      </w:r>
      <w:r w:rsidR="001D5CA3">
        <w:rPr>
          <w:i/>
          <w:iCs/>
        </w:rPr>
        <w:t>Using Crunchbase for Economic and Managerial Research</w:t>
      </w:r>
      <w:r w:rsidR="001D5CA3">
        <w:t>. OECD Science, Technology and Industry Working Paper</w:t>
      </w:r>
      <w:r w:rsidR="00E5045F">
        <w:t xml:space="preserve"> 2017/08, Paris: Organisation for Economic Cooperation and Development.</w:t>
      </w:r>
    </w:p>
    <w:p w:rsidRPr="00E5045F" w:rsidR="00BB58E7" w:rsidP="004049B1" w:rsidRDefault="00BB58E7" w14:paraId="4F663D9B" w14:textId="445EECD0">
      <w:r>
        <w:t>Fortunato</w:t>
      </w:r>
      <w:r w:rsidR="00E5045F">
        <w:t xml:space="preserve">, S, Bergstron, CT, Borner, K, Evans, JA, Helbing, D, Milojevic, S. Petersen, AM, Radicchi, F, Sinatra, R, Uzzi, B, Vespignani, A, Waltman, L, Wang, D, Barabase, A-L. </w:t>
      </w:r>
      <w:r>
        <w:t>2018</w:t>
      </w:r>
      <w:r w:rsidR="00E5045F">
        <w:t xml:space="preserve">. Science of science. </w:t>
      </w:r>
      <w:r w:rsidR="00E5045F">
        <w:rPr>
          <w:i/>
          <w:iCs/>
        </w:rPr>
        <w:t xml:space="preserve">Science, </w:t>
      </w:r>
      <w:r w:rsidR="00E5045F">
        <w:t>359(6379).</w:t>
      </w:r>
    </w:p>
    <w:p w:rsidRPr="00E5045F" w:rsidR="00E5045F" w:rsidP="001D5CA3" w:rsidRDefault="001D5CA3" w14:paraId="1619A678" w14:textId="2C356EF7">
      <w:pPr>
        <w:rPr>
          <w:rFonts w:eastAsia="Calibri"/>
        </w:rPr>
      </w:pPr>
      <w:r>
        <w:rPr>
          <w:rFonts w:eastAsia="Calibri"/>
        </w:rPr>
        <w:t>Galasso</w:t>
      </w:r>
      <w:r w:rsidR="00E5045F">
        <w:rPr>
          <w:rFonts w:eastAsia="Calibri"/>
        </w:rPr>
        <w:t>, A, Mitchell, M, Virag, G.</w:t>
      </w:r>
      <w:r>
        <w:rPr>
          <w:rFonts w:eastAsia="Calibri"/>
        </w:rPr>
        <w:t xml:space="preserve"> 2018</w:t>
      </w:r>
      <w:r w:rsidR="00E5045F">
        <w:rPr>
          <w:rFonts w:eastAsia="Calibri"/>
        </w:rPr>
        <w:t xml:space="preserve">. A theory of grand innovation prizes. </w:t>
      </w:r>
      <w:r w:rsidR="00E5045F">
        <w:rPr>
          <w:rFonts w:eastAsia="Calibri"/>
          <w:i/>
          <w:iCs/>
        </w:rPr>
        <w:t>Research Policy</w:t>
      </w:r>
      <w:r w:rsidR="00E5045F">
        <w:rPr>
          <w:rFonts w:eastAsia="Calibri"/>
        </w:rPr>
        <w:t>, 47, 343-362.</w:t>
      </w:r>
    </w:p>
    <w:p w:rsidRPr="00E5045F" w:rsidR="001D5CA3" w:rsidP="001D5CA3" w:rsidRDefault="001D5CA3" w14:paraId="64C812AC" w14:textId="3094264F">
      <w:pPr>
        <w:rPr>
          <w:rFonts w:eastAsia="Calibri"/>
        </w:rPr>
      </w:pPr>
      <w:r>
        <w:rPr>
          <w:rFonts w:eastAsia="Calibri"/>
        </w:rPr>
        <w:t xml:space="preserve">Murray, </w:t>
      </w:r>
      <w:r w:rsidR="00E5045F">
        <w:rPr>
          <w:rFonts w:eastAsia="Calibri"/>
        </w:rPr>
        <w:t xml:space="preserve">F, </w:t>
      </w:r>
      <w:r>
        <w:rPr>
          <w:rFonts w:eastAsia="Calibri"/>
        </w:rPr>
        <w:t xml:space="preserve">Stern, </w:t>
      </w:r>
      <w:r w:rsidR="00E5045F">
        <w:rPr>
          <w:rFonts w:eastAsia="Calibri"/>
        </w:rPr>
        <w:t xml:space="preserve">S, </w:t>
      </w:r>
      <w:r>
        <w:rPr>
          <w:rFonts w:eastAsia="Calibri"/>
        </w:rPr>
        <w:t xml:space="preserve">Campbell </w:t>
      </w:r>
      <w:r w:rsidR="00E5045F">
        <w:rPr>
          <w:rFonts w:eastAsia="Calibri"/>
        </w:rPr>
        <w:t>G,</w:t>
      </w:r>
      <w:r>
        <w:rPr>
          <w:rFonts w:eastAsia="Calibri"/>
        </w:rPr>
        <w:t xml:space="preserve"> MacCormack, </w:t>
      </w:r>
      <w:r w:rsidR="00E5045F">
        <w:rPr>
          <w:rFonts w:eastAsia="Calibri"/>
        </w:rPr>
        <w:t xml:space="preserve">A. </w:t>
      </w:r>
      <w:r>
        <w:rPr>
          <w:rFonts w:eastAsia="Calibri"/>
        </w:rPr>
        <w:t>2012</w:t>
      </w:r>
      <w:r w:rsidR="00E5045F">
        <w:rPr>
          <w:rFonts w:eastAsia="Calibri"/>
        </w:rPr>
        <w:t xml:space="preserve">. Grand Innovation Prizes: A theoretical, normative, and empirical evaluation. </w:t>
      </w:r>
      <w:r w:rsidR="00E5045F">
        <w:rPr>
          <w:rFonts w:eastAsia="Calibri"/>
          <w:i/>
          <w:iCs/>
        </w:rPr>
        <w:t>Research Policy</w:t>
      </w:r>
      <w:r w:rsidR="00E5045F">
        <w:rPr>
          <w:rFonts w:eastAsia="Calibri"/>
        </w:rPr>
        <w:t>, 41, 1779-1792.</w:t>
      </w:r>
    </w:p>
    <w:p w:rsidRPr="00E5045F" w:rsidR="001D5CA3" w:rsidP="004049B1" w:rsidRDefault="001D5CA3" w14:paraId="18EC9275" w14:textId="795870A0">
      <w:pPr>
        <w:rPr>
          <w:rFonts w:ascii="Times New Roman" w:hAnsi="Times New Roman" w:cs="Times New Roman"/>
          <w:szCs w:val="24"/>
        </w:rPr>
      </w:pPr>
      <w:r>
        <w:rPr>
          <w:rFonts w:eastAsia="Calibri"/>
        </w:rPr>
        <w:t>Office of Science &amp; Technology Policy</w:t>
      </w:r>
      <w:r w:rsidR="00E5045F">
        <w:rPr>
          <w:rFonts w:eastAsia="Calibri"/>
        </w:rPr>
        <w:t>, Executive Office of the President.</w:t>
      </w:r>
      <w:r>
        <w:rPr>
          <w:rFonts w:eastAsia="Calibri"/>
        </w:rPr>
        <w:t xml:space="preserve"> 2019</w:t>
      </w:r>
      <w:r w:rsidR="00E5045F">
        <w:rPr>
          <w:rFonts w:eastAsia="Calibri"/>
        </w:rPr>
        <w:t xml:space="preserve">. </w:t>
      </w:r>
      <w:r w:rsidR="00E5045F">
        <w:rPr>
          <w:rFonts w:eastAsia="Calibri"/>
          <w:i/>
          <w:iCs/>
        </w:rPr>
        <w:t>Implementation of Federal Prize and Citizen Science Authority: Fiscal Years 2017-18.</w:t>
      </w:r>
      <w:r w:rsidR="00E5045F">
        <w:rPr>
          <w:rFonts w:eastAsia="Calibri"/>
        </w:rPr>
        <w:t xml:space="preserve"> A Report by the Office of Science and Technology Policy in Response to the Requirements of the America COMPETES Reauthorization Act of 2010 and the Crowdsourcing and Citizen Science Act. June.</w:t>
      </w:r>
    </w:p>
    <w:p w:rsidRPr="00E5045F" w:rsidR="00E5045F" w:rsidP="004049B1" w:rsidRDefault="00E5045F" w14:paraId="19FE9A55" w14:textId="32B36463">
      <w:pPr>
        <w:rPr>
          <w:rFonts w:eastAsia="Calibri"/>
        </w:rPr>
      </w:pPr>
      <w:r>
        <w:rPr>
          <w:rFonts w:eastAsia="Calibri"/>
        </w:rPr>
        <w:t xml:space="preserve">RTI International. 2017. </w:t>
      </w:r>
      <w:r>
        <w:rPr>
          <w:rFonts w:eastAsia="Calibri"/>
          <w:i/>
          <w:iCs/>
        </w:rPr>
        <w:t>Costs and Benefits of Selected Policy Tools to Promote Drug Development.</w:t>
      </w:r>
      <w:r>
        <w:rPr>
          <w:rFonts w:eastAsia="Calibri"/>
        </w:rPr>
        <w:t xml:space="preserve"> Report prepared for the Office of Science and Data Policy of the U.S. Department of Health and Human Services. October.</w:t>
      </w:r>
    </w:p>
    <w:p w:rsidRPr="00E5045F" w:rsidR="001D5CA3" w:rsidP="004049B1" w:rsidRDefault="001D5CA3" w14:paraId="2F9301B0" w14:textId="7C4194D2">
      <w:pPr>
        <w:rPr>
          <w:rFonts w:eastAsia="Calibri"/>
        </w:rPr>
      </w:pPr>
      <w:r w:rsidRPr="00BB6E48">
        <w:rPr>
          <w:rFonts w:eastAsia="Calibri"/>
        </w:rPr>
        <w:t>Smith Nightingale</w:t>
      </w:r>
      <w:r w:rsidR="00E5045F">
        <w:rPr>
          <w:rFonts w:eastAsia="Calibri"/>
        </w:rPr>
        <w:t xml:space="preserve">, D, Fudge, K, Schupmann, W. 2018. </w:t>
      </w:r>
      <w:r w:rsidR="00E5045F">
        <w:rPr>
          <w:rFonts w:eastAsia="Calibri"/>
          <w:i/>
          <w:iCs/>
        </w:rPr>
        <w:t>Evidence Toolkit: Learning Agendas—A Report of the Evidence Based Policymaking Collaborative</w:t>
      </w:r>
      <w:r w:rsidR="00E5045F">
        <w:rPr>
          <w:rFonts w:eastAsia="Calibri"/>
        </w:rPr>
        <w:t xml:space="preserve"> Washington, DC: The Urban Institute.</w:t>
      </w:r>
    </w:p>
    <w:p w:rsidRPr="002238BD" w:rsidR="001D5CA3" w:rsidP="004049B1" w:rsidRDefault="001D5CA3" w14:paraId="34236897" w14:textId="77777777">
      <w:pPr>
        <w:rPr>
          <w:rFonts w:ascii="Times New Roman" w:hAnsi="Times New Roman" w:cs="Times New Roman"/>
          <w:szCs w:val="24"/>
        </w:rPr>
      </w:pPr>
    </w:p>
    <w:p w:rsidR="0061260C" w:rsidRDefault="0061260C" w14:paraId="544571B0" w14:textId="77777777">
      <w:pPr>
        <w:rPr>
          <w:rFonts w:ascii="Times New Roman" w:hAnsi="Times New Roman" w:cs="Times New Roman"/>
          <w:b/>
          <w:szCs w:val="24"/>
        </w:rPr>
      </w:pPr>
      <w:r>
        <w:rPr>
          <w:rFonts w:ascii="Times New Roman" w:hAnsi="Times New Roman" w:cs="Times New Roman"/>
          <w:b/>
          <w:szCs w:val="24"/>
        </w:rPr>
        <w:br w:type="page"/>
      </w:r>
    </w:p>
    <w:p w:rsidRPr="002238BD" w:rsidR="004049B1" w:rsidP="004049B1" w:rsidRDefault="004049B1" w14:paraId="194E0688" w14:textId="02676975">
      <w:pPr>
        <w:rPr>
          <w:rFonts w:ascii="Times New Roman" w:hAnsi="Times New Roman" w:cs="Times New Roman"/>
          <w:b/>
          <w:szCs w:val="24"/>
        </w:rPr>
      </w:pPr>
      <w:r w:rsidRPr="002238BD">
        <w:rPr>
          <w:rFonts w:ascii="Times New Roman" w:hAnsi="Times New Roman" w:cs="Times New Roman"/>
          <w:b/>
          <w:szCs w:val="24"/>
        </w:rPr>
        <w:lastRenderedPageBreak/>
        <w:t>LIST OF ATTACHMENTS – Section A</w:t>
      </w:r>
    </w:p>
    <w:p w:rsidRPr="002238BD" w:rsidR="004049B1" w:rsidP="004049B1" w:rsidRDefault="004049B1" w14:paraId="67CAEB8A" w14:textId="7899944D">
      <w:pPr>
        <w:rPr>
          <w:rFonts w:ascii="Times New Roman" w:hAnsi="Times New Roman" w:cs="Times New Roman"/>
          <w:b/>
          <w:szCs w:val="24"/>
        </w:rPr>
      </w:pPr>
    </w:p>
    <w:p w:rsidRPr="00BB7D77" w:rsidR="004049B1" w:rsidP="004049B1" w:rsidRDefault="004049B1" w14:paraId="36DB4928" w14:textId="30ACCBBB">
      <w:pPr>
        <w:rPr>
          <w:rFonts w:ascii="Times New Roman" w:hAnsi="Times New Roman" w:cs="Times New Roman"/>
          <w:szCs w:val="24"/>
        </w:rPr>
      </w:pPr>
      <w:r w:rsidRPr="00BB7D77">
        <w:rPr>
          <w:rFonts w:ascii="Times New Roman" w:hAnsi="Times New Roman" w:cs="Times New Roman"/>
          <w:szCs w:val="24"/>
        </w:rPr>
        <w:t>Note: Attachments are included as separate files as instructed.</w:t>
      </w:r>
    </w:p>
    <w:p w:rsidRPr="00BB7D77" w:rsidR="004049B1" w:rsidP="004049B1" w:rsidRDefault="004049B1" w14:paraId="70108ED0" w14:textId="3BBB8CB0">
      <w:pPr>
        <w:rPr>
          <w:rFonts w:ascii="Times New Roman" w:hAnsi="Times New Roman" w:cs="Times New Roman"/>
          <w:szCs w:val="24"/>
        </w:rPr>
      </w:pPr>
    </w:p>
    <w:p w:rsidRPr="00BB7D77" w:rsidR="007C78B1" w:rsidP="000F54E6" w:rsidRDefault="00F159C2" w14:paraId="7116EF4E" w14:textId="61DCFAD0">
      <w:pPr>
        <w:pStyle w:val="ListParagraph"/>
        <w:numPr>
          <w:ilvl w:val="0"/>
          <w:numId w:val="15"/>
        </w:numPr>
        <w:spacing w:line="360" w:lineRule="auto"/>
        <w:rPr>
          <w:rFonts w:ascii="Times New Roman" w:hAnsi="Times New Roman" w:cs="Times New Roman"/>
          <w:szCs w:val="24"/>
        </w:rPr>
      </w:pPr>
      <w:r>
        <w:t>Pre-</w:t>
      </w:r>
      <w:r w:rsidR="00CD370C">
        <w:t xml:space="preserve">award </w:t>
      </w:r>
      <w:r>
        <w:t>Survey Instrument</w:t>
      </w:r>
      <w:r w:rsidRPr="00BB7D77" w:rsidR="007C78B1">
        <w:t xml:space="preserve"> (Attachment A)</w:t>
      </w:r>
    </w:p>
    <w:p w:rsidRPr="00BB7D77" w:rsidR="004049B1" w:rsidP="000F54E6" w:rsidRDefault="00F159C2" w14:paraId="36F32739" w14:textId="758EE064">
      <w:pPr>
        <w:pStyle w:val="ListParagraph"/>
        <w:numPr>
          <w:ilvl w:val="0"/>
          <w:numId w:val="15"/>
        </w:numPr>
        <w:spacing w:line="360" w:lineRule="auto"/>
        <w:rPr>
          <w:rFonts w:ascii="Times New Roman" w:hAnsi="Times New Roman" w:cs="Times New Roman"/>
          <w:szCs w:val="24"/>
        </w:rPr>
      </w:pPr>
      <w:r>
        <w:t>Post-</w:t>
      </w:r>
      <w:r w:rsidR="00CD370C">
        <w:t xml:space="preserve">award </w:t>
      </w:r>
      <w:r>
        <w:t>Survey Instrument</w:t>
      </w:r>
      <w:r w:rsidRPr="00BB7D77">
        <w:t xml:space="preserve"> </w:t>
      </w:r>
      <w:r w:rsidRPr="00BB7D77" w:rsidR="004049B1">
        <w:rPr>
          <w:rFonts w:ascii="Times New Roman" w:hAnsi="Times New Roman" w:cs="Times New Roman"/>
          <w:szCs w:val="24"/>
        </w:rPr>
        <w:t xml:space="preserve">(Attachment </w:t>
      </w:r>
      <w:r w:rsidRPr="00BB7D77" w:rsidR="007E534C">
        <w:rPr>
          <w:rFonts w:ascii="Times New Roman" w:hAnsi="Times New Roman" w:cs="Times New Roman"/>
          <w:szCs w:val="24"/>
        </w:rPr>
        <w:t>B</w:t>
      </w:r>
      <w:r w:rsidRPr="00BB7D77" w:rsidR="004049B1">
        <w:rPr>
          <w:rFonts w:ascii="Times New Roman" w:hAnsi="Times New Roman" w:cs="Times New Roman"/>
          <w:szCs w:val="24"/>
        </w:rPr>
        <w:t>)</w:t>
      </w:r>
    </w:p>
    <w:p w:rsidRPr="00BB7D77" w:rsidR="004049B1" w:rsidP="000F54E6" w:rsidRDefault="00F159C2" w14:paraId="32BF8FC1" w14:textId="15DFC037">
      <w:pPr>
        <w:pStyle w:val="ListParagraph"/>
        <w:numPr>
          <w:ilvl w:val="0"/>
          <w:numId w:val="15"/>
        </w:numPr>
        <w:spacing w:line="360" w:lineRule="auto"/>
        <w:rPr>
          <w:rFonts w:ascii="Times New Roman" w:hAnsi="Times New Roman" w:cs="Times New Roman"/>
          <w:szCs w:val="24"/>
        </w:rPr>
      </w:pPr>
      <w:r>
        <w:t>Applicant Interview Guide</w:t>
      </w:r>
      <w:r w:rsidRPr="00BB7D77" w:rsidR="00860DD4">
        <w:t xml:space="preserve"> </w:t>
      </w:r>
      <w:r w:rsidRPr="00BB7D77" w:rsidR="004049B1">
        <w:rPr>
          <w:rFonts w:ascii="Times New Roman" w:hAnsi="Times New Roman" w:cs="Times New Roman"/>
          <w:szCs w:val="24"/>
        </w:rPr>
        <w:t xml:space="preserve">(Attachment </w:t>
      </w:r>
      <w:r w:rsidRPr="00BB7D77" w:rsidR="007E534C">
        <w:rPr>
          <w:rFonts w:ascii="Times New Roman" w:hAnsi="Times New Roman" w:cs="Times New Roman"/>
          <w:szCs w:val="24"/>
        </w:rPr>
        <w:t>C</w:t>
      </w:r>
      <w:r w:rsidRPr="00BB7D77" w:rsidR="004049B1">
        <w:rPr>
          <w:rFonts w:ascii="Times New Roman" w:hAnsi="Times New Roman" w:cs="Times New Roman"/>
          <w:szCs w:val="24"/>
        </w:rPr>
        <w:t>)</w:t>
      </w:r>
    </w:p>
    <w:p w:rsidRPr="00BB7D77" w:rsidR="007745C6" w:rsidP="004A6A72" w:rsidRDefault="00196E95" w14:paraId="779F8CCD" w14:textId="05434C93">
      <w:pPr>
        <w:pStyle w:val="ListParagraph"/>
        <w:numPr>
          <w:ilvl w:val="0"/>
          <w:numId w:val="15"/>
        </w:numPr>
        <w:spacing w:line="360" w:lineRule="auto"/>
        <w:rPr>
          <w:rFonts w:ascii="Times New Roman" w:hAnsi="Times New Roman" w:cs="Times New Roman"/>
          <w:szCs w:val="24"/>
        </w:rPr>
      </w:pPr>
      <w:r>
        <w:t>Non-</w:t>
      </w:r>
      <w:r w:rsidR="00CD370C">
        <w:t xml:space="preserve">awardee </w:t>
      </w:r>
      <w:r>
        <w:t>Interview Guide</w:t>
      </w:r>
      <w:r w:rsidRPr="00BB7D77" w:rsidR="00860DD4">
        <w:t xml:space="preserve"> </w:t>
      </w:r>
      <w:r w:rsidRPr="00BB7D77" w:rsidR="004049B1">
        <w:rPr>
          <w:rFonts w:ascii="Times New Roman" w:hAnsi="Times New Roman" w:cs="Times New Roman"/>
          <w:szCs w:val="24"/>
        </w:rPr>
        <w:t xml:space="preserve">(Attachment </w:t>
      </w:r>
      <w:r w:rsidRPr="00BB7D77" w:rsidR="007E534C">
        <w:rPr>
          <w:rFonts w:ascii="Times New Roman" w:hAnsi="Times New Roman" w:cs="Times New Roman"/>
          <w:szCs w:val="24"/>
        </w:rPr>
        <w:t>D</w:t>
      </w:r>
      <w:r w:rsidRPr="00BB7D77" w:rsidR="004049B1">
        <w:rPr>
          <w:rFonts w:ascii="Times New Roman" w:hAnsi="Times New Roman" w:cs="Times New Roman"/>
          <w:szCs w:val="24"/>
        </w:rPr>
        <w:t>)</w:t>
      </w:r>
    </w:p>
    <w:p w:rsidRPr="00BB7D77" w:rsidR="008C0FC7" w:rsidP="004A6A72" w:rsidRDefault="00196E95" w14:paraId="0F8E709F" w14:textId="37F87A95">
      <w:pPr>
        <w:pStyle w:val="ListParagraph"/>
        <w:numPr>
          <w:ilvl w:val="0"/>
          <w:numId w:val="15"/>
        </w:numPr>
        <w:spacing w:line="360" w:lineRule="auto"/>
        <w:rPr>
          <w:rFonts w:ascii="Times New Roman" w:hAnsi="Times New Roman" w:cs="Times New Roman"/>
          <w:szCs w:val="24"/>
        </w:rPr>
      </w:pPr>
      <w:r>
        <w:t>Awardee Interview Guide</w:t>
      </w:r>
      <w:r w:rsidRPr="00BB7D77">
        <w:t xml:space="preserve"> </w:t>
      </w:r>
      <w:r w:rsidRPr="00BB7D77" w:rsidR="008C0FC7">
        <w:rPr>
          <w:rFonts w:ascii="Times New Roman" w:hAnsi="Times New Roman" w:cs="Times New Roman"/>
          <w:szCs w:val="24"/>
        </w:rPr>
        <w:t>(Attachment E)</w:t>
      </w:r>
    </w:p>
    <w:p w:rsidRPr="00BB7D77" w:rsidR="008C0FC7" w:rsidP="004A6A72" w:rsidRDefault="00196E95" w14:paraId="399D2753" w14:textId="7D23F37F">
      <w:pPr>
        <w:pStyle w:val="ListParagraph"/>
        <w:numPr>
          <w:ilvl w:val="0"/>
          <w:numId w:val="15"/>
        </w:numPr>
        <w:spacing w:line="360" w:lineRule="auto"/>
        <w:rPr>
          <w:rFonts w:ascii="Times New Roman" w:hAnsi="Times New Roman" w:cs="Times New Roman"/>
          <w:szCs w:val="24"/>
        </w:rPr>
      </w:pPr>
      <w:r>
        <w:t>Other Stakeholder Interview Guide</w:t>
      </w:r>
      <w:r w:rsidRPr="00BB7D77">
        <w:t xml:space="preserve"> </w:t>
      </w:r>
      <w:r w:rsidRPr="00BB7D77" w:rsidR="008C0FC7">
        <w:rPr>
          <w:rFonts w:ascii="Times New Roman" w:hAnsi="Times New Roman" w:cs="Times New Roman"/>
          <w:szCs w:val="24"/>
        </w:rPr>
        <w:t>(Attachment F)</w:t>
      </w:r>
    </w:p>
    <w:sectPr w:rsidRPr="00BB7D77" w:rsidR="008C0FC7" w:rsidSect="00F30D45">
      <w:footerReference w:type="even" r:id="rId13"/>
      <w:footerReference w:type="default" r:id="rId14"/>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4DD0E2" w16cid:durableId="21AB1241"/>
  <w16cid:commentId w16cid:paraId="6B109F88" w16cid:durableId="21AB114F"/>
  <w16cid:commentId w16cid:paraId="5BEF26D9" w16cid:durableId="21AB1150"/>
  <w16cid:commentId w16cid:paraId="74A372E6" w16cid:durableId="21AB132C"/>
  <w16cid:commentId w16cid:paraId="3A3B7DDF" w16cid:durableId="21AB14AE"/>
  <w16cid:commentId w16cid:paraId="45DAE3FB" w16cid:durableId="21AB115A"/>
  <w16cid:commentId w16cid:paraId="1DCF8B3A" w16cid:durableId="21AB16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91B2" w14:textId="77777777" w:rsidR="009253F7" w:rsidRDefault="009253F7" w:rsidP="00B73692">
      <w:r>
        <w:separator/>
      </w:r>
    </w:p>
  </w:endnote>
  <w:endnote w:type="continuationSeparator" w:id="0">
    <w:p w14:paraId="2EBF389B" w14:textId="77777777" w:rsidR="009253F7" w:rsidRDefault="009253F7" w:rsidP="00B73692">
      <w:r>
        <w:continuationSeparator/>
      </w:r>
    </w:p>
  </w:endnote>
  <w:endnote w:type="continuationNotice" w:id="1">
    <w:p w14:paraId="79B7E9F3" w14:textId="77777777" w:rsidR="009253F7" w:rsidRDefault="0092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1C89" w14:textId="77777777" w:rsidR="00E92C1F" w:rsidRDefault="00E92C1F" w:rsidP="00A3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E5651" w14:textId="77777777" w:rsidR="00E92C1F" w:rsidRDefault="00E92C1F" w:rsidP="00291C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343046"/>
      <w:docPartObj>
        <w:docPartGallery w:val="Page Numbers (Bottom of Page)"/>
        <w:docPartUnique/>
      </w:docPartObj>
    </w:sdtPr>
    <w:sdtEndPr>
      <w:rPr>
        <w:noProof/>
        <w:sz w:val="20"/>
        <w:szCs w:val="20"/>
      </w:rPr>
    </w:sdtEndPr>
    <w:sdtContent>
      <w:p w14:paraId="593D7D6D" w14:textId="108A731F" w:rsidR="00E92C1F" w:rsidRPr="00F30D45" w:rsidRDefault="00E92C1F">
        <w:pPr>
          <w:pStyle w:val="Footer"/>
          <w:jc w:val="center"/>
          <w:rPr>
            <w:sz w:val="20"/>
            <w:szCs w:val="20"/>
          </w:rPr>
        </w:pPr>
        <w:r w:rsidRPr="00F30D45">
          <w:rPr>
            <w:sz w:val="20"/>
            <w:szCs w:val="20"/>
          </w:rPr>
          <w:fldChar w:fldCharType="begin"/>
        </w:r>
        <w:r w:rsidRPr="00F30D45">
          <w:rPr>
            <w:sz w:val="20"/>
            <w:szCs w:val="20"/>
          </w:rPr>
          <w:instrText xml:space="preserve"> PAGE   \* MERGEFORMAT </w:instrText>
        </w:r>
        <w:r w:rsidRPr="00F30D45">
          <w:rPr>
            <w:sz w:val="20"/>
            <w:szCs w:val="20"/>
          </w:rPr>
          <w:fldChar w:fldCharType="separate"/>
        </w:r>
        <w:r w:rsidR="00E95A9E">
          <w:rPr>
            <w:noProof/>
            <w:sz w:val="20"/>
            <w:szCs w:val="20"/>
          </w:rPr>
          <w:t>1</w:t>
        </w:r>
        <w:r w:rsidRPr="00F30D45">
          <w:rPr>
            <w:noProof/>
            <w:sz w:val="20"/>
            <w:szCs w:val="20"/>
          </w:rPr>
          <w:fldChar w:fldCharType="end"/>
        </w:r>
      </w:p>
    </w:sdtContent>
  </w:sdt>
  <w:p w14:paraId="0643D93B" w14:textId="77777777" w:rsidR="00E92C1F" w:rsidRDefault="00E92C1F" w:rsidP="00291C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5C9EA" w14:textId="77777777" w:rsidR="009253F7" w:rsidRDefault="009253F7" w:rsidP="00B73692">
      <w:r>
        <w:separator/>
      </w:r>
    </w:p>
  </w:footnote>
  <w:footnote w:type="continuationSeparator" w:id="0">
    <w:p w14:paraId="11F689BA" w14:textId="77777777" w:rsidR="009253F7" w:rsidRDefault="009253F7" w:rsidP="00B73692">
      <w:r>
        <w:continuationSeparator/>
      </w:r>
    </w:p>
  </w:footnote>
  <w:footnote w:type="continuationNotice" w:id="1">
    <w:p w14:paraId="54899821" w14:textId="77777777" w:rsidR="009253F7" w:rsidRDefault="009253F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FBA"/>
    <w:multiLevelType w:val="multilevel"/>
    <w:tmpl w:val="3794A2D6"/>
    <w:lvl w:ilvl="0">
      <w:start w:val="1"/>
      <w:numFmt w:val="decimal"/>
      <w:suff w:val="space"/>
      <w:lvlText w:val="Chapter %1"/>
      <w:lvlJc w:val="left"/>
      <w:pPr>
        <w:ind w:left="0" w:firstLine="0"/>
      </w:pPr>
      <w:rPr>
        <w:rFonts w:hint="default"/>
      </w:rPr>
    </w:lvl>
    <w:lvl w:ilvl="1">
      <w:start w:val="1"/>
      <w:numFmt w:val="decimal"/>
      <w:lvlRestart w:val="0"/>
      <w:suff w:val="nothing"/>
      <w:lvlText w:val="%2"/>
      <w:lvlJc w:val="left"/>
      <w:pPr>
        <w:ind w:left="576" w:hanging="576"/>
      </w:pPr>
      <w:rPr>
        <w:rFonts w:hint="default"/>
      </w:rPr>
    </w:lvl>
    <w:lvl w:ilvl="2">
      <w:start w:val="1"/>
      <w:numFmt w:val="lowerLetter"/>
      <w:suff w:val="nothing"/>
      <w:lvlText w:val="%3"/>
      <w:lvlJc w:val="left"/>
      <w:pPr>
        <w:ind w:left="576" w:hanging="57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8037FE5"/>
    <w:multiLevelType w:val="hybridMultilevel"/>
    <w:tmpl w:val="B2BA1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B84FFA"/>
    <w:multiLevelType w:val="hybridMultilevel"/>
    <w:tmpl w:val="92C2C322"/>
    <w:lvl w:ilvl="0" w:tplc="8148342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6F47"/>
    <w:multiLevelType w:val="multilevel"/>
    <w:tmpl w:val="4F2A672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2C7149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AA0B8A"/>
    <w:multiLevelType w:val="hybridMultilevel"/>
    <w:tmpl w:val="56CC2642"/>
    <w:lvl w:ilvl="0" w:tplc="BFFE0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B45E67"/>
    <w:multiLevelType w:val="hybridMultilevel"/>
    <w:tmpl w:val="8F624F00"/>
    <w:lvl w:ilvl="0" w:tplc="832E0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710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C1506CE"/>
    <w:multiLevelType w:val="hybridMultilevel"/>
    <w:tmpl w:val="56686E04"/>
    <w:lvl w:ilvl="0" w:tplc="2F6A4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43A2D"/>
    <w:multiLevelType w:val="multilevel"/>
    <w:tmpl w:val="36EA2B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41112E"/>
    <w:multiLevelType w:val="hybridMultilevel"/>
    <w:tmpl w:val="7B0E445C"/>
    <w:lvl w:ilvl="0" w:tplc="B8867A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22C48"/>
    <w:multiLevelType w:val="hybridMultilevel"/>
    <w:tmpl w:val="E0FCBDD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FDEE1AC4">
      <w:start w:val="1"/>
      <w:numFmt w:val="lowerLetter"/>
      <w:lvlText w:val="%3."/>
      <w:lvlJc w:val="left"/>
      <w:pPr>
        <w:ind w:left="3240" w:hanging="36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FD48A8"/>
    <w:multiLevelType w:val="hybridMultilevel"/>
    <w:tmpl w:val="F29854AC"/>
    <w:lvl w:ilvl="0" w:tplc="94E20EB8">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416A5"/>
    <w:multiLevelType w:val="multilevel"/>
    <w:tmpl w:val="15C8081C"/>
    <w:lvl w:ilvl="0">
      <w:start w:val="1"/>
      <w:numFmt w:val="decimal"/>
      <w:suff w:val="space"/>
      <w:lvlText w:val="Chapter %1"/>
      <w:lvlJc w:val="left"/>
      <w:pPr>
        <w:ind w:left="0" w:firstLine="0"/>
      </w:pPr>
      <w:rPr>
        <w:rFonts w:hint="default"/>
      </w:rPr>
    </w:lvl>
    <w:lvl w:ilvl="1">
      <w:start w:val="1"/>
      <w:numFmt w:val="decimal"/>
      <w:lvlRestart w:val="0"/>
      <w:suff w:val="nothing"/>
      <w:lvlText w:val="%2"/>
      <w:lvlJc w:val="left"/>
      <w:pPr>
        <w:ind w:left="576" w:hanging="576"/>
      </w:pPr>
      <w:rPr>
        <w:rFonts w:hint="default"/>
      </w:rPr>
    </w:lvl>
    <w:lvl w:ilvl="2">
      <w:start w:val="1"/>
      <w:numFmt w:val="lowerLetter"/>
      <w:suff w:val="nothing"/>
      <w:lvlText w:val="%3"/>
      <w:lvlJc w:val="left"/>
      <w:pPr>
        <w:ind w:left="576" w:hanging="57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D51452"/>
    <w:multiLevelType w:val="hybridMultilevel"/>
    <w:tmpl w:val="527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85FF5"/>
    <w:multiLevelType w:val="multilevel"/>
    <w:tmpl w:val="4F2A672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1692D99"/>
    <w:multiLevelType w:val="multilevel"/>
    <w:tmpl w:val="9B4E7F4A"/>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Letter"/>
      <w:suff w:val="nothing"/>
      <w:lvlText w:val="%3"/>
      <w:lvlJc w:val="left"/>
      <w:pPr>
        <w:ind w:left="576" w:hanging="57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2590E53"/>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9630D4D"/>
    <w:multiLevelType w:val="hybridMultilevel"/>
    <w:tmpl w:val="94B45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04717"/>
    <w:multiLevelType w:val="multilevel"/>
    <w:tmpl w:val="6A4A039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6D86140"/>
    <w:multiLevelType w:val="hybridMultilevel"/>
    <w:tmpl w:val="47A4B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425DB"/>
    <w:multiLevelType w:val="hybridMultilevel"/>
    <w:tmpl w:val="D3F60934"/>
    <w:lvl w:ilvl="0" w:tplc="09B4C374">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568FC"/>
    <w:multiLevelType w:val="hybridMultilevel"/>
    <w:tmpl w:val="56DEF65A"/>
    <w:lvl w:ilvl="0" w:tplc="B9267D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46F6E"/>
    <w:multiLevelType w:val="hybridMultilevel"/>
    <w:tmpl w:val="F568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A05BE"/>
    <w:multiLevelType w:val="hybridMultilevel"/>
    <w:tmpl w:val="F868768A"/>
    <w:lvl w:ilvl="0" w:tplc="CFA6A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25BE6"/>
    <w:multiLevelType w:val="hybridMultilevel"/>
    <w:tmpl w:val="786AF5AA"/>
    <w:lvl w:ilvl="0" w:tplc="4E5C8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C54D3"/>
    <w:multiLevelType w:val="hybridMultilevel"/>
    <w:tmpl w:val="766C6E16"/>
    <w:lvl w:ilvl="0" w:tplc="9AE26104">
      <w:start w:val="1"/>
      <w:numFmt w:val="bullet"/>
      <w:pStyle w:val="bullets"/>
      <w:lvlText w:val=""/>
      <w:lvlJc w:val="left"/>
      <w:pPr>
        <w:ind w:left="0" w:hanging="360"/>
      </w:pPr>
      <w:rPr>
        <w:rFonts w:ascii="Symbol" w:hAnsi="Symbol" w:hint="default"/>
      </w:rPr>
    </w:lvl>
    <w:lvl w:ilvl="1" w:tplc="13A64626">
      <w:start w:val="1"/>
      <w:numFmt w:val="bullet"/>
      <w:lvlText w:val="–"/>
      <w:lvlJc w:val="left"/>
      <w:pPr>
        <w:tabs>
          <w:tab w:val="num" w:pos="1080"/>
        </w:tabs>
        <w:ind w:left="1080" w:hanging="360"/>
      </w:pPr>
      <w:rPr>
        <w:rFonts w:ascii="Arial" w:hAnsi="Arial" w:hint="default"/>
      </w:rPr>
    </w:lvl>
    <w:lvl w:ilvl="2" w:tplc="664845B8">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8C64193"/>
    <w:multiLevelType w:val="hybridMultilevel"/>
    <w:tmpl w:val="AF1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64430"/>
    <w:multiLevelType w:val="hybridMultilevel"/>
    <w:tmpl w:val="ADF892CE"/>
    <w:lvl w:ilvl="0" w:tplc="887A47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02914"/>
    <w:multiLevelType w:val="hybridMultilevel"/>
    <w:tmpl w:val="365485A6"/>
    <w:lvl w:ilvl="0" w:tplc="CA220D0E">
      <w:start w:val="1"/>
      <w:numFmt w:val="bullet"/>
      <w:pStyle w:val="Tablebullet"/>
      <w:lvlText w:val="•"/>
      <w:lvlJc w:val="left"/>
      <w:pPr>
        <w:ind w:left="288" w:hanging="288"/>
      </w:pPr>
      <w:rPr>
        <w:rFonts w:ascii="Verdana" w:hAnsi="Verdana" w:cs="Times New Roman" w:hint="default"/>
      </w:rPr>
    </w:lvl>
    <w:lvl w:ilvl="1" w:tplc="28E68B5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B3268"/>
    <w:multiLevelType w:val="hybridMultilevel"/>
    <w:tmpl w:val="8F9A9D20"/>
    <w:lvl w:ilvl="0" w:tplc="0409000F">
      <w:start w:val="1"/>
      <w:numFmt w:val="decimal"/>
      <w:pStyle w:val="bulletf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55107"/>
    <w:multiLevelType w:val="hybridMultilevel"/>
    <w:tmpl w:val="47866288"/>
    <w:lvl w:ilvl="0" w:tplc="0E289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B52C53"/>
    <w:multiLevelType w:val="hybridMultilevel"/>
    <w:tmpl w:val="319E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92195"/>
    <w:multiLevelType w:val="hybridMultilevel"/>
    <w:tmpl w:val="DE42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326AA"/>
    <w:multiLevelType w:val="hybridMultilevel"/>
    <w:tmpl w:val="00726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23B07"/>
    <w:multiLevelType w:val="hybridMultilevel"/>
    <w:tmpl w:val="5B40350E"/>
    <w:lvl w:ilvl="0" w:tplc="2ABCEACC">
      <w:start w:val="1"/>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B404D"/>
    <w:multiLevelType w:val="multilevel"/>
    <w:tmpl w:val="4F2A672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E904128"/>
    <w:multiLevelType w:val="multilevel"/>
    <w:tmpl w:val="A8FC48BC"/>
    <w:lvl w:ilvl="0">
      <w:start w:val="1"/>
      <w:numFmt w:val="decimal"/>
      <w:suff w:val="space"/>
      <w:lvlText w:val="Chapter %1"/>
      <w:lvlJc w:val="left"/>
      <w:pPr>
        <w:ind w:left="0" w:firstLine="0"/>
      </w:pPr>
      <w:rPr>
        <w:rFonts w:hint="default"/>
      </w:rPr>
    </w:lvl>
    <w:lvl w:ilvl="1">
      <w:start w:val="1"/>
      <w:numFmt w:val="decimal"/>
      <w:lvlRestart w:val="0"/>
      <w:pStyle w:val="Heading2"/>
      <w:suff w:val="nothing"/>
      <w:lvlText w:val="%2."/>
      <w:lvlJc w:val="left"/>
      <w:pPr>
        <w:ind w:left="576" w:hanging="576"/>
      </w:pPr>
      <w:rPr>
        <w:rFonts w:hint="default"/>
      </w:rPr>
    </w:lvl>
    <w:lvl w:ilvl="2">
      <w:start w:val="1"/>
      <w:numFmt w:val="lowerLetter"/>
      <w:pStyle w:val="Heading3"/>
      <w:suff w:val="nothing"/>
      <w:lvlText w:val="%3"/>
      <w:lvlJc w:val="left"/>
      <w:pPr>
        <w:ind w:left="576" w:hanging="576"/>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9" w15:restartNumberingAfterBreak="0">
    <w:nsid w:val="7ED61B1C"/>
    <w:multiLevelType w:val="hybridMultilevel"/>
    <w:tmpl w:val="D5C4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BF070A"/>
    <w:multiLevelType w:val="hybridMultilevel"/>
    <w:tmpl w:val="59B6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1"/>
  </w:num>
  <w:num w:numId="4">
    <w:abstractNumId w:val="24"/>
  </w:num>
  <w:num w:numId="5">
    <w:abstractNumId w:val="11"/>
  </w:num>
  <w:num w:numId="6">
    <w:abstractNumId w:val="13"/>
  </w:num>
  <w:num w:numId="7">
    <w:abstractNumId w:val="8"/>
  </w:num>
  <w:num w:numId="8">
    <w:abstractNumId w:val="22"/>
  </w:num>
  <w:num w:numId="9">
    <w:abstractNumId w:val="29"/>
  </w:num>
  <w:num w:numId="10">
    <w:abstractNumId w:val="6"/>
  </w:num>
  <w:num w:numId="11">
    <w:abstractNumId w:val="32"/>
  </w:num>
  <w:num w:numId="12">
    <w:abstractNumId w:val="26"/>
  </w:num>
  <w:num w:numId="13">
    <w:abstractNumId w:val="2"/>
  </w:num>
  <w:num w:numId="14">
    <w:abstractNumId w:val="5"/>
  </w:num>
  <w:num w:numId="15">
    <w:abstractNumId w:val="31"/>
  </w:num>
  <w:num w:numId="16">
    <w:abstractNumId w:val="35"/>
  </w:num>
  <w:num w:numId="17">
    <w:abstractNumId w:val="36"/>
  </w:num>
  <w:num w:numId="18">
    <w:abstractNumId w:val="23"/>
  </w:num>
  <w:num w:numId="19">
    <w:abstractNumId w:val="12"/>
  </w:num>
  <w:num w:numId="20">
    <w:abstractNumId w:val="27"/>
  </w:num>
  <w:num w:numId="21">
    <w:abstractNumId w:val="33"/>
  </w:num>
  <w:num w:numId="22">
    <w:abstractNumId w:val="10"/>
  </w:num>
  <w:num w:numId="23">
    <w:abstractNumId w:val="30"/>
  </w:num>
  <w:num w:numId="24">
    <w:abstractNumId w:val="15"/>
  </w:num>
  <w:num w:numId="25">
    <w:abstractNumId w:val="39"/>
  </w:num>
  <w:num w:numId="26">
    <w:abstractNumId w:val="29"/>
  </w:num>
  <w:num w:numId="27">
    <w:abstractNumId w:val="19"/>
  </w:num>
  <w:num w:numId="28">
    <w:abstractNumId w:val="25"/>
  </w:num>
  <w:num w:numId="29">
    <w:abstractNumId w:val="40"/>
  </w:num>
  <w:num w:numId="30">
    <w:abstractNumId w:val="9"/>
  </w:num>
  <w:num w:numId="31">
    <w:abstractNumId w:val="38"/>
  </w:num>
  <w:num w:numId="32">
    <w:abstractNumId w:val="38"/>
  </w:num>
  <w:num w:numId="33">
    <w:abstractNumId w:val="7"/>
  </w:num>
  <w:num w:numId="34">
    <w:abstractNumId w:val="4"/>
  </w:num>
  <w:num w:numId="35">
    <w:abstractNumId w:val="18"/>
  </w:num>
  <w:num w:numId="36">
    <w:abstractNumId w:val="37"/>
  </w:num>
  <w:num w:numId="37">
    <w:abstractNumId w:val="3"/>
  </w:num>
  <w:num w:numId="38">
    <w:abstractNumId w:val="38"/>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decimal"/>
        <w:lvlRestart w:val="0"/>
        <w:pStyle w:val="Heading2"/>
        <w:lvlText w:val="%2%1."/>
        <w:lvlJc w:val="left"/>
        <w:pPr>
          <w:ind w:left="576" w:hanging="576"/>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39">
    <w:abstractNumId w:val="16"/>
  </w:num>
  <w:num w:numId="40">
    <w:abstractNumId w:val="20"/>
  </w:num>
  <w:num w:numId="41">
    <w:abstractNumId w:val="17"/>
  </w:num>
  <w:num w:numId="42">
    <w:abstractNumId w:val="14"/>
  </w:num>
  <w:num w:numId="43">
    <w:abstractNumId w:val="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yM7Y0MLMwMTEwMjFU0lEKTi0uzszPAykwNKgFAL8GSTotAAAA"/>
  </w:docVars>
  <w:rsids>
    <w:rsidRoot w:val="00B31D41"/>
    <w:rsid w:val="00002849"/>
    <w:rsid w:val="000028C1"/>
    <w:rsid w:val="000048D2"/>
    <w:rsid w:val="00005181"/>
    <w:rsid w:val="000058E0"/>
    <w:rsid w:val="00017812"/>
    <w:rsid w:val="00021638"/>
    <w:rsid w:val="00021EC1"/>
    <w:rsid w:val="00023325"/>
    <w:rsid w:val="00024103"/>
    <w:rsid w:val="00024B95"/>
    <w:rsid w:val="00025D2A"/>
    <w:rsid w:val="00026734"/>
    <w:rsid w:val="00027F6D"/>
    <w:rsid w:val="000307FB"/>
    <w:rsid w:val="00030A8D"/>
    <w:rsid w:val="000312C5"/>
    <w:rsid w:val="0004424F"/>
    <w:rsid w:val="0004513F"/>
    <w:rsid w:val="00050D8B"/>
    <w:rsid w:val="00051802"/>
    <w:rsid w:val="0005227C"/>
    <w:rsid w:val="000534B1"/>
    <w:rsid w:val="0005661B"/>
    <w:rsid w:val="00057C7E"/>
    <w:rsid w:val="0006472C"/>
    <w:rsid w:val="00071081"/>
    <w:rsid w:val="00072210"/>
    <w:rsid w:val="000723CD"/>
    <w:rsid w:val="00072A63"/>
    <w:rsid w:val="00076AE2"/>
    <w:rsid w:val="000779F4"/>
    <w:rsid w:val="00080DCE"/>
    <w:rsid w:val="00083A61"/>
    <w:rsid w:val="0008513B"/>
    <w:rsid w:val="00085AB2"/>
    <w:rsid w:val="000867BC"/>
    <w:rsid w:val="000872CF"/>
    <w:rsid w:val="0009369A"/>
    <w:rsid w:val="00094BCA"/>
    <w:rsid w:val="000976DE"/>
    <w:rsid w:val="00097948"/>
    <w:rsid w:val="000A24DD"/>
    <w:rsid w:val="000A2D85"/>
    <w:rsid w:val="000A46C7"/>
    <w:rsid w:val="000A6185"/>
    <w:rsid w:val="000B1BB2"/>
    <w:rsid w:val="000B1C0C"/>
    <w:rsid w:val="000B2EEB"/>
    <w:rsid w:val="000B4EF1"/>
    <w:rsid w:val="000B5C0F"/>
    <w:rsid w:val="000B635F"/>
    <w:rsid w:val="000B77B3"/>
    <w:rsid w:val="000C412B"/>
    <w:rsid w:val="000C46B6"/>
    <w:rsid w:val="000C77B0"/>
    <w:rsid w:val="000D1F9A"/>
    <w:rsid w:val="000D3EA2"/>
    <w:rsid w:val="000D6B75"/>
    <w:rsid w:val="000D7792"/>
    <w:rsid w:val="000E35FA"/>
    <w:rsid w:val="000E3EBD"/>
    <w:rsid w:val="000E5E57"/>
    <w:rsid w:val="000F0790"/>
    <w:rsid w:val="000F0B04"/>
    <w:rsid w:val="000F2477"/>
    <w:rsid w:val="000F54E6"/>
    <w:rsid w:val="000F66A2"/>
    <w:rsid w:val="000F66F0"/>
    <w:rsid w:val="0010014C"/>
    <w:rsid w:val="00105925"/>
    <w:rsid w:val="00107248"/>
    <w:rsid w:val="00114C3A"/>
    <w:rsid w:val="00116848"/>
    <w:rsid w:val="00116AD7"/>
    <w:rsid w:val="00117734"/>
    <w:rsid w:val="001229B5"/>
    <w:rsid w:val="001237E5"/>
    <w:rsid w:val="001247F4"/>
    <w:rsid w:val="00124877"/>
    <w:rsid w:val="00124937"/>
    <w:rsid w:val="00124B26"/>
    <w:rsid w:val="00125B0F"/>
    <w:rsid w:val="001274BD"/>
    <w:rsid w:val="0012756C"/>
    <w:rsid w:val="001305A7"/>
    <w:rsid w:val="00130ADA"/>
    <w:rsid w:val="00131BF3"/>
    <w:rsid w:val="00132DA8"/>
    <w:rsid w:val="00134707"/>
    <w:rsid w:val="001347E8"/>
    <w:rsid w:val="00134A4C"/>
    <w:rsid w:val="001357C5"/>
    <w:rsid w:val="001426F7"/>
    <w:rsid w:val="00143A80"/>
    <w:rsid w:val="00145711"/>
    <w:rsid w:val="0014587D"/>
    <w:rsid w:val="001460A2"/>
    <w:rsid w:val="00146FFC"/>
    <w:rsid w:val="00147E10"/>
    <w:rsid w:val="00157216"/>
    <w:rsid w:val="00160D35"/>
    <w:rsid w:val="00161DB6"/>
    <w:rsid w:val="00164A55"/>
    <w:rsid w:val="00165B8B"/>
    <w:rsid w:val="0016796A"/>
    <w:rsid w:val="0017007D"/>
    <w:rsid w:val="00172459"/>
    <w:rsid w:val="00172F2A"/>
    <w:rsid w:val="00173576"/>
    <w:rsid w:val="00173887"/>
    <w:rsid w:val="001756B7"/>
    <w:rsid w:val="00175EE6"/>
    <w:rsid w:val="00180E36"/>
    <w:rsid w:val="00181B0B"/>
    <w:rsid w:val="00182E44"/>
    <w:rsid w:val="0018483D"/>
    <w:rsid w:val="00184E6E"/>
    <w:rsid w:val="00192F13"/>
    <w:rsid w:val="00193012"/>
    <w:rsid w:val="00193D41"/>
    <w:rsid w:val="001945A6"/>
    <w:rsid w:val="00195DFE"/>
    <w:rsid w:val="00196E95"/>
    <w:rsid w:val="00197D41"/>
    <w:rsid w:val="001A4047"/>
    <w:rsid w:val="001A5540"/>
    <w:rsid w:val="001A6C96"/>
    <w:rsid w:val="001B0217"/>
    <w:rsid w:val="001B429C"/>
    <w:rsid w:val="001B44C6"/>
    <w:rsid w:val="001B4A67"/>
    <w:rsid w:val="001B59A7"/>
    <w:rsid w:val="001B5AB8"/>
    <w:rsid w:val="001C03EB"/>
    <w:rsid w:val="001C400D"/>
    <w:rsid w:val="001C5BB2"/>
    <w:rsid w:val="001C682F"/>
    <w:rsid w:val="001C71AC"/>
    <w:rsid w:val="001D0923"/>
    <w:rsid w:val="001D2DB7"/>
    <w:rsid w:val="001D3067"/>
    <w:rsid w:val="001D5CA3"/>
    <w:rsid w:val="001D5D06"/>
    <w:rsid w:val="001D603A"/>
    <w:rsid w:val="001D7095"/>
    <w:rsid w:val="001D7543"/>
    <w:rsid w:val="001D79BB"/>
    <w:rsid w:val="001E08AA"/>
    <w:rsid w:val="001E1C81"/>
    <w:rsid w:val="001E2768"/>
    <w:rsid w:val="001E3369"/>
    <w:rsid w:val="001E5F36"/>
    <w:rsid w:val="001F145C"/>
    <w:rsid w:val="001F24B6"/>
    <w:rsid w:val="001F28EC"/>
    <w:rsid w:val="001F2A99"/>
    <w:rsid w:val="001F2EB4"/>
    <w:rsid w:val="00200375"/>
    <w:rsid w:val="002009E4"/>
    <w:rsid w:val="00203C08"/>
    <w:rsid w:val="002053C9"/>
    <w:rsid w:val="00212E0E"/>
    <w:rsid w:val="002164C5"/>
    <w:rsid w:val="00216585"/>
    <w:rsid w:val="002177A8"/>
    <w:rsid w:val="002215B0"/>
    <w:rsid w:val="00221C82"/>
    <w:rsid w:val="00223383"/>
    <w:rsid w:val="002238BD"/>
    <w:rsid w:val="00225940"/>
    <w:rsid w:val="00225C77"/>
    <w:rsid w:val="00226A58"/>
    <w:rsid w:val="002272AA"/>
    <w:rsid w:val="00227D48"/>
    <w:rsid w:val="00232618"/>
    <w:rsid w:val="00232EC5"/>
    <w:rsid w:val="00233EC5"/>
    <w:rsid w:val="00236BCA"/>
    <w:rsid w:val="00243169"/>
    <w:rsid w:val="00244C58"/>
    <w:rsid w:val="00244E5B"/>
    <w:rsid w:val="00250252"/>
    <w:rsid w:val="0025059A"/>
    <w:rsid w:val="00250AF0"/>
    <w:rsid w:val="002512FB"/>
    <w:rsid w:val="00254930"/>
    <w:rsid w:val="0025497B"/>
    <w:rsid w:val="00254DFC"/>
    <w:rsid w:val="00260A6C"/>
    <w:rsid w:val="0026269B"/>
    <w:rsid w:val="00263104"/>
    <w:rsid w:val="002631D6"/>
    <w:rsid w:val="00263CB4"/>
    <w:rsid w:val="002666FF"/>
    <w:rsid w:val="00266AD7"/>
    <w:rsid w:val="00270380"/>
    <w:rsid w:val="00272081"/>
    <w:rsid w:val="00273F07"/>
    <w:rsid w:val="002811EF"/>
    <w:rsid w:val="0028164C"/>
    <w:rsid w:val="0028489D"/>
    <w:rsid w:val="00285044"/>
    <w:rsid w:val="002875C9"/>
    <w:rsid w:val="00290F46"/>
    <w:rsid w:val="00291C45"/>
    <w:rsid w:val="00292C11"/>
    <w:rsid w:val="00297728"/>
    <w:rsid w:val="002A4227"/>
    <w:rsid w:val="002A71A6"/>
    <w:rsid w:val="002B1E29"/>
    <w:rsid w:val="002B2994"/>
    <w:rsid w:val="002B64CE"/>
    <w:rsid w:val="002B65EE"/>
    <w:rsid w:val="002B676F"/>
    <w:rsid w:val="002B72AB"/>
    <w:rsid w:val="002C02C8"/>
    <w:rsid w:val="002C09A3"/>
    <w:rsid w:val="002C3911"/>
    <w:rsid w:val="002C49D1"/>
    <w:rsid w:val="002C653B"/>
    <w:rsid w:val="002C6DC0"/>
    <w:rsid w:val="002C737F"/>
    <w:rsid w:val="002C7CA2"/>
    <w:rsid w:val="002C7ECE"/>
    <w:rsid w:val="002D3D6A"/>
    <w:rsid w:val="002E0AE9"/>
    <w:rsid w:val="002E0F1A"/>
    <w:rsid w:val="002E15F6"/>
    <w:rsid w:val="002E25E2"/>
    <w:rsid w:val="002E4BA2"/>
    <w:rsid w:val="002E51B3"/>
    <w:rsid w:val="002E5F96"/>
    <w:rsid w:val="002E677D"/>
    <w:rsid w:val="002E7EB7"/>
    <w:rsid w:val="002F09E0"/>
    <w:rsid w:val="002F296F"/>
    <w:rsid w:val="002F79DA"/>
    <w:rsid w:val="0030289F"/>
    <w:rsid w:val="003032D8"/>
    <w:rsid w:val="00303B60"/>
    <w:rsid w:val="00303FF3"/>
    <w:rsid w:val="0030661C"/>
    <w:rsid w:val="003075E6"/>
    <w:rsid w:val="00307713"/>
    <w:rsid w:val="00313990"/>
    <w:rsid w:val="00313DF0"/>
    <w:rsid w:val="003152B1"/>
    <w:rsid w:val="00315317"/>
    <w:rsid w:val="00315B1C"/>
    <w:rsid w:val="00316842"/>
    <w:rsid w:val="003175C8"/>
    <w:rsid w:val="00317A4F"/>
    <w:rsid w:val="00317A85"/>
    <w:rsid w:val="00317AF5"/>
    <w:rsid w:val="003202B1"/>
    <w:rsid w:val="003207D1"/>
    <w:rsid w:val="00321003"/>
    <w:rsid w:val="00321824"/>
    <w:rsid w:val="00322BE4"/>
    <w:rsid w:val="00323065"/>
    <w:rsid w:val="00323EB1"/>
    <w:rsid w:val="0032413B"/>
    <w:rsid w:val="0033060E"/>
    <w:rsid w:val="00330938"/>
    <w:rsid w:val="00332DD4"/>
    <w:rsid w:val="00333C7B"/>
    <w:rsid w:val="00335FCE"/>
    <w:rsid w:val="00336639"/>
    <w:rsid w:val="0033703D"/>
    <w:rsid w:val="0034008B"/>
    <w:rsid w:val="00343420"/>
    <w:rsid w:val="00343A6F"/>
    <w:rsid w:val="003464D7"/>
    <w:rsid w:val="00346C73"/>
    <w:rsid w:val="0035252B"/>
    <w:rsid w:val="00352B72"/>
    <w:rsid w:val="00356A12"/>
    <w:rsid w:val="00357478"/>
    <w:rsid w:val="0035788C"/>
    <w:rsid w:val="00361FB8"/>
    <w:rsid w:val="0036367B"/>
    <w:rsid w:val="00365DB8"/>
    <w:rsid w:val="00366169"/>
    <w:rsid w:val="00367403"/>
    <w:rsid w:val="0036745D"/>
    <w:rsid w:val="003704D4"/>
    <w:rsid w:val="00370B10"/>
    <w:rsid w:val="00370BFD"/>
    <w:rsid w:val="00370D3E"/>
    <w:rsid w:val="003721B9"/>
    <w:rsid w:val="003741D1"/>
    <w:rsid w:val="00374629"/>
    <w:rsid w:val="003749CD"/>
    <w:rsid w:val="00375420"/>
    <w:rsid w:val="00380704"/>
    <w:rsid w:val="00381110"/>
    <w:rsid w:val="00385C6E"/>
    <w:rsid w:val="00386160"/>
    <w:rsid w:val="0039191D"/>
    <w:rsid w:val="0039261B"/>
    <w:rsid w:val="003941FB"/>
    <w:rsid w:val="00395A09"/>
    <w:rsid w:val="00397615"/>
    <w:rsid w:val="003A09DA"/>
    <w:rsid w:val="003A1E45"/>
    <w:rsid w:val="003A30B0"/>
    <w:rsid w:val="003A3F74"/>
    <w:rsid w:val="003A4DC0"/>
    <w:rsid w:val="003A6A81"/>
    <w:rsid w:val="003A7CAA"/>
    <w:rsid w:val="003B0E31"/>
    <w:rsid w:val="003B1123"/>
    <w:rsid w:val="003B1B90"/>
    <w:rsid w:val="003B2923"/>
    <w:rsid w:val="003B3EBD"/>
    <w:rsid w:val="003B4395"/>
    <w:rsid w:val="003B751D"/>
    <w:rsid w:val="003C0371"/>
    <w:rsid w:val="003C0BFA"/>
    <w:rsid w:val="003C19C5"/>
    <w:rsid w:val="003C2096"/>
    <w:rsid w:val="003C3598"/>
    <w:rsid w:val="003C3F38"/>
    <w:rsid w:val="003C7575"/>
    <w:rsid w:val="003D166A"/>
    <w:rsid w:val="003D315C"/>
    <w:rsid w:val="003D719C"/>
    <w:rsid w:val="003D71A3"/>
    <w:rsid w:val="003D7F3B"/>
    <w:rsid w:val="003E17A6"/>
    <w:rsid w:val="003E1E22"/>
    <w:rsid w:val="003E2F7B"/>
    <w:rsid w:val="003E4B68"/>
    <w:rsid w:val="003E4C13"/>
    <w:rsid w:val="003E50CF"/>
    <w:rsid w:val="003E58BB"/>
    <w:rsid w:val="003E6175"/>
    <w:rsid w:val="003E707E"/>
    <w:rsid w:val="003F0A56"/>
    <w:rsid w:val="003F2622"/>
    <w:rsid w:val="003F4140"/>
    <w:rsid w:val="003F43A9"/>
    <w:rsid w:val="003F7467"/>
    <w:rsid w:val="004002B5"/>
    <w:rsid w:val="00401166"/>
    <w:rsid w:val="00401994"/>
    <w:rsid w:val="004034F2"/>
    <w:rsid w:val="004049B1"/>
    <w:rsid w:val="004130A2"/>
    <w:rsid w:val="00413CCB"/>
    <w:rsid w:val="00413D7B"/>
    <w:rsid w:val="00415646"/>
    <w:rsid w:val="00416939"/>
    <w:rsid w:val="00416B73"/>
    <w:rsid w:val="004177B7"/>
    <w:rsid w:val="004205C7"/>
    <w:rsid w:val="00421249"/>
    <w:rsid w:val="004221D5"/>
    <w:rsid w:val="004224C3"/>
    <w:rsid w:val="004250E0"/>
    <w:rsid w:val="00425D83"/>
    <w:rsid w:val="00425DCB"/>
    <w:rsid w:val="004317D2"/>
    <w:rsid w:val="00432396"/>
    <w:rsid w:val="004333FC"/>
    <w:rsid w:val="0043381B"/>
    <w:rsid w:val="0043692C"/>
    <w:rsid w:val="00437D4D"/>
    <w:rsid w:val="004414CA"/>
    <w:rsid w:val="00445B0B"/>
    <w:rsid w:val="0044702E"/>
    <w:rsid w:val="004507D4"/>
    <w:rsid w:val="00450DBA"/>
    <w:rsid w:val="00451218"/>
    <w:rsid w:val="0045247F"/>
    <w:rsid w:val="004548E2"/>
    <w:rsid w:val="00454B53"/>
    <w:rsid w:val="0045590C"/>
    <w:rsid w:val="00460127"/>
    <w:rsid w:val="00461221"/>
    <w:rsid w:val="00464ED4"/>
    <w:rsid w:val="004666CC"/>
    <w:rsid w:val="00466F48"/>
    <w:rsid w:val="00467D87"/>
    <w:rsid w:val="00470759"/>
    <w:rsid w:val="00471FCF"/>
    <w:rsid w:val="00473510"/>
    <w:rsid w:val="00473542"/>
    <w:rsid w:val="00473F59"/>
    <w:rsid w:val="004740E9"/>
    <w:rsid w:val="00474384"/>
    <w:rsid w:val="004749FB"/>
    <w:rsid w:val="004754EC"/>
    <w:rsid w:val="0047718B"/>
    <w:rsid w:val="00480651"/>
    <w:rsid w:val="004809C1"/>
    <w:rsid w:val="00480BD2"/>
    <w:rsid w:val="00481B4A"/>
    <w:rsid w:val="00482734"/>
    <w:rsid w:val="00483DCE"/>
    <w:rsid w:val="0048733B"/>
    <w:rsid w:val="004A1BDB"/>
    <w:rsid w:val="004A2271"/>
    <w:rsid w:val="004A324C"/>
    <w:rsid w:val="004A4A18"/>
    <w:rsid w:val="004A5233"/>
    <w:rsid w:val="004A6A72"/>
    <w:rsid w:val="004A7134"/>
    <w:rsid w:val="004B122C"/>
    <w:rsid w:val="004B129D"/>
    <w:rsid w:val="004B1800"/>
    <w:rsid w:val="004B70D5"/>
    <w:rsid w:val="004C2663"/>
    <w:rsid w:val="004C453B"/>
    <w:rsid w:val="004D2D01"/>
    <w:rsid w:val="004D3BFF"/>
    <w:rsid w:val="004D428E"/>
    <w:rsid w:val="004D444B"/>
    <w:rsid w:val="004D7953"/>
    <w:rsid w:val="004E03D6"/>
    <w:rsid w:val="004E1060"/>
    <w:rsid w:val="004E2018"/>
    <w:rsid w:val="004E209A"/>
    <w:rsid w:val="004E2644"/>
    <w:rsid w:val="004E3AE2"/>
    <w:rsid w:val="004E4584"/>
    <w:rsid w:val="004E4C5B"/>
    <w:rsid w:val="004E53FD"/>
    <w:rsid w:val="004E6172"/>
    <w:rsid w:val="004E6919"/>
    <w:rsid w:val="004F08C2"/>
    <w:rsid w:val="004F1340"/>
    <w:rsid w:val="004F1D25"/>
    <w:rsid w:val="004F2B3D"/>
    <w:rsid w:val="004F2C2D"/>
    <w:rsid w:val="004F4CA0"/>
    <w:rsid w:val="004F4E5C"/>
    <w:rsid w:val="004F515C"/>
    <w:rsid w:val="004F5D5B"/>
    <w:rsid w:val="0050038E"/>
    <w:rsid w:val="00503AC3"/>
    <w:rsid w:val="00505767"/>
    <w:rsid w:val="005071C3"/>
    <w:rsid w:val="005120CA"/>
    <w:rsid w:val="00512FA3"/>
    <w:rsid w:val="0051329A"/>
    <w:rsid w:val="00513B74"/>
    <w:rsid w:val="005170D9"/>
    <w:rsid w:val="00521D02"/>
    <w:rsid w:val="0052299D"/>
    <w:rsid w:val="00522AA7"/>
    <w:rsid w:val="00523026"/>
    <w:rsid w:val="0052338F"/>
    <w:rsid w:val="00525ACD"/>
    <w:rsid w:val="00526F6E"/>
    <w:rsid w:val="00527A48"/>
    <w:rsid w:val="0053088F"/>
    <w:rsid w:val="00530E54"/>
    <w:rsid w:val="00534DE0"/>
    <w:rsid w:val="00535A01"/>
    <w:rsid w:val="0053694E"/>
    <w:rsid w:val="00536BA2"/>
    <w:rsid w:val="00536E13"/>
    <w:rsid w:val="00540CE0"/>
    <w:rsid w:val="00542BD6"/>
    <w:rsid w:val="00543AC1"/>
    <w:rsid w:val="00546406"/>
    <w:rsid w:val="00547DA1"/>
    <w:rsid w:val="0055099F"/>
    <w:rsid w:val="0055126D"/>
    <w:rsid w:val="00551640"/>
    <w:rsid w:val="005517B2"/>
    <w:rsid w:val="00553273"/>
    <w:rsid w:val="00557884"/>
    <w:rsid w:val="00561ACA"/>
    <w:rsid w:val="00561F49"/>
    <w:rsid w:val="00564723"/>
    <w:rsid w:val="00564D66"/>
    <w:rsid w:val="005669CB"/>
    <w:rsid w:val="00570D75"/>
    <w:rsid w:val="005727D6"/>
    <w:rsid w:val="00576F18"/>
    <w:rsid w:val="00577081"/>
    <w:rsid w:val="00581D14"/>
    <w:rsid w:val="00584C0F"/>
    <w:rsid w:val="00585980"/>
    <w:rsid w:val="00586D2B"/>
    <w:rsid w:val="00587DD8"/>
    <w:rsid w:val="00587FE2"/>
    <w:rsid w:val="00590149"/>
    <w:rsid w:val="005913CC"/>
    <w:rsid w:val="005927A9"/>
    <w:rsid w:val="005938E8"/>
    <w:rsid w:val="005942BF"/>
    <w:rsid w:val="00594495"/>
    <w:rsid w:val="00595874"/>
    <w:rsid w:val="005A3F76"/>
    <w:rsid w:val="005A4124"/>
    <w:rsid w:val="005A41C8"/>
    <w:rsid w:val="005A69E1"/>
    <w:rsid w:val="005B0BD9"/>
    <w:rsid w:val="005B1BBA"/>
    <w:rsid w:val="005B21C3"/>
    <w:rsid w:val="005B22A3"/>
    <w:rsid w:val="005B4E7F"/>
    <w:rsid w:val="005B5128"/>
    <w:rsid w:val="005B686D"/>
    <w:rsid w:val="005B71F8"/>
    <w:rsid w:val="005C1DF0"/>
    <w:rsid w:val="005C35CE"/>
    <w:rsid w:val="005C44D7"/>
    <w:rsid w:val="005C6C36"/>
    <w:rsid w:val="005D28BE"/>
    <w:rsid w:val="005D2CC6"/>
    <w:rsid w:val="005D431E"/>
    <w:rsid w:val="005D43D0"/>
    <w:rsid w:val="005D56E5"/>
    <w:rsid w:val="005D5790"/>
    <w:rsid w:val="005D5F6D"/>
    <w:rsid w:val="005D607A"/>
    <w:rsid w:val="005D60B9"/>
    <w:rsid w:val="005E2DAA"/>
    <w:rsid w:val="005E4090"/>
    <w:rsid w:val="005E4B8D"/>
    <w:rsid w:val="005E5692"/>
    <w:rsid w:val="005E6226"/>
    <w:rsid w:val="005F0743"/>
    <w:rsid w:val="005F5EE3"/>
    <w:rsid w:val="005F6713"/>
    <w:rsid w:val="006003FE"/>
    <w:rsid w:val="00601F2A"/>
    <w:rsid w:val="00603899"/>
    <w:rsid w:val="00607D6B"/>
    <w:rsid w:val="00611004"/>
    <w:rsid w:val="00611ECC"/>
    <w:rsid w:val="00612497"/>
    <w:rsid w:val="0061260C"/>
    <w:rsid w:val="006128E0"/>
    <w:rsid w:val="0061417A"/>
    <w:rsid w:val="00614BD2"/>
    <w:rsid w:val="0061589C"/>
    <w:rsid w:val="00616297"/>
    <w:rsid w:val="00616528"/>
    <w:rsid w:val="0061788C"/>
    <w:rsid w:val="006201A4"/>
    <w:rsid w:val="00623682"/>
    <w:rsid w:val="006270E1"/>
    <w:rsid w:val="00630BD1"/>
    <w:rsid w:val="006318CA"/>
    <w:rsid w:val="00631E69"/>
    <w:rsid w:val="0063367B"/>
    <w:rsid w:val="0063468E"/>
    <w:rsid w:val="00634F41"/>
    <w:rsid w:val="00636744"/>
    <w:rsid w:val="00636D0F"/>
    <w:rsid w:val="00637A8F"/>
    <w:rsid w:val="0064174A"/>
    <w:rsid w:val="00643CA0"/>
    <w:rsid w:val="006443DA"/>
    <w:rsid w:val="00644C4D"/>
    <w:rsid w:val="00645902"/>
    <w:rsid w:val="00646937"/>
    <w:rsid w:val="00646F49"/>
    <w:rsid w:val="00647022"/>
    <w:rsid w:val="00647DE9"/>
    <w:rsid w:val="00647F11"/>
    <w:rsid w:val="006508C1"/>
    <w:rsid w:val="00654221"/>
    <w:rsid w:val="00654CD3"/>
    <w:rsid w:val="006601C9"/>
    <w:rsid w:val="00661970"/>
    <w:rsid w:val="0066207E"/>
    <w:rsid w:val="00663B67"/>
    <w:rsid w:val="00663F62"/>
    <w:rsid w:val="00665A83"/>
    <w:rsid w:val="00666795"/>
    <w:rsid w:val="00670852"/>
    <w:rsid w:val="00672E00"/>
    <w:rsid w:val="0067336D"/>
    <w:rsid w:val="00675479"/>
    <w:rsid w:val="00677FF1"/>
    <w:rsid w:val="006802EF"/>
    <w:rsid w:val="006834F1"/>
    <w:rsid w:val="0068381A"/>
    <w:rsid w:val="006845D3"/>
    <w:rsid w:val="00686537"/>
    <w:rsid w:val="0068745F"/>
    <w:rsid w:val="006917C4"/>
    <w:rsid w:val="00691930"/>
    <w:rsid w:val="00692972"/>
    <w:rsid w:val="00692AFB"/>
    <w:rsid w:val="00692F62"/>
    <w:rsid w:val="006934A6"/>
    <w:rsid w:val="00694156"/>
    <w:rsid w:val="006947D9"/>
    <w:rsid w:val="006949D5"/>
    <w:rsid w:val="00694E8E"/>
    <w:rsid w:val="00694F9E"/>
    <w:rsid w:val="00695B07"/>
    <w:rsid w:val="00697EC2"/>
    <w:rsid w:val="006A1C4D"/>
    <w:rsid w:val="006A49DE"/>
    <w:rsid w:val="006B0D1C"/>
    <w:rsid w:val="006B66BA"/>
    <w:rsid w:val="006C0DF2"/>
    <w:rsid w:val="006C4EB1"/>
    <w:rsid w:val="006C5EE5"/>
    <w:rsid w:val="006C7C1E"/>
    <w:rsid w:val="006D19F3"/>
    <w:rsid w:val="006D2B4A"/>
    <w:rsid w:val="006D2ED0"/>
    <w:rsid w:val="006D2FF9"/>
    <w:rsid w:val="006D4F5C"/>
    <w:rsid w:val="006D6B18"/>
    <w:rsid w:val="006E0DA0"/>
    <w:rsid w:val="006E2C09"/>
    <w:rsid w:val="006E364B"/>
    <w:rsid w:val="006E4CBA"/>
    <w:rsid w:val="006E50EB"/>
    <w:rsid w:val="006E6409"/>
    <w:rsid w:val="006E65E1"/>
    <w:rsid w:val="006E681C"/>
    <w:rsid w:val="006E741E"/>
    <w:rsid w:val="006F1223"/>
    <w:rsid w:val="006F1C8C"/>
    <w:rsid w:val="006F3F69"/>
    <w:rsid w:val="006F53A1"/>
    <w:rsid w:val="006F558F"/>
    <w:rsid w:val="006F59C7"/>
    <w:rsid w:val="006F7293"/>
    <w:rsid w:val="00701F47"/>
    <w:rsid w:val="007049D9"/>
    <w:rsid w:val="007058C6"/>
    <w:rsid w:val="007060A1"/>
    <w:rsid w:val="007065C6"/>
    <w:rsid w:val="007068BB"/>
    <w:rsid w:val="00706B2C"/>
    <w:rsid w:val="00707653"/>
    <w:rsid w:val="00712260"/>
    <w:rsid w:val="0071322C"/>
    <w:rsid w:val="00713B73"/>
    <w:rsid w:val="00716506"/>
    <w:rsid w:val="00720241"/>
    <w:rsid w:val="007211E6"/>
    <w:rsid w:val="0072253C"/>
    <w:rsid w:val="00722850"/>
    <w:rsid w:val="007238A3"/>
    <w:rsid w:val="00725497"/>
    <w:rsid w:val="007266B8"/>
    <w:rsid w:val="00733F5D"/>
    <w:rsid w:val="00735A15"/>
    <w:rsid w:val="00735FA3"/>
    <w:rsid w:val="00741F3B"/>
    <w:rsid w:val="00742238"/>
    <w:rsid w:val="00745905"/>
    <w:rsid w:val="007472FC"/>
    <w:rsid w:val="0074737E"/>
    <w:rsid w:val="0075020F"/>
    <w:rsid w:val="00760BBF"/>
    <w:rsid w:val="00761A0C"/>
    <w:rsid w:val="00764107"/>
    <w:rsid w:val="0076592C"/>
    <w:rsid w:val="00766E91"/>
    <w:rsid w:val="00767C89"/>
    <w:rsid w:val="00771568"/>
    <w:rsid w:val="007745C6"/>
    <w:rsid w:val="00774A57"/>
    <w:rsid w:val="007756D9"/>
    <w:rsid w:val="00780914"/>
    <w:rsid w:val="007827B6"/>
    <w:rsid w:val="00782F8E"/>
    <w:rsid w:val="00783B06"/>
    <w:rsid w:val="00783BA8"/>
    <w:rsid w:val="00784D3F"/>
    <w:rsid w:val="00786B91"/>
    <w:rsid w:val="00787393"/>
    <w:rsid w:val="00790605"/>
    <w:rsid w:val="007951A0"/>
    <w:rsid w:val="00795878"/>
    <w:rsid w:val="00796CF2"/>
    <w:rsid w:val="00797F3A"/>
    <w:rsid w:val="007A0191"/>
    <w:rsid w:val="007A1BFE"/>
    <w:rsid w:val="007A48B9"/>
    <w:rsid w:val="007A5B75"/>
    <w:rsid w:val="007B16E9"/>
    <w:rsid w:val="007B35E4"/>
    <w:rsid w:val="007B59E6"/>
    <w:rsid w:val="007C2171"/>
    <w:rsid w:val="007C2B10"/>
    <w:rsid w:val="007C3090"/>
    <w:rsid w:val="007C3C67"/>
    <w:rsid w:val="007C4528"/>
    <w:rsid w:val="007C465E"/>
    <w:rsid w:val="007C7398"/>
    <w:rsid w:val="007C78B1"/>
    <w:rsid w:val="007D01B0"/>
    <w:rsid w:val="007D04ED"/>
    <w:rsid w:val="007D1E9C"/>
    <w:rsid w:val="007D23C2"/>
    <w:rsid w:val="007D3636"/>
    <w:rsid w:val="007D4830"/>
    <w:rsid w:val="007D4A89"/>
    <w:rsid w:val="007E0F1A"/>
    <w:rsid w:val="007E1684"/>
    <w:rsid w:val="007E210C"/>
    <w:rsid w:val="007E3EBA"/>
    <w:rsid w:val="007E4910"/>
    <w:rsid w:val="007E4C2A"/>
    <w:rsid w:val="007E501F"/>
    <w:rsid w:val="007E534C"/>
    <w:rsid w:val="007E67FF"/>
    <w:rsid w:val="007F2FDE"/>
    <w:rsid w:val="007F5704"/>
    <w:rsid w:val="007F620E"/>
    <w:rsid w:val="007F7B60"/>
    <w:rsid w:val="00800A1C"/>
    <w:rsid w:val="00802EC2"/>
    <w:rsid w:val="00807A67"/>
    <w:rsid w:val="008103E1"/>
    <w:rsid w:val="00811F9A"/>
    <w:rsid w:val="0081494E"/>
    <w:rsid w:val="008178AE"/>
    <w:rsid w:val="00817ACB"/>
    <w:rsid w:val="00817E21"/>
    <w:rsid w:val="00824BAF"/>
    <w:rsid w:val="00831539"/>
    <w:rsid w:val="00833ABD"/>
    <w:rsid w:val="00833E39"/>
    <w:rsid w:val="0083433E"/>
    <w:rsid w:val="00834F4A"/>
    <w:rsid w:val="00836075"/>
    <w:rsid w:val="0083664E"/>
    <w:rsid w:val="008404FC"/>
    <w:rsid w:val="008406A7"/>
    <w:rsid w:val="0084300C"/>
    <w:rsid w:val="00844BFC"/>
    <w:rsid w:val="00844D9F"/>
    <w:rsid w:val="008453C1"/>
    <w:rsid w:val="008456E8"/>
    <w:rsid w:val="0085323B"/>
    <w:rsid w:val="0085346F"/>
    <w:rsid w:val="00853BB8"/>
    <w:rsid w:val="008549C8"/>
    <w:rsid w:val="00854CB4"/>
    <w:rsid w:val="00854E65"/>
    <w:rsid w:val="008555C5"/>
    <w:rsid w:val="008571FB"/>
    <w:rsid w:val="00860DD4"/>
    <w:rsid w:val="008617B4"/>
    <w:rsid w:val="00862789"/>
    <w:rsid w:val="008633B1"/>
    <w:rsid w:val="00863C08"/>
    <w:rsid w:val="0086501D"/>
    <w:rsid w:val="00866070"/>
    <w:rsid w:val="00867C94"/>
    <w:rsid w:val="00871BD2"/>
    <w:rsid w:val="00873CF8"/>
    <w:rsid w:val="00877B43"/>
    <w:rsid w:val="00881CBB"/>
    <w:rsid w:val="008821E2"/>
    <w:rsid w:val="00882717"/>
    <w:rsid w:val="00882EDC"/>
    <w:rsid w:val="00884078"/>
    <w:rsid w:val="00885BF4"/>
    <w:rsid w:val="00886305"/>
    <w:rsid w:val="00887A06"/>
    <w:rsid w:val="00887EEE"/>
    <w:rsid w:val="0089034D"/>
    <w:rsid w:val="00891C93"/>
    <w:rsid w:val="0089209F"/>
    <w:rsid w:val="008925F9"/>
    <w:rsid w:val="00893D74"/>
    <w:rsid w:val="00895413"/>
    <w:rsid w:val="00897044"/>
    <w:rsid w:val="00897169"/>
    <w:rsid w:val="008A1A2E"/>
    <w:rsid w:val="008A3690"/>
    <w:rsid w:val="008A65FB"/>
    <w:rsid w:val="008A7074"/>
    <w:rsid w:val="008A7347"/>
    <w:rsid w:val="008B06B5"/>
    <w:rsid w:val="008B0974"/>
    <w:rsid w:val="008B23E2"/>
    <w:rsid w:val="008B64FB"/>
    <w:rsid w:val="008B6659"/>
    <w:rsid w:val="008B7CFB"/>
    <w:rsid w:val="008C0F04"/>
    <w:rsid w:val="008C0FC7"/>
    <w:rsid w:val="008C35CE"/>
    <w:rsid w:val="008C3616"/>
    <w:rsid w:val="008C3DFF"/>
    <w:rsid w:val="008D0C31"/>
    <w:rsid w:val="008D1A2C"/>
    <w:rsid w:val="008D1D4A"/>
    <w:rsid w:val="008D51EA"/>
    <w:rsid w:val="008D565C"/>
    <w:rsid w:val="008E1A0D"/>
    <w:rsid w:val="008E1D6D"/>
    <w:rsid w:val="008E3CD7"/>
    <w:rsid w:val="008E5D35"/>
    <w:rsid w:val="008E7287"/>
    <w:rsid w:val="008F05A7"/>
    <w:rsid w:val="008F1343"/>
    <w:rsid w:val="008F2AA2"/>
    <w:rsid w:val="008F503B"/>
    <w:rsid w:val="008F59A7"/>
    <w:rsid w:val="008F59C7"/>
    <w:rsid w:val="008F7072"/>
    <w:rsid w:val="00903FE3"/>
    <w:rsid w:val="00904CB1"/>
    <w:rsid w:val="009059AD"/>
    <w:rsid w:val="00905AFF"/>
    <w:rsid w:val="0091133E"/>
    <w:rsid w:val="00912079"/>
    <w:rsid w:val="009127A2"/>
    <w:rsid w:val="00912C01"/>
    <w:rsid w:val="00913A69"/>
    <w:rsid w:val="0091442B"/>
    <w:rsid w:val="009164EE"/>
    <w:rsid w:val="00916A4D"/>
    <w:rsid w:val="00917126"/>
    <w:rsid w:val="00917401"/>
    <w:rsid w:val="00924A8B"/>
    <w:rsid w:val="00924FBA"/>
    <w:rsid w:val="009250B3"/>
    <w:rsid w:val="009253F7"/>
    <w:rsid w:val="00925ECF"/>
    <w:rsid w:val="00927FEA"/>
    <w:rsid w:val="009308D8"/>
    <w:rsid w:val="009311E3"/>
    <w:rsid w:val="009338A6"/>
    <w:rsid w:val="00934147"/>
    <w:rsid w:val="00936D88"/>
    <w:rsid w:val="00937798"/>
    <w:rsid w:val="00941816"/>
    <w:rsid w:val="00944A5E"/>
    <w:rsid w:val="00944BC1"/>
    <w:rsid w:val="009500F1"/>
    <w:rsid w:val="009505DE"/>
    <w:rsid w:val="009508A4"/>
    <w:rsid w:val="00951719"/>
    <w:rsid w:val="00952BEF"/>
    <w:rsid w:val="009538FD"/>
    <w:rsid w:val="009548AE"/>
    <w:rsid w:val="00955526"/>
    <w:rsid w:val="00956A95"/>
    <w:rsid w:val="00956FC0"/>
    <w:rsid w:val="00957498"/>
    <w:rsid w:val="00960608"/>
    <w:rsid w:val="0096184B"/>
    <w:rsid w:val="0096232E"/>
    <w:rsid w:val="009656E6"/>
    <w:rsid w:val="009679A4"/>
    <w:rsid w:val="00967C80"/>
    <w:rsid w:val="00967E94"/>
    <w:rsid w:val="009715E8"/>
    <w:rsid w:val="00971E05"/>
    <w:rsid w:val="0097339D"/>
    <w:rsid w:val="009753F4"/>
    <w:rsid w:val="00976BCA"/>
    <w:rsid w:val="00981470"/>
    <w:rsid w:val="009825F3"/>
    <w:rsid w:val="00982765"/>
    <w:rsid w:val="009832AA"/>
    <w:rsid w:val="00985A68"/>
    <w:rsid w:val="009871F6"/>
    <w:rsid w:val="00990439"/>
    <w:rsid w:val="00990B99"/>
    <w:rsid w:val="00992CF8"/>
    <w:rsid w:val="0099395C"/>
    <w:rsid w:val="009954AA"/>
    <w:rsid w:val="009A1BED"/>
    <w:rsid w:val="009A33F8"/>
    <w:rsid w:val="009A5C33"/>
    <w:rsid w:val="009B086A"/>
    <w:rsid w:val="009B27EF"/>
    <w:rsid w:val="009B3CF0"/>
    <w:rsid w:val="009B4B1D"/>
    <w:rsid w:val="009B591D"/>
    <w:rsid w:val="009B71DD"/>
    <w:rsid w:val="009B72EE"/>
    <w:rsid w:val="009C085B"/>
    <w:rsid w:val="009C122E"/>
    <w:rsid w:val="009C37A9"/>
    <w:rsid w:val="009C425A"/>
    <w:rsid w:val="009C7F1D"/>
    <w:rsid w:val="009C7FBC"/>
    <w:rsid w:val="009D24E6"/>
    <w:rsid w:val="009D38C2"/>
    <w:rsid w:val="009D3E9D"/>
    <w:rsid w:val="009D435C"/>
    <w:rsid w:val="009D45FF"/>
    <w:rsid w:val="009D5EB1"/>
    <w:rsid w:val="009D7E40"/>
    <w:rsid w:val="009E3E15"/>
    <w:rsid w:val="009E68C8"/>
    <w:rsid w:val="009F027C"/>
    <w:rsid w:val="009F0E8E"/>
    <w:rsid w:val="009F1D3E"/>
    <w:rsid w:val="009F1D79"/>
    <w:rsid w:val="009F3E44"/>
    <w:rsid w:val="009F5A8F"/>
    <w:rsid w:val="00A01ABF"/>
    <w:rsid w:val="00A060CB"/>
    <w:rsid w:val="00A1019E"/>
    <w:rsid w:val="00A11753"/>
    <w:rsid w:val="00A124C3"/>
    <w:rsid w:val="00A1462A"/>
    <w:rsid w:val="00A20B90"/>
    <w:rsid w:val="00A20D91"/>
    <w:rsid w:val="00A22D1A"/>
    <w:rsid w:val="00A22EF7"/>
    <w:rsid w:val="00A251B3"/>
    <w:rsid w:val="00A26D44"/>
    <w:rsid w:val="00A300A4"/>
    <w:rsid w:val="00A317B1"/>
    <w:rsid w:val="00A32895"/>
    <w:rsid w:val="00A3388A"/>
    <w:rsid w:val="00A33A9E"/>
    <w:rsid w:val="00A346DA"/>
    <w:rsid w:val="00A34D9E"/>
    <w:rsid w:val="00A3678B"/>
    <w:rsid w:val="00A40300"/>
    <w:rsid w:val="00A473F4"/>
    <w:rsid w:val="00A47696"/>
    <w:rsid w:val="00A53DCE"/>
    <w:rsid w:val="00A551C8"/>
    <w:rsid w:val="00A55C0E"/>
    <w:rsid w:val="00A55DCA"/>
    <w:rsid w:val="00A56965"/>
    <w:rsid w:val="00A572D4"/>
    <w:rsid w:val="00A57E1F"/>
    <w:rsid w:val="00A6110D"/>
    <w:rsid w:val="00A623A4"/>
    <w:rsid w:val="00A623FB"/>
    <w:rsid w:val="00A65E89"/>
    <w:rsid w:val="00A70406"/>
    <w:rsid w:val="00A70AE5"/>
    <w:rsid w:val="00A757C5"/>
    <w:rsid w:val="00A758CA"/>
    <w:rsid w:val="00A7734A"/>
    <w:rsid w:val="00A80E92"/>
    <w:rsid w:val="00A81719"/>
    <w:rsid w:val="00A81B5E"/>
    <w:rsid w:val="00A81F64"/>
    <w:rsid w:val="00A85726"/>
    <w:rsid w:val="00A861CC"/>
    <w:rsid w:val="00A87C14"/>
    <w:rsid w:val="00A87FA6"/>
    <w:rsid w:val="00A914AD"/>
    <w:rsid w:val="00A93529"/>
    <w:rsid w:val="00A94199"/>
    <w:rsid w:val="00A95752"/>
    <w:rsid w:val="00AA147D"/>
    <w:rsid w:val="00AA20D0"/>
    <w:rsid w:val="00AA2C5B"/>
    <w:rsid w:val="00AA51A0"/>
    <w:rsid w:val="00AB0565"/>
    <w:rsid w:val="00AB3967"/>
    <w:rsid w:val="00AB3ACC"/>
    <w:rsid w:val="00AB46D3"/>
    <w:rsid w:val="00AB60E8"/>
    <w:rsid w:val="00AB610C"/>
    <w:rsid w:val="00AC0DA7"/>
    <w:rsid w:val="00AC2634"/>
    <w:rsid w:val="00AC79CF"/>
    <w:rsid w:val="00AD0019"/>
    <w:rsid w:val="00AD03B4"/>
    <w:rsid w:val="00AD2836"/>
    <w:rsid w:val="00AD3BA9"/>
    <w:rsid w:val="00AD4F0A"/>
    <w:rsid w:val="00AE4CD5"/>
    <w:rsid w:val="00AF0741"/>
    <w:rsid w:val="00AF09CE"/>
    <w:rsid w:val="00AF2FFD"/>
    <w:rsid w:val="00AF308F"/>
    <w:rsid w:val="00AF4406"/>
    <w:rsid w:val="00AF5382"/>
    <w:rsid w:val="00AF6FDD"/>
    <w:rsid w:val="00AF7E09"/>
    <w:rsid w:val="00B01041"/>
    <w:rsid w:val="00B011B5"/>
    <w:rsid w:val="00B014AD"/>
    <w:rsid w:val="00B01E19"/>
    <w:rsid w:val="00B048BA"/>
    <w:rsid w:val="00B04AF8"/>
    <w:rsid w:val="00B04EF5"/>
    <w:rsid w:val="00B10B90"/>
    <w:rsid w:val="00B11758"/>
    <w:rsid w:val="00B1272A"/>
    <w:rsid w:val="00B156FF"/>
    <w:rsid w:val="00B15A27"/>
    <w:rsid w:val="00B2163A"/>
    <w:rsid w:val="00B22885"/>
    <w:rsid w:val="00B2407A"/>
    <w:rsid w:val="00B2545D"/>
    <w:rsid w:val="00B31D41"/>
    <w:rsid w:val="00B328AF"/>
    <w:rsid w:val="00B32B8F"/>
    <w:rsid w:val="00B3524B"/>
    <w:rsid w:val="00B35552"/>
    <w:rsid w:val="00B35B0A"/>
    <w:rsid w:val="00B35DBD"/>
    <w:rsid w:val="00B364FE"/>
    <w:rsid w:val="00B37FA3"/>
    <w:rsid w:val="00B40163"/>
    <w:rsid w:val="00B41C1A"/>
    <w:rsid w:val="00B428D0"/>
    <w:rsid w:val="00B431BF"/>
    <w:rsid w:val="00B4400A"/>
    <w:rsid w:val="00B45852"/>
    <w:rsid w:val="00B475F3"/>
    <w:rsid w:val="00B52EE9"/>
    <w:rsid w:val="00B53BC9"/>
    <w:rsid w:val="00B53EA7"/>
    <w:rsid w:val="00B55EB4"/>
    <w:rsid w:val="00B57BD7"/>
    <w:rsid w:val="00B622AA"/>
    <w:rsid w:val="00B70C85"/>
    <w:rsid w:val="00B7208D"/>
    <w:rsid w:val="00B7238F"/>
    <w:rsid w:val="00B72706"/>
    <w:rsid w:val="00B72D3A"/>
    <w:rsid w:val="00B73692"/>
    <w:rsid w:val="00B768DD"/>
    <w:rsid w:val="00B77709"/>
    <w:rsid w:val="00B801F1"/>
    <w:rsid w:val="00B807D6"/>
    <w:rsid w:val="00B81370"/>
    <w:rsid w:val="00B86CFB"/>
    <w:rsid w:val="00B90E62"/>
    <w:rsid w:val="00B93F1C"/>
    <w:rsid w:val="00B96E80"/>
    <w:rsid w:val="00B971CC"/>
    <w:rsid w:val="00BA1F86"/>
    <w:rsid w:val="00BA2BD4"/>
    <w:rsid w:val="00BA5390"/>
    <w:rsid w:val="00BA603C"/>
    <w:rsid w:val="00BA70D5"/>
    <w:rsid w:val="00BA70D6"/>
    <w:rsid w:val="00BB054C"/>
    <w:rsid w:val="00BB1994"/>
    <w:rsid w:val="00BB3226"/>
    <w:rsid w:val="00BB5321"/>
    <w:rsid w:val="00BB56E0"/>
    <w:rsid w:val="00BB580C"/>
    <w:rsid w:val="00BB58E7"/>
    <w:rsid w:val="00BB6E48"/>
    <w:rsid w:val="00BB7D77"/>
    <w:rsid w:val="00BC0CEF"/>
    <w:rsid w:val="00BC2A10"/>
    <w:rsid w:val="00BC5299"/>
    <w:rsid w:val="00BC6D1F"/>
    <w:rsid w:val="00BD5887"/>
    <w:rsid w:val="00BD7FA6"/>
    <w:rsid w:val="00BE0B4D"/>
    <w:rsid w:val="00BE173A"/>
    <w:rsid w:val="00BE31E2"/>
    <w:rsid w:val="00BE3D06"/>
    <w:rsid w:val="00BE40FC"/>
    <w:rsid w:val="00BF0830"/>
    <w:rsid w:val="00BF3D6E"/>
    <w:rsid w:val="00BF5883"/>
    <w:rsid w:val="00BF661D"/>
    <w:rsid w:val="00BF6D91"/>
    <w:rsid w:val="00BF7925"/>
    <w:rsid w:val="00BF7B56"/>
    <w:rsid w:val="00C0186B"/>
    <w:rsid w:val="00C02A79"/>
    <w:rsid w:val="00C030C0"/>
    <w:rsid w:val="00C04380"/>
    <w:rsid w:val="00C07099"/>
    <w:rsid w:val="00C07D57"/>
    <w:rsid w:val="00C138E1"/>
    <w:rsid w:val="00C1567F"/>
    <w:rsid w:val="00C156A3"/>
    <w:rsid w:val="00C156B5"/>
    <w:rsid w:val="00C157A9"/>
    <w:rsid w:val="00C16F4C"/>
    <w:rsid w:val="00C21E4B"/>
    <w:rsid w:val="00C247E9"/>
    <w:rsid w:val="00C25A9F"/>
    <w:rsid w:val="00C3030A"/>
    <w:rsid w:val="00C30E1D"/>
    <w:rsid w:val="00C31760"/>
    <w:rsid w:val="00C31937"/>
    <w:rsid w:val="00C3349D"/>
    <w:rsid w:val="00C33F24"/>
    <w:rsid w:val="00C34DB8"/>
    <w:rsid w:val="00C36F77"/>
    <w:rsid w:val="00C41191"/>
    <w:rsid w:val="00C42E08"/>
    <w:rsid w:val="00C430A7"/>
    <w:rsid w:val="00C4509A"/>
    <w:rsid w:val="00C452A1"/>
    <w:rsid w:val="00C50398"/>
    <w:rsid w:val="00C51153"/>
    <w:rsid w:val="00C51205"/>
    <w:rsid w:val="00C53C7C"/>
    <w:rsid w:val="00C53DED"/>
    <w:rsid w:val="00C54F67"/>
    <w:rsid w:val="00C5640C"/>
    <w:rsid w:val="00C570E9"/>
    <w:rsid w:val="00C57489"/>
    <w:rsid w:val="00C60B06"/>
    <w:rsid w:val="00C60C81"/>
    <w:rsid w:val="00C61329"/>
    <w:rsid w:val="00C6587D"/>
    <w:rsid w:val="00C66C30"/>
    <w:rsid w:val="00C67238"/>
    <w:rsid w:val="00C70599"/>
    <w:rsid w:val="00C7076A"/>
    <w:rsid w:val="00C70AD7"/>
    <w:rsid w:val="00C70B76"/>
    <w:rsid w:val="00C70E5A"/>
    <w:rsid w:val="00C73578"/>
    <w:rsid w:val="00C736CC"/>
    <w:rsid w:val="00C742D8"/>
    <w:rsid w:val="00C762CF"/>
    <w:rsid w:val="00C7654A"/>
    <w:rsid w:val="00C7778A"/>
    <w:rsid w:val="00C82E4C"/>
    <w:rsid w:val="00C83737"/>
    <w:rsid w:val="00C845CE"/>
    <w:rsid w:val="00C86A41"/>
    <w:rsid w:val="00C8773B"/>
    <w:rsid w:val="00C94E2F"/>
    <w:rsid w:val="00C967D1"/>
    <w:rsid w:val="00CA402F"/>
    <w:rsid w:val="00CA40F2"/>
    <w:rsid w:val="00CA558A"/>
    <w:rsid w:val="00CA5777"/>
    <w:rsid w:val="00CA66B7"/>
    <w:rsid w:val="00CA7466"/>
    <w:rsid w:val="00CB0016"/>
    <w:rsid w:val="00CB0F84"/>
    <w:rsid w:val="00CB151D"/>
    <w:rsid w:val="00CB155B"/>
    <w:rsid w:val="00CB262A"/>
    <w:rsid w:val="00CB53DD"/>
    <w:rsid w:val="00CB6150"/>
    <w:rsid w:val="00CB7241"/>
    <w:rsid w:val="00CC1029"/>
    <w:rsid w:val="00CC12F4"/>
    <w:rsid w:val="00CC1757"/>
    <w:rsid w:val="00CC1DA0"/>
    <w:rsid w:val="00CC2C10"/>
    <w:rsid w:val="00CC31CE"/>
    <w:rsid w:val="00CC41EB"/>
    <w:rsid w:val="00CC468E"/>
    <w:rsid w:val="00CC5EC4"/>
    <w:rsid w:val="00CC6CF9"/>
    <w:rsid w:val="00CC6DA0"/>
    <w:rsid w:val="00CC729B"/>
    <w:rsid w:val="00CD2D55"/>
    <w:rsid w:val="00CD370C"/>
    <w:rsid w:val="00CD49E4"/>
    <w:rsid w:val="00CD50B1"/>
    <w:rsid w:val="00CD6F1C"/>
    <w:rsid w:val="00CD732D"/>
    <w:rsid w:val="00CD7376"/>
    <w:rsid w:val="00CE48D2"/>
    <w:rsid w:val="00CE52A5"/>
    <w:rsid w:val="00CE7639"/>
    <w:rsid w:val="00CF034F"/>
    <w:rsid w:val="00CF09F6"/>
    <w:rsid w:val="00CF5C40"/>
    <w:rsid w:val="00CF6BB6"/>
    <w:rsid w:val="00D004AE"/>
    <w:rsid w:val="00D045D6"/>
    <w:rsid w:val="00D04943"/>
    <w:rsid w:val="00D05B88"/>
    <w:rsid w:val="00D06BC2"/>
    <w:rsid w:val="00D100CE"/>
    <w:rsid w:val="00D10AAE"/>
    <w:rsid w:val="00D10FE1"/>
    <w:rsid w:val="00D13EC0"/>
    <w:rsid w:val="00D165B9"/>
    <w:rsid w:val="00D16F62"/>
    <w:rsid w:val="00D223C3"/>
    <w:rsid w:val="00D22FD2"/>
    <w:rsid w:val="00D247C0"/>
    <w:rsid w:val="00D24EB6"/>
    <w:rsid w:val="00D25B79"/>
    <w:rsid w:val="00D2613C"/>
    <w:rsid w:val="00D2621C"/>
    <w:rsid w:val="00D3098B"/>
    <w:rsid w:val="00D30E4C"/>
    <w:rsid w:val="00D31855"/>
    <w:rsid w:val="00D31A8E"/>
    <w:rsid w:val="00D31B14"/>
    <w:rsid w:val="00D32B29"/>
    <w:rsid w:val="00D32CC6"/>
    <w:rsid w:val="00D32FCD"/>
    <w:rsid w:val="00D33946"/>
    <w:rsid w:val="00D34206"/>
    <w:rsid w:val="00D354AE"/>
    <w:rsid w:val="00D37309"/>
    <w:rsid w:val="00D423D1"/>
    <w:rsid w:val="00D426BA"/>
    <w:rsid w:val="00D4419F"/>
    <w:rsid w:val="00D4710E"/>
    <w:rsid w:val="00D51CED"/>
    <w:rsid w:val="00D52B4A"/>
    <w:rsid w:val="00D52B6A"/>
    <w:rsid w:val="00D53B09"/>
    <w:rsid w:val="00D60918"/>
    <w:rsid w:val="00D6140A"/>
    <w:rsid w:val="00D61797"/>
    <w:rsid w:val="00D65690"/>
    <w:rsid w:val="00D65A22"/>
    <w:rsid w:val="00D65C93"/>
    <w:rsid w:val="00D65CE6"/>
    <w:rsid w:val="00D710A8"/>
    <w:rsid w:val="00D7399F"/>
    <w:rsid w:val="00D74AEB"/>
    <w:rsid w:val="00D74D85"/>
    <w:rsid w:val="00D7513D"/>
    <w:rsid w:val="00D762B5"/>
    <w:rsid w:val="00D775FE"/>
    <w:rsid w:val="00D80886"/>
    <w:rsid w:val="00D8388C"/>
    <w:rsid w:val="00D879CD"/>
    <w:rsid w:val="00D87C1F"/>
    <w:rsid w:val="00D91709"/>
    <w:rsid w:val="00D91EAE"/>
    <w:rsid w:val="00D9498D"/>
    <w:rsid w:val="00D94CBF"/>
    <w:rsid w:val="00DA4E5A"/>
    <w:rsid w:val="00DA64B2"/>
    <w:rsid w:val="00DA7407"/>
    <w:rsid w:val="00DB2501"/>
    <w:rsid w:val="00DB35CF"/>
    <w:rsid w:val="00DB36FA"/>
    <w:rsid w:val="00DB3921"/>
    <w:rsid w:val="00DC30ED"/>
    <w:rsid w:val="00DC6072"/>
    <w:rsid w:val="00DC6199"/>
    <w:rsid w:val="00DC7EC0"/>
    <w:rsid w:val="00DD1B81"/>
    <w:rsid w:val="00DD39D0"/>
    <w:rsid w:val="00DD3C42"/>
    <w:rsid w:val="00DD4CA5"/>
    <w:rsid w:val="00DD4ED5"/>
    <w:rsid w:val="00DE2489"/>
    <w:rsid w:val="00DE6119"/>
    <w:rsid w:val="00DF0BB7"/>
    <w:rsid w:val="00DF3CB0"/>
    <w:rsid w:val="00DF5B00"/>
    <w:rsid w:val="00DF6B5B"/>
    <w:rsid w:val="00DF7F22"/>
    <w:rsid w:val="00E01BFB"/>
    <w:rsid w:val="00E01D37"/>
    <w:rsid w:val="00E01E07"/>
    <w:rsid w:val="00E01E79"/>
    <w:rsid w:val="00E023DB"/>
    <w:rsid w:val="00E02684"/>
    <w:rsid w:val="00E02AB7"/>
    <w:rsid w:val="00E04CD7"/>
    <w:rsid w:val="00E05987"/>
    <w:rsid w:val="00E06026"/>
    <w:rsid w:val="00E06D14"/>
    <w:rsid w:val="00E07BA9"/>
    <w:rsid w:val="00E1205D"/>
    <w:rsid w:val="00E13142"/>
    <w:rsid w:val="00E140A3"/>
    <w:rsid w:val="00E166C3"/>
    <w:rsid w:val="00E17BA7"/>
    <w:rsid w:val="00E17FE6"/>
    <w:rsid w:val="00E205F0"/>
    <w:rsid w:val="00E225AA"/>
    <w:rsid w:val="00E22761"/>
    <w:rsid w:val="00E27FB5"/>
    <w:rsid w:val="00E310AE"/>
    <w:rsid w:val="00E31189"/>
    <w:rsid w:val="00E337A7"/>
    <w:rsid w:val="00E33B4C"/>
    <w:rsid w:val="00E41DE6"/>
    <w:rsid w:val="00E4273F"/>
    <w:rsid w:val="00E433A3"/>
    <w:rsid w:val="00E46223"/>
    <w:rsid w:val="00E463DD"/>
    <w:rsid w:val="00E47176"/>
    <w:rsid w:val="00E5045F"/>
    <w:rsid w:val="00E51ACB"/>
    <w:rsid w:val="00E53837"/>
    <w:rsid w:val="00E5611F"/>
    <w:rsid w:val="00E56631"/>
    <w:rsid w:val="00E56BC9"/>
    <w:rsid w:val="00E57E1C"/>
    <w:rsid w:val="00E60B9B"/>
    <w:rsid w:val="00E64EFB"/>
    <w:rsid w:val="00E6605F"/>
    <w:rsid w:val="00E67E76"/>
    <w:rsid w:val="00E70F9A"/>
    <w:rsid w:val="00E719D8"/>
    <w:rsid w:val="00E75F18"/>
    <w:rsid w:val="00E77403"/>
    <w:rsid w:val="00E80769"/>
    <w:rsid w:val="00E82921"/>
    <w:rsid w:val="00E82DC0"/>
    <w:rsid w:val="00E82E7C"/>
    <w:rsid w:val="00E84619"/>
    <w:rsid w:val="00E85F70"/>
    <w:rsid w:val="00E90DF3"/>
    <w:rsid w:val="00E91D2C"/>
    <w:rsid w:val="00E92C1F"/>
    <w:rsid w:val="00E95A9E"/>
    <w:rsid w:val="00E96D35"/>
    <w:rsid w:val="00EA2BF3"/>
    <w:rsid w:val="00EA509F"/>
    <w:rsid w:val="00EA6347"/>
    <w:rsid w:val="00EB0778"/>
    <w:rsid w:val="00EB2414"/>
    <w:rsid w:val="00EB3C34"/>
    <w:rsid w:val="00EB568D"/>
    <w:rsid w:val="00EB6A81"/>
    <w:rsid w:val="00EB6EB6"/>
    <w:rsid w:val="00EB78E3"/>
    <w:rsid w:val="00EC0911"/>
    <w:rsid w:val="00EC112E"/>
    <w:rsid w:val="00EC3EB2"/>
    <w:rsid w:val="00EC79E5"/>
    <w:rsid w:val="00ED1114"/>
    <w:rsid w:val="00ED1534"/>
    <w:rsid w:val="00ED1E14"/>
    <w:rsid w:val="00ED3183"/>
    <w:rsid w:val="00ED5165"/>
    <w:rsid w:val="00ED6003"/>
    <w:rsid w:val="00ED7B6C"/>
    <w:rsid w:val="00EE1911"/>
    <w:rsid w:val="00EE1F9C"/>
    <w:rsid w:val="00EE25AE"/>
    <w:rsid w:val="00EE4C79"/>
    <w:rsid w:val="00EF26B7"/>
    <w:rsid w:val="00EF2BC3"/>
    <w:rsid w:val="00EF2E84"/>
    <w:rsid w:val="00EF4584"/>
    <w:rsid w:val="00EF4F3A"/>
    <w:rsid w:val="00EF51A0"/>
    <w:rsid w:val="00EF6DDE"/>
    <w:rsid w:val="00F0123A"/>
    <w:rsid w:val="00F020CA"/>
    <w:rsid w:val="00F047D6"/>
    <w:rsid w:val="00F05030"/>
    <w:rsid w:val="00F06433"/>
    <w:rsid w:val="00F06B5C"/>
    <w:rsid w:val="00F11326"/>
    <w:rsid w:val="00F120B9"/>
    <w:rsid w:val="00F133D0"/>
    <w:rsid w:val="00F159C2"/>
    <w:rsid w:val="00F224D1"/>
    <w:rsid w:val="00F22F4D"/>
    <w:rsid w:val="00F239B6"/>
    <w:rsid w:val="00F23A8F"/>
    <w:rsid w:val="00F2673E"/>
    <w:rsid w:val="00F2741E"/>
    <w:rsid w:val="00F27B7E"/>
    <w:rsid w:val="00F30D45"/>
    <w:rsid w:val="00F315FD"/>
    <w:rsid w:val="00F33831"/>
    <w:rsid w:val="00F33E16"/>
    <w:rsid w:val="00F418D6"/>
    <w:rsid w:val="00F42C3E"/>
    <w:rsid w:val="00F45F15"/>
    <w:rsid w:val="00F47932"/>
    <w:rsid w:val="00F52B09"/>
    <w:rsid w:val="00F55879"/>
    <w:rsid w:val="00F6063C"/>
    <w:rsid w:val="00F60951"/>
    <w:rsid w:val="00F61B8D"/>
    <w:rsid w:val="00F62EE2"/>
    <w:rsid w:val="00F67267"/>
    <w:rsid w:val="00F70DE1"/>
    <w:rsid w:val="00F7226A"/>
    <w:rsid w:val="00F75207"/>
    <w:rsid w:val="00F75554"/>
    <w:rsid w:val="00F805D0"/>
    <w:rsid w:val="00F80B90"/>
    <w:rsid w:val="00F80CBA"/>
    <w:rsid w:val="00F836B3"/>
    <w:rsid w:val="00F84A76"/>
    <w:rsid w:val="00F91965"/>
    <w:rsid w:val="00F921C9"/>
    <w:rsid w:val="00F93443"/>
    <w:rsid w:val="00F93E15"/>
    <w:rsid w:val="00F94040"/>
    <w:rsid w:val="00F95BC2"/>
    <w:rsid w:val="00FA1561"/>
    <w:rsid w:val="00FA2492"/>
    <w:rsid w:val="00FA3CF9"/>
    <w:rsid w:val="00FA4059"/>
    <w:rsid w:val="00FA44E5"/>
    <w:rsid w:val="00FA7537"/>
    <w:rsid w:val="00FB2237"/>
    <w:rsid w:val="00FB26BB"/>
    <w:rsid w:val="00FB2C05"/>
    <w:rsid w:val="00FB3203"/>
    <w:rsid w:val="00FB4155"/>
    <w:rsid w:val="00FB4156"/>
    <w:rsid w:val="00FB65A7"/>
    <w:rsid w:val="00FB6946"/>
    <w:rsid w:val="00FB6E64"/>
    <w:rsid w:val="00FC4255"/>
    <w:rsid w:val="00FC6CD9"/>
    <w:rsid w:val="00FC7993"/>
    <w:rsid w:val="00FC7AB2"/>
    <w:rsid w:val="00FD6B34"/>
    <w:rsid w:val="00FE1639"/>
    <w:rsid w:val="00FE3448"/>
    <w:rsid w:val="00FE46B1"/>
    <w:rsid w:val="00FE51BE"/>
    <w:rsid w:val="00FE5558"/>
    <w:rsid w:val="00FE66EF"/>
    <w:rsid w:val="00FF15B8"/>
    <w:rsid w:val="00FF1E50"/>
    <w:rsid w:val="00FF22B6"/>
    <w:rsid w:val="240F67D2"/>
    <w:rsid w:val="27CC3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D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6FF"/>
    <w:rPr>
      <w:sz w:val="24"/>
    </w:rPr>
  </w:style>
  <w:style w:type="paragraph" w:styleId="Heading1">
    <w:name w:val="heading 1"/>
    <w:basedOn w:val="Normal"/>
    <w:next w:val="Normal"/>
    <w:link w:val="Heading1Char"/>
    <w:uiPriority w:val="9"/>
    <w:qFormat/>
    <w:rsid w:val="003B1B90"/>
    <w:pPr>
      <w:keepNext/>
      <w:keepLines/>
      <w:spacing w:after="120" w:line="360" w:lineRule="auto"/>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3B1B90"/>
    <w:pPr>
      <w:keepNext/>
      <w:numPr>
        <w:ilvl w:val="1"/>
        <w:numId w:val="32"/>
      </w:numPr>
      <w:spacing w:after="120"/>
      <w:outlineLvl w:val="1"/>
    </w:pPr>
    <w:rPr>
      <w:b/>
    </w:rPr>
  </w:style>
  <w:style w:type="paragraph" w:styleId="Heading3">
    <w:name w:val="heading 3"/>
    <w:basedOn w:val="Normal"/>
    <w:next w:val="Normal"/>
    <w:link w:val="Heading3Char"/>
    <w:uiPriority w:val="9"/>
    <w:unhideWhenUsed/>
    <w:qFormat/>
    <w:rsid w:val="003B1B90"/>
    <w:pPr>
      <w:keepNext/>
      <w:keepLines/>
      <w:numPr>
        <w:ilvl w:val="2"/>
        <w:numId w:val="32"/>
      </w:numPr>
      <w:spacing w:after="12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397615"/>
    <w:pPr>
      <w:keepNext/>
      <w:keepLines/>
      <w:numPr>
        <w:ilvl w:val="3"/>
        <w:numId w:val="32"/>
      </w:numPr>
      <w:spacing w:after="1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3D315C"/>
    <w:pPr>
      <w:keepNext/>
      <w:keepLines/>
      <w:numPr>
        <w:ilvl w:val="4"/>
        <w:numId w:val="3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D315C"/>
    <w:pPr>
      <w:keepNext/>
      <w:keepLines/>
      <w:numPr>
        <w:ilvl w:val="5"/>
        <w:numId w:val="3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D315C"/>
    <w:pPr>
      <w:keepNext/>
      <w:keepLines/>
      <w:numPr>
        <w:ilvl w:val="6"/>
        <w:numId w:val="3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D315C"/>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315C"/>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EE3"/>
    <w:rPr>
      <w:color w:val="0563C1" w:themeColor="hyperlink"/>
      <w:u w:val="single"/>
    </w:rPr>
  </w:style>
  <w:style w:type="paragraph" w:styleId="Header">
    <w:name w:val="header"/>
    <w:basedOn w:val="Normal"/>
    <w:link w:val="HeaderChar"/>
    <w:uiPriority w:val="99"/>
    <w:unhideWhenUsed/>
    <w:rsid w:val="00B73692"/>
    <w:pPr>
      <w:tabs>
        <w:tab w:val="center" w:pos="4680"/>
        <w:tab w:val="right" w:pos="9360"/>
      </w:tabs>
    </w:pPr>
  </w:style>
  <w:style w:type="character" w:customStyle="1" w:styleId="HeaderChar">
    <w:name w:val="Header Char"/>
    <w:basedOn w:val="DefaultParagraphFont"/>
    <w:link w:val="Header"/>
    <w:uiPriority w:val="99"/>
    <w:rsid w:val="00B73692"/>
  </w:style>
  <w:style w:type="paragraph" w:styleId="Footer">
    <w:name w:val="footer"/>
    <w:basedOn w:val="Normal"/>
    <w:link w:val="FooterChar"/>
    <w:uiPriority w:val="99"/>
    <w:unhideWhenUsed/>
    <w:rsid w:val="00B73692"/>
    <w:pPr>
      <w:tabs>
        <w:tab w:val="center" w:pos="4680"/>
        <w:tab w:val="right" w:pos="9360"/>
      </w:tabs>
    </w:pPr>
  </w:style>
  <w:style w:type="character" w:customStyle="1" w:styleId="FooterChar">
    <w:name w:val="Footer Char"/>
    <w:basedOn w:val="DefaultParagraphFont"/>
    <w:link w:val="Footer"/>
    <w:uiPriority w:val="99"/>
    <w:rsid w:val="00B73692"/>
  </w:style>
  <w:style w:type="character" w:customStyle="1" w:styleId="Heading1Char">
    <w:name w:val="Heading 1 Char"/>
    <w:basedOn w:val="DefaultParagraphFont"/>
    <w:link w:val="Heading1"/>
    <w:uiPriority w:val="9"/>
    <w:rsid w:val="003B1B90"/>
    <w:rPr>
      <w:rFonts w:asciiTheme="majorHAnsi" w:eastAsiaTheme="majorEastAsia" w:hAnsiTheme="majorHAnsi" w:cstheme="majorBidi"/>
      <w:b/>
      <w:sz w:val="24"/>
      <w:szCs w:val="32"/>
    </w:rPr>
  </w:style>
  <w:style w:type="paragraph" w:styleId="ListParagraph">
    <w:name w:val="List Paragraph"/>
    <w:basedOn w:val="Normal"/>
    <w:link w:val="ListParagraphChar"/>
    <w:uiPriority w:val="34"/>
    <w:qFormat/>
    <w:rsid w:val="002666FF"/>
    <w:pPr>
      <w:ind w:left="720"/>
      <w:contextualSpacing/>
    </w:pPr>
  </w:style>
  <w:style w:type="character" w:customStyle="1" w:styleId="Heading2Char">
    <w:name w:val="Heading 2 Char"/>
    <w:basedOn w:val="DefaultParagraphFont"/>
    <w:link w:val="Heading2"/>
    <w:uiPriority w:val="9"/>
    <w:rsid w:val="003B1B90"/>
    <w:rPr>
      <w:b/>
      <w:sz w:val="24"/>
    </w:rPr>
  </w:style>
  <w:style w:type="character" w:customStyle="1" w:styleId="Heading3Char">
    <w:name w:val="Heading 3 Char"/>
    <w:basedOn w:val="DefaultParagraphFont"/>
    <w:link w:val="Heading3"/>
    <w:uiPriority w:val="9"/>
    <w:rsid w:val="003B1B90"/>
    <w:rPr>
      <w:rFonts w:asciiTheme="majorHAnsi" w:eastAsiaTheme="majorEastAsia" w:hAnsiTheme="majorHAnsi" w:cstheme="majorBidi"/>
      <w:b/>
      <w:sz w:val="24"/>
      <w:szCs w:val="24"/>
    </w:rPr>
  </w:style>
  <w:style w:type="character" w:styleId="PageNumber">
    <w:name w:val="page number"/>
    <w:basedOn w:val="DefaultParagraphFont"/>
    <w:uiPriority w:val="99"/>
    <w:semiHidden/>
    <w:unhideWhenUsed/>
    <w:rsid w:val="00291C45"/>
  </w:style>
  <w:style w:type="character" w:styleId="CommentReference">
    <w:name w:val="annotation reference"/>
    <w:basedOn w:val="DefaultParagraphFont"/>
    <w:uiPriority w:val="99"/>
    <w:semiHidden/>
    <w:unhideWhenUsed/>
    <w:rsid w:val="00584C0F"/>
    <w:rPr>
      <w:sz w:val="16"/>
      <w:szCs w:val="16"/>
    </w:rPr>
  </w:style>
  <w:style w:type="paragraph" w:styleId="CommentText">
    <w:name w:val="annotation text"/>
    <w:basedOn w:val="Normal"/>
    <w:link w:val="CommentTextChar"/>
    <w:uiPriority w:val="99"/>
    <w:unhideWhenUsed/>
    <w:rsid w:val="00584C0F"/>
    <w:rPr>
      <w:sz w:val="20"/>
      <w:szCs w:val="20"/>
    </w:rPr>
  </w:style>
  <w:style w:type="character" w:customStyle="1" w:styleId="CommentTextChar">
    <w:name w:val="Comment Text Char"/>
    <w:basedOn w:val="DefaultParagraphFont"/>
    <w:link w:val="CommentText"/>
    <w:uiPriority w:val="99"/>
    <w:rsid w:val="00584C0F"/>
    <w:rPr>
      <w:sz w:val="20"/>
      <w:szCs w:val="20"/>
    </w:rPr>
  </w:style>
  <w:style w:type="paragraph" w:styleId="CommentSubject">
    <w:name w:val="annotation subject"/>
    <w:basedOn w:val="CommentText"/>
    <w:next w:val="CommentText"/>
    <w:link w:val="CommentSubjectChar"/>
    <w:uiPriority w:val="99"/>
    <w:semiHidden/>
    <w:unhideWhenUsed/>
    <w:rsid w:val="00584C0F"/>
    <w:rPr>
      <w:b/>
      <w:bCs/>
    </w:rPr>
  </w:style>
  <w:style w:type="character" w:customStyle="1" w:styleId="CommentSubjectChar">
    <w:name w:val="Comment Subject Char"/>
    <w:basedOn w:val="CommentTextChar"/>
    <w:link w:val="CommentSubject"/>
    <w:uiPriority w:val="99"/>
    <w:semiHidden/>
    <w:rsid w:val="00584C0F"/>
    <w:rPr>
      <w:b/>
      <w:bCs/>
      <w:sz w:val="20"/>
      <w:szCs w:val="20"/>
    </w:rPr>
  </w:style>
  <w:style w:type="paragraph" w:styleId="BalloonText">
    <w:name w:val="Balloon Text"/>
    <w:basedOn w:val="Normal"/>
    <w:link w:val="BalloonTextChar"/>
    <w:uiPriority w:val="99"/>
    <w:semiHidden/>
    <w:unhideWhenUsed/>
    <w:rsid w:val="0058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0F"/>
    <w:rPr>
      <w:rFonts w:ascii="Segoe UI" w:hAnsi="Segoe UI" w:cs="Segoe UI"/>
      <w:sz w:val="18"/>
      <w:szCs w:val="18"/>
    </w:rPr>
  </w:style>
  <w:style w:type="character" w:customStyle="1" w:styleId="ListParagraphChar">
    <w:name w:val="List Paragraph Char"/>
    <w:basedOn w:val="DefaultParagraphFont"/>
    <w:link w:val="ListParagraph"/>
    <w:uiPriority w:val="34"/>
    <w:rsid w:val="00B15A27"/>
    <w:rPr>
      <w:sz w:val="24"/>
    </w:rPr>
  </w:style>
  <w:style w:type="character" w:customStyle="1" w:styleId="Heading4Char">
    <w:name w:val="Heading 4 Char"/>
    <w:basedOn w:val="DefaultParagraphFont"/>
    <w:link w:val="Heading4"/>
    <w:uiPriority w:val="9"/>
    <w:rsid w:val="00397615"/>
    <w:rPr>
      <w:rFonts w:asciiTheme="majorHAnsi" w:eastAsiaTheme="majorEastAsia" w:hAnsiTheme="majorHAnsi" w:cstheme="majorBidi"/>
      <w:iCs/>
      <w:sz w:val="24"/>
    </w:rPr>
  </w:style>
  <w:style w:type="table" w:styleId="TableGrid">
    <w:name w:val="Table Grid"/>
    <w:basedOn w:val="TableNormal"/>
    <w:uiPriority w:val="39"/>
    <w:rsid w:val="0002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Wide">
    <w:name w:val="TableGrid-Wide"/>
    <w:basedOn w:val="TableGrid"/>
    <w:rsid w:val="00157216"/>
    <w:pPr>
      <w:spacing w:before="80" w:after="80"/>
    </w:pPr>
    <w:rPr>
      <w:rFonts w:ascii="Verdana" w:eastAsia="Times New Roman" w:hAnsi="Verdana" w:cs="Times New Roman"/>
      <w:sz w:val="18"/>
      <w:szCs w:val="20"/>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DengXian" w:hAnsi="DengXian"/>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table" w:customStyle="1" w:styleId="GridTable41">
    <w:name w:val="Grid Table 41"/>
    <w:basedOn w:val="TableNormal"/>
    <w:uiPriority w:val="49"/>
    <w:rsid w:val="002E0F1A"/>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Left">
    <w:name w:val="Table Header Left"/>
    <w:basedOn w:val="TableText"/>
    <w:next w:val="TableText"/>
    <w:qFormat/>
    <w:rsid w:val="00576F18"/>
    <w:pPr>
      <w:spacing w:before="120" w:after="60"/>
    </w:pPr>
    <w:rPr>
      <w:b/>
      <w:color w:val="FFFFFF" w:themeColor="background1"/>
    </w:rPr>
  </w:style>
  <w:style w:type="paragraph" w:customStyle="1" w:styleId="TableHeaderCenter">
    <w:name w:val="Table Header Center"/>
    <w:basedOn w:val="TableHeaderLeft"/>
    <w:qFormat/>
    <w:rsid w:val="00576F18"/>
    <w:pPr>
      <w:jc w:val="center"/>
    </w:pPr>
  </w:style>
  <w:style w:type="paragraph" w:customStyle="1" w:styleId="TableText">
    <w:name w:val="Table Text"/>
    <w:basedOn w:val="Normal"/>
    <w:uiPriority w:val="99"/>
    <w:qFormat/>
    <w:rsid w:val="00576F18"/>
    <w:rPr>
      <w:rFonts w:ascii="Arial" w:eastAsia="Times New Roman" w:hAnsi="Arial" w:cs="Times New Roman"/>
      <w:sz w:val="18"/>
      <w:szCs w:val="20"/>
    </w:rPr>
  </w:style>
  <w:style w:type="table" w:customStyle="1" w:styleId="TableGrid1">
    <w:name w:val="Table Grid1"/>
    <w:basedOn w:val="TableNormal"/>
    <w:next w:val="TableGrid"/>
    <w:uiPriority w:val="39"/>
    <w:rsid w:val="008F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0D35"/>
    <w:rPr>
      <w:color w:val="605E5C"/>
      <w:shd w:val="clear" w:color="auto" w:fill="E1DFDD"/>
    </w:rPr>
  </w:style>
  <w:style w:type="paragraph" w:styleId="BodyText">
    <w:name w:val="Body Text"/>
    <w:basedOn w:val="Normal"/>
    <w:link w:val="BodyTextChar1"/>
    <w:uiPriority w:val="99"/>
    <w:unhideWhenUsed/>
    <w:rsid w:val="00D31B14"/>
    <w:pPr>
      <w:spacing w:after="160" w:line="360" w:lineRule="auto"/>
    </w:pPr>
    <w:rPr>
      <w:rFonts w:ascii="Arial" w:eastAsia="MS Mincho" w:hAnsi="Arial" w:cs="Times New Roman"/>
      <w:sz w:val="22"/>
    </w:rPr>
  </w:style>
  <w:style w:type="character" w:customStyle="1" w:styleId="BodyTextChar">
    <w:name w:val="Body Text Char"/>
    <w:basedOn w:val="DefaultParagraphFont"/>
    <w:uiPriority w:val="99"/>
    <w:semiHidden/>
    <w:rsid w:val="00D31B14"/>
    <w:rPr>
      <w:sz w:val="24"/>
    </w:rPr>
  </w:style>
  <w:style w:type="character" w:customStyle="1" w:styleId="BodyTextChar1">
    <w:name w:val="Body Text Char1"/>
    <w:basedOn w:val="DefaultParagraphFont"/>
    <w:link w:val="BodyText"/>
    <w:uiPriority w:val="99"/>
    <w:rsid w:val="00D31B14"/>
    <w:rPr>
      <w:rFonts w:ascii="Arial" w:eastAsia="MS Mincho" w:hAnsi="Arial" w:cs="Times New Roman"/>
    </w:rPr>
  </w:style>
  <w:style w:type="paragraph" w:customStyle="1" w:styleId="bullets">
    <w:name w:val="bullets"/>
    <w:aliases w:val="bu"/>
    <w:basedOn w:val="Normal"/>
    <w:link w:val="bulletsChar"/>
    <w:uiPriority w:val="99"/>
    <w:qFormat/>
    <w:rsid w:val="00FA4059"/>
    <w:pPr>
      <w:numPr>
        <w:numId w:val="20"/>
      </w:numPr>
      <w:spacing w:after="120" w:line="360" w:lineRule="auto"/>
      <w:ind w:left="720"/>
      <w:contextualSpacing/>
    </w:pPr>
    <w:rPr>
      <w:rFonts w:ascii="Arial" w:eastAsia="Times New Roman" w:hAnsi="Arial" w:cs="Arial"/>
      <w:sz w:val="22"/>
    </w:rPr>
  </w:style>
  <w:style w:type="character" w:customStyle="1" w:styleId="bulletsChar">
    <w:name w:val="bullets Char"/>
    <w:aliases w:val="bu Char,bu Char Char"/>
    <w:link w:val="bullets"/>
    <w:uiPriority w:val="99"/>
    <w:rsid w:val="00FA4059"/>
    <w:rPr>
      <w:rFonts w:ascii="Arial" w:eastAsia="Times New Roman" w:hAnsi="Arial" w:cs="Arial"/>
    </w:rPr>
  </w:style>
  <w:style w:type="paragraph" w:customStyle="1" w:styleId="Tableheader">
    <w:name w:val="Table header"/>
    <w:basedOn w:val="Normal"/>
    <w:qFormat/>
    <w:rsid w:val="008571FB"/>
    <w:pPr>
      <w:keepNext/>
      <w:spacing w:before="40" w:after="40"/>
      <w:jc w:val="center"/>
    </w:pPr>
    <w:rPr>
      <w:rFonts w:asciiTheme="minorBidi" w:eastAsia="MS Mincho" w:hAnsiTheme="minorBidi" w:cs="Times New Roman"/>
      <w:b/>
      <w:bCs/>
      <w:sz w:val="20"/>
      <w:szCs w:val="18"/>
    </w:rPr>
  </w:style>
  <w:style w:type="paragraph" w:customStyle="1" w:styleId="table-text">
    <w:name w:val="table-text"/>
    <w:basedOn w:val="Normal"/>
    <w:qFormat/>
    <w:rsid w:val="00315317"/>
    <w:pPr>
      <w:spacing w:before="20" w:after="20"/>
    </w:pPr>
    <w:rPr>
      <w:rFonts w:ascii="Arial" w:eastAsia="SimSun" w:hAnsi="Arial" w:cs="Times New Roman"/>
      <w:sz w:val="20"/>
      <w:lang w:eastAsia="zh-CN"/>
    </w:rPr>
  </w:style>
  <w:style w:type="paragraph" w:customStyle="1" w:styleId="tabfigsourcefullpg">
    <w:name w:val="tab/fig source (full pg)"/>
    <w:basedOn w:val="Normal"/>
    <w:rsid w:val="00C4509A"/>
    <w:pPr>
      <w:keepLines/>
      <w:spacing w:before="120" w:after="240"/>
      <w:ind w:left="187" w:hanging="187"/>
      <w:contextualSpacing/>
    </w:pPr>
    <w:rPr>
      <w:rFonts w:asciiTheme="minorBidi" w:eastAsia="MS Mincho" w:hAnsiTheme="minorBidi" w:cs="Times New Roman"/>
      <w:sz w:val="18"/>
      <w:szCs w:val="20"/>
    </w:rPr>
  </w:style>
  <w:style w:type="character" w:styleId="FollowedHyperlink">
    <w:name w:val="FollowedHyperlink"/>
    <w:basedOn w:val="DefaultParagraphFont"/>
    <w:uiPriority w:val="99"/>
    <w:semiHidden/>
    <w:unhideWhenUsed/>
    <w:rsid w:val="00A3678B"/>
    <w:rPr>
      <w:color w:val="954F72" w:themeColor="followedHyperlink"/>
      <w:u w:val="single"/>
    </w:rPr>
  </w:style>
  <w:style w:type="paragraph" w:customStyle="1" w:styleId="FigureTitle">
    <w:name w:val="Figure Title"/>
    <w:basedOn w:val="Normal"/>
    <w:rsid w:val="002E25E2"/>
    <w:pPr>
      <w:keepNext/>
      <w:spacing w:after="60" w:line="320" w:lineRule="exact"/>
      <w:ind w:left="1080" w:hanging="1080"/>
    </w:pPr>
    <w:rPr>
      <w:rFonts w:asciiTheme="minorBidi" w:eastAsia="MS Mincho" w:hAnsiTheme="minorBidi" w:cs="Arial"/>
      <w:b/>
      <w:sz w:val="20"/>
      <w:szCs w:val="20"/>
    </w:rPr>
  </w:style>
  <w:style w:type="paragraph" w:customStyle="1" w:styleId="BodyText2">
    <w:name w:val="Body Text2"/>
    <w:basedOn w:val="Normal"/>
    <w:rsid w:val="00397615"/>
    <w:pPr>
      <w:spacing w:line="360" w:lineRule="auto"/>
      <w:ind w:firstLine="720"/>
    </w:pPr>
    <w:rPr>
      <w:rFonts w:ascii="Times New Roman" w:eastAsia="Calibri" w:hAnsi="Times New Roman" w:cs="Times New Roman"/>
      <w:szCs w:val="20"/>
    </w:rPr>
  </w:style>
  <w:style w:type="paragraph" w:styleId="FootnoteText">
    <w:name w:val="footnote text"/>
    <w:basedOn w:val="Normal"/>
    <w:link w:val="FootnoteTextChar"/>
    <w:uiPriority w:val="99"/>
    <w:semiHidden/>
    <w:unhideWhenUsed/>
    <w:rsid w:val="007058C6"/>
    <w:rPr>
      <w:sz w:val="20"/>
      <w:szCs w:val="20"/>
    </w:rPr>
  </w:style>
  <w:style w:type="character" w:customStyle="1" w:styleId="FootnoteTextChar">
    <w:name w:val="Footnote Text Char"/>
    <w:basedOn w:val="DefaultParagraphFont"/>
    <w:link w:val="FootnoteText"/>
    <w:uiPriority w:val="99"/>
    <w:semiHidden/>
    <w:rsid w:val="007058C6"/>
    <w:rPr>
      <w:sz w:val="20"/>
      <w:szCs w:val="20"/>
    </w:rPr>
  </w:style>
  <w:style w:type="character" w:styleId="FootnoteReference">
    <w:name w:val="footnote reference"/>
    <w:basedOn w:val="DefaultParagraphFont"/>
    <w:uiPriority w:val="99"/>
    <w:semiHidden/>
    <w:unhideWhenUsed/>
    <w:rsid w:val="007058C6"/>
    <w:rPr>
      <w:vertAlign w:val="superscript"/>
    </w:rPr>
  </w:style>
  <w:style w:type="paragraph" w:customStyle="1" w:styleId="Tablebullet">
    <w:name w:val="Table bullet"/>
    <w:basedOn w:val="TableText"/>
    <w:qFormat/>
    <w:rsid w:val="00080DCE"/>
    <w:pPr>
      <w:numPr>
        <w:numId w:val="23"/>
      </w:numPr>
    </w:pPr>
    <w:rPr>
      <w:rFonts w:cs="Arial"/>
      <w:sz w:val="20"/>
      <w:szCs w:val="18"/>
      <w:lang w:val="en-GB"/>
    </w:rPr>
  </w:style>
  <w:style w:type="paragraph" w:customStyle="1" w:styleId="NormalSS">
    <w:name w:val="NormalSS"/>
    <w:basedOn w:val="Normal"/>
    <w:qFormat/>
    <w:rsid w:val="00DD1B81"/>
    <w:pPr>
      <w:spacing w:after="240"/>
      <w:ind w:firstLine="432"/>
    </w:pPr>
    <w:rPr>
      <w:rFonts w:ascii="Times New Roman" w:eastAsia="Times New Roman" w:hAnsi="Times New Roman" w:cs="Times New Roman"/>
      <w:szCs w:val="20"/>
    </w:rPr>
  </w:style>
  <w:style w:type="paragraph" w:customStyle="1" w:styleId="BodyText1">
    <w:name w:val="Body Text1"/>
    <w:basedOn w:val="Normal"/>
    <w:link w:val="bodytextChar0"/>
    <w:rsid w:val="00882EDC"/>
    <w:pPr>
      <w:spacing w:after="160" w:line="320" w:lineRule="exact"/>
    </w:pPr>
    <w:rPr>
      <w:rFonts w:asciiTheme="minorBidi" w:eastAsia="MS Mincho" w:hAnsiTheme="minorBidi" w:cs="Times New Roman"/>
      <w:sz w:val="20"/>
      <w:szCs w:val="20"/>
    </w:rPr>
  </w:style>
  <w:style w:type="character" w:customStyle="1" w:styleId="bodytextChar0">
    <w:name w:val="body text Char"/>
    <w:link w:val="BodyText1"/>
    <w:rsid w:val="00882EDC"/>
    <w:rPr>
      <w:rFonts w:asciiTheme="minorBidi" w:eastAsia="MS Mincho" w:hAnsiTheme="minorBidi" w:cs="Times New Roman"/>
      <w:sz w:val="20"/>
      <w:szCs w:val="20"/>
    </w:rPr>
  </w:style>
  <w:style w:type="paragraph" w:customStyle="1" w:styleId="bulletfinal">
    <w:name w:val="bullet final"/>
    <w:basedOn w:val="bullets"/>
    <w:link w:val="bulletfinalChar"/>
    <w:qFormat/>
    <w:rsid w:val="00882EDC"/>
    <w:pPr>
      <w:numPr>
        <w:numId w:val="15"/>
      </w:numPr>
      <w:spacing w:before="120" w:after="160"/>
      <w:contextualSpacing w:val="0"/>
    </w:pPr>
  </w:style>
  <w:style w:type="character" w:customStyle="1" w:styleId="bulletfinalChar">
    <w:name w:val="bullet final Char"/>
    <w:basedOn w:val="bulletsChar"/>
    <w:link w:val="bulletfinal"/>
    <w:rsid w:val="00882EDC"/>
    <w:rPr>
      <w:rFonts w:ascii="Arial" w:eastAsia="Times New Roman" w:hAnsi="Arial" w:cs="Arial"/>
    </w:rPr>
  </w:style>
  <w:style w:type="paragraph" w:styleId="Revision">
    <w:name w:val="Revision"/>
    <w:hidden/>
    <w:uiPriority w:val="99"/>
    <w:semiHidden/>
    <w:rsid w:val="00C36F77"/>
    <w:rPr>
      <w:sz w:val="24"/>
    </w:rPr>
  </w:style>
  <w:style w:type="paragraph" w:customStyle="1" w:styleId="P1-StandPara">
    <w:name w:val="P1-Stand Para"/>
    <w:basedOn w:val="Normal"/>
    <w:rsid w:val="0045590C"/>
    <w:pPr>
      <w:spacing w:line="480" w:lineRule="auto"/>
      <w:ind w:firstLine="720"/>
    </w:pPr>
    <w:rPr>
      <w:rFonts w:ascii="Times New Roman" w:hAnsi="Times New Roman" w:cs="Times New Roman"/>
      <w:sz w:val="22"/>
    </w:rPr>
  </w:style>
  <w:style w:type="character" w:customStyle="1" w:styleId="UnresolvedMention2">
    <w:name w:val="Unresolved Mention2"/>
    <w:basedOn w:val="DefaultParagraphFont"/>
    <w:uiPriority w:val="99"/>
    <w:semiHidden/>
    <w:unhideWhenUsed/>
    <w:rsid w:val="00C50398"/>
    <w:rPr>
      <w:color w:val="605E5C"/>
      <w:shd w:val="clear" w:color="auto" w:fill="E1DFDD"/>
    </w:rPr>
  </w:style>
  <w:style w:type="character" w:customStyle="1" w:styleId="Heading5Char">
    <w:name w:val="Heading 5 Char"/>
    <w:basedOn w:val="DefaultParagraphFont"/>
    <w:link w:val="Heading5"/>
    <w:uiPriority w:val="9"/>
    <w:semiHidden/>
    <w:rsid w:val="003D315C"/>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3D315C"/>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3D315C"/>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3D31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315C"/>
    <w:rPr>
      <w:rFonts w:asciiTheme="majorHAnsi" w:eastAsiaTheme="majorEastAsia" w:hAnsiTheme="majorHAnsi" w:cstheme="majorBidi"/>
      <w:i/>
      <w:iCs/>
      <w:color w:val="272727" w:themeColor="text1" w:themeTint="D8"/>
      <w:sz w:val="21"/>
      <w:szCs w:val="21"/>
    </w:rPr>
  </w:style>
  <w:style w:type="numbering" w:styleId="1ai">
    <w:name w:val="Outline List 1"/>
    <w:basedOn w:val="NoList"/>
    <w:uiPriority w:val="99"/>
    <w:semiHidden/>
    <w:unhideWhenUsed/>
    <w:rsid w:val="003D315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436">
      <w:bodyDiv w:val="1"/>
      <w:marLeft w:val="0"/>
      <w:marRight w:val="0"/>
      <w:marTop w:val="0"/>
      <w:marBottom w:val="0"/>
      <w:divBdr>
        <w:top w:val="none" w:sz="0" w:space="0" w:color="auto"/>
        <w:left w:val="none" w:sz="0" w:space="0" w:color="auto"/>
        <w:bottom w:val="none" w:sz="0" w:space="0" w:color="auto"/>
        <w:right w:val="none" w:sz="0" w:space="0" w:color="auto"/>
      </w:divBdr>
    </w:div>
    <w:div w:id="135336393">
      <w:bodyDiv w:val="1"/>
      <w:marLeft w:val="0"/>
      <w:marRight w:val="0"/>
      <w:marTop w:val="0"/>
      <w:marBottom w:val="0"/>
      <w:divBdr>
        <w:top w:val="none" w:sz="0" w:space="0" w:color="auto"/>
        <w:left w:val="none" w:sz="0" w:space="0" w:color="auto"/>
        <w:bottom w:val="none" w:sz="0" w:space="0" w:color="auto"/>
        <w:right w:val="none" w:sz="0" w:space="0" w:color="auto"/>
      </w:divBdr>
    </w:div>
    <w:div w:id="239874916">
      <w:bodyDiv w:val="1"/>
      <w:marLeft w:val="0"/>
      <w:marRight w:val="0"/>
      <w:marTop w:val="0"/>
      <w:marBottom w:val="0"/>
      <w:divBdr>
        <w:top w:val="none" w:sz="0" w:space="0" w:color="auto"/>
        <w:left w:val="none" w:sz="0" w:space="0" w:color="auto"/>
        <w:bottom w:val="none" w:sz="0" w:space="0" w:color="auto"/>
        <w:right w:val="none" w:sz="0" w:space="0" w:color="auto"/>
      </w:divBdr>
    </w:div>
    <w:div w:id="292294644">
      <w:bodyDiv w:val="1"/>
      <w:marLeft w:val="0"/>
      <w:marRight w:val="0"/>
      <w:marTop w:val="0"/>
      <w:marBottom w:val="0"/>
      <w:divBdr>
        <w:top w:val="none" w:sz="0" w:space="0" w:color="auto"/>
        <w:left w:val="none" w:sz="0" w:space="0" w:color="auto"/>
        <w:bottom w:val="none" w:sz="0" w:space="0" w:color="auto"/>
        <w:right w:val="none" w:sz="0" w:space="0" w:color="auto"/>
      </w:divBdr>
    </w:div>
    <w:div w:id="437457774">
      <w:bodyDiv w:val="1"/>
      <w:marLeft w:val="0"/>
      <w:marRight w:val="0"/>
      <w:marTop w:val="0"/>
      <w:marBottom w:val="0"/>
      <w:divBdr>
        <w:top w:val="none" w:sz="0" w:space="0" w:color="auto"/>
        <w:left w:val="none" w:sz="0" w:space="0" w:color="auto"/>
        <w:bottom w:val="none" w:sz="0" w:space="0" w:color="auto"/>
        <w:right w:val="none" w:sz="0" w:space="0" w:color="auto"/>
      </w:divBdr>
    </w:div>
    <w:div w:id="504978651">
      <w:bodyDiv w:val="1"/>
      <w:marLeft w:val="0"/>
      <w:marRight w:val="0"/>
      <w:marTop w:val="0"/>
      <w:marBottom w:val="0"/>
      <w:divBdr>
        <w:top w:val="none" w:sz="0" w:space="0" w:color="auto"/>
        <w:left w:val="none" w:sz="0" w:space="0" w:color="auto"/>
        <w:bottom w:val="none" w:sz="0" w:space="0" w:color="auto"/>
        <w:right w:val="none" w:sz="0" w:space="0" w:color="auto"/>
      </w:divBdr>
    </w:div>
    <w:div w:id="690037413">
      <w:bodyDiv w:val="1"/>
      <w:marLeft w:val="0"/>
      <w:marRight w:val="0"/>
      <w:marTop w:val="0"/>
      <w:marBottom w:val="0"/>
      <w:divBdr>
        <w:top w:val="none" w:sz="0" w:space="0" w:color="auto"/>
        <w:left w:val="none" w:sz="0" w:space="0" w:color="auto"/>
        <w:bottom w:val="none" w:sz="0" w:space="0" w:color="auto"/>
        <w:right w:val="none" w:sz="0" w:space="0" w:color="auto"/>
      </w:divBdr>
    </w:div>
    <w:div w:id="876893595">
      <w:bodyDiv w:val="1"/>
      <w:marLeft w:val="0"/>
      <w:marRight w:val="0"/>
      <w:marTop w:val="0"/>
      <w:marBottom w:val="0"/>
      <w:divBdr>
        <w:top w:val="none" w:sz="0" w:space="0" w:color="auto"/>
        <w:left w:val="none" w:sz="0" w:space="0" w:color="auto"/>
        <w:bottom w:val="none" w:sz="0" w:space="0" w:color="auto"/>
        <w:right w:val="none" w:sz="0" w:space="0" w:color="auto"/>
      </w:divBdr>
    </w:div>
    <w:div w:id="898398873">
      <w:bodyDiv w:val="1"/>
      <w:marLeft w:val="0"/>
      <w:marRight w:val="0"/>
      <w:marTop w:val="0"/>
      <w:marBottom w:val="0"/>
      <w:divBdr>
        <w:top w:val="none" w:sz="0" w:space="0" w:color="auto"/>
        <w:left w:val="none" w:sz="0" w:space="0" w:color="auto"/>
        <w:bottom w:val="none" w:sz="0" w:space="0" w:color="auto"/>
        <w:right w:val="none" w:sz="0" w:space="0" w:color="auto"/>
      </w:divBdr>
    </w:div>
    <w:div w:id="1076979723">
      <w:bodyDiv w:val="1"/>
      <w:marLeft w:val="0"/>
      <w:marRight w:val="0"/>
      <w:marTop w:val="0"/>
      <w:marBottom w:val="0"/>
      <w:divBdr>
        <w:top w:val="none" w:sz="0" w:space="0" w:color="auto"/>
        <w:left w:val="none" w:sz="0" w:space="0" w:color="auto"/>
        <w:bottom w:val="none" w:sz="0" w:space="0" w:color="auto"/>
        <w:right w:val="none" w:sz="0" w:space="0" w:color="auto"/>
      </w:divBdr>
    </w:div>
    <w:div w:id="1190603141">
      <w:bodyDiv w:val="1"/>
      <w:marLeft w:val="0"/>
      <w:marRight w:val="0"/>
      <w:marTop w:val="0"/>
      <w:marBottom w:val="0"/>
      <w:divBdr>
        <w:top w:val="none" w:sz="0" w:space="0" w:color="auto"/>
        <w:left w:val="none" w:sz="0" w:space="0" w:color="auto"/>
        <w:bottom w:val="none" w:sz="0" w:space="0" w:color="auto"/>
        <w:right w:val="none" w:sz="0" w:space="0" w:color="auto"/>
      </w:divBdr>
    </w:div>
    <w:div w:id="1278634001">
      <w:bodyDiv w:val="1"/>
      <w:marLeft w:val="0"/>
      <w:marRight w:val="0"/>
      <w:marTop w:val="0"/>
      <w:marBottom w:val="0"/>
      <w:divBdr>
        <w:top w:val="none" w:sz="0" w:space="0" w:color="auto"/>
        <w:left w:val="none" w:sz="0" w:space="0" w:color="auto"/>
        <w:bottom w:val="none" w:sz="0" w:space="0" w:color="auto"/>
        <w:right w:val="none" w:sz="0" w:space="0" w:color="auto"/>
      </w:divBdr>
    </w:div>
    <w:div w:id="1345399901">
      <w:bodyDiv w:val="1"/>
      <w:marLeft w:val="0"/>
      <w:marRight w:val="0"/>
      <w:marTop w:val="0"/>
      <w:marBottom w:val="0"/>
      <w:divBdr>
        <w:top w:val="none" w:sz="0" w:space="0" w:color="auto"/>
        <w:left w:val="none" w:sz="0" w:space="0" w:color="auto"/>
        <w:bottom w:val="none" w:sz="0" w:space="0" w:color="auto"/>
        <w:right w:val="none" w:sz="0" w:space="0" w:color="auto"/>
      </w:divBdr>
    </w:div>
    <w:div w:id="1456177082">
      <w:bodyDiv w:val="1"/>
      <w:marLeft w:val="0"/>
      <w:marRight w:val="0"/>
      <w:marTop w:val="0"/>
      <w:marBottom w:val="0"/>
      <w:divBdr>
        <w:top w:val="none" w:sz="0" w:space="0" w:color="auto"/>
        <w:left w:val="none" w:sz="0" w:space="0" w:color="auto"/>
        <w:bottom w:val="none" w:sz="0" w:space="0" w:color="auto"/>
        <w:right w:val="none" w:sz="0" w:space="0" w:color="auto"/>
      </w:divBdr>
    </w:div>
    <w:div w:id="1558053871">
      <w:bodyDiv w:val="1"/>
      <w:marLeft w:val="0"/>
      <w:marRight w:val="0"/>
      <w:marTop w:val="0"/>
      <w:marBottom w:val="0"/>
      <w:divBdr>
        <w:top w:val="none" w:sz="0" w:space="0" w:color="auto"/>
        <w:left w:val="none" w:sz="0" w:space="0" w:color="auto"/>
        <w:bottom w:val="none" w:sz="0" w:space="0" w:color="auto"/>
        <w:right w:val="none" w:sz="0" w:space="0" w:color="auto"/>
      </w:divBdr>
    </w:div>
    <w:div w:id="1828478714">
      <w:bodyDiv w:val="1"/>
      <w:marLeft w:val="0"/>
      <w:marRight w:val="0"/>
      <w:marTop w:val="0"/>
      <w:marBottom w:val="0"/>
      <w:divBdr>
        <w:top w:val="none" w:sz="0" w:space="0" w:color="auto"/>
        <w:left w:val="none" w:sz="0" w:space="0" w:color="auto"/>
        <w:bottom w:val="none" w:sz="0" w:space="0" w:color="auto"/>
        <w:right w:val="none" w:sz="0" w:space="0" w:color="auto"/>
      </w:divBdr>
    </w:div>
    <w:div w:id="191366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dneyX_Survey@rti.org"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eep.Patel@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6" ma:contentTypeDescription="Create a new document." ma:contentTypeScope="" ma:versionID="6c1847f250fe35ca35b60b35d120468d">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dd98cc7937773d4d406dbfda4a84ec5f"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695da5d-35e2-4b1a-b006-b31918cda2df">
      <UserInfo>
        <DisplayName>Alexander, Jeffrey</DisplayName>
        <AccountId>12</AccountId>
        <AccountType/>
      </UserInfo>
      <UserInfo>
        <DisplayName>Treiman, Katherine</DisplayName>
        <AccountId>15</AccountId>
        <AccountType/>
      </UserInfo>
      <UserInfo>
        <DisplayName>Soloe, Cindy</DisplayName>
        <AccountId>13</AccountId>
        <AccountType/>
      </UserInfo>
      <UserInfo>
        <DisplayName>Etta, Valerie</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7C76-1ED3-46D2-80E5-1ED9B4A38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35219-9A86-4EB7-BB3B-99D508DDC472}">
  <ds:schemaRefs>
    <ds:schemaRef ds:uri="http://schemas.microsoft.com/sharepoint/v3/contenttype/forms"/>
  </ds:schemaRefs>
</ds:datastoreItem>
</file>

<file path=customXml/itemProps3.xml><?xml version="1.0" encoding="utf-8"?>
<ds:datastoreItem xmlns:ds="http://schemas.openxmlformats.org/officeDocument/2006/customXml" ds:itemID="{90CE9186-7408-4F31-88C7-737920F5DAC9}">
  <ds:schemaRefs>
    <ds:schemaRef ds:uri="http://purl.org/dc/dcmitype/"/>
    <ds:schemaRef ds:uri="http://schemas.microsoft.com/office/infopath/2007/PartnerControls"/>
    <ds:schemaRef ds:uri="http://purl.org/dc/elements/1.1/"/>
    <ds:schemaRef ds:uri="http://schemas.microsoft.com/office/2006/metadata/properties"/>
    <ds:schemaRef ds:uri="8465c8bc-64d3-4f44-9407-b9e352b74541"/>
    <ds:schemaRef ds:uri="http://schemas.microsoft.com/office/2006/documentManagement/types"/>
    <ds:schemaRef ds:uri="http://purl.org/dc/terms/"/>
    <ds:schemaRef ds:uri="6695da5d-35e2-4b1a-b006-b31918cda2df"/>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FEC0890-B2E3-451B-8B83-28B561FC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6115</Words>
  <Characters>34861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2020-02-10T18:03:00Z</dcterms:created>
  <dcterms:modified xsi:type="dcterms:W3CDTF">2020-02-10T18:03:00Z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ies>
</file>