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0BB7" w:rsidP="00DF0BB7" w:rsidRDefault="00DF0BB7" w14:paraId="21DB81F7" w14:textId="77777777">
      <w:bookmarkStart w:name="_GoBack" w:id="0"/>
      <w:bookmarkEnd w:id="0"/>
    </w:p>
    <w:p w:rsidR="00DF0BB7" w:rsidP="00DF0BB7" w:rsidRDefault="00DF0BB7" w14:paraId="7D15A968" w14:textId="77777777"/>
    <w:p w:rsidR="00DF0BB7" w:rsidP="00DF0BB7" w:rsidRDefault="00DF0BB7" w14:paraId="43110254" w14:textId="77777777"/>
    <w:p w:rsidR="00DF0BB7" w:rsidP="00DF0BB7" w:rsidRDefault="00DF0BB7" w14:paraId="7E931A9E" w14:textId="77777777"/>
    <w:p w:rsidR="00DF0BB7" w:rsidP="00DF0BB7" w:rsidRDefault="00DF0BB7" w14:paraId="6C7111E3" w14:textId="77777777"/>
    <w:p w:rsidRPr="00DF0BB7" w:rsidR="00DF0BB7" w:rsidP="00DF0BB7" w:rsidRDefault="00DF0BB7" w14:paraId="48C82049" w14:textId="77777777"/>
    <w:p w:rsidRPr="004E64E2" w:rsidR="00503E50" w:rsidP="00503E50" w:rsidRDefault="00503E50" w14:paraId="7C4EA271" w14:textId="77777777">
      <w:pPr>
        <w:ind w:left="1440"/>
        <w:rPr>
          <w:rFonts w:asciiTheme="majorHAnsi" w:hAnsiTheme="majorHAnsi" w:eastAsiaTheme="majorEastAsia" w:cstheme="majorBidi"/>
          <w:b/>
          <w:szCs w:val="32"/>
        </w:rPr>
      </w:pPr>
      <w:r w:rsidRPr="004E64E2">
        <w:rPr>
          <w:rFonts w:asciiTheme="majorHAnsi" w:hAnsiTheme="majorHAnsi" w:eastAsiaTheme="majorEastAsia" w:cstheme="majorBidi"/>
          <w:b/>
          <w:szCs w:val="32"/>
        </w:rPr>
        <w:t>Evaluation of the Kidney Innovation Accelerator (</w:t>
      </w:r>
      <w:proofErr w:type="spellStart"/>
      <w:r w:rsidRPr="004E64E2">
        <w:rPr>
          <w:rFonts w:asciiTheme="majorHAnsi" w:hAnsiTheme="majorHAnsi" w:eastAsiaTheme="majorEastAsia" w:cstheme="majorBidi"/>
          <w:b/>
          <w:szCs w:val="32"/>
        </w:rPr>
        <w:t>KidneyX</w:t>
      </w:r>
      <w:proofErr w:type="spellEnd"/>
      <w:r w:rsidRPr="004E64E2">
        <w:rPr>
          <w:rFonts w:asciiTheme="majorHAnsi" w:hAnsiTheme="majorHAnsi" w:eastAsiaTheme="majorEastAsia" w:cstheme="majorBidi"/>
          <w:b/>
          <w:szCs w:val="32"/>
        </w:rPr>
        <w:t>)</w:t>
      </w:r>
    </w:p>
    <w:p w:rsidR="00503E50" w:rsidP="00503E50" w:rsidRDefault="00503E50" w14:paraId="6FBAC475" w14:textId="77777777"/>
    <w:p w:rsidR="00503E50" w:rsidP="00503E50" w:rsidRDefault="00503E50" w14:paraId="6B0F9CA2" w14:textId="77777777"/>
    <w:p w:rsidR="00503E50" w:rsidP="00503E50" w:rsidRDefault="00503E50" w14:paraId="50F8F4DA" w14:textId="77777777"/>
    <w:p w:rsidR="00503E50" w:rsidP="00503E50" w:rsidRDefault="00503E50" w14:paraId="79D62EBA" w14:textId="77777777"/>
    <w:p w:rsidRPr="00D045D6" w:rsidR="00503E50" w:rsidP="00503E50" w:rsidRDefault="00503E50" w14:paraId="28CB861D" w14:textId="77777777"/>
    <w:p w:rsidR="00503E50" w:rsidP="00503E50" w:rsidRDefault="00503E50" w14:paraId="22E4D9C8" w14:textId="77777777"/>
    <w:p w:rsidR="00503E50" w:rsidP="00503E50" w:rsidRDefault="00503E50" w14:paraId="40839FEE" w14:textId="77777777">
      <w:pPr>
        <w:pStyle w:val="Heading2"/>
      </w:pPr>
      <w:r>
        <w:t>Supporting Statement – Section B</w:t>
      </w:r>
    </w:p>
    <w:p w:rsidR="00503E50" w:rsidP="00503E50" w:rsidRDefault="00503E50" w14:paraId="149B31E0" w14:textId="77777777"/>
    <w:p w:rsidR="00503E50" w:rsidP="00503E50" w:rsidRDefault="00503E50" w14:paraId="20D50BA2" w14:textId="77777777"/>
    <w:p w:rsidR="00503E50" w:rsidP="00503E50" w:rsidRDefault="00503E50" w14:paraId="282C149A" w14:textId="77777777"/>
    <w:p w:rsidR="00503E50" w:rsidP="00503E50" w:rsidRDefault="00503E50" w14:paraId="3E1F2E1D" w14:textId="77777777"/>
    <w:p w:rsidR="00503E50" w:rsidP="00503E50" w:rsidRDefault="00503E50" w14:paraId="4D38E407" w14:textId="77777777"/>
    <w:p w:rsidR="00503E50" w:rsidP="00503E50" w:rsidRDefault="00503E50" w14:paraId="1A90C40D" w14:textId="77777777"/>
    <w:p w:rsidR="00503E50" w:rsidP="00503E50" w:rsidRDefault="00503E50" w14:paraId="3EBDE297" w14:textId="3031FBFD">
      <w:pPr>
        <w:jc w:val="center"/>
      </w:pPr>
      <w:r w:rsidRPr="00DF0BB7">
        <w:rPr>
          <w:b/>
        </w:rPr>
        <w:t>Submitted</w:t>
      </w:r>
      <w:r>
        <w:t xml:space="preserve"> – </w:t>
      </w:r>
      <w:r w:rsidR="00F57906">
        <w:t>May 31, 2019</w:t>
      </w:r>
    </w:p>
    <w:p w:rsidR="00503E50" w:rsidP="00503E50" w:rsidRDefault="00503E50" w14:paraId="15AA99B8" w14:textId="77777777"/>
    <w:p w:rsidR="00503E50" w:rsidP="00503E50" w:rsidRDefault="00503E50" w14:paraId="4CD7D9AC" w14:textId="77777777"/>
    <w:p w:rsidR="00503E50" w:rsidP="00503E50" w:rsidRDefault="00503E50" w14:paraId="0FC66D4F" w14:textId="77777777"/>
    <w:p w:rsidR="00503E50" w:rsidP="00503E50" w:rsidRDefault="00503E50" w14:paraId="4A5C30A9" w14:textId="77777777"/>
    <w:p w:rsidR="00503E50" w:rsidP="00503E50" w:rsidRDefault="00503E50" w14:paraId="4DC3AFBE" w14:textId="77777777"/>
    <w:p w:rsidR="00503E50" w:rsidP="00503E50" w:rsidRDefault="00503E50" w14:paraId="6739D886" w14:textId="77777777"/>
    <w:p w:rsidR="00503E50" w:rsidP="00503E50" w:rsidRDefault="00503E50" w14:paraId="313477FA" w14:textId="77777777"/>
    <w:p w:rsidR="00503E50" w:rsidP="00503E50" w:rsidRDefault="00503E50" w14:paraId="44EB8FDB" w14:textId="77777777"/>
    <w:p w:rsidR="00503E50" w:rsidP="00503E50" w:rsidRDefault="00503E50" w14:paraId="1BFA9CD4" w14:textId="77777777"/>
    <w:p w:rsidR="00503E50" w:rsidP="00503E50" w:rsidRDefault="00503E50" w14:paraId="785F2370" w14:textId="77777777"/>
    <w:p w:rsidR="00503E50" w:rsidP="00503E50" w:rsidRDefault="00503E50" w14:paraId="74DF8941" w14:textId="77777777"/>
    <w:p w:rsidR="00503E50" w:rsidP="00503E50" w:rsidRDefault="00503E50" w14:paraId="3EA16F56" w14:textId="77777777"/>
    <w:p w:rsidR="00503E50" w:rsidP="00503E50" w:rsidRDefault="00503E50" w14:paraId="5238FF4C" w14:textId="77777777"/>
    <w:p w:rsidR="00503E50" w:rsidP="00503E50" w:rsidRDefault="00503E50" w14:paraId="6FA6E444" w14:textId="77777777"/>
    <w:p w:rsidR="00A93124" w:rsidP="006B0092" w:rsidRDefault="00A93124" w14:paraId="3A643FA9" w14:textId="77777777">
      <w:pPr>
        <w:rPr>
          <w:rFonts w:ascii="Times New Roman" w:hAnsi="Times New Roman" w:cs="Times New Roman"/>
          <w:b/>
          <w:bCs/>
          <w:u w:val="single"/>
        </w:rPr>
      </w:pPr>
    </w:p>
    <w:p w:rsidR="006B0092" w:rsidP="006B0092" w:rsidRDefault="006B0092" w14:paraId="13C240F3" w14:textId="3505CBB2">
      <w:pPr>
        <w:rPr>
          <w:rFonts w:ascii="Times New Roman" w:hAnsi="Times New Roman" w:cs="Times New Roman"/>
          <w:b/>
          <w:bCs/>
          <w:szCs w:val="24"/>
          <w:u w:val="single"/>
        </w:rPr>
      </w:pPr>
      <w:r>
        <w:rPr>
          <w:rFonts w:ascii="Times New Roman" w:hAnsi="Times New Roman" w:cs="Times New Roman"/>
          <w:b/>
          <w:bCs/>
          <w:u w:val="single"/>
        </w:rPr>
        <w:t>Program Officer/Project Officer</w:t>
      </w:r>
    </w:p>
    <w:p w:rsidR="006B0092" w:rsidP="006B0092" w:rsidRDefault="006B0092" w14:paraId="1E4254D7" w14:textId="77777777">
      <w:pPr>
        <w:rPr>
          <w:rFonts w:ascii="Times New Roman" w:hAnsi="Times New Roman" w:cs="Times New Roman"/>
          <w:sz w:val="22"/>
        </w:rPr>
      </w:pPr>
      <w:r>
        <w:rPr>
          <w:rFonts w:ascii="Times New Roman" w:hAnsi="Times New Roman" w:cs="Times New Roman"/>
        </w:rPr>
        <w:t xml:space="preserve">Sandeep Patel, Ph.D. | </w:t>
      </w:r>
      <w:r>
        <w:rPr>
          <w:rFonts w:ascii="Times New Roman" w:hAnsi="Times New Roman" w:cs="Times New Roman"/>
          <w:i/>
          <w:iCs/>
        </w:rPr>
        <w:t>Open Innovation Manager</w:t>
      </w:r>
    </w:p>
    <w:p w:rsidR="006B0092" w:rsidP="006B0092" w:rsidRDefault="006B0092" w14:paraId="71BD762C" w14:textId="77777777">
      <w:pPr>
        <w:rPr>
          <w:rFonts w:ascii="Times New Roman" w:hAnsi="Times New Roman" w:cs="Times New Roman"/>
        </w:rPr>
      </w:pPr>
      <w:r>
        <w:rPr>
          <w:rFonts w:ascii="Times New Roman" w:hAnsi="Times New Roman" w:cs="Times New Roman"/>
        </w:rPr>
        <w:t>U.S. Department of Health &amp; Human Services (HHS)</w:t>
      </w:r>
    </w:p>
    <w:p w:rsidR="006B0092" w:rsidP="00A93124" w:rsidRDefault="006B0092" w14:paraId="10519065" w14:textId="2AFA01D4">
      <w:pPr>
        <w:rPr>
          <w:rFonts w:ascii="Times New Roman" w:hAnsi="Times New Roman" w:cs="Times New Roman"/>
        </w:rPr>
      </w:pPr>
      <w:r>
        <w:rPr>
          <w:rFonts w:ascii="Times New Roman" w:hAnsi="Times New Roman" w:cs="Times New Roman"/>
        </w:rPr>
        <w:t xml:space="preserve">Office of the </w:t>
      </w:r>
      <w:r w:rsidR="00A93124">
        <w:rPr>
          <w:rFonts w:ascii="Times New Roman" w:hAnsi="Times New Roman" w:cs="Times New Roman"/>
        </w:rPr>
        <w:t>Chief Technology Officer (CTO)</w:t>
      </w:r>
    </w:p>
    <w:p w:rsidR="006B0092" w:rsidP="006B0092" w:rsidRDefault="006B0092" w14:paraId="241D2319" w14:textId="5869DC45">
      <w:pPr>
        <w:rPr>
          <w:rFonts w:ascii="Times New Roman" w:hAnsi="Times New Roman" w:cs="Times New Roman"/>
        </w:rPr>
      </w:pPr>
      <w:r>
        <w:rPr>
          <w:rFonts w:ascii="Times New Roman" w:hAnsi="Times New Roman" w:cs="Times New Roman"/>
          <w:i/>
          <w:iCs/>
        </w:rPr>
        <w:t>Address:</w:t>
      </w:r>
      <w:r>
        <w:rPr>
          <w:rFonts w:ascii="Times New Roman" w:hAnsi="Times New Roman" w:cs="Times New Roman"/>
        </w:rPr>
        <w:t xml:space="preserve">  </w:t>
      </w:r>
      <w:r w:rsidR="003B7688">
        <w:rPr>
          <w:rFonts w:ascii="Times New Roman" w:hAnsi="Times New Roman" w:cs="Times New Roman"/>
        </w:rPr>
        <w:tab/>
      </w:r>
      <w:r>
        <w:rPr>
          <w:rFonts w:ascii="Times New Roman" w:hAnsi="Times New Roman" w:cs="Times New Roman"/>
        </w:rPr>
        <w:t>200 Independence Avenue S.W. | Washington, D.C. 20201 | Rm. 624D.2</w:t>
      </w:r>
    </w:p>
    <w:p w:rsidR="006B0092" w:rsidP="006B0092" w:rsidRDefault="006B0092" w14:paraId="0CD83699" w14:textId="6BA7BD47">
      <w:pPr>
        <w:pStyle w:val="P1-StandPara"/>
        <w:spacing w:line="240" w:lineRule="auto"/>
        <w:ind w:firstLine="0"/>
        <w:rPr>
          <w:sz w:val="24"/>
          <w:szCs w:val="24"/>
        </w:rPr>
      </w:pPr>
      <w:r>
        <w:rPr>
          <w:i/>
          <w:iCs/>
          <w:sz w:val="24"/>
          <w:szCs w:val="24"/>
        </w:rPr>
        <w:t>Telephone:</w:t>
      </w:r>
      <w:r w:rsidR="003B7688">
        <w:rPr>
          <w:sz w:val="24"/>
          <w:szCs w:val="24"/>
        </w:rPr>
        <w:tab/>
      </w:r>
      <w:r>
        <w:rPr>
          <w:sz w:val="24"/>
          <w:szCs w:val="24"/>
        </w:rPr>
        <w:t>202-205-0355</w:t>
      </w:r>
    </w:p>
    <w:p w:rsidR="006B0092" w:rsidP="006B0092" w:rsidRDefault="006B0092" w14:paraId="5DB34E1E" w14:textId="39741AB4">
      <w:pPr>
        <w:pStyle w:val="P1-StandPara"/>
        <w:spacing w:line="240" w:lineRule="auto"/>
        <w:ind w:firstLine="0"/>
        <w:rPr>
          <w:sz w:val="24"/>
          <w:szCs w:val="24"/>
        </w:rPr>
      </w:pPr>
      <w:r>
        <w:rPr>
          <w:i/>
          <w:iCs/>
          <w:sz w:val="24"/>
          <w:szCs w:val="24"/>
        </w:rPr>
        <w:t>Fax:</w:t>
      </w:r>
      <w:r>
        <w:rPr>
          <w:sz w:val="24"/>
          <w:szCs w:val="24"/>
        </w:rPr>
        <w:t xml:space="preserve"> </w:t>
      </w:r>
      <w:r w:rsidR="003B7688">
        <w:rPr>
          <w:sz w:val="24"/>
          <w:szCs w:val="24"/>
        </w:rPr>
        <w:tab/>
      </w:r>
      <w:r w:rsidR="003B7688">
        <w:rPr>
          <w:sz w:val="24"/>
          <w:szCs w:val="24"/>
        </w:rPr>
        <w:tab/>
      </w:r>
      <w:r>
        <w:rPr>
          <w:sz w:val="24"/>
          <w:szCs w:val="24"/>
        </w:rPr>
        <w:t>202-690-6772</w:t>
      </w:r>
    </w:p>
    <w:p w:rsidR="00503E50" w:rsidP="006B0092" w:rsidRDefault="006B0092" w14:paraId="709006DA" w14:textId="367BFBE9">
      <w:r>
        <w:rPr>
          <w:i/>
          <w:iCs/>
          <w:szCs w:val="24"/>
        </w:rPr>
        <w:t>Email:</w:t>
      </w:r>
      <w:r>
        <w:rPr>
          <w:szCs w:val="24"/>
        </w:rPr>
        <w:t xml:space="preserve"> </w:t>
      </w:r>
      <w:r w:rsidR="003B7688">
        <w:rPr>
          <w:szCs w:val="24"/>
        </w:rPr>
        <w:tab/>
      </w:r>
      <w:r w:rsidR="003B7688">
        <w:rPr>
          <w:szCs w:val="24"/>
        </w:rPr>
        <w:tab/>
      </w:r>
      <w:hyperlink w:history="1" r:id="rId10">
        <w:r>
          <w:rPr>
            <w:rStyle w:val="Hyperlink"/>
            <w:szCs w:val="24"/>
          </w:rPr>
          <w:t>Sandeep.Patel@hhs.gov</w:t>
        </w:r>
      </w:hyperlink>
    </w:p>
    <w:p w:rsidR="00503E50" w:rsidP="00503E50" w:rsidRDefault="00503E50" w14:paraId="6063C6AA" w14:textId="77777777"/>
    <w:p w:rsidR="00503E50" w:rsidP="00503E50" w:rsidRDefault="00503E50" w14:paraId="6EC95021" w14:textId="77777777"/>
    <w:p w:rsidR="006C30B2" w:rsidP="006C30B2" w:rsidRDefault="006C30B2" w14:paraId="1EB76230" w14:textId="66397E45">
      <w:pPr>
        <w:pStyle w:val="Heading2"/>
      </w:pPr>
      <w:r>
        <w:lastRenderedPageBreak/>
        <w:t xml:space="preserve">Part B: </w:t>
      </w:r>
      <w:bookmarkStart w:name="_Hlk500318037" w:id="1"/>
      <w:r>
        <w:t>Collections of Information Employing Statistical Methods</w:t>
      </w:r>
      <w:bookmarkEnd w:id="1"/>
    </w:p>
    <w:p w:rsidR="006C30B2" w:rsidP="006C30B2" w:rsidRDefault="006C30B2" w14:paraId="7C3E97DC" w14:textId="77777777"/>
    <w:p w:rsidRPr="00F554AB" w:rsidR="006C30B2" w:rsidP="00F554AB" w:rsidRDefault="006C30B2" w14:paraId="0854DD9E" w14:textId="6FA994A7">
      <w:pPr>
        <w:pStyle w:val="Heading3"/>
      </w:pPr>
      <w:r w:rsidRPr="00F554AB">
        <w:t>Respondent Universe and Sample Selection Methods</w:t>
      </w:r>
    </w:p>
    <w:p w:rsidRPr="004A093F" w:rsidR="00503E50" w:rsidP="007D4507" w:rsidRDefault="007D4507" w14:paraId="7F5C9033" w14:textId="7AEF8391">
      <w:pPr>
        <w:pStyle w:val="ListParagraph"/>
        <w:numPr>
          <w:ilvl w:val="0"/>
          <w:numId w:val="14"/>
        </w:numPr>
        <w:rPr>
          <w:b/>
          <w:bCs/>
        </w:rPr>
      </w:pPr>
      <w:r w:rsidRPr="004A093F">
        <w:rPr>
          <w:b/>
          <w:bCs/>
        </w:rPr>
        <w:t>Interview Respondents and Sampling</w:t>
      </w:r>
    </w:p>
    <w:p w:rsidRPr="00DE09E0" w:rsidR="007D4507" w:rsidP="007D4507" w:rsidRDefault="007D4507" w14:paraId="51973C86" w14:textId="4DD13FA0">
      <w:pPr>
        <w:pStyle w:val="BodyText2"/>
        <w:rPr>
          <w:rFonts w:eastAsia="Calibri"/>
        </w:rPr>
      </w:pPr>
      <w:r w:rsidRPr="00DE09E0">
        <w:rPr>
          <w:rFonts w:eastAsia="Calibri"/>
        </w:rPr>
        <w:t xml:space="preserve">For the interviews conducted as part of this information collection, we will </w:t>
      </w:r>
      <w:r w:rsidRPr="00DE09E0" w:rsidR="00DE09E0">
        <w:rPr>
          <w:rFonts w:eastAsia="Calibri"/>
        </w:rPr>
        <w:t xml:space="preserve">solicit views from a small number </w:t>
      </w:r>
      <w:r w:rsidR="00DE09E0">
        <w:rPr>
          <w:rFonts w:eastAsia="Calibri"/>
        </w:rPr>
        <w:t xml:space="preserve">of individuals </w:t>
      </w:r>
      <w:r w:rsidR="001A5A09">
        <w:rPr>
          <w:rFonts w:eastAsia="Calibri"/>
        </w:rPr>
        <w:t xml:space="preserve">selected from </w:t>
      </w:r>
      <w:proofErr w:type="spellStart"/>
      <w:r w:rsidR="001A5A09">
        <w:rPr>
          <w:rFonts w:eastAsia="Calibri"/>
        </w:rPr>
        <w:t>KidneyX</w:t>
      </w:r>
      <w:proofErr w:type="spellEnd"/>
      <w:r w:rsidR="001A5A09">
        <w:rPr>
          <w:rFonts w:eastAsia="Calibri"/>
        </w:rPr>
        <w:t xml:space="preserve"> prizewinners and non-prizewinner applicants, </w:t>
      </w:r>
      <w:r w:rsidR="00DE09E0">
        <w:rPr>
          <w:rFonts w:eastAsia="Calibri"/>
        </w:rPr>
        <w:t xml:space="preserve">and people knowledgeable about </w:t>
      </w:r>
      <w:proofErr w:type="spellStart"/>
      <w:r w:rsidR="00DE09E0">
        <w:rPr>
          <w:rFonts w:eastAsia="Calibri"/>
        </w:rPr>
        <w:t>KidneyX</w:t>
      </w:r>
      <w:proofErr w:type="spellEnd"/>
      <w:r w:rsidR="00DE09E0">
        <w:rPr>
          <w:rFonts w:eastAsia="Calibri"/>
        </w:rPr>
        <w:t xml:space="preserve">. Due to resource constraints, each set of interviewees will be a convenience sample. We plan to ensure that each sample includes respondents with diverse technical backgrounds, </w:t>
      </w:r>
      <w:r w:rsidR="005D1D7A">
        <w:rPr>
          <w:rFonts w:eastAsia="Calibri"/>
        </w:rPr>
        <w:t xml:space="preserve">proposed innovations, </w:t>
      </w:r>
      <w:r w:rsidR="00DE09E0">
        <w:rPr>
          <w:rFonts w:eastAsia="Calibri"/>
        </w:rPr>
        <w:t xml:space="preserve">organizational affiliations, professional experiences, and perspectives on </w:t>
      </w:r>
      <w:proofErr w:type="spellStart"/>
      <w:r w:rsidR="00DE09E0">
        <w:rPr>
          <w:rFonts w:eastAsia="Calibri"/>
        </w:rPr>
        <w:t>KidneyX</w:t>
      </w:r>
      <w:proofErr w:type="spellEnd"/>
      <w:r w:rsidR="00DE09E0">
        <w:rPr>
          <w:rFonts w:eastAsia="Calibri"/>
        </w:rPr>
        <w:t>. The selection of respondents is designed to elicit a range of opinions and experiences that provide a rich dataset for our qualitative analysis.</w:t>
      </w:r>
    </w:p>
    <w:p w:rsidRPr="00A920DA" w:rsidR="00653142" w:rsidP="00E67189" w:rsidRDefault="00653142" w14:paraId="2AAFA5A7" w14:textId="58633B31">
      <w:pPr>
        <w:pStyle w:val="BodyText2"/>
        <w:rPr>
          <w:rFonts w:eastAsia="Calibri"/>
        </w:rPr>
      </w:pPr>
      <w:r w:rsidRPr="00A920DA">
        <w:rPr>
          <w:rFonts w:eastAsia="Calibri"/>
          <w:u w:val="single"/>
        </w:rPr>
        <w:t>Applicant Interviews</w:t>
      </w:r>
      <w:r w:rsidRPr="00A920DA">
        <w:rPr>
          <w:rFonts w:eastAsia="Calibri"/>
        </w:rPr>
        <w:t xml:space="preserve">: </w:t>
      </w:r>
      <w:r w:rsidR="00ED32C7">
        <w:rPr>
          <w:rFonts w:eastAsia="Calibri"/>
        </w:rPr>
        <w:t>W</w:t>
      </w:r>
      <w:r w:rsidRPr="00A920DA">
        <w:rPr>
          <w:rFonts w:eastAsia="Calibri"/>
        </w:rPr>
        <w:t xml:space="preserve">e will interview </w:t>
      </w:r>
      <w:r w:rsidRPr="00A920DA" w:rsidR="00ED32C7">
        <w:rPr>
          <w:rFonts w:eastAsia="Calibri"/>
        </w:rPr>
        <w:t xml:space="preserve">up to 12 </w:t>
      </w:r>
      <w:proofErr w:type="spellStart"/>
      <w:r w:rsidR="00ED32C7">
        <w:rPr>
          <w:rFonts w:eastAsia="Calibri"/>
        </w:rPr>
        <w:t>KidneyX</w:t>
      </w:r>
      <w:proofErr w:type="spellEnd"/>
      <w:r w:rsidR="00ED32C7">
        <w:rPr>
          <w:rFonts w:eastAsia="Calibri"/>
        </w:rPr>
        <w:t xml:space="preserve"> </w:t>
      </w:r>
      <w:r w:rsidR="003D772D">
        <w:rPr>
          <w:rFonts w:eastAsia="Calibri"/>
        </w:rPr>
        <w:t>competition applicants</w:t>
      </w:r>
      <w:r w:rsidR="00943E21">
        <w:rPr>
          <w:rFonts w:eastAsia="Calibri"/>
        </w:rPr>
        <w:t xml:space="preserve"> in</w:t>
      </w:r>
      <w:r w:rsidR="003D772D">
        <w:rPr>
          <w:rFonts w:eastAsia="Calibri"/>
        </w:rPr>
        <w:t xml:space="preserve"> </w:t>
      </w:r>
      <w:r w:rsidR="00ED32C7">
        <w:rPr>
          <w:rFonts w:eastAsia="Calibri"/>
        </w:rPr>
        <w:t>each year.</w:t>
      </w:r>
      <w:r w:rsidR="00AE6159">
        <w:rPr>
          <w:rFonts w:eastAsia="Calibri"/>
        </w:rPr>
        <w:t xml:space="preserve"> </w:t>
      </w:r>
      <w:r w:rsidR="00DE09E0">
        <w:rPr>
          <w:rFonts w:eastAsia="Calibri"/>
        </w:rPr>
        <w:t>In years with more than one competition, respondents will be drawn from each competition held.</w:t>
      </w:r>
    </w:p>
    <w:p w:rsidRPr="00A920DA" w:rsidR="00653142" w:rsidP="00E67189" w:rsidRDefault="00653142" w14:paraId="2F72B39D" w14:textId="5541A0D4">
      <w:pPr>
        <w:pStyle w:val="BodyText2"/>
        <w:rPr>
          <w:rFonts w:eastAsia="Calibri"/>
        </w:rPr>
      </w:pPr>
      <w:r w:rsidRPr="00A920DA">
        <w:rPr>
          <w:rFonts w:eastAsia="Calibri"/>
          <w:u w:val="single"/>
        </w:rPr>
        <w:t>Non-</w:t>
      </w:r>
      <w:r w:rsidR="00AE6159">
        <w:rPr>
          <w:rFonts w:eastAsia="Calibri"/>
          <w:u w:val="single"/>
        </w:rPr>
        <w:t>a</w:t>
      </w:r>
      <w:r w:rsidRPr="00A920DA" w:rsidR="00AE6159">
        <w:rPr>
          <w:rFonts w:eastAsia="Calibri"/>
          <w:u w:val="single"/>
        </w:rPr>
        <w:t xml:space="preserve">wardee </w:t>
      </w:r>
      <w:r w:rsidRPr="00A920DA">
        <w:rPr>
          <w:rFonts w:eastAsia="Calibri"/>
          <w:u w:val="single"/>
        </w:rPr>
        <w:t>Interviews</w:t>
      </w:r>
      <w:r w:rsidRPr="00A920DA">
        <w:rPr>
          <w:rFonts w:eastAsia="Calibri"/>
        </w:rPr>
        <w:t xml:space="preserve">: </w:t>
      </w:r>
      <w:r w:rsidR="004F6EE0">
        <w:rPr>
          <w:rFonts w:eastAsia="Calibri"/>
        </w:rPr>
        <w:t>W</w:t>
      </w:r>
      <w:r w:rsidRPr="00A920DA">
        <w:rPr>
          <w:rFonts w:eastAsia="Calibri"/>
        </w:rPr>
        <w:t xml:space="preserve">e will interview </w:t>
      </w:r>
      <w:r w:rsidR="004F6EE0">
        <w:rPr>
          <w:rFonts w:eastAsia="Calibri"/>
        </w:rPr>
        <w:t xml:space="preserve">up to </w:t>
      </w:r>
      <w:r w:rsidR="00AE6159">
        <w:rPr>
          <w:rFonts w:eastAsia="Calibri"/>
        </w:rPr>
        <w:t xml:space="preserve">six </w:t>
      </w:r>
      <w:r w:rsidRPr="00A920DA">
        <w:rPr>
          <w:rFonts w:eastAsia="Calibri"/>
        </w:rPr>
        <w:t>non-awardee applicants</w:t>
      </w:r>
      <w:r w:rsidR="004F6EE0">
        <w:rPr>
          <w:rFonts w:eastAsia="Calibri"/>
        </w:rPr>
        <w:t xml:space="preserve"> each year</w:t>
      </w:r>
      <w:r w:rsidRPr="00A920DA">
        <w:rPr>
          <w:rFonts w:eastAsia="Calibri"/>
        </w:rPr>
        <w:t>.</w:t>
      </w:r>
      <w:r w:rsidR="00AE6159">
        <w:rPr>
          <w:rFonts w:eastAsia="Calibri"/>
        </w:rPr>
        <w:t xml:space="preserve"> </w:t>
      </w:r>
      <w:r w:rsidR="00DE09E0">
        <w:rPr>
          <w:rFonts w:eastAsia="Calibri"/>
        </w:rPr>
        <w:t>These respondents will be identified after the public announcement of awards, based on information provided during the application process</w:t>
      </w:r>
      <w:r w:rsidR="008B30C2">
        <w:rPr>
          <w:rFonts w:eastAsia="Calibri"/>
        </w:rPr>
        <w:t xml:space="preserve">. </w:t>
      </w:r>
    </w:p>
    <w:p w:rsidRPr="00A920DA" w:rsidR="00653142" w:rsidP="00E67189" w:rsidRDefault="00653142" w14:paraId="5E614D7F" w14:textId="3216184B">
      <w:pPr>
        <w:pStyle w:val="BodyText2"/>
        <w:rPr>
          <w:rFonts w:eastAsia="Calibri"/>
        </w:rPr>
      </w:pPr>
      <w:r w:rsidRPr="00A920DA">
        <w:rPr>
          <w:rFonts w:eastAsia="Calibri"/>
          <w:u w:val="single"/>
        </w:rPr>
        <w:t>Awardee Interviews</w:t>
      </w:r>
      <w:r w:rsidRPr="00A920DA">
        <w:rPr>
          <w:rFonts w:eastAsia="Calibri"/>
        </w:rPr>
        <w:t xml:space="preserve">: </w:t>
      </w:r>
      <w:r w:rsidR="004F6EE0">
        <w:rPr>
          <w:rFonts w:eastAsia="Calibri"/>
        </w:rPr>
        <w:t>W</w:t>
      </w:r>
      <w:r w:rsidRPr="00A920DA">
        <w:rPr>
          <w:rFonts w:eastAsia="Calibri"/>
        </w:rPr>
        <w:t xml:space="preserve">e will interview </w:t>
      </w:r>
      <w:r w:rsidR="004F6EE0">
        <w:rPr>
          <w:rFonts w:eastAsia="Calibri"/>
        </w:rPr>
        <w:t xml:space="preserve">up to </w:t>
      </w:r>
      <w:r w:rsidR="00AE6159">
        <w:rPr>
          <w:rFonts w:eastAsia="Calibri"/>
        </w:rPr>
        <w:t xml:space="preserve">six </w:t>
      </w:r>
      <w:r w:rsidRPr="00A920DA">
        <w:rPr>
          <w:rFonts w:eastAsia="Calibri"/>
        </w:rPr>
        <w:t>awardees</w:t>
      </w:r>
      <w:r w:rsidR="00DA6586">
        <w:rPr>
          <w:rFonts w:eastAsia="Calibri"/>
        </w:rPr>
        <w:t xml:space="preserve"> each year</w:t>
      </w:r>
      <w:r w:rsidRPr="00A920DA">
        <w:rPr>
          <w:rFonts w:eastAsia="Calibri"/>
        </w:rPr>
        <w:t>.</w:t>
      </w:r>
      <w:r w:rsidR="00AE6159">
        <w:rPr>
          <w:rFonts w:eastAsia="Calibri"/>
        </w:rPr>
        <w:t xml:space="preserve"> </w:t>
      </w:r>
      <w:r w:rsidR="00DE09E0">
        <w:rPr>
          <w:rFonts w:eastAsia="Calibri"/>
        </w:rPr>
        <w:t>These respondents will be identified after the public announcement of awards, based on information provided during the application proces</w:t>
      </w:r>
      <w:r w:rsidR="00453BD4">
        <w:rPr>
          <w:rFonts w:eastAsia="Calibri"/>
        </w:rPr>
        <w:t>s</w:t>
      </w:r>
      <w:r w:rsidR="00AD52B3">
        <w:rPr>
          <w:rFonts w:eastAsia="Calibri"/>
        </w:rPr>
        <w:t>.</w:t>
      </w:r>
    </w:p>
    <w:p w:rsidR="00653142" w:rsidP="00E67189" w:rsidRDefault="00653142" w14:paraId="55E6FB92" w14:textId="705252B6">
      <w:pPr>
        <w:pStyle w:val="BodyText2"/>
        <w:rPr>
          <w:rFonts w:eastAsia="Calibri"/>
        </w:rPr>
      </w:pPr>
      <w:r w:rsidRPr="00A920DA">
        <w:rPr>
          <w:rFonts w:eastAsia="Calibri"/>
          <w:u w:val="single"/>
        </w:rPr>
        <w:t>Other Stakeholder Interviews</w:t>
      </w:r>
      <w:r w:rsidRPr="00A920DA">
        <w:rPr>
          <w:rFonts w:eastAsia="Calibri"/>
        </w:rPr>
        <w:t>:</w:t>
      </w:r>
      <w:r w:rsidR="00AE6159">
        <w:rPr>
          <w:rFonts w:eastAsia="Calibri"/>
        </w:rPr>
        <w:t xml:space="preserve"> </w:t>
      </w:r>
      <w:r w:rsidR="00DA6586">
        <w:rPr>
          <w:rFonts w:eastAsia="Calibri"/>
        </w:rPr>
        <w:t>W</w:t>
      </w:r>
      <w:r w:rsidRPr="00A920DA">
        <w:rPr>
          <w:rFonts w:eastAsia="Calibri"/>
        </w:rPr>
        <w:t xml:space="preserve">e will interview </w:t>
      </w:r>
      <w:r w:rsidR="00DA6586">
        <w:rPr>
          <w:rFonts w:eastAsia="Calibri"/>
        </w:rPr>
        <w:t xml:space="preserve">up to </w:t>
      </w:r>
      <w:r w:rsidR="00AE6159">
        <w:rPr>
          <w:rFonts w:eastAsia="Calibri"/>
        </w:rPr>
        <w:t xml:space="preserve">six </w:t>
      </w:r>
      <w:r w:rsidRPr="00A920DA">
        <w:rPr>
          <w:rFonts w:eastAsia="Calibri"/>
        </w:rPr>
        <w:t>non-applicant stakeholders</w:t>
      </w:r>
      <w:r w:rsidR="00377E5F">
        <w:rPr>
          <w:rFonts w:eastAsia="Calibri"/>
        </w:rPr>
        <w:t xml:space="preserve"> </w:t>
      </w:r>
      <w:r w:rsidR="00377E5F">
        <w:t>each year</w:t>
      </w:r>
      <w:r w:rsidR="00D4109C">
        <w:rPr>
          <w:rFonts w:eastAsia="Calibri"/>
        </w:rPr>
        <w:t>,</w:t>
      </w:r>
      <w:r w:rsidRPr="00A920DA">
        <w:rPr>
          <w:rFonts w:eastAsia="Calibri"/>
        </w:rPr>
        <w:t xml:space="preserve"> </w:t>
      </w:r>
      <w:r w:rsidR="00D4109C">
        <w:rPr>
          <w:rFonts w:eastAsia="Calibri"/>
        </w:rPr>
        <w:t>including some non-</w:t>
      </w:r>
      <w:r w:rsidRPr="00A920DA">
        <w:t>government partners</w:t>
      </w:r>
      <w:r w:rsidR="00D4109C">
        <w:t xml:space="preserve"> such as</w:t>
      </w:r>
      <w:r w:rsidRPr="00A920DA" w:rsidR="00D4109C">
        <w:t xml:space="preserve"> </w:t>
      </w:r>
      <w:r w:rsidRPr="00A920DA">
        <w:t xml:space="preserve">Kidney Health Initiative (KHI) leadership, </w:t>
      </w:r>
      <w:r w:rsidR="00D4109C">
        <w:t>American Society of Nephrology (ASN) executives,</w:t>
      </w:r>
      <w:r w:rsidRPr="00A920DA">
        <w:t xml:space="preserve"> and patient advocates</w:t>
      </w:r>
      <w:r w:rsidRPr="00A920DA">
        <w:rPr>
          <w:rFonts w:eastAsia="Calibri"/>
        </w:rPr>
        <w:t>.</w:t>
      </w:r>
      <w:r w:rsidR="00AE6159">
        <w:rPr>
          <w:rFonts w:eastAsia="Calibri"/>
        </w:rPr>
        <w:t xml:space="preserve"> </w:t>
      </w:r>
      <w:r w:rsidR="00DA6586">
        <w:rPr>
          <w:rFonts w:eastAsia="Calibri"/>
        </w:rPr>
        <w:t>We will work with HHS to identify appropriate stakeholders to participate in these interviews.</w:t>
      </w:r>
      <w:r w:rsidR="00AE6159">
        <w:rPr>
          <w:rFonts w:eastAsia="Calibri"/>
        </w:rPr>
        <w:t xml:space="preserve"> </w:t>
      </w:r>
      <w:r w:rsidR="00DE09E0">
        <w:rPr>
          <w:rFonts w:eastAsia="Calibri"/>
        </w:rPr>
        <w:t xml:space="preserve">As feasible, we will interview at least three of the same stakeholder representatives during each annual interview cycles to gain their observations on changes to </w:t>
      </w:r>
      <w:proofErr w:type="spellStart"/>
      <w:r w:rsidR="00DE09E0">
        <w:rPr>
          <w:rFonts w:eastAsia="Calibri"/>
        </w:rPr>
        <w:t>KidneyX</w:t>
      </w:r>
      <w:proofErr w:type="spellEnd"/>
      <w:r w:rsidR="00DE09E0">
        <w:rPr>
          <w:rFonts w:eastAsia="Calibri"/>
        </w:rPr>
        <w:t xml:space="preserve"> over time</w:t>
      </w:r>
      <w:r w:rsidR="004A093F">
        <w:rPr>
          <w:rFonts w:eastAsia="Calibri"/>
        </w:rPr>
        <w:t xml:space="preserve">, while the other three respondents will be selected based on the stakeholders engaged in </w:t>
      </w:r>
      <w:proofErr w:type="spellStart"/>
      <w:r w:rsidR="004A093F">
        <w:rPr>
          <w:rFonts w:eastAsia="Calibri"/>
        </w:rPr>
        <w:t>KidneyX</w:t>
      </w:r>
      <w:proofErr w:type="spellEnd"/>
      <w:r w:rsidR="004A093F">
        <w:rPr>
          <w:rFonts w:eastAsia="Calibri"/>
        </w:rPr>
        <w:t xml:space="preserve"> during that year.</w:t>
      </w:r>
    </w:p>
    <w:p w:rsidR="00DA6586" w:rsidP="00E67189" w:rsidRDefault="00DA6586" w14:paraId="1156310B" w14:textId="6A0A2897">
      <w:pPr>
        <w:pStyle w:val="BodyText2"/>
        <w:rPr>
          <w:rFonts w:eastAsia="Calibri"/>
        </w:rPr>
      </w:pPr>
      <w:r w:rsidRPr="00DA6586">
        <w:rPr>
          <w:rFonts w:eastAsia="Calibri"/>
        </w:rPr>
        <w:t xml:space="preserve">The table below provides </w:t>
      </w:r>
      <w:r>
        <w:rPr>
          <w:rFonts w:eastAsia="Calibri"/>
        </w:rPr>
        <w:t>an overview of</w:t>
      </w:r>
      <w:r w:rsidR="00092A86">
        <w:rPr>
          <w:rFonts w:eastAsia="Calibri"/>
        </w:rPr>
        <w:t xml:space="preserve"> the annual number of respondents for each interview type</w:t>
      </w:r>
      <w:r w:rsidRPr="00DA6586">
        <w:rPr>
          <w:rFonts w:eastAsia="Calibri"/>
        </w:rPr>
        <w:t>.</w:t>
      </w:r>
    </w:p>
    <w:tbl>
      <w:tblPr>
        <w:tblStyle w:val="TableGrid"/>
        <w:tblW w:w="3416" w:type="pct"/>
        <w:tblInd w:w="13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14"/>
        <w:gridCol w:w="1981"/>
      </w:tblGrid>
      <w:tr w:rsidRPr="00EA1E11" w:rsidR="00313B87" w:rsidTr="004158E8" w14:paraId="7937D66B" w14:textId="77777777">
        <w:tc>
          <w:tcPr>
            <w:tcW w:w="3451" w:type="pct"/>
            <w:tcBorders>
              <w:top w:val="single" w:color="auto" w:sz="4" w:space="0"/>
              <w:bottom w:val="single" w:color="auto" w:sz="4" w:space="0"/>
            </w:tcBorders>
          </w:tcPr>
          <w:p w:rsidRPr="00EA1E11" w:rsidR="00313B87" w:rsidP="006924DB" w:rsidRDefault="00313B87" w14:paraId="03D59A2F" w14:textId="2D32F8FF">
            <w:pPr>
              <w:rPr>
                <w:b/>
              </w:rPr>
            </w:pPr>
            <w:r>
              <w:rPr>
                <w:b/>
              </w:rPr>
              <w:lastRenderedPageBreak/>
              <w:t>Respondent Type</w:t>
            </w:r>
          </w:p>
        </w:tc>
        <w:tc>
          <w:tcPr>
            <w:tcW w:w="1549" w:type="pct"/>
            <w:tcBorders>
              <w:top w:val="single" w:color="auto" w:sz="4" w:space="0"/>
              <w:bottom w:val="single" w:color="auto" w:sz="4" w:space="0"/>
            </w:tcBorders>
            <w:vAlign w:val="center"/>
          </w:tcPr>
          <w:p w:rsidRPr="00EA1E11" w:rsidR="00313B87" w:rsidP="006924DB" w:rsidRDefault="00313B87" w14:paraId="3488A53D" w14:textId="5B0E3968">
            <w:pPr>
              <w:jc w:val="center"/>
              <w:rPr>
                <w:b/>
              </w:rPr>
            </w:pPr>
            <w:r>
              <w:rPr>
                <w:b/>
              </w:rPr>
              <w:t xml:space="preserve">Annual </w:t>
            </w:r>
            <w:r w:rsidRPr="00EA1E11">
              <w:rPr>
                <w:b/>
              </w:rPr>
              <w:t>Number of Respondents</w:t>
            </w:r>
          </w:p>
        </w:tc>
      </w:tr>
      <w:tr w:rsidRPr="00EA1E11" w:rsidR="00313B87" w:rsidTr="004158E8" w14:paraId="2A3BE3E9" w14:textId="77777777">
        <w:trPr>
          <w:trHeight w:val="440"/>
        </w:trPr>
        <w:tc>
          <w:tcPr>
            <w:tcW w:w="3451" w:type="pct"/>
            <w:tcBorders>
              <w:top w:val="single" w:color="auto" w:sz="4" w:space="0"/>
            </w:tcBorders>
          </w:tcPr>
          <w:p w:rsidRPr="00EA1E11" w:rsidR="00313B87" w:rsidP="006924DB" w:rsidRDefault="00313B87" w14:paraId="6E29CF17" w14:textId="4805E178">
            <w:r>
              <w:t xml:space="preserve">Applicants </w:t>
            </w:r>
          </w:p>
        </w:tc>
        <w:tc>
          <w:tcPr>
            <w:tcW w:w="1549" w:type="pct"/>
            <w:tcBorders>
              <w:top w:val="single" w:color="auto" w:sz="4" w:space="0"/>
            </w:tcBorders>
          </w:tcPr>
          <w:p w:rsidRPr="00EA1E11" w:rsidR="00313B87" w:rsidP="006924DB" w:rsidRDefault="009A454E" w14:paraId="54FA87E3" w14:textId="31C24113">
            <w:pPr>
              <w:jc w:val="center"/>
            </w:pPr>
            <w:r>
              <w:t>12</w:t>
            </w:r>
          </w:p>
        </w:tc>
      </w:tr>
      <w:tr w:rsidRPr="00EA1E11" w:rsidR="00313B87" w:rsidTr="004158E8" w14:paraId="7D712B85" w14:textId="77777777">
        <w:trPr>
          <w:trHeight w:val="450"/>
        </w:trPr>
        <w:tc>
          <w:tcPr>
            <w:tcW w:w="3451" w:type="pct"/>
          </w:tcPr>
          <w:p w:rsidRPr="00EA1E11" w:rsidR="00313B87" w:rsidP="006924DB" w:rsidRDefault="00313B87" w14:paraId="56A33051" w14:textId="60C78AF2">
            <w:r>
              <w:t xml:space="preserve">Awardees </w:t>
            </w:r>
          </w:p>
        </w:tc>
        <w:tc>
          <w:tcPr>
            <w:tcW w:w="1549" w:type="pct"/>
          </w:tcPr>
          <w:p w:rsidRPr="00EA1E11" w:rsidR="00313B87" w:rsidP="006924DB" w:rsidRDefault="009A454E" w14:paraId="4D8188FD" w14:textId="3E1E8575">
            <w:pPr>
              <w:jc w:val="center"/>
            </w:pPr>
            <w:r>
              <w:t>6</w:t>
            </w:r>
          </w:p>
        </w:tc>
      </w:tr>
      <w:tr w:rsidRPr="00EA1E11" w:rsidR="00313B87" w:rsidTr="004158E8" w14:paraId="47CA1EDD" w14:textId="77777777">
        <w:trPr>
          <w:trHeight w:val="450"/>
        </w:trPr>
        <w:tc>
          <w:tcPr>
            <w:tcW w:w="3451" w:type="pct"/>
          </w:tcPr>
          <w:p w:rsidR="00313B87" w:rsidP="006924DB" w:rsidRDefault="00313B87" w14:paraId="65AD894F" w14:textId="3BFECD64">
            <w:r>
              <w:t>Non-</w:t>
            </w:r>
            <w:r w:rsidR="00AE6159">
              <w:t>awardees</w:t>
            </w:r>
          </w:p>
        </w:tc>
        <w:tc>
          <w:tcPr>
            <w:tcW w:w="1549" w:type="pct"/>
          </w:tcPr>
          <w:p w:rsidR="00313B87" w:rsidP="006924DB" w:rsidRDefault="009A454E" w14:paraId="4D7976A9" w14:textId="33F29D9D">
            <w:pPr>
              <w:jc w:val="center"/>
            </w:pPr>
            <w:r>
              <w:t>6</w:t>
            </w:r>
          </w:p>
        </w:tc>
      </w:tr>
      <w:tr w:rsidRPr="00EA1E11" w:rsidR="00313B87" w:rsidTr="004158E8" w14:paraId="087468E7" w14:textId="77777777">
        <w:trPr>
          <w:trHeight w:val="450"/>
        </w:trPr>
        <w:tc>
          <w:tcPr>
            <w:tcW w:w="3451" w:type="pct"/>
          </w:tcPr>
          <w:p w:rsidR="00313B87" w:rsidP="006924DB" w:rsidRDefault="00313B87" w14:paraId="300EEC96" w14:textId="4CF7BFFB">
            <w:r>
              <w:t>Other Stakeholders</w:t>
            </w:r>
          </w:p>
        </w:tc>
        <w:tc>
          <w:tcPr>
            <w:tcW w:w="1549" w:type="pct"/>
          </w:tcPr>
          <w:p w:rsidR="00313B87" w:rsidP="006924DB" w:rsidRDefault="00C80E18" w14:paraId="47970A56" w14:textId="6A727ADE">
            <w:pPr>
              <w:jc w:val="center"/>
            </w:pPr>
            <w:r>
              <w:t>6</w:t>
            </w:r>
          </w:p>
        </w:tc>
      </w:tr>
      <w:tr w:rsidRPr="00EA1E11" w:rsidR="00313B87" w:rsidTr="004158E8" w14:paraId="38EF05B0" w14:textId="77777777">
        <w:trPr>
          <w:trHeight w:val="458"/>
        </w:trPr>
        <w:tc>
          <w:tcPr>
            <w:tcW w:w="3451" w:type="pct"/>
            <w:tcBorders>
              <w:top w:val="single" w:color="auto" w:sz="4" w:space="0"/>
              <w:bottom w:val="single" w:color="auto" w:sz="4" w:space="0"/>
            </w:tcBorders>
            <w:vAlign w:val="center"/>
          </w:tcPr>
          <w:p w:rsidRPr="00EA1E11" w:rsidR="00313B87" w:rsidP="006924DB" w:rsidRDefault="00313B87" w14:paraId="799F96CE" w14:textId="77777777">
            <w:pPr>
              <w:rPr>
                <w:b/>
              </w:rPr>
            </w:pPr>
            <w:r w:rsidRPr="00EA1E11">
              <w:rPr>
                <w:b/>
              </w:rPr>
              <w:t>Total</w:t>
            </w:r>
          </w:p>
        </w:tc>
        <w:tc>
          <w:tcPr>
            <w:tcW w:w="1549" w:type="pct"/>
            <w:tcBorders>
              <w:top w:val="single" w:color="auto" w:sz="4" w:space="0"/>
              <w:bottom w:val="single" w:color="auto" w:sz="4" w:space="0"/>
            </w:tcBorders>
            <w:vAlign w:val="center"/>
          </w:tcPr>
          <w:p w:rsidRPr="00EA1E11" w:rsidR="00313B87" w:rsidP="006924DB" w:rsidRDefault="00C80E18" w14:paraId="7A696906" w14:textId="27F4713D">
            <w:pPr>
              <w:jc w:val="center"/>
              <w:rPr>
                <w:b/>
              </w:rPr>
            </w:pPr>
            <w:r>
              <w:rPr>
                <w:b/>
              </w:rPr>
              <w:t>30</w:t>
            </w:r>
          </w:p>
        </w:tc>
      </w:tr>
    </w:tbl>
    <w:p w:rsidRPr="00453BD4" w:rsidR="004A093F" w:rsidP="00453BD4" w:rsidRDefault="004A093F" w14:paraId="643C713D" w14:textId="77777777">
      <w:pPr>
        <w:rPr>
          <w:b/>
          <w:bCs/>
        </w:rPr>
      </w:pPr>
    </w:p>
    <w:p w:rsidRPr="004A093F" w:rsidR="004A093F" w:rsidP="004A093F" w:rsidRDefault="004A093F" w14:paraId="0412CA43" w14:textId="6D782F7B">
      <w:pPr>
        <w:pStyle w:val="ListParagraph"/>
        <w:numPr>
          <w:ilvl w:val="0"/>
          <w:numId w:val="14"/>
        </w:numPr>
        <w:rPr>
          <w:b/>
          <w:bCs/>
        </w:rPr>
      </w:pPr>
      <w:r>
        <w:rPr>
          <w:b/>
          <w:bCs/>
        </w:rPr>
        <w:t>Survey</w:t>
      </w:r>
      <w:r w:rsidRPr="004A093F">
        <w:rPr>
          <w:b/>
          <w:bCs/>
        </w:rPr>
        <w:t xml:space="preserve"> Respondents and Sampling</w:t>
      </w:r>
    </w:p>
    <w:p w:rsidRPr="00DA6586" w:rsidR="004A093F" w:rsidP="004A093F" w:rsidRDefault="004A093F" w14:paraId="5F5531A6" w14:textId="0FEF8051">
      <w:pPr>
        <w:pStyle w:val="BodyText2"/>
        <w:rPr>
          <w:rFonts w:eastAsia="Calibri"/>
        </w:rPr>
      </w:pPr>
      <w:r w:rsidRPr="004A093F">
        <w:rPr>
          <w:bCs/>
        </w:rPr>
        <w:t>We will</w:t>
      </w:r>
      <w:r>
        <w:rPr>
          <w:bCs/>
        </w:rPr>
        <w:t xml:space="preserve"> deploy two surveys that coincide with each competition held by </w:t>
      </w:r>
      <w:proofErr w:type="spellStart"/>
      <w:r>
        <w:rPr>
          <w:bCs/>
        </w:rPr>
        <w:t>KidneyX</w:t>
      </w:r>
      <w:proofErr w:type="spellEnd"/>
      <w:r>
        <w:rPr>
          <w:bCs/>
        </w:rPr>
        <w:t xml:space="preserve">. At present, </w:t>
      </w:r>
      <w:proofErr w:type="spellStart"/>
      <w:r>
        <w:rPr>
          <w:bCs/>
        </w:rPr>
        <w:t>KidneyX</w:t>
      </w:r>
      <w:proofErr w:type="spellEnd"/>
      <w:r>
        <w:rPr>
          <w:bCs/>
        </w:rPr>
        <w:t xml:space="preserve"> is planning to conduct one or two competitions per year. Due to the specialized nature of the </w:t>
      </w:r>
      <w:proofErr w:type="spellStart"/>
      <w:r>
        <w:rPr>
          <w:bCs/>
        </w:rPr>
        <w:t>KidneyX</w:t>
      </w:r>
      <w:proofErr w:type="spellEnd"/>
      <w:r>
        <w:rPr>
          <w:bCs/>
        </w:rPr>
        <w:t xml:space="preserve"> competitions, we plan to conduct census surveys of each cohort of </w:t>
      </w:r>
      <w:r w:rsidR="005D1D7A">
        <w:rPr>
          <w:bCs/>
        </w:rPr>
        <w:t>applicants</w:t>
      </w:r>
      <w:r>
        <w:rPr>
          <w:bCs/>
        </w:rPr>
        <w:t xml:space="preserve"> as we expect there will be fewer than 500 applicants for any given prize competition, based on rough estimates for the size of the community of innovators involved in kidney technology. </w:t>
      </w:r>
    </w:p>
    <w:p w:rsidRPr="00DA6586" w:rsidR="00BD4FFF" w:rsidP="00E67189" w:rsidRDefault="00BD4FFF" w14:paraId="478962EC" w14:textId="4C56BDF5">
      <w:pPr>
        <w:pStyle w:val="BodyText2"/>
        <w:rPr>
          <w:rFonts w:eastAsia="Calibri"/>
        </w:rPr>
      </w:pPr>
      <w:r w:rsidRPr="00DA6586">
        <w:rPr>
          <w:rFonts w:eastAsia="Calibri"/>
          <w:u w:val="single"/>
        </w:rPr>
        <w:t>Pre-</w:t>
      </w:r>
      <w:r w:rsidR="00AE6159">
        <w:rPr>
          <w:rFonts w:eastAsia="Calibri"/>
          <w:u w:val="single"/>
        </w:rPr>
        <w:t>a</w:t>
      </w:r>
      <w:r w:rsidRPr="00DA6586" w:rsidR="00AE6159">
        <w:rPr>
          <w:rFonts w:eastAsia="Calibri"/>
          <w:u w:val="single"/>
        </w:rPr>
        <w:t xml:space="preserve">ward </w:t>
      </w:r>
      <w:r w:rsidRPr="00DA6586">
        <w:rPr>
          <w:rFonts w:eastAsia="Calibri"/>
          <w:u w:val="single"/>
        </w:rPr>
        <w:t>Survey</w:t>
      </w:r>
      <w:r w:rsidRPr="00DA6586">
        <w:rPr>
          <w:rFonts w:eastAsia="Calibri"/>
        </w:rPr>
        <w:t xml:space="preserve">: We will survey the entire population of </w:t>
      </w:r>
      <w:proofErr w:type="spellStart"/>
      <w:r w:rsidRPr="00DA6586">
        <w:rPr>
          <w:rFonts w:eastAsia="Calibri"/>
        </w:rPr>
        <w:t>KidneyX</w:t>
      </w:r>
      <w:proofErr w:type="spellEnd"/>
      <w:r w:rsidRPr="00DA6586">
        <w:rPr>
          <w:rFonts w:eastAsia="Calibri"/>
        </w:rPr>
        <w:t xml:space="preserve"> applicants upon the closure of the application deadline</w:t>
      </w:r>
      <w:r w:rsidR="00F65076">
        <w:rPr>
          <w:rFonts w:eastAsia="Calibri"/>
        </w:rPr>
        <w:t>s</w:t>
      </w:r>
      <w:r w:rsidRPr="00DA6586">
        <w:rPr>
          <w:rFonts w:eastAsia="Calibri"/>
        </w:rPr>
        <w:t xml:space="preserve"> for </w:t>
      </w:r>
      <w:r w:rsidR="00F65076">
        <w:rPr>
          <w:rFonts w:eastAsia="Calibri"/>
        </w:rPr>
        <w:t xml:space="preserve">prize </w:t>
      </w:r>
      <w:r w:rsidRPr="00DA6586">
        <w:rPr>
          <w:rFonts w:eastAsia="Calibri"/>
        </w:rPr>
        <w:t>competition</w:t>
      </w:r>
      <w:r w:rsidR="00F65076">
        <w:rPr>
          <w:rFonts w:eastAsia="Calibri"/>
        </w:rPr>
        <w:t>s</w:t>
      </w:r>
      <w:r w:rsidRPr="00DA6586">
        <w:rPr>
          <w:rFonts w:eastAsia="Calibri"/>
        </w:rPr>
        <w:t>. We will target all participants because of the high risks associated with obtaining a small, unrepresentative sample that could be caused by a small pool of applicants, high rates of non-response, or a combination of the two. The table below provides more detailed figures of the expected number of respondents to the Pre-</w:t>
      </w:r>
      <w:r w:rsidR="00AE6159">
        <w:rPr>
          <w:rFonts w:eastAsia="Calibri"/>
        </w:rPr>
        <w:t>a</w:t>
      </w:r>
      <w:r w:rsidRPr="00DA6586" w:rsidR="00AE6159">
        <w:rPr>
          <w:rFonts w:eastAsia="Calibri"/>
        </w:rPr>
        <w:t xml:space="preserve">ward </w:t>
      </w:r>
      <w:r w:rsidRPr="00DA6586">
        <w:rPr>
          <w:rFonts w:eastAsia="Calibri"/>
        </w:rPr>
        <w:t>Survey</w:t>
      </w:r>
      <w:r w:rsidR="004A093F">
        <w:rPr>
          <w:rFonts w:eastAsia="Calibri"/>
        </w:rPr>
        <w:t xml:space="preserve">, using the number of submissions to the first </w:t>
      </w:r>
      <w:proofErr w:type="spellStart"/>
      <w:r w:rsidR="004A093F">
        <w:rPr>
          <w:rFonts w:eastAsia="Calibri"/>
        </w:rPr>
        <w:t>KidneyX</w:t>
      </w:r>
      <w:proofErr w:type="spellEnd"/>
      <w:r w:rsidR="004A093F">
        <w:rPr>
          <w:rFonts w:eastAsia="Calibri"/>
        </w:rPr>
        <w:t xml:space="preserve"> competition as a guide</w:t>
      </w:r>
      <w:r w:rsidRPr="00DA6586">
        <w:rPr>
          <w:rFonts w:eastAsia="Calibri"/>
        </w:rPr>
        <w:t>.</w:t>
      </w:r>
    </w:p>
    <w:p w:rsidRPr="00EA1E11" w:rsidR="00BD4FFF" w:rsidP="00BD4FFF" w:rsidRDefault="00BD4FFF" w14:paraId="7CA4D398" w14:textId="77777777">
      <w:pPr>
        <w:ind w:firstLine="360"/>
      </w:pPr>
    </w:p>
    <w:tbl>
      <w:tblPr>
        <w:tblStyle w:val="TableGrid"/>
        <w:tblW w:w="3416" w:type="pct"/>
        <w:tblInd w:w="13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14"/>
        <w:gridCol w:w="1981"/>
      </w:tblGrid>
      <w:tr w:rsidRPr="00EA1E11" w:rsidR="00BD4FFF" w:rsidTr="004158E8" w14:paraId="025880D2" w14:textId="77777777">
        <w:tc>
          <w:tcPr>
            <w:tcW w:w="3451" w:type="pct"/>
            <w:tcBorders>
              <w:top w:val="single" w:color="auto" w:sz="4" w:space="0"/>
              <w:bottom w:val="single" w:color="auto" w:sz="4" w:space="0"/>
            </w:tcBorders>
          </w:tcPr>
          <w:p w:rsidRPr="00EA1E11" w:rsidR="00BD4FFF" w:rsidP="006924DB" w:rsidRDefault="00FB458F" w14:paraId="5A566295" w14:textId="1737414D">
            <w:pPr>
              <w:rPr>
                <w:b/>
              </w:rPr>
            </w:pPr>
            <w:r>
              <w:rPr>
                <w:b/>
              </w:rPr>
              <w:t>Respondent Type</w:t>
            </w:r>
          </w:p>
        </w:tc>
        <w:tc>
          <w:tcPr>
            <w:tcW w:w="1549" w:type="pct"/>
            <w:tcBorders>
              <w:top w:val="single" w:color="auto" w:sz="4" w:space="0"/>
              <w:bottom w:val="single" w:color="auto" w:sz="4" w:space="0"/>
            </w:tcBorders>
            <w:vAlign w:val="center"/>
          </w:tcPr>
          <w:p w:rsidRPr="00EA1E11" w:rsidR="00BD4FFF" w:rsidP="006924DB" w:rsidRDefault="00BD4FFF" w14:paraId="3F10CB6A" w14:textId="77777777">
            <w:pPr>
              <w:jc w:val="center"/>
              <w:rPr>
                <w:b/>
              </w:rPr>
            </w:pPr>
            <w:r w:rsidRPr="00EA1E11">
              <w:rPr>
                <w:b/>
              </w:rPr>
              <w:t>Number of Respondents</w:t>
            </w:r>
          </w:p>
        </w:tc>
      </w:tr>
      <w:tr w:rsidRPr="00EA1E11" w:rsidR="00BD4FFF" w:rsidTr="004158E8" w14:paraId="49632225" w14:textId="77777777">
        <w:trPr>
          <w:trHeight w:val="440"/>
        </w:trPr>
        <w:tc>
          <w:tcPr>
            <w:tcW w:w="3451" w:type="pct"/>
            <w:tcBorders>
              <w:top w:val="single" w:color="auto" w:sz="4" w:space="0"/>
            </w:tcBorders>
          </w:tcPr>
          <w:p w:rsidRPr="00EA1E11" w:rsidR="00BD4FFF" w:rsidP="006924DB" w:rsidRDefault="00FB458F" w14:paraId="1852AD91" w14:textId="3DD0EDC8">
            <w:r>
              <w:t>Applicants</w:t>
            </w:r>
          </w:p>
        </w:tc>
        <w:tc>
          <w:tcPr>
            <w:tcW w:w="1549" w:type="pct"/>
            <w:tcBorders>
              <w:top w:val="single" w:color="auto" w:sz="4" w:space="0"/>
            </w:tcBorders>
          </w:tcPr>
          <w:p w:rsidRPr="00EA1E11" w:rsidR="00BD4FFF" w:rsidP="006924DB" w:rsidRDefault="00FB458F" w14:paraId="36D94CC6" w14:textId="6DDAAFF5">
            <w:pPr>
              <w:jc w:val="center"/>
            </w:pPr>
            <w:r>
              <w:t>300</w:t>
            </w:r>
          </w:p>
        </w:tc>
      </w:tr>
      <w:tr w:rsidRPr="00EA1E11" w:rsidR="00BD4FFF" w:rsidTr="004158E8" w14:paraId="574AC5A9" w14:textId="77777777">
        <w:trPr>
          <w:trHeight w:val="458"/>
        </w:trPr>
        <w:tc>
          <w:tcPr>
            <w:tcW w:w="3451" w:type="pct"/>
            <w:tcBorders>
              <w:top w:val="single" w:color="auto" w:sz="4" w:space="0"/>
              <w:bottom w:val="single" w:color="auto" w:sz="4" w:space="0"/>
            </w:tcBorders>
            <w:vAlign w:val="center"/>
          </w:tcPr>
          <w:p w:rsidRPr="00EA1E11" w:rsidR="00BD4FFF" w:rsidP="006924DB" w:rsidRDefault="00BD4FFF" w14:paraId="2123181E" w14:textId="77777777">
            <w:pPr>
              <w:rPr>
                <w:b/>
              </w:rPr>
            </w:pPr>
            <w:r w:rsidRPr="00EA1E11">
              <w:rPr>
                <w:b/>
              </w:rPr>
              <w:t>Total</w:t>
            </w:r>
          </w:p>
        </w:tc>
        <w:tc>
          <w:tcPr>
            <w:tcW w:w="1549" w:type="pct"/>
            <w:tcBorders>
              <w:top w:val="single" w:color="auto" w:sz="4" w:space="0"/>
              <w:bottom w:val="single" w:color="auto" w:sz="4" w:space="0"/>
            </w:tcBorders>
            <w:vAlign w:val="center"/>
          </w:tcPr>
          <w:p w:rsidRPr="00EA1E11" w:rsidR="00BD4FFF" w:rsidP="006924DB" w:rsidRDefault="00FB458F" w14:paraId="5A6106B2" w14:textId="6DF29689">
            <w:pPr>
              <w:jc w:val="center"/>
              <w:rPr>
                <w:b/>
              </w:rPr>
            </w:pPr>
            <w:r>
              <w:rPr>
                <w:b/>
              </w:rPr>
              <w:t>300</w:t>
            </w:r>
          </w:p>
        </w:tc>
      </w:tr>
    </w:tbl>
    <w:p w:rsidR="00BD4FFF" w:rsidP="00BD4FFF" w:rsidRDefault="00BD4FFF" w14:paraId="6A8DCCEB" w14:textId="77777777">
      <w:pPr>
        <w:ind w:left="720"/>
        <w:rPr>
          <w:color w:val="0070C0"/>
        </w:rPr>
      </w:pPr>
    </w:p>
    <w:p w:rsidRPr="00DA6586" w:rsidR="004A093F" w:rsidP="004A093F" w:rsidRDefault="00BD4FFF" w14:paraId="5418064E" w14:textId="2B878F1F">
      <w:pPr>
        <w:pStyle w:val="BodyText2"/>
        <w:rPr>
          <w:rFonts w:eastAsia="Calibri"/>
        </w:rPr>
      </w:pPr>
      <w:r w:rsidRPr="00DA6586">
        <w:rPr>
          <w:rFonts w:eastAsia="Calibri"/>
          <w:u w:val="single"/>
        </w:rPr>
        <w:t>Post-</w:t>
      </w:r>
      <w:r w:rsidR="00AE6159">
        <w:rPr>
          <w:rFonts w:eastAsia="Calibri"/>
          <w:u w:val="single"/>
        </w:rPr>
        <w:t>a</w:t>
      </w:r>
      <w:r w:rsidRPr="00DA6586" w:rsidR="00AE6159">
        <w:rPr>
          <w:rFonts w:eastAsia="Calibri"/>
          <w:u w:val="single"/>
        </w:rPr>
        <w:t xml:space="preserve">ward </w:t>
      </w:r>
      <w:r w:rsidRPr="00DA6586">
        <w:rPr>
          <w:rFonts w:eastAsia="Calibri"/>
          <w:u w:val="single"/>
        </w:rPr>
        <w:t>Survey</w:t>
      </w:r>
      <w:r w:rsidRPr="00DA6586">
        <w:rPr>
          <w:rFonts w:eastAsia="Calibri"/>
        </w:rPr>
        <w:t xml:space="preserve">: We will survey the entire population of winners and non-awardees 6 months </w:t>
      </w:r>
      <w:r w:rsidR="00AE6159">
        <w:rPr>
          <w:rFonts w:eastAsia="Calibri"/>
        </w:rPr>
        <w:t>after</w:t>
      </w:r>
      <w:r w:rsidRPr="00DA6586" w:rsidR="00AE6159">
        <w:rPr>
          <w:rFonts w:eastAsia="Calibri"/>
        </w:rPr>
        <w:t xml:space="preserve"> </w:t>
      </w:r>
      <w:r w:rsidRPr="00DA6586">
        <w:rPr>
          <w:rFonts w:eastAsia="Calibri"/>
        </w:rPr>
        <w:t xml:space="preserve">the prize </w:t>
      </w:r>
      <w:r w:rsidR="007A307D">
        <w:rPr>
          <w:rFonts w:eastAsia="Calibri"/>
        </w:rPr>
        <w:t xml:space="preserve">competition </w:t>
      </w:r>
      <w:r w:rsidRPr="00DA6586">
        <w:rPr>
          <w:rFonts w:eastAsia="Calibri"/>
        </w:rPr>
        <w:t xml:space="preserve">announcements have been made. We will target all participants because of the high risks associated with obtaining a small, unrepresentative sample that could be caused by a small pool of applicants, high rates of non-response, or a combination of the two. The table below provides more detailed figures of the expected number of </w:t>
      </w:r>
      <w:r w:rsidRPr="00DA6586">
        <w:rPr>
          <w:rFonts w:eastAsia="Calibri"/>
        </w:rPr>
        <w:lastRenderedPageBreak/>
        <w:t>respondents to the Post-</w:t>
      </w:r>
      <w:r w:rsidR="00AE6159">
        <w:rPr>
          <w:rFonts w:eastAsia="Calibri"/>
        </w:rPr>
        <w:t>a</w:t>
      </w:r>
      <w:r w:rsidRPr="00DA6586" w:rsidR="00AE6159">
        <w:rPr>
          <w:rFonts w:eastAsia="Calibri"/>
        </w:rPr>
        <w:t xml:space="preserve">ward </w:t>
      </w:r>
      <w:r w:rsidRPr="00DA6586">
        <w:rPr>
          <w:rFonts w:eastAsia="Calibri"/>
        </w:rPr>
        <w:t>Survey</w:t>
      </w:r>
      <w:r w:rsidR="004A093F">
        <w:rPr>
          <w:rFonts w:eastAsia="Calibri"/>
        </w:rPr>
        <w:t>,</w:t>
      </w:r>
      <w:r w:rsidRPr="004A093F" w:rsidR="004A093F">
        <w:rPr>
          <w:rFonts w:eastAsia="Calibri"/>
        </w:rPr>
        <w:t xml:space="preserve"> </w:t>
      </w:r>
      <w:r w:rsidR="004A093F">
        <w:rPr>
          <w:rFonts w:eastAsia="Calibri"/>
        </w:rPr>
        <w:t xml:space="preserve">using the number of submissions to the first </w:t>
      </w:r>
      <w:proofErr w:type="spellStart"/>
      <w:r w:rsidR="004A093F">
        <w:rPr>
          <w:rFonts w:eastAsia="Calibri"/>
        </w:rPr>
        <w:t>KidneyX</w:t>
      </w:r>
      <w:proofErr w:type="spellEnd"/>
      <w:r w:rsidR="004A093F">
        <w:rPr>
          <w:rFonts w:eastAsia="Calibri"/>
        </w:rPr>
        <w:t xml:space="preserve"> competition as a guide</w:t>
      </w:r>
      <w:r w:rsidRPr="00DA6586" w:rsidR="004A093F">
        <w:rPr>
          <w:rFonts w:eastAsia="Calibri"/>
        </w:rPr>
        <w:t>.</w:t>
      </w:r>
    </w:p>
    <w:p w:rsidRPr="00EA1E11" w:rsidR="00BD4FFF" w:rsidP="00BD4FFF" w:rsidRDefault="00BD4FFF" w14:paraId="2D3E488E" w14:textId="77777777">
      <w:pPr>
        <w:ind w:firstLine="360"/>
      </w:pPr>
    </w:p>
    <w:tbl>
      <w:tblPr>
        <w:tblStyle w:val="TableGrid"/>
        <w:tblW w:w="3416" w:type="pct"/>
        <w:tblInd w:w="13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14"/>
        <w:gridCol w:w="1981"/>
      </w:tblGrid>
      <w:tr w:rsidRPr="00EA1E11" w:rsidR="00BD4FFF" w:rsidTr="00FB564D" w14:paraId="115C5C38" w14:textId="77777777">
        <w:tc>
          <w:tcPr>
            <w:tcW w:w="3451" w:type="pct"/>
            <w:tcBorders>
              <w:top w:val="single" w:color="auto" w:sz="4" w:space="0"/>
              <w:bottom w:val="single" w:color="auto" w:sz="4" w:space="0"/>
            </w:tcBorders>
          </w:tcPr>
          <w:p w:rsidRPr="00EA1E11" w:rsidR="00BD4FFF" w:rsidP="006924DB" w:rsidRDefault="00FB458F" w14:paraId="49723A84" w14:textId="7023EDAC">
            <w:pPr>
              <w:rPr>
                <w:b/>
              </w:rPr>
            </w:pPr>
            <w:r>
              <w:rPr>
                <w:b/>
              </w:rPr>
              <w:t>Respondent Type</w:t>
            </w:r>
          </w:p>
        </w:tc>
        <w:tc>
          <w:tcPr>
            <w:tcW w:w="1549" w:type="pct"/>
            <w:tcBorders>
              <w:top w:val="single" w:color="auto" w:sz="4" w:space="0"/>
              <w:bottom w:val="single" w:color="auto" w:sz="4" w:space="0"/>
            </w:tcBorders>
            <w:vAlign w:val="center"/>
          </w:tcPr>
          <w:p w:rsidRPr="00EA1E11" w:rsidR="00BD4FFF" w:rsidP="006924DB" w:rsidRDefault="00BD4FFF" w14:paraId="3E3BA601" w14:textId="77777777">
            <w:pPr>
              <w:jc w:val="center"/>
              <w:rPr>
                <w:b/>
              </w:rPr>
            </w:pPr>
            <w:r w:rsidRPr="00EA1E11">
              <w:rPr>
                <w:b/>
              </w:rPr>
              <w:t>Number of Respondents</w:t>
            </w:r>
          </w:p>
        </w:tc>
      </w:tr>
      <w:tr w:rsidRPr="00EA1E11" w:rsidR="00BD4FFF" w:rsidTr="00FB564D" w14:paraId="17ADF889" w14:textId="77777777">
        <w:trPr>
          <w:trHeight w:val="440"/>
        </w:trPr>
        <w:tc>
          <w:tcPr>
            <w:tcW w:w="3451" w:type="pct"/>
            <w:tcBorders>
              <w:top w:val="single" w:color="auto" w:sz="4" w:space="0"/>
            </w:tcBorders>
          </w:tcPr>
          <w:p w:rsidRPr="00EA1E11" w:rsidR="00BD4FFF" w:rsidP="006924DB" w:rsidRDefault="007F062F" w14:paraId="1F4A7A61" w14:textId="250A87DF">
            <w:r>
              <w:t>Non-</w:t>
            </w:r>
            <w:r w:rsidR="00AE6159">
              <w:t xml:space="preserve">awardee </w:t>
            </w:r>
            <w:r>
              <w:t>Applicants</w:t>
            </w:r>
          </w:p>
        </w:tc>
        <w:tc>
          <w:tcPr>
            <w:tcW w:w="1549" w:type="pct"/>
            <w:tcBorders>
              <w:top w:val="single" w:color="auto" w:sz="4" w:space="0"/>
            </w:tcBorders>
          </w:tcPr>
          <w:p w:rsidRPr="00EA1E11" w:rsidR="00BD4FFF" w:rsidP="006924DB" w:rsidRDefault="009407ED" w14:paraId="0745B142" w14:textId="69476213">
            <w:pPr>
              <w:jc w:val="center"/>
            </w:pPr>
            <w:r>
              <w:t>280</w:t>
            </w:r>
          </w:p>
        </w:tc>
      </w:tr>
      <w:tr w:rsidRPr="00EA1E11" w:rsidR="007F062F" w:rsidTr="00FB564D" w14:paraId="3219534D" w14:textId="77777777">
        <w:trPr>
          <w:trHeight w:val="440"/>
        </w:trPr>
        <w:tc>
          <w:tcPr>
            <w:tcW w:w="3451" w:type="pct"/>
          </w:tcPr>
          <w:p w:rsidR="007F062F" w:rsidDel="00FB458F" w:rsidP="00BB061F" w:rsidRDefault="00621679" w14:paraId="39C7C718" w14:textId="35488B47">
            <w:r>
              <w:t>Awardees</w:t>
            </w:r>
          </w:p>
        </w:tc>
        <w:tc>
          <w:tcPr>
            <w:tcW w:w="1549" w:type="pct"/>
          </w:tcPr>
          <w:p w:rsidR="007F062F" w:rsidP="00BB061F" w:rsidRDefault="00621679" w14:paraId="402DA4D5" w14:textId="084E4A59">
            <w:pPr>
              <w:jc w:val="center"/>
            </w:pPr>
            <w:r>
              <w:t>20</w:t>
            </w:r>
          </w:p>
        </w:tc>
      </w:tr>
      <w:tr w:rsidRPr="00EA1E11" w:rsidR="00BD4FFF" w:rsidTr="004158E8" w14:paraId="568D4835" w14:textId="77777777">
        <w:trPr>
          <w:trHeight w:val="458"/>
        </w:trPr>
        <w:tc>
          <w:tcPr>
            <w:tcW w:w="3451" w:type="pct"/>
            <w:tcBorders>
              <w:top w:val="single" w:color="auto" w:sz="4" w:space="0"/>
              <w:bottom w:val="single" w:color="auto" w:sz="4" w:space="0"/>
            </w:tcBorders>
            <w:vAlign w:val="center"/>
          </w:tcPr>
          <w:p w:rsidRPr="00EA1E11" w:rsidR="00BD4FFF" w:rsidP="006924DB" w:rsidRDefault="00BD4FFF" w14:paraId="08246528" w14:textId="77777777">
            <w:pPr>
              <w:rPr>
                <w:b/>
              </w:rPr>
            </w:pPr>
            <w:r w:rsidRPr="00EA1E11">
              <w:rPr>
                <w:b/>
              </w:rPr>
              <w:t>Total</w:t>
            </w:r>
          </w:p>
        </w:tc>
        <w:tc>
          <w:tcPr>
            <w:tcW w:w="1549" w:type="pct"/>
            <w:tcBorders>
              <w:top w:val="single" w:color="auto" w:sz="4" w:space="0"/>
              <w:bottom w:val="single" w:color="auto" w:sz="4" w:space="0"/>
            </w:tcBorders>
            <w:vAlign w:val="center"/>
          </w:tcPr>
          <w:p w:rsidRPr="00EA1E11" w:rsidR="00BD4FFF" w:rsidP="006924DB" w:rsidRDefault="009407ED" w14:paraId="77496AA6" w14:textId="728A6850">
            <w:pPr>
              <w:jc w:val="center"/>
              <w:rPr>
                <w:b/>
              </w:rPr>
            </w:pPr>
            <w:r>
              <w:rPr>
                <w:b/>
              </w:rPr>
              <w:t>300</w:t>
            </w:r>
          </w:p>
        </w:tc>
      </w:tr>
    </w:tbl>
    <w:p w:rsidR="00E14C73" w:rsidP="006C30B2" w:rsidRDefault="00E14C73" w14:paraId="5A4048F7" w14:textId="77777777"/>
    <w:p w:rsidR="006C30B2" w:rsidP="00F554AB" w:rsidRDefault="006C30B2" w14:paraId="43F2C785" w14:textId="77777777">
      <w:pPr>
        <w:pStyle w:val="Heading3"/>
      </w:pPr>
      <w:r>
        <w:t>Procedures for Collection of Information</w:t>
      </w:r>
    </w:p>
    <w:p w:rsidR="009F1901" w:rsidP="00E67189" w:rsidRDefault="001C6977" w14:paraId="325C1EE5" w14:textId="67EADD6D">
      <w:pPr>
        <w:pStyle w:val="BodyText2"/>
        <w:rPr>
          <w:rFonts w:eastAsia="Calibri"/>
        </w:rPr>
      </w:pPr>
      <w:r w:rsidRPr="00C96D50">
        <w:rPr>
          <w:rFonts w:eastAsia="Calibri"/>
        </w:rPr>
        <w:t xml:space="preserve">Our evaluation integrates </w:t>
      </w:r>
      <w:r w:rsidRPr="00C96D50" w:rsidR="00C96D50">
        <w:rPr>
          <w:rFonts w:eastAsia="Calibri"/>
        </w:rPr>
        <w:t>a mixed-methods approach including survey</w:t>
      </w:r>
      <w:r w:rsidR="003651FC">
        <w:rPr>
          <w:rFonts w:eastAsia="Calibri"/>
        </w:rPr>
        <w:t>s</w:t>
      </w:r>
      <w:r w:rsidRPr="00C96D50" w:rsidR="00C96D50">
        <w:rPr>
          <w:rFonts w:eastAsia="Calibri"/>
        </w:rPr>
        <w:t xml:space="preserve"> and interview</w:t>
      </w:r>
      <w:r w:rsidR="003651FC">
        <w:rPr>
          <w:rFonts w:eastAsia="Calibri"/>
        </w:rPr>
        <w:t>s for</w:t>
      </w:r>
      <w:r w:rsidRPr="00C96D50" w:rsidR="00C96D50">
        <w:rPr>
          <w:rFonts w:eastAsia="Calibri"/>
        </w:rPr>
        <w:t xml:space="preserve"> data collection.</w:t>
      </w:r>
      <w:r w:rsidR="00AE6159">
        <w:rPr>
          <w:rFonts w:eastAsia="Calibri"/>
        </w:rPr>
        <w:t xml:space="preserve"> </w:t>
      </w:r>
    </w:p>
    <w:p w:rsidRPr="004A093F" w:rsidR="003651FC" w:rsidP="00453BD4" w:rsidRDefault="003651FC" w14:paraId="2D83A159" w14:textId="25683DA1">
      <w:pPr>
        <w:pStyle w:val="ListParagraph"/>
        <w:numPr>
          <w:ilvl w:val="0"/>
          <w:numId w:val="16"/>
        </w:numPr>
        <w:rPr>
          <w:b/>
          <w:bCs/>
        </w:rPr>
      </w:pPr>
      <w:r>
        <w:rPr>
          <w:b/>
          <w:bCs/>
        </w:rPr>
        <w:t>Interview</w:t>
      </w:r>
      <w:r w:rsidRPr="004A093F">
        <w:rPr>
          <w:b/>
          <w:bCs/>
        </w:rPr>
        <w:t xml:space="preserve"> </w:t>
      </w:r>
      <w:r>
        <w:rPr>
          <w:b/>
          <w:bCs/>
        </w:rPr>
        <w:t>Procedures</w:t>
      </w:r>
    </w:p>
    <w:p w:rsidRPr="005F381D" w:rsidR="005F381D" w:rsidP="00E67189" w:rsidRDefault="009F1901" w14:paraId="72C56660" w14:textId="59BC44D5">
      <w:pPr>
        <w:pStyle w:val="BodyText2"/>
        <w:rPr>
          <w:rFonts w:eastAsia="Calibri"/>
        </w:rPr>
      </w:pPr>
      <w:r>
        <w:rPr>
          <w:rFonts w:eastAsia="Calibri"/>
        </w:rPr>
        <w:t xml:space="preserve">We will conduct </w:t>
      </w:r>
      <w:r w:rsidR="00377E5F">
        <w:rPr>
          <w:rFonts w:eastAsia="Calibri"/>
        </w:rPr>
        <w:t>45-minute</w:t>
      </w:r>
      <w:r>
        <w:rPr>
          <w:rFonts w:eastAsia="Calibri"/>
        </w:rPr>
        <w:t xml:space="preserve"> telephone interviews with a subset of competition applicants, awardees, </w:t>
      </w:r>
      <w:r w:rsidR="00AE6159">
        <w:rPr>
          <w:rFonts w:eastAsia="Calibri"/>
        </w:rPr>
        <w:t xml:space="preserve">and </w:t>
      </w:r>
      <w:r>
        <w:rPr>
          <w:rFonts w:eastAsia="Calibri"/>
        </w:rPr>
        <w:t>non-awardees and with other stakeholders</w:t>
      </w:r>
      <w:r w:rsidR="004F2C86">
        <w:rPr>
          <w:rFonts w:eastAsia="Calibri"/>
        </w:rPr>
        <w:t xml:space="preserve"> in each year of </w:t>
      </w:r>
      <w:proofErr w:type="spellStart"/>
      <w:r w:rsidR="004F2C86">
        <w:rPr>
          <w:rFonts w:eastAsia="Calibri"/>
        </w:rPr>
        <w:t>KidneyX</w:t>
      </w:r>
      <w:proofErr w:type="spellEnd"/>
      <w:r w:rsidR="004F2C86">
        <w:rPr>
          <w:rFonts w:eastAsia="Calibri"/>
        </w:rPr>
        <w:t xml:space="preserve"> competition</w:t>
      </w:r>
      <w:r w:rsidR="00A66061">
        <w:rPr>
          <w:rFonts w:eastAsia="Calibri"/>
        </w:rPr>
        <w:t>s</w:t>
      </w:r>
      <w:r>
        <w:rPr>
          <w:rFonts w:eastAsia="Calibri"/>
        </w:rPr>
        <w:t xml:space="preserve">. </w:t>
      </w:r>
      <w:r w:rsidR="00F63912">
        <w:rPr>
          <w:rFonts w:eastAsia="Calibri"/>
        </w:rPr>
        <w:t>Potential i</w:t>
      </w:r>
      <w:r w:rsidRPr="005F381D" w:rsidR="005F381D">
        <w:rPr>
          <w:rFonts w:eastAsia="Calibri"/>
        </w:rPr>
        <w:t xml:space="preserve">nterview respondents will receive an initial introductory e-mail </w:t>
      </w:r>
      <w:r w:rsidR="00631241">
        <w:rPr>
          <w:rFonts w:eastAsia="Calibri"/>
        </w:rPr>
        <w:t>from HHS notifying them that they have been selected to take part in an interview</w:t>
      </w:r>
      <w:r w:rsidR="00CB7980">
        <w:rPr>
          <w:rFonts w:eastAsia="Calibri"/>
        </w:rPr>
        <w:t xml:space="preserve"> followed by </w:t>
      </w:r>
      <w:r w:rsidR="00631241">
        <w:rPr>
          <w:rFonts w:eastAsia="Calibri"/>
        </w:rPr>
        <w:t>a</w:t>
      </w:r>
      <w:r w:rsidR="00546CD0">
        <w:rPr>
          <w:rFonts w:eastAsia="Calibri"/>
        </w:rPr>
        <w:t xml:space="preserve"> request </w:t>
      </w:r>
      <w:r w:rsidR="00CB7980">
        <w:rPr>
          <w:rFonts w:eastAsia="Calibri"/>
        </w:rPr>
        <w:t xml:space="preserve">from the evaluation team </w:t>
      </w:r>
      <w:r w:rsidR="00CD3441">
        <w:rPr>
          <w:rFonts w:eastAsia="Calibri"/>
        </w:rPr>
        <w:t xml:space="preserve">seeking </w:t>
      </w:r>
      <w:r w:rsidRPr="005F381D" w:rsidR="005F381D">
        <w:rPr>
          <w:rFonts w:eastAsia="Calibri"/>
        </w:rPr>
        <w:t xml:space="preserve">their availability to schedule </w:t>
      </w:r>
      <w:r w:rsidR="00CB7980">
        <w:rPr>
          <w:rFonts w:eastAsia="Calibri"/>
        </w:rPr>
        <w:t>the</w:t>
      </w:r>
      <w:r w:rsidRPr="005F381D" w:rsidR="005F381D">
        <w:rPr>
          <w:rFonts w:eastAsia="Calibri"/>
        </w:rPr>
        <w:t xml:space="preserve"> </w:t>
      </w:r>
      <w:r w:rsidR="00307A28">
        <w:rPr>
          <w:rFonts w:eastAsia="Calibri"/>
        </w:rPr>
        <w:t>45</w:t>
      </w:r>
      <w:r w:rsidRPr="005F381D" w:rsidR="005F381D">
        <w:rPr>
          <w:rFonts w:eastAsia="Calibri"/>
        </w:rPr>
        <w:t>-minute interview</w:t>
      </w:r>
      <w:r w:rsidR="00CD3441">
        <w:rPr>
          <w:rFonts w:eastAsia="Calibri"/>
        </w:rPr>
        <w:t>.</w:t>
      </w:r>
      <w:r w:rsidR="00AE6159">
        <w:rPr>
          <w:rFonts w:eastAsia="Calibri"/>
        </w:rPr>
        <w:t xml:space="preserve"> </w:t>
      </w:r>
      <w:r w:rsidR="007837EE">
        <w:rPr>
          <w:rFonts w:eastAsia="Calibri"/>
        </w:rPr>
        <w:t xml:space="preserve">Scheduled interviewees will receive a reminder e-mail 2 days </w:t>
      </w:r>
      <w:r w:rsidR="00AE6159">
        <w:rPr>
          <w:rFonts w:eastAsia="Calibri"/>
        </w:rPr>
        <w:t>before</w:t>
      </w:r>
      <w:r w:rsidR="007837EE">
        <w:rPr>
          <w:rFonts w:eastAsia="Calibri"/>
        </w:rPr>
        <w:t xml:space="preserve"> their interview and a thank you e-mail sent within </w:t>
      </w:r>
      <w:r w:rsidR="00B11DEA">
        <w:rPr>
          <w:rFonts w:eastAsia="Calibri"/>
        </w:rPr>
        <w:t>2 days of the completed</w:t>
      </w:r>
      <w:r w:rsidR="006816C4">
        <w:rPr>
          <w:rFonts w:eastAsia="Calibri"/>
        </w:rPr>
        <w:t xml:space="preserve"> interview.</w:t>
      </w:r>
      <w:r w:rsidR="00AE6159">
        <w:rPr>
          <w:rFonts w:eastAsia="Calibri"/>
        </w:rPr>
        <w:t xml:space="preserve"> </w:t>
      </w:r>
    </w:p>
    <w:p w:rsidRPr="005F381D" w:rsidR="005F381D" w:rsidP="00E67189" w:rsidRDefault="005F381D" w14:paraId="19F552BC" w14:textId="0DE115B8">
      <w:pPr>
        <w:pStyle w:val="BodyText2"/>
        <w:rPr>
          <w:rFonts w:eastAsia="Calibri"/>
        </w:rPr>
      </w:pPr>
      <w:r w:rsidRPr="005F381D">
        <w:rPr>
          <w:rFonts w:eastAsia="Calibri"/>
        </w:rPr>
        <w:t xml:space="preserve">The </w:t>
      </w:r>
      <w:proofErr w:type="spellStart"/>
      <w:r w:rsidRPr="005F381D">
        <w:rPr>
          <w:rFonts w:eastAsia="Calibri"/>
        </w:rPr>
        <w:t>semistructured</w:t>
      </w:r>
      <w:proofErr w:type="spellEnd"/>
      <w:r w:rsidRPr="005F381D">
        <w:rPr>
          <w:rFonts w:eastAsia="Calibri"/>
        </w:rPr>
        <w:t xml:space="preserve"> telephone interview instrument</w:t>
      </w:r>
      <w:r w:rsidR="009C1624">
        <w:rPr>
          <w:rFonts w:eastAsia="Calibri"/>
        </w:rPr>
        <w:t>s</w:t>
      </w:r>
      <w:r w:rsidRPr="005F381D">
        <w:rPr>
          <w:rFonts w:eastAsia="Calibri"/>
        </w:rPr>
        <w:t xml:space="preserve"> </w:t>
      </w:r>
      <w:r w:rsidR="006B18F5">
        <w:rPr>
          <w:rFonts w:eastAsia="Calibri"/>
        </w:rPr>
        <w:t xml:space="preserve">will include </w:t>
      </w:r>
      <w:r w:rsidRPr="005F381D">
        <w:rPr>
          <w:rFonts w:eastAsia="Calibri"/>
        </w:rPr>
        <w:t xml:space="preserve">open-ended </w:t>
      </w:r>
      <w:r w:rsidR="006B18F5">
        <w:rPr>
          <w:rFonts w:eastAsia="Calibri"/>
        </w:rPr>
        <w:t>questions</w:t>
      </w:r>
      <w:r w:rsidRPr="005F381D">
        <w:rPr>
          <w:rFonts w:eastAsia="Calibri"/>
        </w:rPr>
        <w:t xml:space="preserve"> (e.g., “</w:t>
      </w:r>
      <w:r w:rsidR="002E65B9">
        <w:t xml:space="preserve">In what ways (beyond funding) has becoming a </w:t>
      </w:r>
      <w:proofErr w:type="spellStart"/>
      <w:r w:rsidR="002E65B9">
        <w:t>KidneyX</w:t>
      </w:r>
      <w:proofErr w:type="spellEnd"/>
      <w:r w:rsidR="002E65B9">
        <w:t xml:space="preserve"> innovator been beneficial to your organization</w:t>
      </w:r>
      <w:r w:rsidRPr="005F381D">
        <w:rPr>
          <w:rFonts w:eastAsia="Calibri"/>
        </w:rPr>
        <w:t>?”)</w:t>
      </w:r>
      <w:r w:rsidR="00A66061">
        <w:rPr>
          <w:rFonts w:eastAsia="Calibri"/>
        </w:rPr>
        <w:t xml:space="preserve"> and will </w:t>
      </w:r>
      <w:r w:rsidR="006B18F5">
        <w:rPr>
          <w:rFonts w:eastAsia="Calibri"/>
        </w:rPr>
        <w:t>be tailored for respondent type (</w:t>
      </w:r>
      <w:r w:rsidR="00AE6159">
        <w:rPr>
          <w:rFonts w:eastAsia="Calibri"/>
        </w:rPr>
        <w:t xml:space="preserve">see </w:t>
      </w:r>
      <w:r w:rsidR="008B4EE8">
        <w:rPr>
          <w:rFonts w:eastAsia="Calibri"/>
        </w:rPr>
        <w:t xml:space="preserve">Attachments </w:t>
      </w:r>
      <w:r w:rsidR="00E67189">
        <w:rPr>
          <w:rFonts w:eastAsia="Calibri"/>
        </w:rPr>
        <w:t>C, D, E, and F).</w:t>
      </w:r>
      <w:r w:rsidR="00AE6159">
        <w:rPr>
          <w:rFonts w:eastAsia="Calibri"/>
        </w:rPr>
        <w:t xml:space="preserve"> </w:t>
      </w:r>
    </w:p>
    <w:p w:rsidRPr="004A093F" w:rsidR="003651FC" w:rsidP="003651FC" w:rsidRDefault="003651FC" w14:paraId="7E4D6DDA" w14:textId="77777777">
      <w:pPr>
        <w:pStyle w:val="ListParagraph"/>
        <w:numPr>
          <w:ilvl w:val="0"/>
          <w:numId w:val="16"/>
        </w:numPr>
        <w:rPr>
          <w:b/>
          <w:bCs/>
        </w:rPr>
      </w:pPr>
      <w:r>
        <w:rPr>
          <w:b/>
          <w:bCs/>
        </w:rPr>
        <w:t>Survey</w:t>
      </w:r>
      <w:r w:rsidRPr="004A093F">
        <w:rPr>
          <w:b/>
          <w:bCs/>
        </w:rPr>
        <w:t xml:space="preserve"> </w:t>
      </w:r>
      <w:r>
        <w:rPr>
          <w:b/>
          <w:bCs/>
        </w:rPr>
        <w:t>Procedures</w:t>
      </w:r>
    </w:p>
    <w:p w:rsidRPr="009F1901" w:rsidR="003651FC" w:rsidP="003651FC" w:rsidRDefault="003651FC" w14:paraId="5654A11D" w14:textId="40C482B3">
      <w:pPr>
        <w:pStyle w:val="BodyText2"/>
        <w:rPr>
          <w:rFonts w:eastAsia="Calibri"/>
        </w:rPr>
      </w:pPr>
      <w:r w:rsidRPr="009F1901">
        <w:rPr>
          <w:rFonts w:eastAsia="Calibri"/>
        </w:rPr>
        <w:t xml:space="preserve">We will administer an online </w:t>
      </w:r>
      <w:r w:rsidRPr="009F1901">
        <w:rPr>
          <w:rFonts w:eastAsia="Calibri"/>
          <w:u w:val="single"/>
        </w:rPr>
        <w:t>pre-award</w:t>
      </w:r>
      <w:r w:rsidRPr="009F1901">
        <w:rPr>
          <w:rFonts w:eastAsia="Calibri"/>
        </w:rPr>
        <w:t xml:space="preserve"> survey to </w:t>
      </w:r>
      <w:r w:rsidR="005D1D7A">
        <w:rPr>
          <w:rFonts w:eastAsia="Calibri"/>
        </w:rPr>
        <w:t xml:space="preserve">all </w:t>
      </w:r>
      <w:r w:rsidRPr="009F1901">
        <w:rPr>
          <w:rFonts w:eastAsia="Calibri"/>
        </w:rPr>
        <w:t xml:space="preserve">applicants of each </w:t>
      </w:r>
      <w:proofErr w:type="spellStart"/>
      <w:r w:rsidRPr="009F1901">
        <w:rPr>
          <w:rFonts w:eastAsia="Calibri"/>
        </w:rPr>
        <w:t>KidneyX</w:t>
      </w:r>
      <w:proofErr w:type="spellEnd"/>
      <w:r w:rsidRPr="009F1901">
        <w:rPr>
          <w:rFonts w:eastAsia="Calibri"/>
        </w:rPr>
        <w:t xml:space="preserve"> prize competition upon reaching the application deadline for the competition. Applicants will receive an </w:t>
      </w:r>
      <w:r>
        <w:rPr>
          <w:rFonts w:eastAsia="Calibri"/>
        </w:rPr>
        <w:t>e-mail</w:t>
      </w:r>
      <w:r w:rsidRPr="009F1901">
        <w:rPr>
          <w:rFonts w:eastAsia="Calibri"/>
        </w:rPr>
        <w:t xml:space="preserve"> describing the nature, intent of use, security, and confidentiality of survey data collection. Applicants will be able to follow the link to respond to the survey online. </w:t>
      </w:r>
    </w:p>
    <w:p w:rsidRPr="009F1901" w:rsidR="003651FC" w:rsidP="003651FC" w:rsidRDefault="003651FC" w14:paraId="07B5AB8F" w14:textId="77777777">
      <w:pPr>
        <w:pStyle w:val="BodyText2"/>
        <w:rPr>
          <w:rFonts w:eastAsia="Calibri"/>
        </w:rPr>
      </w:pPr>
      <w:r w:rsidRPr="009F1901">
        <w:rPr>
          <w:rFonts w:eastAsia="Calibri"/>
        </w:rPr>
        <w:t xml:space="preserve">We will administer an online </w:t>
      </w:r>
      <w:r w:rsidRPr="009F1901">
        <w:rPr>
          <w:rFonts w:eastAsia="Calibri"/>
          <w:u w:val="single"/>
        </w:rPr>
        <w:t>post-award</w:t>
      </w:r>
      <w:r w:rsidRPr="009F1901">
        <w:rPr>
          <w:rFonts w:eastAsia="Calibri"/>
        </w:rPr>
        <w:t xml:space="preserve"> survey to winners and non-awardees of each </w:t>
      </w:r>
      <w:proofErr w:type="spellStart"/>
      <w:r w:rsidRPr="009F1901">
        <w:rPr>
          <w:rFonts w:eastAsia="Calibri"/>
        </w:rPr>
        <w:t>KidneyX</w:t>
      </w:r>
      <w:proofErr w:type="spellEnd"/>
      <w:r w:rsidRPr="009F1901">
        <w:rPr>
          <w:rFonts w:eastAsia="Calibri"/>
        </w:rPr>
        <w:t xml:space="preserve"> prize competition 6 months after the prize announcements have been made for the competition. Winning and non-winning applicants will receive an </w:t>
      </w:r>
      <w:r>
        <w:rPr>
          <w:rFonts w:eastAsia="Calibri"/>
        </w:rPr>
        <w:t>e-mail</w:t>
      </w:r>
      <w:r w:rsidRPr="009F1901">
        <w:rPr>
          <w:rFonts w:eastAsia="Calibri"/>
        </w:rPr>
        <w:t xml:space="preserve"> describing the nature, </w:t>
      </w:r>
      <w:r w:rsidRPr="009F1901">
        <w:rPr>
          <w:rFonts w:eastAsia="Calibri"/>
        </w:rPr>
        <w:lastRenderedPageBreak/>
        <w:t>intent of use, security, and confidentiality of survey data collection. Participants will be able to follow the link to respond to the survey online.</w:t>
      </w:r>
      <w:r>
        <w:rPr>
          <w:rFonts w:eastAsia="Calibri"/>
        </w:rPr>
        <w:t xml:space="preserve"> </w:t>
      </w:r>
    </w:p>
    <w:p w:rsidR="00A900EB" w:rsidP="00E67189" w:rsidRDefault="009A4BDF" w14:paraId="43570052" w14:textId="7F83E9E8">
      <w:pPr>
        <w:pStyle w:val="BodyText2"/>
        <w:rPr>
          <w:rFonts w:eastAsia="Calibri"/>
        </w:rPr>
      </w:pPr>
      <w:r w:rsidRPr="005F381D">
        <w:rPr>
          <w:rFonts w:eastAsia="Calibri"/>
        </w:rPr>
        <w:t xml:space="preserve">Both quantitative and qualitative analyses will be performed. Quantitative analyses will involve </w:t>
      </w:r>
      <w:r w:rsidR="00EB1016">
        <w:t>descriptive statistics, cross</w:t>
      </w:r>
      <w:r w:rsidR="00AE6159">
        <w:t xml:space="preserve"> </w:t>
      </w:r>
      <w:r w:rsidR="00EB1016">
        <w:t>tabulations, and potentially correlations and regression techniques</w:t>
      </w:r>
      <w:r w:rsidRPr="005F381D">
        <w:rPr>
          <w:rFonts w:eastAsia="Calibri"/>
        </w:rPr>
        <w:t xml:space="preserve">. </w:t>
      </w:r>
      <w:r w:rsidR="00307A28">
        <w:t>The appropriate method may depend on the evaluation question being investigated and, ultimately, the amount and type of data available.</w:t>
      </w:r>
      <w:r w:rsidR="00AE6159">
        <w:t xml:space="preserve"> </w:t>
      </w:r>
      <w:r w:rsidRPr="005F381D">
        <w:rPr>
          <w:rFonts w:eastAsia="Calibri"/>
        </w:rPr>
        <w:t xml:space="preserve">Qualitative thematic analyses will be conducted on open-ended </w:t>
      </w:r>
      <w:r>
        <w:rPr>
          <w:rFonts w:eastAsia="Calibri"/>
        </w:rPr>
        <w:t>survey questions and interview data</w:t>
      </w:r>
      <w:r w:rsidRPr="005F381D">
        <w:rPr>
          <w:rFonts w:eastAsia="Calibri"/>
        </w:rPr>
        <w:t xml:space="preserve">. </w:t>
      </w:r>
      <w:r w:rsidRPr="005F381D" w:rsidR="00A900EB">
        <w:rPr>
          <w:rFonts w:eastAsia="Calibri"/>
        </w:rPr>
        <w:t>Staff trained in the appropriate qualitative and/or quantitative research methods will conduct all analyses. Information will be stored on a secure shared drive with access limited to project team members.</w:t>
      </w:r>
    </w:p>
    <w:p w:rsidR="006C30B2" w:rsidP="00F554AB" w:rsidRDefault="006C30B2" w14:paraId="206105E1" w14:textId="7A46AEF3">
      <w:pPr>
        <w:pStyle w:val="Heading3"/>
      </w:pPr>
      <w:r>
        <w:t>Methods to maximize response rates and to deal with nonresponse</w:t>
      </w:r>
    </w:p>
    <w:p w:rsidRPr="00457055" w:rsidR="00A026D1" w:rsidP="00E67189" w:rsidRDefault="00A026D1" w14:paraId="34C875C1" w14:textId="605B021F">
      <w:pPr>
        <w:pStyle w:val="BodyText2"/>
        <w:rPr>
          <w:rFonts w:eastAsia="Calibri"/>
        </w:rPr>
      </w:pPr>
      <w:r w:rsidRPr="00457055">
        <w:rPr>
          <w:rFonts w:eastAsia="Calibri"/>
        </w:rPr>
        <w:t xml:space="preserve">Applicants to </w:t>
      </w:r>
      <w:proofErr w:type="spellStart"/>
      <w:r w:rsidRPr="00457055">
        <w:rPr>
          <w:rFonts w:eastAsia="Calibri"/>
        </w:rPr>
        <w:t>KidneyX</w:t>
      </w:r>
      <w:proofErr w:type="spellEnd"/>
      <w:r w:rsidRPr="00457055">
        <w:rPr>
          <w:rFonts w:eastAsia="Calibri"/>
        </w:rPr>
        <w:t xml:space="preserve"> prize competitions are not mandated to participate in data collection for the purposes of this evaluation.</w:t>
      </w:r>
      <w:r w:rsidR="00AE6159">
        <w:rPr>
          <w:rFonts w:eastAsia="Calibri"/>
        </w:rPr>
        <w:t xml:space="preserve"> </w:t>
      </w:r>
      <w:r w:rsidRPr="00457055">
        <w:rPr>
          <w:rFonts w:eastAsia="Calibri"/>
        </w:rPr>
        <w:t>As such, we have implemented the following approaches to maximize response rates and deal with nonresponse.</w:t>
      </w:r>
      <w:r w:rsidR="003651FC">
        <w:rPr>
          <w:rFonts w:eastAsia="Calibri"/>
        </w:rPr>
        <w:t xml:space="preserve"> </w:t>
      </w:r>
    </w:p>
    <w:p w:rsidRPr="00457055" w:rsidR="004B2270" w:rsidP="00E67189" w:rsidRDefault="004B2270" w14:paraId="4ECDBFA3" w14:textId="6F6C4576">
      <w:pPr>
        <w:pStyle w:val="BodyText2"/>
        <w:rPr>
          <w:rFonts w:eastAsia="Calibri"/>
        </w:rPr>
      </w:pPr>
      <w:r>
        <w:rPr>
          <w:rFonts w:eastAsia="Calibri"/>
        </w:rPr>
        <w:t xml:space="preserve">Telephone interviews are being employed </w:t>
      </w:r>
      <w:r w:rsidR="002A0A8C">
        <w:rPr>
          <w:rFonts w:eastAsia="Calibri"/>
        </w:rPr>
        <w:t xml:space="preserve">to </w:t>
      </w:r>
      <w:r>
        <w:rPr>
          <w:rFonts w:eastAsia="Calibri"/>
        </w:rPr>
        <w:t xml:space="preserve">collect qualitative data without the costs and respondent burden associated with face-to-face </w:t>
      </w:r>
      <w:r w:rsidR="00A026D1">
        <w:rPr>
          <w:rFonts w:eastAsia="Calibri"/>
        </w:rPr>
        <w:t>interviews</w:t>
      </w:r>
      <w:r w:rsidRPr="00457055">
        <w:rPr>
          <w:rFonts w:eastAsia="Calibri"/>
        </w:rPr>
        <w:t>.</w:t>
      </w:r>
      <w:r w:rsidR="00AE6159">
        <w:rPr>
          <w:rFonts w:eastAsia="Calibri"/>
        </w:rPr>
        <w:t xml:space="preserve"> </w:t>
      </w:r>
      <w:r w:rsidRPr="00457055" w:rsidR="00290ACF">
        <w:rPr>
          <w:rFonts w:eastAsia="Calibri"/>
        </w:rPr>
        <w:t xml:space="preserve">Further, interview guides were developed to keep discussions at 45 minutes to minimize burden and encourage </w:t>
      </w:r>
      <w:r w:rsidRPr="00457055" w:rsidR="007A4925">
        <w:rPr>
          <w:rFonts w:eastAsia="Calibri"/>
        </w:rPr>
        <w:t>participation.</w:t>
      </w:r>
      <w:r w:rsidRPr="003651FC" w:rsidR="003651FC">
        <w:rPr>
          <w:rFonts w:eastAsia="Calibri"/>
        </w:rPr>
        <w:t xml:space="preserve"> </w:t>
      </w:r>
      <w:r w:rsidR="003651FC">
        <w:rPr>
          <w:rFonts w:eastAsia="Calibri"/>
        </w:rPr>
        <w:t>We will use information gathered during the prize competition submission process and consultations with HHS to select appropriate interviewees</w:t>
      </w:r>
      <w:r w:rsidR="001A5A09">
        <w:rPr>
          <w:rFonts w:eastAsia="Calibri"/>
        </w:rPr>
        <w:t>,</w:t>
      </w:r>
      <w:r w:rsidR="003651FC">
        <w:rPr>
          <w:rFonts w:eastAsia="Calibri"/>
        </w:rPr>
        <w:t xml:space="preserve"> </w:t>
      </w:r>
      <w:r w:rsidR="001A5A09">
        <w:rPr>
          <w:rFonts w:eastAsia="Calibri"/>
        </w:rPr>
        <w:t>and document each interviewee’s consent to participate in each interview</w:t>
      </w:r>
      <w:r w:rsidR="003651FC">
        <w:rPr>
          <w:rFonts w:eastAsia="Calibri"/>
        </w:rPr>
        <w:t>.</w:t>
      </w:r>
      <w:r w:rsidR="005D1D7A">
        <w:rPr>
          <w:rFonts w:eastAsia="Calibri"/>
        </w:rPr>
        <w:t xml:space="preserve">  </w:t>
      </w:r>
    </w:p>
    <w:p w:rsidR="00622324" w:rsidP="00E67189" w:rsidRDefault="007A4925" w14:paraId="6B8206D0" w14:textId="01E714A4">
      <w:pPr>
        <w:pStyle w:val="BodyText2"/>
        <w:rPr>
          <w:rFonts w:eastAsia="Calibri"/>
        </w:rPr>
      </w:pPr>
      <w:r w:rsidRPr="00457055">
        <w:rPr>
          <w:rFonts w:eastAsia="Calibri"/>
        </w:rPr>
        <w:t xml:space="preserve">The Web-based mode of survey was selected to minimize burden. The surveys will take the respondent approximately 20 minutes to complete, and the surveys will be accessible across multiple browsers (e.g., Internet Explorer, Google Chrome, </w:t>
      </w:r>
      <w:proofErr w:type="gramStart"/>
      <w:r w:rsidRPr="00457055">
        <w:rPr>
          <w:rFonts w:eastAsia="Calibri"/>
        </w:rPr>
        <w:t>Mozilla</w:t>
      </w:r>
      <w:proofErr w:type="gramEnd"/>
      <w:r w:rsidRPr="00457055">
        <w:rPr>
          <w:rFonts w:eastAsia="Calibri"/>
        </w:rPr>
        <w:t xml:space="preserve"> Firefox) and devices (e.g., smartphones, tablets, laptops). T</w:t>
      </w:r>
      <w:r w:rsidRPr="00457055" w:rsidR="0084192A">
        <w:rPr>
          <w:rFonts w:eastAsia="Calibri"/>
        </w:rPr>
        <w:t xml:space="preserve">he </w:t>
      </w:r>
      <w:r w:rsidRPr="00457055" w:rsidR="00AE6159">
        <w:rPr>
          <w:rFonts w:eastAsia="Calibri"/>
        </w:rPr>
        <w:t>Post</w:t>
      </w:r>
      <w:r w:rsidRPr="00457055" w:rsidR="0084192A">
        <w:rPr>
          <w:rFonts w:eastAsia="Calibri"/>
        </w:rPr>
        <w:t xml:space="preserve">-award </w:t>
      </w:r>
      <w:r w:rsidRPr="00457055" w:rsidR="00AE6159">
        <w:rPr>
          <w:rFonts w:eastAsia="Calibri"/>
        </w:rPr>
        <w:t xml:space="preserve">Survey </w:t>
      </w:r>
      <w:r w:rsidRPr="00457055" w:rsidR="0084192A">
        <w:rPr>
          <w:rFonts w:eastAsia="Calibri"/>
        </w:rPr>
        <w:t>will be conducted 6 months after the prize</w:t>
      </w:r>
      <w:r w:rsidRPr="00457055" w:rsidR="00BD1FD1">
        <w:rPr>
          <w:rFonts w:eastAsia="Calibri"/>
        </w:rPr>
        <w:t xml:space="preserve">s </w:t>
      </w:r>
      <w:r w:rsidR="00AE6159">
        <w:rPr>
          <w:rFonts w:eastAsia="Calibri"/>
        </w:rPr>
        <w:t>a</w:t>
      </w:r>
      <w:r w:rsidRPr="00457055" w:rsidR="00AE6159">
        <w:rPr>
          <w:rFonts w:eastAsia="Calibri"/>
        </w:rPr>
        <w:t xml:space="preserve">re </w:t>
      </w:r>
      <w:r w:rsidRPr="00457055" w:rsidR="00BD1FD1">
        <w:rPr>
          <w:rFonts w:eastAsia="Calibri"/>
        </w:rPr>
        <w:t xml:space="preserve">announced for a given competition, perhaps providing less motivation to </w:t>
      </w:r>
      <w:r w:rsidRPr="00457055" w:rsidR="00186FDA">
        <w:rPr>
          <w:rFonts w:eastAsia="Calibri"/>
        </w:rPr>
        <w:t xml:space="preserve">participate in this second survey than the first, especially for non-awardees. Therefore, </w:t>
      </w:r>
      <w:r w:rsidRPr="00457055" w:rsidR="00500167">
        <w:rPr>
          <w:rFonts w:eastAsia="Calibri"/>
        </w:rPr>
        <w:t xml:space="preserve">we plan to survey the entire population of applicants in both the </w:t>
      </w:r>
      <w:r w:rsidRPr="00457055" w:rsidR="00AE6159">
        <w:rPr>
          <w:rFonts w:eastAsia="Calibri"/>
        </w:rPr>
        <w:t>Pre</w:t>
      </w:r>
      <w:r w:rsidRPr="00457055" w:rsidR="00500167">
        <w:rPr>
          <w:rFonts w:eastAsia="Calibri"/>
        </w:rPr>
        <w:t xml:space="preserve">- and </w:t>
      </w:r>
      <w:r w:rsidRPr="00457055" w:rsidR="00AE6159">
        <w:rPr>
          <w:rFonts w:eastAsia="Calibri"/>
        </w:rPr>
        <w:t>Post</w:t>
      </w:r>
      <w:r w:rsidRPr="00457055" w:rsidR="00500167">
        <w:rPr>
          <w:rFonts w:eastAsia="Calibri"/>
        </w:rPr>
        <w:t xml:space="preserve">-award </w:t>
      </w:r>
      <w:r w:rsidRPr="00457055" w:rsidR="00AE6159">
        <w:rPr>
          <w:rFonts w:eastAsia="Calibri"/>
        </w:rPr>
        <w:t xml:space="preserve">Surveys </w:t>
      </w:r>
      <w:r w:rsidRPr="00457055" w:rsidR="00500167">
        <w:rPr>
          <w:rFonts w:eastAsia="Calibri"/>
        </w:rPr>
        <w:t xml:space="preserve">to maximize </w:t>
      </w:r>
      <w:r w:rsidRPr="00457055" w:rsidR="00037DC4">
        <w:rPr>
          <w:rFonts w:eastAsia="Calibri"/>
        </w:rPr>
        <w:t xml:space="preserve">our sample size. </w:t>
      </w:r>
    </w:p>
    <w:p w:rsidR="00B0117C" w:rsidP="00E67189" w:rsidRDefault="00A54647" w14:paraId="4E1D66C3" w14:textId="5218B502">
      <w:pPr>
        <w:pStyle w:val="BodyText2"/>
        <w:rPr>
          <w:lang w:eastAsia="x-none"/>
        </w:rPr>
      </w:pPr>
      <w:r w:rsidRPr="00457055">
        <w:rPr>
          <w:rFonts w:eastAsia="Calibri"/>
        </w:rPr>
        <w:t xml:space="preserve">To maximize response rates, </w:t>
      </w:r>
      <w:r w:rsidR="00D92313">
        <w:rPr>
          <w:rFonts w:eastAsia="Calibri"/>
        </w:rPr>
        <w:t xml:space="preserve">procedures </w:t>
      </w:r>
      <w:r w:rsidR="00AE6159">
        <w:rPr>
          <w:rFonts w:eastAsia="Calibri"/>
        </w:rPr>
        <w:t xml:space="preserve">will be </w:t>
      </w:r>
      <w:r w:rsidR="00D92313">
        <w:rPr>
          <w:rFonts w:eastAsia="Calibri"/>
        </w:rPr>
        <w:t xml:space="preserve">put in place </w:t>
      </w:r>
      <w:r w:rsidR="00EA5C1F">
        <w:rPr>
          <w:rFonts w:eastAsia="Calibri"/>
        </w:rPr>
        <w:t>to</w:t>
      </w:r>
      <w:r w:rsidRPr="00457055">
        <w:rPr>
          <w:rFonts w:eastAsia="Calibri"/>
        </w:rPr>
        <w:t xml:space="preserve"> coordinate closely with HHS </w:t>
      </w:r>
      <w:r w:rsidR="00EA5C1F">
        <w:rPr>
          <w:rFonts w:eastAsia="Calibri"/>
        </w:rPr>
        <w:t>and to</w:t>
      </w:r>
      <w:r w:rsidRPr="00457055">
        <w:rPr>
          <w:rFonts w:eastAsia="Calibri"/>
        </w:rPr>
        <w:t xml:space="preserve"> communicate timely, appropriate reminders emphasiz</w:t>
      </w:r>
      <w:r w:rsidR="00EA5C1F">
        <w:rPr>
          <w:rFonts w:eastAsia="Calibri"/>
        </w:rPr>
        <w:t>ing</w:t>
      </w:r>
      <w:r w:rsidRPr="00457055">
        <w:rPr>
          <w:rFonts w:eastAsia="Calibri"/>
        </w:rPr>
        <w:t xml:space="preserve"> the importance of applicants’ participation in the surveys. </w:t>
      </w:r>
      <w:r w:rsidR="00B0117C">
        <w:rPr>
          <w:lang w:eastAsia="x-none"/>
        </w:rPr>
        <w:t xml:space="preserve">For participants who do not complete the Web-based </w:t>
      </w:r>
      <w:r w:rsidR="00B0117C">
        <w:rPr>
          <w:lang w:eastAsia="x-none"/>
        </w:rPr>
        <w:lastRenderedPageBreak/>
        <w:t xml:space="preserve">survey within 1 week of the initial invitation, we will send an e-mail reminder 1 week after the initial invitation. Similarly, for participants who have not completed the survey within 2 weeks of the initial invitation, we will send an </w:t>
      </w:r>
      <w:r w:rsidR="00AE6159">
        <w:rPr>
          <w:lang w:eastAsia="x-none"/>
        </w:rPr>
        <w:t>e-mail</w:t>
      </w:r>
      <w:r w:rsidR="00B0117C">
        <w:rPr>
          <w:lang w:eastAsia="x-none"/>
        </w:rPr>
        <w:t xml:space="preserve"> reminder 2 weeks after the initial invitation. A final e-mail reminder will be sent 3 weeks after the initial invitation to those that have not yet completed the survey. </w:t>
      </w:r>
      <w:r w:rsidR="00AE6159">
        <w:rPr>
          <w:lang w:eastAsia="x-none"/>
        </w:rPr>
        <w:t>E-mail</w:t>
      </w:r>
      <w:r w:rsidR="00B0117C">
        <w:rPr>
          <w:lang w:eastAsia="x-none"/>
        </w:rPr>
        <w:t xml:space="preserve">s will come from a recognizable </w:t>
      </w:r>
      <w:r w:rsidR="00AE6159">
        <w:rPr>
          <w:lang w:eastAsia="x-none"/>
        </w:rPr>
        <w:t>e-mail</w:t>
      </w:r>
      <w:r w:rsidR="00B0117C">
        <w:rPr>
          <w:lang w:eastAsia="x-none"/>
        </w:rPr>
        <w:t xml:space="preserve"> address such as </w:t>
      </w:r>
      <w:hyperlink w:history="1" r:id="rId11">
        <w:r w:rsidRPr="0051200F" w:rsidR="00B0117C">
          <w:rPr>
            <w:rStyle w:val="Hyperlink"/>
            <w:lang w:eastAsia="x-none"/>
          </w:rPr>
          <w:t>KidneyX_Survey@rti.org</w:t>
        </w:r>
      </w:hyperlink>
      <w:r w:rsidR="00B0117C">
        <w:rPr>
          <w:lang w:eastAsia="x-none"/>
        </w:rPr>
        <w:t xml:space="preserve"> so that respondents are more likely to open the </w:t>
      </w:r>
      <w:r w:rsidR="00AE6159">
        <w:rPr>
          <w:lang w:eastAsia="x-none"/>
        </w:rPr>
        <w:t>e-mail</w:t>
      </w:r>
      <w:r w:rsidR="00B0117C">
        <w:rPr>
          <w:lang w:eastAsia="x-none"/>
        </w:rPr>
        <w:t xml:space="preserve">. The surveys will be closed upon reaching 4 weeks after the initial invitation. These procedures will </w:t>
      </w:r>
      <w:r w:rsidR="009D70C5">
        <w:rPr>
          <w:lang w:eastAsia="x-none"/>
        </w:rPr>
        <w:t>help</w:t>
      </w:r>
      <w:r w:rsidR="00B0117C">
        <w:rPr>
          <w:lang w:eastAsia="x-none"/>
        </w:rPr>
        <w:t xml:space="preserve"> </w:t>
      </w:r>
      <w:r w:rsidR="009D70C5">
        <w:rPr>
          <w:lang w:eastAsia="x-none"/>
        </w:rPr>
        <w:t xml:space="preserve">maximize </w:t>
      </w:r>
      <w:r w:rsidR="00B0117C">
        <w:rPr>
          <w:lang w:eastAsia="x-none"/>
        </w:rPr>
        <w:t xml:space="preserve">the response rate. </w:t>
      </w:r>
    </w:p>
    <w:p w:rsidR="003651FC" w:rsidP="00E67189" w:rsidRDefault="003651FC" w14:paraId="18E4E3AC" w14:textId="4D7C0169">
      <w:pPr>
        <w:pStyle w:val="BodyText2"/>
        <w:rPr>
          <w:lang w:eastAsia="x-none"/>
        </w:rPr>
      </w:pPr>
      <w:r>
        <w:rPr>
          <w:lang w:eastAsia="x-none"/>
        </w:rPr>
        <w:t xml:space="preserve">For the Pre-Award Survey, we anticipate that interest in the survey will be high as it will be conducted shortly after the applicants submitted their entries. We will attempt to reach a response rate of at least 50 percent for each cohort. </w:t>
      </w:r>
      <w:r w:rsidR="001A5A09">
        <w:rPr>
          <w:lang w:eastAsia="x-none"/>
        </w:rPr>
        <w:t xml:space="preserve">The survey invitations will encourage respondents to participate in order to improve the </w:t>
      </w:r>
      <w:proofErr w:type="spellStart"/>
      <w:r w:rsidR="001A5A09">
        <w:rPr>
          <w:lang w:eastAsia="x-none"/>
        </w:rPr>
        <w:t>KidneyX</w:t>
      </w:r>
      <w:proofErr w:type="spellEnd"/>
      <w:r w:rsidR="001A5A09">
        <w:rPr>
          <w:lang w:eastAsia="x-none"/>
        </w:rPr>
        <w:t xml:space="preserve"> initiative and any future competitions (including those in which the </w:t>
      </w:r>
      <w:r w:rsidR="00021EB3">
        <w:rPr>
          <w:lang w:eastAsia="x-none"/>
        </w:rPr>
        <w:t>respondents</w:t>
      </w:r>
      <w:r w:rsidR="001A5A09">
        <w:rPr>
          <w:lang w:eastAsia="x-none"/>
        </w:rPr>
        <w:t xml:space="preserve"> may subsequently compete). We will send additional reminders via e-mail to non-respondents </w:t>
      </w:r>
      <w:r w:rsidR="00021EB3">
        <w:rPr>
          <w:lang w:eastAsia="x-none"/>
        </w:rPr>
        <w:t>at two-week intervals from the launch of the survey until just before the survey close date.</w:t>
      </w:r>
      <w:r w:rsidR="001A5A09">
        <w:rPr>
          <w:lang w:eastAsia="x-none"/>
        </w:rPr>
        <w:t xml:space="preserve"> </w:t>
      </w:r>
      <w:r w:rsidR="00021EB3">
        <w:rPr>
          <w:lang w:eastAsia="x-none"/>
        </w:rPr>
        <w:t xml:space="preserve">If the response rate falls substantially short of our goal, we will send personalized invitations to selected non-respondents to encourage participation, focusing on those from groups under-represented in the pool of respondents based on team structure, type of affiliated organization, technology area, and other salient characteristics. </w:t>
      </w:r>
      <w:r>
        <w:rPr>
          <w:lang w:eastAsia="x-none"/>
        </w:rPr>
        <w:t>We will use data from the applicants’ submissions to identify any systematic patterns among non-respondents that might introduce bias into our results</w:t>
      </w:r>
      <w:r w:rsidR="00E65776">
        <w:rPr>
          <w:lang w:eastAsia="x-none"/>
        </w:rPr>
        <w:t>.</w:t>
      </w:r>
    </w:p>
    <w:p w:rsidR="00E65776" w:rsidP="00E67189" w:rsidRDefault="00E65776" w14:paraId="7D0FA051" w14:textId="28BF1C18">
      <w:pPr>
        <w:pStyle w:val="BodyText2"/>
        <w:rPr>
          <w:lang w:eastAsia="x-none"/>
        </w:rPr>
      </w:pPr>
      <w:r>
        <w:rPr>
          <w:lang w:eastAsia="x-none"/>
        </w:rPr>
        <w:t xml:space="preserve">For the Post-Award Survey, we will attempt to achieve a response rate of at least 90 percent of the prize winners. Since each prizewinner will be surveyed shortly after receiving their awards, we anticipate that interest in responding will be high. In contrast, non-awardees may feel less compelled to respond to this survey due to the negative result from their entries. We will seek to achieve a 25 percent response rate from non-awardees in each cohort. </w:t>
      </w:r>
      <w:r w:rsidR="00021EB3">
        <w:rPr>
          <w:lang w:eastAsia="x-none"/>
        </w:rPr>
        <w:t xml:space="preserve">The survey invitations will encourage respondents to participate in order to improve the </w:t>
      </w:r>
      <w:proofErr w:type="spellStart"/>
      <w:r w:rsidR="00021EB3">
        <w:rPr>
          <w:lang w:eastAsia="x-none"/>
        </w:rPr>
        <w:t>KidneyX</w:t>
      </w:r>
      <w:proofErr w:type="spellEnd"/>
      <w:r w:rsidR="00021EB3">
        <w:rPr>
          <w:lang w:eastAsia="x-none"/>
        </w:rPr>
        <w:t xml:space="preserve"> initiative and any future competitions (including those in which the respondents may subsequently compete). We will send additional reminders via e-mail to non-respondents at two-week intervals from the launch of the survey until just before the survey close date. If the response rate falls substantially short of our goal, we will send personalized invitations to selected non-respondents to encourage participation, focusing on those from groups under-</w:t>
      </w:r>
      <w:r w:rsidR="00021EB3">
        <w:rPr>
          <w:lang w:eastAsia="x-none"/>
        </w:rPr>
        <w:lastRenderedPageBreak/>
        <w:t xml:space="preserve">represented in the pool of respondents based on team structure, type of affiliated organization, technology area, and other salient characteristics. </w:t>
      </w:r>
      <w:r>
        <w:rPr>
          <w:lang w:eastAsia="x-none"/>
        </w:rPr>
        <w:t>We will use data from the applicants’ submissions to identify any systematic patterns among non-respondents that might introduce bias into our results.</w:t>
      </w:r>
    </w:p>
    <w:p w:rsidR="00E65776" w:rsidP="00E67189" w:rsidRDefault="00E65776" w14:paraId="028807E7" w14:textId="71FAAAB3">
      <w:pPr>
        <w:pStyle w:val="BodyText2"/>
        <w:rPr>
          <w:lang w:eastAsia="x-none"/>
        </w:rPr>
      </w:pPr>
      <w:r>
        <w:rPr>
          <w:lang w:eastAsia="x-none"/>
        </w:rPr>
        <w:t>For surveys where we detect a systematic pattern among non-respondents that could introduce bias, we will calculate appropriate weights to apply to specific items that are designed to mitigate that bias.</w:t>
      </w:r>
    </w:p>
    <w:p w:rsidRPr="00F554AB" w:rsidR="002A5CC1" w:rsidP="00F554AB" w:rsidRDefault="623A75CF" w14:paraId="2FBBB356" w14:textId="77777777">
      <w:pPr>
        <w:pStyle w:val="Heading3"/>
      </w:pPr>
      <w:r w:rsidRPr="00F554AB">
        <w:t>Tests of procedures or methods to be undertaken</w:t>
      </w:r>
    </w:p>
    <w:p w:rsidR="00C0123A" w:rsidP="00E67189" w:rsidRDefault="00C0123A" w14:paraId="6E8F0553" w14:textId="0DD5E68F">
      <w:pPr>
        <w:pStyle w:val="BodyText2"/>
        <w:rPr>
          <w:rFonts w:eastAsia="Calibri"/>
        </w:rPr>
      </w:pPr>
      <w:r w:rsidRPr="007A4925">
        <w:rPr>
          <w:rFonts w:eastAsia="Calibri"/>
        </w:rPr>
        <w:t xml:space="preserve">All instruments and protocols </w:t>
      </w:r>
      <w:r w:rsidR="00E65776">
        <w:rPr>
          <w:rFonts w:eastAsia="Calibri"/>
        </w:rPr>
        <w:t xml:space="preserve">for this study </w:t>
      </w:r>
      <w:r w:rsidRPr="007A4925">
        <w:rPr>
          <w:rFonts w:eastAsia="Calibri"/>
        </w:rPr>
        <w:t>are similar to those used without difficulty in prior evaluation work by the study team.</w:t>
      </w:r>
      <w:r w:rsidR="00E65776">
        <w:rPr>
          <w:rFonts w:eastAsia="Calibri"/>
        </w:rPr>
        <w:t xml:space="preserve"> These prior evaluations include studies to evaluate federal programs to encourage and accelerate innovation in specific domains of biomedical science and technology. For example, members of the RTI team conducted interviews and surveys for the Combatting Anti-microbial Resistant Bacteria Accelerator (CARB-X) program sponsored in part by the Biomedical Advanced Research Project Authority (BARDA) within HHS. The team members also deployed similar instruments and protocols for the monitoring and evaluation of the NIH Research Evaluation and Commercialization Hub (REACH) program.</w:t>
      </w:r>
      <w:r w:rsidR="00453BD4">
        <w:rPr>
          <w:rFonts w:eastAsia="Calibri"/>
        </w:rPr>
        <w:t xml:space="preserve"> </w:t>
      </w:r>
    </w:p>
    <w:p w:rsidR="00453BD4" w:rsidP="00453BD4" w:rsidRDefault="00E65776" w14:paraId="42394E73" w14:textId="77777777">
      <w:pPr>
        <w:pStyle w:val="BodyText2"/>
      </w:pPr>
      <w:r>
        <w:rPr>
          <w:rFonts w:eastAsia="Calibri"/>
        </w:rPr>
        <w:t xml:space="preserve">We will consult with members of the </w:t>
      </w:r>
      <w:proofErr w:type="spellStart"/>
      <w:r>
        <w:rPr>
          <w:rFonts w:eastAsia="Calibri"/>
        </w:rPr>
        <w:t>KidneyX</w:t>
      </w:r>
      <w:proofErr w:type="spellEnd"/>
      <w:r>
        <w:rPr>
          <w:rFonts w:eastAsia="Calibri"/>
        </w:rPr>
        <w:t xml:space="preserve"> Steering Committee, including experts in kidney technology, to confirm that the survey instrument items </w:t>
      </w:r>
      <w:r w:rsidR="006A1AA8">
        <w:rPr>
          <w:rFonts w:eastAsia="Calibri"/>
        </w:rPr>
        <w:t xml:space="preserve">and interview questions </w:t>
      </w:r>
      <w:r>
        <w:rPr>
          <w:rFonts w:eastAsia="Calibri"/>
        </w:rPr>
        <w:t xml:space="preserve">are </w:t>
      </w:r>
      <w:r w:rsidR="00BB0207">
        <w:rPr>
          <w:rFonts w:eastAsia="Calibri"/>
        </w:rPr>
        <w:t>appropriate and are likely to be interpreted consistently by respondents.</w:t>
      </w:r>
      <w:r w:rsidRPr="00453BD4" w:rsidR="00453BD4">
        <w:t xml:space="preserve"> </w:t>
      </w:r>
      <w:r w:rsidR="00453BD4">
        <w:t xml:space="preserve">The interview guides and survey questions have also been informed by preliminary discussions with a few </w:t>
      </w:r>
      <w:proofErr w:type="spellStart"/>
      <w:r w:rsidR="00453BD4">
        <w:t>KidneyX</w:t>
      </w:r>
      <w:proofErr w:type="spellEnd"/>
      <w:r w:rsidR="00453BD4">
        <w:t xml:space="preserve"> stakeholders, and informal input from some winners of the Redesign Dialysis Phase 1 competition. </w:t>
      </w:r>
    </w:p>
    <w:p w:rsidRPr="007A4925" w:rsidR="00E65776" w:rsidP="00453BD4" w:rsidRDefault="00453BD4" w14:paraId="22380DAB" w14:textId="328E0801">
      <w:pPr>
        <w:pStyle w:val="BodyText2"/>
        <w:rPr>
          <w:rFonts w:eastAsia="Calibri"/>
        </w:rPr>
      </w:pPr>
      <w:r w:rsidRPr="00453BD4">
        <w:rPr>
          <w:rFonts w:eastAsia="Calibri"/>
        </w:rPr>
        <w:t xml:space="preserve">Prior to launching </w:t>
      </w:r>
      <w:r>
        <w:rPr>
          <w:rFonts w:eastAsia="Calibri"/>
        </w:rPr>
        <w:t xml:space="preserve">each </w:t>
      </w:r>
      <w:r w:rsidRPr="00453BD4">
        <w:rPr>
          <w:rFonts w:eastAsia="Calibri"/>
        </w:rPr>
        <w:t>survey, we will conduct thorough testing of the programmed survey to ensure accuracy and fidelity, including inclusion/exclusion logic;</w:t>
      </w:r>
      <w:r>
        <w:rPr>
          <w:rFonts w:eastAsia="Calibri"/>
        </w:rPr>
        <w:t xml:space="preserve"> </w:t>
      </w:r>
      <w:r w:rsidRPr="00453BD4">
        <w:rPr>
          <w:rFonts w:eastAsia="Calibri"/>
        </w:rPr>
        <w:t>and to ensure that instructions, questions, and response options display correctly and that skip patterns function.</w:t>
      </w:r>
      <w:r>
        <w:rPr>
          <w:rFonts w:eastAsia="Calibri"/>
        </w:rPr>
        <w:t xml:space="preserve"> </w:t>
      </w:r>
      <w:r w:rsidR="00BB0207">
        <w:rPr>
          <w:rFonts w:eastAsia="Calibri"/>
        </w:rPr>
        <w:t xml:space="preserve">We do not anticipate that the results </w:t>
      </w:r>
      <w:r>
        <w:rPr>
          <w:rFonts w:eastAsia="Calibri"/>
        </w:rPr>
        <w:t xml:space="preserve">of the testing </w:t>
      </w:r>
      <w:r w:rsidR="00BB0207">
        <w:rPr>
          <w:rFonts w:eastAsia="Calibri"/>
        </w:rPr>
        <w:t>will require any substantive changes to the instruments.</w:t>
      </w:r>
    </w:p>
    <w:p w:rsidRPr="00F554AB" w:rsidR="006C30B2" w:rsidP="00F554AB" w:rsidRDefault="7F071734" w14:paraId="02EFA064" w14:textId="77777777">
      <w:pPr>
        <w:pStyle w:val="Heading3"/>
      </w:pPr>
      <w:r w:rsidRPr="00F554AB">
        <w:t>Consultants on statistical aspects of the design and people who will collect and analyze the information</w:t>
      </w:r>
    </w:p>
    <w:p w:rsidRPr="00457055" w:rsidR="006C30B2" w:rsidP="00E67189" w:rsidRDefault="001C30C2" w14:paraId="3DE8D679" w14:textId="4CE93D1F">
      <w:pPr>
        <w:pStyle w:val="BodyText2"/>
        <w:rPr>
          <w:rFonts w:eastAsia="Calibri"/>
        </w:rPr>
      </w:pPr>
      <w:r w:rsidRPr="007A4925">
        <w:rPr>
          <w:rFonts w:eastAsia="Calibri"/>
        </w:rPr>
        <w:t xml:space="preserve">In September 2018, </w:t>
      </w:r>
      <w:r w:rsidRPr="007A4925" w:rsidR="00111522">
        <w:rPr>
          <w:rFonts w:eastAsia="Calibri"/>
        </w:rPr>
        <w:t>HHS</w:t>
      </w:r>
      <w:r w:rsidRPr="007A4925">
        <w:rPr>
          <w:rFonts w:eastAsia="Calibri"/>
        </w:rPr>
        <w:t xml:space="preserve"> awarded </w:t>
      </w:r>
      <w:r w:rsidRPr="007A4925" w:rsidR="005204D2">
        <w:rPr>
          <w:rFonts w:eastAsia="Calibri"/>
        </w:rPr>
        <w:t>contract HHSP233201500039I</w:t>
      </w:r>
      <w:r w:rsidRPr="007A4925">
        <w:rPr>
          <w:rFonts w:eastAsia="Calibri"/>
        </w:rPr>
        <w:t xml:space="preserve"> to RTI International to design and conduct </w:t>
      </w:r>
      <w:r w:rsidRPr="007A4925" w:rsidR="005204D2">
        <w:rPr>
          <w:rFonts w:eastAsia="Calibri"/>
        </w:rPr>
        <w:t>an</w:t>
      </w:r>
      <w:r w:rsidRPr="007A4925">
        <w:rPr>
          <w:rFonts w:eastAsia="Calibri"/>
        </w:rPr>
        <w:t xml:space="preserve"> evaluation</w:t>
      </w:r>
      <w:r w:rsidRPr="007A4925" w:rsidR="005204D2">
        <w:rPr>
          <w:rFonts w:eastAsia="Calibri"/>
        </w:rPr>
        <w:t xml:space="preserve"> of </w:t>
      </w:r>
      <w:proofErr w:type="spellStart"/>
      <w:r w:rsidRPr="007A4925" w:rsidR="005204D2">
        <w:rPr>
          <w:rFonts w:eastAsia="Calibri"/>
        </w:rPr>
        <w:t>KidneyX</w:t>
      </w:r>
      <w:proofErr w:type="spellEnd"/>
      <w:r w:rsidRPr="007A4925">
        <w:rPr>
          <w:rFonts w:eastAsia="Calibri"/>
        </w:rPr>
        <w:t xml:space="preserve">. The study team includes Jeffrey Alexander, </w:t>
      </w:r>
      <w:r w:rsidRPr="007A4925">
        <w:rPr>
          <w:rFonts w:eastAsia="Calibri"/>
        </w:rPr>
        <w:lastRenderedPageBreak/>
        <w:t xml:space="preserve">Katherine </w:t>
      </w:r>
      <w:proofErr w:type="spellStart"/>
      <w:r w:rsidRPr="007A4925">
        <w:rPr>
          <w:rFonts w:eastAsia="Calibri"/>
        </w:rPr>
        <w:t>Treiman</w:t>
      </w:r>
      <w:proofErr w:type="spellEnd"/>
      <w:r w:rsidRPr="007A4925">
        <w:rPr>
          <w:rFonts w:eastAsia="Calibri"/>
        </w:rPr>
        <w:t xml:space="preserve">, Cindy </w:t>
      </w:r>
      <w:proofErr w:type="spellStart"/>
      <w:r w:rsidRPr="007A4925">
        <w:rPr>
          <w:rFonts w:eastAsia="Calibri"/>
        </w:rPr>
        <w:t>Soloe</w:t>
      </w:r>
      <w:proofErr w:type="spellEnd"/>
      <w:r w:rsidRPr="007A4925">
        <w:rPr>
          <w:rFonts w:eastAsia="Calibri"/>
        </w:rPr>
        <w:t>, Ben Anderson, and Valerie Etta</w:t>
      </w:r>
      <w:r w:rsidRPr="007A4925" w:rsidR="00747293">
        <w:rPr>
          <w:rFonts w:eastAsia="Calibri"/>
        </w:rPr>
        <w:t xml:space="preserve"> of RTI International</w:t>
      </w:r>
      <w:r w:rsidRPr="007A4925">
        <w:rPr>
          <w:rFonts w:eastAsia="Calibri"/>
        </w:rPr>
        <w:t>.</w:t>
      </w:r>
      <w:r w:rsidRPr="007A4925" w:rsidR="00747293">
        <w:rPr>
          <w:rFonts w:eastAsia="Calibri"/>
        </w:rPr>
        <w:t xml:space="preserve"> The study team designed the evaluation in conjunction with the HHS </w:t>
      </w:r>
      <w:proofErr w:type="spellStart"/>
      <w:r w:rsidRPr="007A4925">
        <w:rPr>
          <w:rFonts w:eastAsia="Calibri"/>
        </w:rPr>
        <w:t>KidneyX</w:t>
      </w:r>
      <w:proofErr w:type="spellEnd"/>
      <w:r w:rsidRPr="007A4925">
        <w:rPr>
          <w:rFonts w:eastAsia="Calibri"/>
        </w:rPr>
        <w:t xml:space="preserve"> </w:t>
      </w:r>
      <w:r w:rsidRPr="007A4925" w:rsidR="00747293">
        <w:rPr>
          <w:rFonts w:eastAsia="Calibri"/>
        </w:rPr>
        <w:t>advisory committee</w:t>
      </w:r>
      <w:r w:rsidRPr="007A4925">
        <w:rPr>
          <w:rFonts w:eastAsia="Calibri"/>
        </w:rPr>
        <w:t>.</w:t>
      </w:r>
      <w:r w:rsidRPr="007A4925" w:rsidR="00747293">
        <w:rPr>
          <w:rFonts w:eastAsia="Calibri"/>
        </w:rPr>
        <w:t xml:space="preserve"> The evaluation will be conducted by RTI </w:t>
      </w:r>
      <w:r w:rsidRPr="007A4925">
        <w:rPr>
          <w:rFonts w:eastAsia="Calibri"/>
        </w:rPr>
        <w:t>International.</w:t>
      </w:r>
      <w:r w:rsidR="00BB0207">
        <w:rPr>
          <w:rFonts w:eastAsia="Calibri"/>
        </w:rPr>
        <w:t xml:space="preserve"> Statistical analysis will be conducted by team members with graduate degrees in public health, economics, and management, all of whom have received substantial formal training in research methods and statistics. The final study results will also be reviewed by internal RTI experts in statistical methods prior to submission. Drafts of all study results will be reviewed by appropriate experts within HHS and the </w:t>
      </w:r>
      <w:proofErr w:type="spellStart"/>
      <w:r w:rsidR="00BB0207">
        <w:rPr>
          <w:rFonts w:eastAsia="Calibri"/>
        </w:rPr>
        <w:t>KidneyX</w:t>
      </w:r>
      <w:proofErr w:type="spellEnd"/>
      <w:r w:rsidR="00BB0207">
        <w:rPr>
          <w:rFonts w:eastAsia="Calibri"/>
        </w:rPr>
        <w:t xml:space="preserve"> initiative prior to final publication.</w:t>
      </w:r>
    </w:p>
    <w:p w:rsidR="006C30B2" w:rsidP="004E4C5B" w:rsidRDefault="006C30B2" w14:paraId="7A7BCC19" w14:textId="77777777"/>
    <w:sectPr w:rsidR="006C30B2" w:rsidSect="002A5CC1">
      <w:footerReference w:type="even" r:id="rId12"/>
      <w:footerReference w:type="default" r:id="rId13"/>
      <w:pgSz w:w="12240" w:h="15840"/>
      <w:pgMar w:top="1440" w:right="1440" w:bottom="1440" w:left="1440" w:header="720" w:footer="720" w:gutter="0"/>
      <w:pgNumType w:start="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28EF18" w16cid:durableId="21AB17DF"/>
  <w16cid:commentId w16cid:paraId="457E44A8" w16cid:durableId="21AB17E4"/>
  <w16cid:commentId w16cid:paraId="3704470C" w16cid:durableId="21AB17E5"/>
  <w16cid:commentId w16cid:paraId="556204BC" w16cid:durableId="21AB17E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4A56AB" w14:textId="77777777" w:rsidR="00B23777" w:rsidRDefault="00B23777" w:rsidP="00B73692">
      <w:r>
        <w:separator/>
      </w:r>
    </w:p>
  </w:endnote>
  <w:endnote w:type="continuationSeparator" w:id="0">
    <w:p w14:paraId="4B316A3E" w14:textId="77777777" w:rsidR="00B23777" w:rsidRDefault="00B23777" w:rsidP="00B73692">
      <w:r>
        <w:continuationSeparator/>
      </w:r>
    </w:p>
  </w:endnote>
  <w:endnote w:type="continuationNotice" w:id="1">
    <w:p w14:paraId="550800EA" w14:textId="77777777" w:rsidR="00B23777" w:rsidRDefault="00B23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71C89" w14:textId="77777777" w:rsidR="00A3388A" w:rsidRDefault="00A3388A" w:rsidP="00A338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EBE5651" w14:textId="77777777" w:rsidR="00A3388A" w:rsidRDefault="00A3388A" w:rsidP="00291C4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1422761"/>
      <w:docPartObj>
        <w:docPartGallery w:val="Page Numbers (Bottom of Page)"/>
        <w:docPartUnique/>
      </w:docPartObj>
    </w:sdtPr>
    <w:sdtEndPr>
      <w:rPr>
        <w:noProof/>
        <w:sz w:val="20"/>
      </w:rPr>
    </w:sdtEndPr>
    <w:sdtContent>
      <w:p w14:paraId="355C4344" w14:textId="04B03E0D" w:rsidR="007537D7" w:rsidRPr="002A5CC1" w:rsidRDefault="007537D7">
        <w:pPr>
          <w:pStyle w:val="Footer"/>
          <w:jc w:val="center"/>
          <w:rPr>
            <w:sz w:val="20"/>
          </w:rPr>
        </w:pPr>
        <w:r w:rsidRPr="002A5CC1">
          <w:rPr>
            <w:sz w:val="20"/>
          </w:rPr>
          <w:fldChar w:fldCharType="begin"/>
        </w:r>
        <w:r w:rsidRPr="002A5CC1">
          <w:rPr>
            <w:sz w:val="20"/>
          </w:rPr>
          <w:instrText xml:space="preserve"> PAGE   \* MERGEFORMAT </w:instrText>
        </w:r>
        <w:r w:rsidRPr="002A5CC1">
          <w:rPr>
            <w:sz w:val="20"/>
          </w:rPr>
          <w:fldChar w:fldCharType="separate"/>
        </w:r>
        <w:r w:rsidR="00B76334">
          <w:rPr>
            <w:noProof/>
            <w:sz w:val="20"/>
          </w:rPr>
          <w:t>7</w:t>
        </w:r>
        <w:r w:rsidRPr="002A5CC1">
          <w:rPr>
            <w:noProof/>
            <w:sz w:val="20"/>
          </w:rPr>
          <w:fldChar w:fldCharType="end"/>
        </w:r>
      </w:p>
    </w:sdtContent>
  </w:sdt>
  <w:p w14:paraId="0643D93B" w14:textId="77777777" w:rsidR="00A3388A" w:rsidRDefault="00A3388A" w:rsidP="00291C4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A2D7CE" w14:textId="77777777" w:rsidR="00B23777" w:rsidRDefault="00B23777" w:rsidP="00B73692">
      <w:r>
        <w:separator/>
      </w:r>
    </w:p>
  </w:footnote>
  <w:footnote w:type="continuationSeparator" w:id="0">
    <w:p w14:paraId="0108C6E4" w14:textId="77777777" w:rsidR="00B23777" w:rsidRDefault="00B23777" w:rsidP="00B73692">
      <w:r>
        <w:continuationSeparator/>
      </w:r>
    </w:p>
  </w:footnote>
  <w:footnote w:type="continuationNotice" w:id="1">
    <w:p w14:paraId="726FB1AA" w14:textId="77777777" w:rsidR="00B23777" w:rsidRDefault="00B2377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37FE5"/>
    <w:multiLevelType w:val="hybridMultilevel"/>
    <w:tmpl w:val="B2BA1D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EB84FFA"/>
    <w:multiLevelType w:val="hybridMultilevel"/>
    <w:tmpl w:val="92C2C322"/>
    <w:lvl w:ilvl="0" w:tplc="81483424">
      <w:start w:val="1"/>
      <w:numFmt w:val="bullet"/>
      <w:lvlText w:val=""/>
      <w:lvlJc w:val="left"/>
      <w:pPr>
        <w:ind w:left="720" w:hanging="360"/>
      </w:pPr>
      <w:rPr>
        <w:rFonts w:ascii="Symbol" w:hAnsi="Symbol"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45E67"/>
    <w:multiLevelType w:val="hybridMultilevel"/>
    <w:tmpl w:val="991C2D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E33F27"/>
    <w:multiLevelType w:val="hybridMultilevel"/>
    <w:tmpl w:val="879C03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1506CE"/>
    <w:multiLevelType w:val="hybridMultilevel"/>
    <w:tmpl w:val="9676B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222C48"/>
    <w:multiLevelType w:val="hybridMultilevel"/>
    <w:tmpl w:val="8F22910A"/>
    <w:lvl w:ilvl="0" w:tplc="04090001">
      <w:start w:val="1"/>
      <w:numFmt w:val="bullet"/>
      <w:lvlText w:val=""/>
      <w:lvlJc w:val="left"/>
      <w:pPr>
        <w:ind w:left="1800" w:hanging="360"/>
      </w:pPr>
      <w:rPr>
        <w:rFonts w:ascii="Symbol" w:hAnsi="Symbol" w:hint="default"/>
      </w:rPr>
    </w:lvl>
    <w:lvl w:ilvl="1" w:tplc="0409000F">
      <w:start w:val="1"/>
      <w:numFmt w:val="decimal"/>
      <w:lvlText w:val="%2."/>
      <w:lvlJc w:val="left"/>
      <w:pPr>
        <w:ind w:left="2520" w:hanging="360"/>
      </w:pPr>
      <w:rPr>
        <w:rFonts w:hint="default"/>
      </w:rPr>
    </w:lvl>
    <w:lvl w:ilvl="2" w:tplc="FDEE1AC4">
      <w:start w:val="1"/>
      <w:numFmt w:val="lowerLetter"/>
      <w:lvlText w:val="%3."/>
      <w:lvlJc w:val="left"/>
      <w:pPr>
        <w:ind w:left="3240" w:hanging="360"/>
      </w:pPr>
      <w:rPr>
        <w:rFont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DD15BC2"/>
    <w:multiLevelType w:val="hybridMultilevel"/>
    <w:tmpl w:val="E7DEDA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0F0FA1"/>
    <w:multiLevelType w:val="hybridMultilevel"/>
    <w:tmpl w:val="EB6298B8"/>
    <w:lvl w:ilvl="0" w:tplc="7C18286A">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A02263"/>
    <w:multiLevelType w:val="hybridMultilevel"/>
    <w:tmpl w:val="E7DEDA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D86140"/>
    <w:multiLevelType w:val="hybridMultilevel"/>
    <w:tmpl w:val="47A4B5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F425DB"/>
    <w:multiLevelType w:val="hybridMultilevel"/>
    <w:tmpl w:val="D3F60934"/>
    <w:lvl w:ilvl="0" w:tplc="09B4C374">
      <w:start w:val="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346F6E"/>
    <w:multiLevelType w:val="hybridMultilevel"/>
    <w:tmpl w:val="F5683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325BE6"/>
    <w:multiLevelType w:val="hybridMultilevel"/>
    <w:tmpl w:val="0632F142"/>
    <w:lvl w:ilvl="0" w:tplc="06CC31A2">
      <w:start w:val="1"/>
      <w:numFmt w:val="decimal"/>
      <w:pStyle w:val="Heading3"/>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B64430"/>
    <w:multiLevelType w:val="hybridMultilevel"/>
    <w:tmpl w:val="56DEF65A"/>
    <w:lvl w:ilvl="0" w:tplc="B9267DF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C55107"/>
    <w:multiLevelType w:val="hybridMultilevel"/>
    <w:tmpl w:val="47866288"/>
    <w:lvl w:ilvl="0" w:tplc="0E2899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2592195"/>
    <w:multiLevelType w:val="hybridMultilevel"/>
    <w:tmpl w:val="DE4209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5"/>
  </w:num>
  <w:num w:numId="3">
    <w:abstractNumId w:val="0"/>
  </w:num>
  <w:num w:numId="4">
    <w:abstractNumId w:val="11"/>
  </w:num>
  <w:num w:numId="5">
    <w:abstractNumId w:val="5"/>
  </w:num>
  <w:num w:numId="6">
    <w:abstractNumId w:val="7"/>
  </w:num>
  <w:num w:numId="7">
    <w:abstractNumId w:val="4"/>
  </w:num>
  <w:num w:numId="8">
    <w:abstractNumId w:val="10"/>
  </w:num>
  <w:num w:numId="9">
    <w:abstractNumId w:val="13"/>
  </w:num>
  <w:num w:numId="10">
    <w:abstractNumId w:val="2"/>
  </w:num>
  <w:num w:numId="11">
    <w:abstractNumId w:val="14"/>
  </w:num>
  <w:num w:numId="12">
    <w:abstractNumId w:val="12"/>
  </w:num>
  <w:num w:numId="13">
    <w:abstractNumId w:val="1"/>
  </w:num>
  <w:num w:numId="14">
    <w:abstractNumId w:val="8"/>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Y2NrU0MzIzNzMxsTRQ0lEKTi0uzszPAykwqgUAJGlvnSwAAAA="/>
  </w:docVars>
  <w:rsids>
    <w:rsidRoot w:val="00B31D41"/>
    <w:rsid w:val="000028C1"/>
    <w:rsid w:val="00014DF9"/>
    <w:rsid w:val="0001563C"/>
    <w:rsid w:val="0001604A"/>
    <w:rsid w:val="00021EB3"/>
    <w:rsid w:val="00023325"/>
    <w:rsid w:val="00025D2A"/>
    <w:rsid w:val="00026734"/>
    <w:rsid w:val="000268C6"/>
    <w:rsid w:val="0003058C"/>
    <w:rsid w:val="00035407"/>
    <w:rsid w:val="00037DC4"/>
    <w:rsid w:val="00042496"/>
    <w:rsid w:val="0005661B"/>
    <w:rsid w:val="00061CB8"/>
    <w:rsid w:val="00061FF8"/>
    <w:rsid w:val="00063779"/>
    <w:rsid w:val="00072A63"/>
    <w:rsid w:val="00086709"/>
    <w:rsid w:val="00092A86"/>
    <w:rsid w:val="00094BCA"/>
    <w:rsid w:val="00097396"/>
    <w:rsid w:val="000976DE"/>
    <w:rsid w:val="000A500F"/>
    <w:rsid w:val="000B1336"/>
    <w:rsid w:val="000B2EEC"/>
    <w:rsid w:val="000B4EF1"/>
    <w:rsid w:val="000B635F"/>
    <w:rsid w:val="000C7DFA"/>
    <w:rsid w:val="000D7AF5"/>
    <w:rsid w:val="000E0081"/>
    <w:rsid w:val="000E35FA"/>
    <w:rsid w:val="000E3968"/>
    <w:rsid w:val="000F0790"/>
    <w:rsid w:val="000F1436"/>
    <w:rsid w:val="000F66A2"/>
    <w:rsid w:val="00107248"/>
    <w:rsid w:val="00111522"/>
    <w:rsid w:val="00117734"/>
    <w:rsid w:val="00124DA8"/>
    <w:rsid w:val="00132DA8"/>
    <w:rsid w:val="0014076D"/>
    <w:rsid w:val="001424C0"/>
    <w:rsid w:val="00154A7B"/>
    <w:rsid w:val="0015653B"/>
    <w:rsid w:val="00172F2A"/>
    <w:rsid w:val="00176C3F"/>
    <w:rsid w:val="00176FA0"/>
    <w:rsid w:val="0018073B"/>
    <w:rsid w:val="00181B0B"/>
    <w:rsid w:val="00182E44"/>
    <w:rsid w:val="00185A35"/>
    <w:rsid w:val="00186FDA"/>
    <w:rsid w:val="00193012"/>
    <w:rsid w:val="00193A66"/>
    <w:rsid w:val="001A5A09"/>
    <w:rsid w:val="001B3A48"/>
    <w:rsid w:val="001B4A67"/>
    <w:rsid w:val="001C3000"/>
    <w:rsid w:val="001C30C2"/>
    <w:rsid w:val="001C5BB2"/>
    <w:rsid w:val="001C6713"/>
    <w:rsid w:val="001C6977"/>
    <w:rsid w:val="001D2DB7"/>
    <w:rsid w:val="001D3C11"/>
    <w:rsid w:val="001E38EB"/>
    <w:rsid w:val="001E49BC"/>
    <w:rsid w:val="001E5F36"/>
    <w:rsid w:val="001F2A99"/>
    <w:rsid w:val="001F5187"/>
    <w:rsid w:val="00206BEA"/>
    <w:rsid w:val="002215B0"/>
    <w:rsid w:val="00225C5D"/>
    <w:rsid w:val="00237AEB"/>
    <w:rsid w:val="00243169"/>
    <w:rsid w:val="00247428"/>
    <w:rsid w:val="00255D38"/>
    <w:rsid w:val="00256541"/>
    <w:rsid w:val="00262B3A"/>
    <w:rsid w:val="002666FF"/>
    <w:rsid w:val="00266AD7"/>
    <w:rsid w:val="0027243F"/>
    <w:rsid w:val="002811EF"/>
    <w:rsid w:val="0028392D"/>
    <w:rsid w:val="002905AA"/>
    <w:rsid w:val="00290ACF"/>
    <w:rsid w:val="00291558"/>
    <w:rsid w:val="00291C45"/>
    <w:rsid w:val="002A0A8C"/>
    <w:rsid w:val="002A5CC1"/>
    <w:rsid w:val="002B3B64"/>
    <w:rsid w:val="002B64CE"/>
    <w:rsid w:val="002B72AB"/>
    <w:rsid w:val="002C09A3"/>
    <w:rsid w:val="002D22B4"/>
    <w:rsid w:val="002E65B9"/>
    <w:rsid w:val="002E6A76"/>
    <w:rsid w:val="002F79DA"/>
    <w:rsid w:val="0030661C"/>
    <w:rsid w:val="00307A28"/>
    <w:rsid w:val="00313990"/>
    <w:rsid w:val="00313B87"/>
    <w:rsid w:val="00317937"/>
    <w:rsid w:val="00317A85"/>
    <w:rsid w:val="00317B31"/>
    <w:rsid w:val="00322BE4"/>
    <w:rsid w:val="00333C7B"/>
    <w:rsid w:val="00343A6F"/>
    <w:rsid w:val="003475A7"/>
    <w:rsid w:val="00352B72"/>
    <w:rsid w:val="0035788C"/>
    <w:rsid w:val="003615DC"/>
    <w:rsid w:val="00361FB8"/>
    <w:rsid w:val="003624DD"/>
    <w:rsid w:val="0036367B"/>
    <w:rsid w:val="003651FC"/>
    <w:rsid w:val="00365DB8"/>
    <w:rsid w:val="003749CD"/>
    <w:rsid w:val="00377E5F"/>
    <w:rsid w:val="0038183F"/>
    <w:rsid w:val="00385C6E"/>
    <w:rsid w:val="00386160"/>
    <w:rsid w:val="003922AC"/>
    <w:rsid w:val="003B5A2B"/>
    <w:rsid w:val="003B7688"/>
    <w:rsid w:val="003C3F38"/>
    <w:rsid w:val="003D09F6"/>
    <w:rsid w:val="003D772D"/>
    <w:rsid w:val="003E1E22"/>
    <w:rsid w:val="003E50CF"/>
    <w:rsid w:val="003E58BB"/>
    <w:rsid w:val="00406164"/>
    <w:rsid w:val="00415680"/>
    <w:rsid w:val="004158E8"/>
    <w:rsid w:val="004177B7"/>
    <w:rsid w:val="004205C7"/>
    <w:rsid w:val="004317D2"/>
    <w:rsid w:val="00434670"/>
    <w:rsid w:val="00453BD4"/>
    <w:rsid w:val="00456F98"/>
    <w:rsid w:val="00457055"/>
    <w:rsid w:val="00464ED4"/>
    <w:rsid w:val="00473542"/>
    <w:rsid w:val="00480651"/>
    <w:rsid w:val="004809C1"/>
    <w:rsid w:val="004A02ED"/>
    <w:rsid w:val="004A093F"/>
    <w:rsid w:val="004A0DC3"/>
    <w:rsid w:val="004A2271"/>
    <w:rsid w:val="004A324C"/>
    <w:rsid w:val="004A5C69"/>
    <w:rsid w:val="004B1B8E"/>
    <w:rsid w:val="004B2270"/>
    <w:rsid w:val="004D428E"/>
    <w:rsid w:val="004D444B"/>
    <w:rsid w:val="004D4529"/>
    <w:rsid w:val="004D6104"/>
    <w:rsid w:val="004E0059"/>
    <w:rsid w:val="004E4C5B"/>
    <w:rsid w:val="004E5DDF"/>
    <w:rsid w:val="004E6ADA"/>
    <w:rsid w:val="004F08C2"/>
    <w:rsid w:val="004F2C86"/>
    <w:rsid w:val="004F5D5B"/>
    <w:rsid w:val="004F6EE0"/>
    <w:rsid w:val="00500167"/>
    <w:rsid w:val="00503E50"/>
    <w:rsid w:val="00510FD2"/>
    <w:rsid w:val="005204D2"/>
    <w:rsid w:val="00530109"/>
    <w:rsid w:val="00530E54"/>
    <w:rsid w:val="00534DE0"/>
    <w:rsid w:val="00535A01"/>
    <w:rsid w:val="00542BD6"/>
    <w:rsid w:val="00546406"/>
    <w:rsid w:val="00546CD0"/>
    <w:rsid w:val="0055126D"/>
    <w:rsid w:val="005517B2"/>
    <w:rsid w:val="0056155C"/>
    <w:rsid w:val="00565376"/>
    <w:rsid w:val="00570332"/>
    <w:rsid w:val="00582A41"/>
    <w:rsid w:val="00584C0F"/>
    <w:rsid w:val="00586D2B"/>
    <w:rsid w:val="005927A9"/>
    <w:rsid w:val="005C1EFA"/>
    <w:rsid w:val="005C431F"/>
    <w:rsid w:val="005D1D7A"/>
    <w:rsid w:val="005D2EC9"/>
    <w:rsid w:val="005D5790"/>
    <w:rsid w:val="005E7616"/>
    <w:rsid w:val="005F381D"/>
    <w:rsid w:val="005F5EE3"/>
    <w:rsid w:val="00601F2A"/>
    <w:rsid w:val="00607BD0"/>
    <w:rsid w:val="006162B9"/>
    <w:rsid w:val="00616C2A"/>
    <w:rsid w:val="00621679"/>
    <w:rsid w:val="00622324"/>
    <w:rsid w:val="006229D4"/>
    <w:rsid w:val="00631241"/>
    <w:rsid w:val="00643CA0"/>
    <w:rsid w:val="00646937"/>
    <w:rsid w:val="00653142"/>
    <w:rsid w:val="006601C9"/>
    <w:rsid w:val="00660B9A"/>
    <w:rsid w:val="00666DBA"/>
    <w:rsid w:val="00670719"/>
    <w:rsid w:val="006816C4"/>
    <w:rsid w:val="00682EF8"/>
    <w:rsid w:val="0068745F"/>
    <w:rsid w:val="006917C4"/>
    <w:rsid w:val="006924DB"/>
    <w:rsid w:val="00694007"/>
    <w:rsid w:val="00694156"/>
    <w:rsid w:val="00694D68"/>
    <w:rsid w:val="00695B07"/>
    <w:rsid w:val="00697EC2"/>
    <w:rsid w:val="006A1AA8"/>
    <w:rsid w:val="006A79C7"/>
    <w:rsid w:val="006B0092"/>
    <w:rsid w:val="006B18F5"/>
    <w:rsid w:val="006B3C08"/>
    <w:rsid w:val="006C30B2"/>
    <w:rsid w:val="006C54A5"/>
    <w:rsid w:val="006D1414"/>
    <w:rsid w:val="006D19F3"/>
    <w:rsid w:val="006D2B4A"/>
    <w:rsid w:val="006D3BAE"/>
    <w:rsid w:val="006E0FFB"/>
    <w:rsid w:val="006E50EB"/>
    <w:rsid w:val="006E6409"/>
    <w:rsid w:val="006E65E1"/>
    <w:rsid w:val="00701F47"/>
    <w:rsid w:val="007030E2"/>
    <w:rsid w:val="00704C17"/>
    <w:rsid w:val="00707C9C"/>
    <w:rsid w:val="00712260"/>
    <w:rsid w:val="00714DBA"/>
    <w:rsid w:val="00721E4F"/>
    <w:rsid w:val="0073696E"/>
    <w:rsid w:val="00747293"/>
    <w:rsid w:val="0075020F"/>
    <w:rsid w:val="007537D7"/>
    <w:rsid w:val="00753AF8"/>
    <w:rsid w:val="00760BBF"/>
    <w:rsid w:val="00767C89"/>
    <w:rsid w:val="00774A57"/>
    <w:rsid w:val="00782E34"/>
    <w:rsid w:val="007833BD"/>
    <w:rsid w:val="007837EE"/>
    <w:rsid w:val="00784D3F"/>
    <w:rsid w:val="0078600E"/>
    <w:rsid w:val="00786B91"/>
    <w:rsid w:val="00787393"/>
    <w:rsid w:val="00787CF0"/>
    <w:rsid w:val="007959B6"/>
    <w:rsid w:val="007A2E97"/>
    <w:rsid w:val="007A307D"/>
    <w:rsid w:val="007A4925"/>
    <w:rsid w:val="007A5703"/>
    <w:rsid w:val="007B5501"/>
    <w:rsid w:val="007D04ED"/>
    <w:rsid w:val="007D4507"/>
    <w:rsid w:val="007D5FBD"/>
    <w:rsid w:val="007E073E"/>
    <w:rsid w:val="007E096F"/>
    <w:rsid w:val="007E3FD3"/>
    <w:rsid w:val="007F062F"/>
    <w:rsid w:val="00831F1F"/>
    <w:rsid w:val="00833ABD"/>
    <w:rsid w:val="00833E39"/>
    <w:rsid w:val="0083433E"/>
    <w:rsid w:val="00834DA6"/>
    <w:rsid w:val="00834F4A"/>
    <w:rsid w:val="0083664E"/>
    <w:rsid w:val="008406A7"/>
    <w:rsid w:val="0084192A"/>
    <w:rsid w:val="00842D06"/>
    <w:rsid w:val="0084300C"/>
    <w:rsid w:val="00847440"/>
    <w:rsid w:val="008522B5"/>
    <w:rsid w:val="00863C08"/>
    <w:rsid w:val="00871BD2"/>
    <w:rsid w:val="00881CBB"/>
    <w:rsid w:val="008821E2"/>
    <w:rsid w:val="00885BF4"/>
    <w:rsid w:val="00890A7D"/>
    <w:rsid w:val="008A65FB"/>
    <w:rsid w:val="008B30C2"/>
    <w:rsid w:val="008B4C12"/>
    <w:rsid w:val="008B4EE8"/>
    <w:rsid w:val="008B64FB"/>
    <w:rsid w:val="008D0C31"/>
    <w:rsid w:val="008D1D4A"/>
    <w:rsid w:val="008E3DBA"/>
    <w:rsid w:val="008E587F"/>
    <w:rsid w:val="008E63EB"/>
    <w:rsid w:val="008F20A3"/>
    <w:rsid w:val="008F7072"/>
    <w:rsid w:val="0090579B"/>
    <w:rsid w:val="0090704D"/>
    <w:rsid w:val="00912079"/>
    <w:rsid w:val="009164EE"/>
    <w:rsid w:val="00936A56"/>
    <w:rsid w:val="00936D88"/>
    <w:rsid w:val="00937798"/>
    <w:rsid w:val="009407ED"/>
    <w:rsid w:val="00943E21"/>
    <w:rsid w:val="009465C4"/>
    <w:rsid w:val="00951719"/>
    <w:rsid w:val="00960DF6"/>
    <w:rsid w:val="0096361A"/>
    <w:rsid w:val="009656E6"/>
    <w:rsid w:val="009704AA"/>
    <w:rsid w:val="00971E05"/>
    <w:rsid w:val="00980A0B"/>
    <w:rsid w:val="00990439"/>
    <w:rsid w:val="00990B99"/>
    <w:rsid w:val="0099395C"/>
    <w:rsid w:val="009969A9"/>
    <w:rsid w:val="009A143B"/>
    <w:rsid w:val="009A2F28"/>
    <w:rsid w:val="009A454E"/>
    <w:rsid w:val="009A4BDF"/>
    <w:rsid w:val="009B0204"/>
    <w:rsid w:val="009B086A"/>
    <w:rsid w:val="009B68DA"/>
    <w:rsid w:val="009B6F98"/>
    <w:rsid w:val="009B71DD"/>
    <w:rsid w:val="009C1624"/>
    <w:rsid w:val="009C425A"/>
    <w:rsid w:val="009C7FBC"/>
    <w:rsid w:val="009D70C5"/>
    <w:rsid w:val="009E4EF4"/>
    <w:rsid w:val="009F027C"/>
    <w:rsid w:val="009F095D"/>
    <w:rsid w:val="009F1901"/>
    <w:rsid w:val="009F3E44"/>
    <w:rsid w:val="00A026D1"/>
    <w:rsid w:val="00A060CB"/>
    <w:rsid w:val="00A113E7"/>
    <w:rsid w:val="00A20B90"/>
    <w:rsid w:val="00A26D44"/>
    <w:rsid w:val="00A3388A"/>
    <w:rsid w:val="00A34D9E"/>
    <w:rsid w:val="00A439D4"/>
    <w:rsid w:val="00A50C6C"/>
    <w:rsid w:val="00A54647"/>
    <w:rsid w:val="00A66061"/>
    <w:rsid w:val="00A80C94"/>
    <w:rsid w:val="00A87FA6"/>
    <w:rsid w:val="00A900EB"/>
    <w:rsid w:val="00A920DA"/>
    <w:rsid w:val="00A93124"/>
    <w:rsid w:val="00A94199"/>
    <w:rsid w:val="00AB3ACC"/>
    <w:rsid w:val="00AD0018"/>
    <w:rsid w:val="00AD4F0A"/>
    <w:rsid w:val="00AD52B3"/>
    <w:rsid w:val="00AD5B37"/>
    <w:rsid w:val="00AD65B6"/>
    <w:rsid w:val="00AE2821"/>
    <w:rsid w:val="00AE6159"/>
    <w:rsid w:val="00AF0741"/>
    <w:rsid w:val="00AF5382"/>
    <w:rsid w:val="00B0117C"/>
    <w:rsid w:val="00B01E19"/>
    <w:rsid w:val="00B11758"/>
    <w:rsid w:val="00B11DEA"/>
    <w:rsid w:val="00B15157"/>
    <w:rsid w:val="00B15A27"/>
    <w:rsid w:val="00B23777"/>
    <w:rsid w:val="00B25DC2"/>
    <w:rsid w:val="00B31D41"/>
    <w:rsid w:val="00B328AF"/>
    <w:rsid w:val="00B35DBD"/>
    <w:rsid w:val="00B364FE"/>
    <w:rsid w:val="00B40F91"/>
    <w:rsid w:val="00B428D0"/>
    <w:rsid w:val="00B45852"/>
    <w:rsid w:val="00B475F3"/>
    <w:rsid w:val="00B52EE9"/>
    <w:rsid w:val="00B53EA7"/>
    <w:rsid w:val="00B54339"/>
    <w:rsid w:val="00B57163"/>
    <w:rsid w:val="00B57BD7"/>
    <w:rsid w:val="00B73692"/>
    <w:rsid w:val="00B76334"/>
    <w:rsid w:val="00B768DD"/>
    <w:rsid w:val="00B801F1"/>
    <w:rsid w:val="00B91D31"/>
    <w:rsid w:val="00B941D9"/>
    <w:rsid w:val="00B971CC"/>
    <w:rsid w:val="00BB0207"/>
    <w:rsid w:val="00BB580C"/>
    <w:rsid w:val="00BC0195"/>
    <w:rsid w:val="00BC29CD"/>
    <w:rsid w:val="00BC4AE4"/>
    <w:rsid w:val="00BD1FD1"/>
    <w:rsid w:val="00BD49B2"/>
    <w:rsid w:val="00BD4FFF"/>
    <w:rsid w:val="00BF4860"/>
    <w:rsid w:val="00BF7B56"/>
    <w:rsid w:val="00C0123A"/>
    <w:rsid w:val="00C14E9A"/>
    <w:rsid w:val="00C156A3"/>
    <w:rsid w:val="00C33F24"/>
    <w:rsid w:val="00C42AC9"/>
    <w:rsid w:val="00C42E08"/>
    <w:rsid w:val="00C465E0"/>
    <w:rsid w:val="00C51153"/>
    <w:rsid w:val="00C567D1"/>
    <w:rsid w:val="00C570E9"/>
    <w:rsid w:val="00C66C30"/>
    <w:rsid w:val="00C67238"/>
    <w:rsid w:val="00C70AD7"/>
    <w:rsid w:val="00C748F7"/>
    <w:rsid w:val="00C80E18"/>
    <w:rsid w:val="00C96D50"/>
    <w:rsid w:val="00CA40F2"/>
    <w:rsid w:val="00CA558A"/>
    <w:rsid w:val="00CA66B7"/>
    <w:rsid w:val="00CB0F84"/>
    <w:rsid w:val="00CB53DD"/>
    <w:rsid w:val="00CB601F"/>
    <w:rsid w:val="00CB7980"/>
    <w:rsid w:val="00CC1029"/>
    <w:rsid w:val="00CC6CF9"/>
    <w:rsid w:val="00CD3441"/>
    <w:rsid w:val="00CE1C05"/>
    <w:rsid w:val="00CE48D2"/>
    <w:rsid w:val="00CE7639"/>
    <w:rsid w:val="00CF5C40"/>
    <w:rsid w:val="00CF5FC9"/>
    <w:rsid w:val="00D029F2"/>
    <w:rsid w:val="00D045D6"/>
    <w:rsid w:val="00D0559E"/>
    <w:rsid w:val="00D13EC0"/>
    <w:rsid w:val="00D144F7"/>
    <w:rsid w:val="00D15615"/>
    <w:rsid w:val="00D16F62"/>
    <w:rsid w:val="00D2621C"/>
    <w:rsid w:val="00D31855"/>
    <w:rsid w:val="00D31A8E"/>
    <w:rsid w:val="00D32B29"/>
    <w:rsid w:val="00D32FCD"/>
    <w:rsid w:val="00D4109C"/>
    <w:rsid w:val="00D44201"/>
    <w:rsid w:val="00D565BD"/>
    <w:rsid w:val="00D6140A"/>
    <w:rsid w:val="00D61797"/>
    <w:rsid w:val="00D65550"/>
    <w:rsid w:val="00D65D2C"/>
    <w:rsid w:val="00D710A8"/>
    <w:rsid w:val="00D72761"/>
    <w:rsid w:val="00D80886"/>
    <w:rsid w:val="00D8388C"/>
    <w:rsid w:val="00D8764B"/>
    <w:rsid w:val="00D879CD"/>
    <w:rsid w:val="00D9092D"/>
    <w:rsid w:val="00D92313"/>
    <w:rsid w:val="00D9498D"/>
    <w:rsid w:val="00D94CBF"/>
    <w:rsid w:val="00DA1504"/>
    <w:rsid w:val="00DA6586"/>
    <w:rsid w:val="00DB7BB5"/>
    <w:rsid w:val="00DC4510"/>
    <w:rsid w:val="00DE09E0"/>
    <w:rsid w:val="00DE1ADF"/>
    <w:rsid w:val="00DE2489"/>
    <w:rsid w:val="00DE7AD3"/>
    <w:rsid w:val="00DF0BB7"/>
    <w:rsid w:val="00DF5B00"/>
    <w:rsid w:val="00E01129"/>
    <w:rsid w:val="00E01E79"/>
    <w:rsid w:val="00E14C73"/>
    <w:rsid w:val="00E225AA"/>
    <w:rsid w:val="00E274AB"/>
    <w:rsid w:val="00E54637"/>
    <w:rsid w:val="00E64EFB"/>
    <w:rsid w:val="00E65776"/>
    <w:rsid w:val="00E6605F"/>
    <w:rsid w:val="00E67189"/>
    <w:rsid w:val="00E67E76"/>
    <w:rsid w:val="00E7030C"/>
    <w:rsid w:val="00E77BB0"/>
    <w:rsid w:val="00E81F12"/>
    <w:rsid w:val="00E8289B"/>
    <w:rsid w:val="00E96D35"/>
    <w:rsid w:val="00EA1E11"/>
    <w:rsid w:val="00EA4509"/>
    <w:rsid w:val="00EA5C1F"/>
    <w:rsid w:val="00EB1016"/>
    <w:rsid w:val="00EB2414"/>
    <w:rsid w:val="00EB6EB6"/>
    <w:rsid w:val="00EC4362"/>
    <w:rsid w:val="00EC55EE"/>
    <w:rsid w:val="00ED1E14"/>
    <w:rsid w:val="00ED32C7"/>
    <w:rsid w:val="00ED6003"/>
    <w:rsid w:val="00EE2654"/>
    <w:rsid w:val="00EE3454"/>
    <w:rsid w:val="00EE5A91"/>
    <w:rsid w:val="00EF0BDD"/>
    <w:rsid w:val="00EF26B7"/>
    <w:rsid w:val="00F06433"/>
    <w:rsid w:val="00F12894"/>
    <w:rsid w:val="00F3318F"/>
    <w:rsid w:val="00F40169"/>
    <w:rsid w:val="00F410BC"/>
    <w:rsid w:val="00F418D6"/>
    <w:rsid w:val="00F45F15"/>
    <w:rsid w:val="00F524F4"/>
    <w:rsid w:val="00F554AB"/>
    <w:rsid w:val="00F57906"/>
    <w:rsid w:val="00F60951"/>
    <w:rsid w:val="00F63912"/>
    <w:rsid w:val="00F65076"/>
    <w:rsid w:val="00F67267"/>
    <w:rsid w:val="00F718F3"/>
    <w:rsid w:val="00F80B90"/>
    <w:rsid w:val="00F80CBA"/>
    <w:rsid w:val="00F84A76"/>
    <w:rsid w:val="00F921C9"/>
    <w:rsid w:val="00F93E15"/>
    <w:rsid w:val="00FA65C9"/>
    <w:rsid w:val="00FB0A86"/>
    <w:rsid w:val="00FB26BB"/>
    <w:rsid w:val="00FB458F"/>
    <w:rsid w:val="00FB564D"/>
    <w:rsid w:val="00FB6946"/>
    <w:rsid w:val="00FC4963"/>
    <w:rsid w:val="00FC6CD9"/>
    <w:rsid w:val="00FE51BE"/>
    <w:rsid w:val="00FE66EF"/>
    <w:rsid w:val="00FF02DA"/>
    <w:rsid w:val="00FF1830"/>
    <w:rsid w:val="00FF1E50"/>
    <w:rsid w:val="00FF22B6"/>
    <w:rsid w:val="00FF6DC1"/>
    <w:rsid w:val="623A75CF"/>
    <w:rsid w:val="7F0717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75DE93F"/>
  <w15:docId w15:val="{1BF037E3-E890-44B0-8F64-DFDD8D4EA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66FF"/>
    <w:rPr>
      <w:sz w:val="24"/>
    </w:rPr>
  </w:style>
  <w:style w:type="paragraph" w:styleId="Heading1">
    <w:name w:val="heading 1"/>
    <w:basedOn w:val="Normal"/>
    <w:next w:val="Normal"/>
    <w:link w:val="Heading1Char"/>
    <w:uiPriority w:val="9"/>
    <w:qFormat/>
    <w:rsid w:val="00DF0BB7"/>
    <w:pPr>
      <w:keepNext/>
      <w:keepLines/>
      <w:jc w:val="center"/>
      <w:outlineLvl w:val="0"/>
    </w:pPr>
    <w:rPr>
      <w:rFonts w:asciiTheme="majorHAnsi" w:eastAsiaTheme="majorEastAsia" w:hAnsiTheme="majorHAnsi" w:cstheme="majorBidi"/>
      <w:b/>
      <w:szCs w:val="32"/>
    </w:rPr>
  </w:style>
  <w:style w:type="paragraph" w:styleId="Heading2">
    <w:name w:val="heading 2"/>
    <w:basedOn w:val="Normal"/>
    <w:next w:val="Normal"/>
    <w:link w:val="Heading2Char"/>
    <w:uiPriority w:val="9"/>
    <w:unhideWhenUsed/>
    <w:qFormat/>
    <w:rsid w:val="00DF0BB7"/>
    <w:pPr>
      <w:jc w:val="center"/>
      <w:outlineLvl w:val="1"/>
    </w:pPr>
    <w:rPr>
      <w:b/>
    </w:rPr>
  </w:style>
  <w:style w:type="paragraph" w:styleId="Heading3">
    <w:name w:val="heading 3"/>
    <w:basedOn w:val="ListParagraph"/>
    <w:next w:val="Normal"/>
    <w:link w:val="Heading3Char"/>
    <w:uiPriority w:val="9"/>
    <w:unhideWhenUsed/>
    <w:qFormat/>
    <w:rsid w:val="00F554AB"/>
    <w:pPr>
      <w:keepNext/>
      <w:numPr>
        <w:numId w:val="12"/>
      </w:numPr>
      <w:ind w:left="360"/>
      <w:outlineLvl w:val="2"/>
    </w:pPr>
    <w:rPr>
      <w:b/>
      <w:bCs/>
    </w:rPr>
  </w:style>
  <w:style w:type="paragraph" w:styleId="Heading4">
    <w:name w:val="heading 4"/>
    <w:basedOn w:val="Normal"/>
    <w:next w:val="Normal"/>
    <w:link w:val="Heading4Char"/>
    <w:uiPriority w:val="9"/>
    <w:unhideWhenUsed/>
    <w:qFormat/>
    <w:rsid w:val="002215B0"/>
    <w:pPr>
      <w:keepNext/>
      <w:keepLines/>
      <w:outlineLvl w:val="3"/>
    </w:pPr>
    <w:rPr>
      <w:rFonts w:asciiTheme="majorHAnsi" w:eastAsiaTheme="majorEastAsia" w:hAnsiTheme="majorHAnsi"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5EE3"/>
    <w:rPr>
      <w:color w:val="0563C1" w:themeColor="hyperlink"/>
      <w:u w:val="single"/>
    </w:rPr>
  </w:style>
  <w:style w:type="paragraph" w:styleId="Header">
    <w:name w:val="header"/>
    <w:basedOn w:val="Normal"/>
    <w:link w:val="HeaderChar"/>
    <w:uiPriority w:val="99"/>
    <w:unhideWhenUsed/>
    <w:rsid w:val="00B73692"/>
    <w:pPr>
      <w:tabs>
        <w:tab w:val="center" w:pos="4680"/>
        <w:tab w:val="right" w:pos="9360"/>
      </w:tabs>
    </w:pPr>
  </w:style>
  <w:style w:type="character" w:customStyle="1" w:styleId="HeaderChar">
    <w:name w:val="Header Char"/>
    <w:basedOn w:val="DefaultParagraphFont"/>
    <w:link w:val="Header"/>
    <w:uiPriority w:val="99"/>
    <w:rsid w:val="00B73692"/>
  </w:style>
  <w:style w:type="paragraph" w:styleId="Footer">
    <w:name w:val="footer"/>
    <w:basedOn w:val="Normal"/>
    <w:link w:val="FooterChar"/>
    <w:uiPriority w:val="99"/>
    <w:unhideWhenUsed/>
    <w:rsid w:val="00B73692"/>
    <w:pPr>
      <w:tabs>
        <w:tab w:val="center" w:pos="4680"/>
        <w:tab w:val="right" w:pos="9360"/>
      </w:tabs>
    </w:pPr>
  </w:style>
  <w:style w:type="character" w:customStyle="1" w:styleId="FooterChar">
    <w:name w:val="Footer Char"/>
    <w:basedOn w:val="DefaultParagraphFont"/>
    <w:link w:val="Footer"/>
    <w:uiPriority w:val="99"/>
    <w:rsid w:val="00B73692"/>
  </w:style>
  <w:style w:type="character" w:customStyle="1" w:styleId="Heading1Char">
    <w:name w:val="Heading 1 Char"/>
    <w:basedOn w:val="DefaultParagraphFont"/>
    <w:link w:val="Heading1"/>
    <w:uiPriority w:val="9"/>
    <w:rsid w:val="00DF0BB7"/>
    <w:rPr>
      <w:rFonts w:asciiTheme="majorHAnsi" w:eastAsiaTheme="majorEastAsia" w:hAnsiTheme="majorHAnsi" w:cstheme="majorBidi"/>
      <w:b/>
      <w:sz w:val="24"/>
      <w:szCs w:val="32"/>
    </w:rPr>
  </w:style>
  <w:style w:type="paragraph" w:styleId="ListParagraph">
    <w:name w:val="List Paragraph"/>
    <w:basedOn w:val="Normal"/>
    <w:link w:val="ListParagraphChar"/>
    <w:uiPriority w:val="34"/>
    <w:qFormat/>
    <w:rsid w:val="002666FF"/>
    <w:pPr>
      <w:ind w:left="720"/>
      <w:contextualSpacing/>
    </w:pPr>
  </w:style>
  <w:style w:type="character" w:customStyle="1" w:styleId="Heading2Char">
    <w:name w:val="Heading 2 Char"/>
    <w:basedOn w:val="DefaultParagraphFont"/>
    <w:link w:val="Heading2"/>
    <w:uiPriority w:val="9"/>
    <w:rsid w:val="00DF0BB7"/>
    <w:rPr>
      <w:b/>
      <w:sz w:val="24"/>
    </w:rPr>
  </w:style>
  <w:style w:type="character" w:customStyle="1" w:styleId="Heading3Char">
    <w:name w:val="Heading 3 Char"/>
    <w:basedOn w:val="DefaultParagraphFont"/>
    <w:link w:val="Heading3"/>
    <w:uiPriority w:val="9"/>
    <w:rsid w:val="00F554AB"/>
    <w:rPr>
      <w:b/>
      <w:bCs/>
      <w:sz w:val="24"/>
    </w:rPr>
  </w:style>
  <w:style w:type="character" w:styleId="PageNumber">
    <w:name w:val="page number"/>
    <w:basedOn w:val="DefaultParagraphFont"/>
    <w:uiPriority w:val="99"/>
    <w:semiHidden/>
    <w:unhideWhenUsed/>
    <w:rsid w:val="00291C45"/>
  </w:style>
  <w:style w:type="character" w:styleId="CommentReference">
    <w:name w:val="annotation reference"/>
    <w:basedOn w:val="DefaultParagraphFont"/>
    <w:uiPriority w:val="99"/>
    <w:semiHidden/>
    <w:unhideWhenUsed/>
    <w:rsid w:val="00584C0F"/>
    <w:rPr>
      <w:sz w:val="16"/>
      <w:szCs w:val="16"/>
    </w:rPr>
  </w:style>
  <w:style w:type="paragraph" w:styleId="CommentText">
    <w:name w:val="annotation text"/>
    <w:basedOn w:val="Normal"/>
    <w:link w:val="CommentTextChar"/>
    <w:uiPriority w:val="99"/>
    <w:unhideWhenUsed/>
    <w:rsid w:val="00584C0F"/>
    <w:rPr>
      <w:sz w:val="20"/>
      <w:szCs w:val="20"/>
    </w:rPr>
  </w:style>
  <w:style w:type="character" w:customStyle="1" w:styleId="CommentTextChar">
    <w:name w:val="Comment Text Char"/>
    <w:basedOn w:val="DefaultParagraphFont"/>
    <w:link w:val="CommentText"/>
    <w:uiPriority w:val="99"/>
    <w:rsid w:val="00584C0F"/>
    <w:rPr>
      <w:sz w:val="20"/>
      <w:szCs w:val="20"/>
    </w:rPr>
  </w:style>
  <w:style w:type="paragraph" w:styleId="CommentSubject">
    <w:name w:val="annotation subject"/>
    <w:basedOn w:val="CommentText"/>
    <w:next w:val="CommentText"/>
    <w:link w:val="CommentSubjectChar"/>
    <w:uiPriority w:val="99"/>
    <w:semiHidden/>
    <w:unhideWhenUsed/>
    <w:rsid w:val="00584C0F"/>
    <w:rPr>
      <w:b/>
      <w:bCs/>
    </w:rPr>
  </w:style>
  <w:style w:type="character" w:customStyle="1" w:styleId="CommentSubjectChar">
    <w:name w:val="Comment Subject Char"/>
    <w:basedOn w:val="CommentTextChar"/>
    <w:link w:val="CommentSubject"/>
    <w:uiPriority w:val="99"/>
    <w:semiHidden/>
    <w:rsid w:val="00584C0F"/>
    <w:rPr>
      <w:b/>
      <w:bCs/>
      <w:sz w:val="20"/>
      <w:szCs w:val="20"/>
    </w:rPr>
  </w:style>
  <w:style w:type="paragraph" w:styleId="BalloonText">
    <w:name w:val="Balloon Text"/>
    <w:basedOn w:val="Normal"/>
    <w:link w:val="BalloonTextChar"/>
    <w:uiPriority w:val="99"/>
    <w:semiHidden/>
    <w:unhideWhenUsed/>
    <w:rsid w:val="00584C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4C0F"/>
    <w:rPr>
      <w:rFonts w:ascii="Segoe UI" w:hAnsi="Segoe UI" w:cs="Segoe UI"/>
      <w:sz w:val="18"/>
      <w:szCs w:val="18"/>
    </w:rPr>
  </w:style>
  <w:style w:type="character" w:customStyle="1" w:styleId="ListParagraphChar">
    <w:name w:val="List Paragraph Char"/>
    <w:basedOn w:val="DefaultParagraphFont"/>
    <w:link w:val="ListParagraph"/>
    <w:uiPriority w:val="34"/>
    <w:rsid w:val="00B15A27"/>
    <w:rPr>
      <w:sz w:val="24"/>
    </w:rPr>
  </w:style>
  <w:style w:type="character" w:customStyle="1" w:styleId="Heading4Char">
    <w:name w:val="Heading 4 Char"/>
    <w:basedOn w:val="DefaultParagraphFont"/>
    <w:link w:val="Heading4"/>
    <w:uiPriority w:val="9"/>
    <w:rsid w:val="002215B0"/>
    <w:rPr>
      <w:rFonts w:asciiTheme="majorHAnsi" w:eastAsiaTheme="majorEastAsia" w:hAnsiTheme="majorHAnsi" w:cstheme="majorBidi"/>
      <w:iCs/>
      <w:sz w:val="24"/>
    </w:rPr>
  </w:style>
  <w:style w:type="table" w:styleId="TableGrid">
    <w:name w:val="Table Grid"/>
    <w:basedOn w:val="TableNormal"/>
    <w:uiPriority w:val="39"/>
    <w:rsid w:val="00025D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D9092D"/>
    <w:rPr>
      <w:color w:val="605E5C"/>
      <w:shd w:val="clear" w:color="auto" w:fill="E1DFDD"/>
    </w:rPr>
  </w:style>
  <w:style w:type="paragraph" w:customStyle="1" w:styleId="BodyText1">
    <w:name w:val="Body Text1"/>
    <w:basedOn w:val="Normal"/>
    <w:rsid w:val="00616C2A"/>
    <w:pPr>
      <w:spacing w:after="120" w:line="360" w:lineRule="auto"/>
      <w:ind w:firstLine="720"/>
    </w:pPr>
    <w:rPr>
      <w:rFonts w:ascii="Times New Roman" w:eastAsia="Times New Roman" w:hAnsi="Times New Roman" w:cs="Times New Roman"/>
      <w:szCs w:val="20"/>
    </w:rPr>
  </w:style>
  <w:style w:type="paragraph" w:styleId="NormalWeb">
    <w:name w:val="Normal (Web)"/>
    <w:basedOn w:val="Normal"/>
    <w:uiPriority w:val="99"/>
    <w:semiHidden/>
    <w:unhideWhenUsed/>
    <w:rsid w:val="00616C2A"/>
    <w:pPr>
      <w:spacing w:before="100" w:beforeAutospacing="1" w:after="100" w:afterAutospacing="1"/>
    </w:pPr>
    <w:rPr>
      <w:rFonts w:ascii="Times New Roman" w:eastAsia="Times New Roman" w:hAnsi="Times New Roman" w:cs="Times New Roman"/>
      <w:szCs w:val="24"/>
    </w:rPr>
  </w:style>
  <w:style w:type="paragraph" w:customStyle="1" w:styleId="BodyText2">
    <w:name w:val="Body Text2"/>
    <w:basedOn w:val="Normal"/>
    <w:rsid w:val="00616C2A"/>
    <w:pPr>
      <w:spacing w:after="120" w:line="360" w:lineRule="auto"/>
      <w:ind w:firstLine="720"/>
    </w:pPr>
    <w:rPr>
      <w:rFonts w:ascii="Times New Roman" w:eastAsia="Times New Roman" w:hAnsi="Times New Roman" w:cs="Times New Roman"/>
      <w:szCs w:val="20"/>
    </w:rPr>
  </w:style>
  <w:style w:type="paragraph" w:styleId="BodyText">
    <w:name w:val="Body Text"/>
    <w:basedOn w:val="Normal"/>
    <w:link w:val="BodyTextChar1"/>
    <w:uiPriority w:val="99"/>
    <w:unhideWhenUsed/>
    <w:rsid w:val="00616C2A"/>
    <w:pPr>
      <w:spacing w:after="160" w:line="360" w:lineRule="auto"/>
    </w:pPr>
    <w:rPr>
      <w:rFonts w:ascii="Arial" w:eastAsia="MS Mincho" w:hAnsi="Arial" w:cs="Times New Roman"/>
      <w:sz w:val="22"/>
    </w:rPr>
  </w:style>
  <w:style w:type="character" w:customStyle="1" w:styleId="BodyTextChar">
    <w:name w:val="Body Text Char"/>
    <w:basedOn w:val="DefaultParagraphFont"/>
    <w:uiPriority w:val="99"/>
    <w:semiHidden/>
    <w:rsid w:val="00616C2A"/>
    <w:rPr>
      <w:sz w:val="24"/>
    </w:rPr>
  </w:style>
  <w:style w:type="character" w:customStyle="1" w:styleId="BodyTextChar1">
    <w:name w:val="Body Text Char1"/>
    <w:basedOn w:val="DefaultParagraphFont"/>
    <w:link w:val="BodyText"/>
    <w:uiPriority w:val="99"/>
    <w:rsid w:val="00616C2A"/>
    <w:rPr>
      <w:rFonts w:ascii="Arial" w:eastAsia="MS Mincho" w:hAnsi="Arial" w:cs="Times New Roman"/>
    </w:rPr>
  </w:style>
  <w:style w:type="paragraph" w:customStyle="1" w:styleId="P1-StandPara">
    <w:name w:val="P1-Stand Para"/>
    <w:basedOn w:val="Normal"/>
    <w:rsid w:val="006B0092"/>
    <w:pPr>
      <w:spacing w:line="480" w:lineRule="auto"/>
      <w:ind w:firstLine="720"/>
    </w:pPr>
    <w:rPr>
      <w:rFonts w:ascii="Times New Roman" w:hAnsi="Times New Roman" w:cs="Times New Roman"/>
      <w:sz w:val="22"/>
    </w:rPr>
  </w:style>
  <w:style w:type="paragraph" w:styleId="Revision">
    <w:name w:val="Revision"/>
    <w:hidden/>
    <w:uiPriority w:val="99"/>
    <w:semiHidden/>
    <w:rsid w:val="00BB020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4508714">
      <w:bodyDiv w:val="1"/>
      <w:marLeft w:val="0"/>
      <w:marRight w:val="0"/>
      <w:marTop w:val="0"/>
      <w:marBottom w:val="0"/>
      <w:divBdr>
        <w:top w:val="none" w:sz="0" w:space="0" w:color="auto"/>
        <w:left w:val="none" w:sz="0" w:space="0" w:color="auto"/>
        <w:bottom w:val="none" w:sz="0" w:space="0" w:color="auto"/>
        <w:right w:val="none" w:sz="0" w:space="0" w:color="auto"/>
      </w:divBdr>
    </w:div>
    <w:div w:id="1785613920">
      <w:bodyDiv w:val="1"/>
      <w:marLeft w:val="0"/>
      <w:marRight w:val="0"/>
      <w:marTop w:val="0"/>
      <w:marBottom w:val="0"/>
      <w:divBdr>
        <w:top w:val="none" w:sz="0" w:space="0" w:color="auto"/>
        <w:left w:val="none" w:sz="0" w:space="0" w:color="auto"/>
        <w:bottom w:val="none" w:sz="0" w:space="0" w:color="auto"/>
        <w:right w:val="none" w:sz="0" w:space="0" w:color="auto"/>
      </w:divBdr>
    </w:div>
    <w:div w:id="2012637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idneyX_Survey@rti.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Sandeep.Patel@hhs.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A9B94301DC9194CAAE24EC08A10F986" ma:contentTypeVersion="4" ma:contentTypeDescription="Create a new document." ma:contentTypeScope="" ma:versionID="816556f20c3ae98931b2b3d312e09c28">
  <xsd:schema xmlns:xsd="http://www.w3.org/2001/XMLSchema" xmlns:xs="http://www.w3.org/2001/XMLSchema" xmlns:p="http://schemas.microsoft.com/office/2006/metadata/properties" xmlns:ns2="8465c8bc-64d3-4f44-9407-b9e352b74541" xmlns:ns3="6695da5d-35e2-4b1a-b006-b31918cda2df" targetNamespace="http://schemas.microsoft.com/office/2006/metadata/properties" ma:root="true" ma:fieldsID="9608d929fc8415dabf5213ff0fea22c6" ns2:_="" ns3:_="">
    <xsd:import namespace="8465c8bc-64d3-4f44-9407-b9e352b74541"/>
    <xsd:import namespace="6695da5d-35e2-4b1a-b006-b31918cda2d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65c8bc-64d3-4f44-9407-b9e352b745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95da5d-35e2-4b1a-b006-b31918cda2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EF151B-D4F7-4704-9BB8-01D8EE625FFE}">
  <ds:schemaRefs>
    <ds:schemaRef ds:uri="http://purl.org/dc/terms/"/>
    <ds:schemaRef ds:uri="6695da5d-35e2-4b1a-b006-b31918cda2df"/>
    <ds:schemaRef ds:uri="http://schemas.microsoft.com/office/2006/documentManagement/types"/>
    <ds:schemaRef ds:uri="http://schemas.microsoft.com/office/infopath/2007/PartnerControls"/>
    <ds:schemaRef ds:uri="http://purl.org/dc/elements/1.1/"/>
    <ds:schemaRef ds:uri="http://schemas.microsoft.com/office/2006/metadata/properties"/>
    <ds:schemaRef ds:uri="8465c8bc-64d3-4f44-9407-b9e352b7454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9111BF52-66EB-41EC-9508-3D506B3B50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65c8bc-64d3-4f44-9407-b9e352b74541"/>
    <ds:schemaRef ds:uri="6695da5d-35e2-4b1a-b006-b31918cda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95B22A-5612-424F-962A-606E43A363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2199</Words>
  <Characters>12536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Policy Research Associates, Inc.</Company>
  <LinksUpToDate>false</LinksUpToDate>
  <CharactersWithSpaces>14706</CharactersWithSpaces>
  <SharedDoc>false</SharedDoc>
  <HLinks>
    <vt:vector size="12" baseType="variant">
      <vt:variant>
        <vt:i4>1769515</vt:i4>
      </vt:variant>
      <vt:variant>
        <vt:i4>3</vt:i4>
      </vt:variant>
      <vt:variant>
        <vt:i4>0</vt:i4>
      </vt:variant>
      <vt:variant>
        <vt:i4>5</vt:i4>
      </vt:variant>
      <vt:variant>
        <vt:lpwstr>mailto:CancerSurvivorshipSurvey@rti.org</vt:lpwstr>
      </vt:variant>
      <vt:variant>
        <vt:lpwstr/>
      </vt:variant>
      <vt:variant>
        <vt:i4>5111905</vt:i4>
      </vt:variant>
      <vt:variant>
        <vt:i4>0</vt:i4>
      </vt:variant>
      <vt:variant>
        <vt:i4>0</vt:i4>
      </vt:variant>
      <vt:variant>
        <vt:i4>5</vt:i4>
      </vt:variant>
      <vt:variant>
        <vt:lpwstr>\\rtimds01\KidneyX\05. OMB\Example OMB packages from Enzo 1-18-19\Supporting Statement B_AOT Evaluation.docx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Case</dc:creator>
  <cp:keywords/>
  <cp:lastModifiedBy>Funn, Sherrette (OS/ASA/OCIO)</cp:lastModifiedBy>
  <cp:revision>2</cp:revision>
  <cp:lastPrinted>2019-12-03T19:47:00Z</cp:lastPrinted>
  <dcterms:created xsi:type="dcterms:W3CDTF">2020-02-10T18:16:00Z</dcterms:created>
  <dcterms:modified xsi:type="dcterms:W3CDTF">2020-02-10T18:16:00Z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0x010100BA9B94301DC9194CAAE24EC08A10F986</vt:lpwstr>
  </property>
</Properties>
</file>