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530F8" w14:textId="77777777" w:rsidR="005927F6" w:rsidRDefault="005927F6" w:rsidP="00393279">
      <w:pPr>
        <w:pStyle w:val="NORCCoer-TimesNewRomanBold"/>
      </w:pPr>
      <w:bookmarkStart w:id="0" w:name="_GoBack"/>
      <w:bookmarkEnd w:id="0"/>
    </w:p>
    <w:p w14:paraId="5D8F16DC" w14:textId="77777777" w:rsidR="00926073" w:rsidRDefault="002C0259" w:rsidP="00926073">
      <w:pPr>
        <w:pStyle w:val="NORCCoer-TimesNewRomanBold"/>
        <w:spacing w:after="0"/>
      </w:pPr>
      <w:r w:rsidRPr="005A6F44">
        <w:t xml:space="preserve">The </w:t>
      </w:r>
      <w:r w:rsidRPr="00393279">
        <w:t xml:space="preserve">2019 National Survey of Early Care and Education: </w:t>
      </w:r>
    </w:p>
    <w:p w14:paraId="2FCB67EE" w14:textId="556CE544" w:rsidR="002C0259" w:rsidRPr="00393279" w:rsidRDefault="002C0259" w:rsidP="00393279">
      <w:pPr>
        <w:pStyle w:val="NORCCoer-TimesNewRomanBold"/>
      </w:pPr>
      <w:r w:rsidRPr="00393279">
        <w:t xml:space="preserve">The </w:t>
      </w:r>
      <w:r w:rsidR="00926073">
        <w:t xml:space="preserve">Household, </w:t>
      </w:r>
      <w:r w:rsidRPr="00393279">
        <w:t>Provider</w:t>
      </w:r>
      <w:r w:rsidR="00926073">
        <w:t>,</w:t>
      </w:r>
      <w:r w:rsidRPr="00393279">
        <w:t xml:space="preserve"> and Workforce Surveys</w:t>
      </w:r>
    </w:p>
    <w:p w14:paraId="4BD074EB" w14:textId="77777777" w:rsidR="002C0259" w:rsidRPr="00393279" w:rsidRDefault="002C0259" w:rsidP="00393279">
      <w:pPr>
        <w:pStyle w:val="NORCCoer-TimesNewRomanBold"/>
      </w:pPr>
    </w:p>
    <w:p w14:paraId="6A5FC961" w14:textId="4514D8DD" w:rsidR="002C0259" w:rsidRPr="00393279" w:rsidRDefault="002C0259" w:rsidP="00393279">
      <w:pPr>
        <w:pStyle w:val="NORCCoer-TimesNewRomanBold"/>
      </w:pPr>
      <w:r w:rsidRPr="00393279">
        <w:t>0970-0391</w:t>
      </w:r>
    </w:p>
    <w:p w14:paraId="46D48F45" w14:textId="77777777" w:rsidR="00124898" w:rsidRPr="00393279" w:rsidRDefault="00124898" w:rsidP="00393279">
      <w:pPr>
        <w:pStyle w:val="NORCCoer-TimesNewRomanBold"/>
      </w:pPr>
    </w:p>
    <w:p w14:paraId="63891CA3" w14:textId="77777777" w:rsidR="00124898" w:rsidRPr="00393279" w:rsidRDefault="00124898" w:rsidP="00393279">
      <w:pPr>
        <w:pStyle w:val="NORCCoer-TimesNewRomanBold"/>
      </w:pPr>
      <w:r w:rsidRPr="00393279">
        <w:t>SUPPORTING STATEMENT</w:t>
      </w:r>
    </w:p>
    <w:p w14:paraId="1E1C7980" w14:textId="77777777" w:rsidR="00124898" w:rsidRPr="00393279" w:rsidRDefault="00124898" w:rsidP="00393279">
      <w:pPr>
        <w:pStyle w:val="NORCCoer-TimesNewRomanBold"/>
      </w:pPr>
    </w:p>
    <w:p w14:paraId="456DE6A3" w14:textId="45126A22" w:rsidR="00124898" w:rsidRPr="00393279" w:rsidRDefault="00124898" w:rsidP="00393279">
      <w:pPr>
        <w:pStyle w:val="NORCCoer-TimesNewRomanBold"/>
      </w:pPr>
      <w:r w:rsidRPr="00393279">
        <w:t>Part B</w:t>
      </w:r>
    </w:p>
    <w:p w14:paraId="2435CB77" w14:textId="77777777" w:rsidR="00124898" w:rsidRPr="00393279" w:rsidRDefault="00124898" w:rsidP="00393279">
      <w:pPr>
        <w:pStyle w:val="NORCCoer-TimesNewRomanBold"/>
        <w:rPr>
          <w:bCs/>
          <w:iCs/>
        </w:rPr>
      </w:pPr>
    </w:p>
    <w:p w14:paraId="3ECB5C50" w14:textId="77777777" w:rsidR="00124898" w:rsidRPr="00393279" w:rsidRDefault="00124898" w:rsidP="00393279">
      <w:pPr>
        <w:pStyle w:val="NORCCoer-TimesNewRomanBold"/>
        <w:rPr>
          <w:bCs/>
          <w:iCs/>
        </w:rPr>
      </w:pPr>
    </w:p>
    <w:p w14:paraId="1AA138DD" w14:textId="77777777" w:rsidR="00124898" w:rsidRPr="00393279" w:rsidRDefault="00124898" w:rsidP="00393279">
      <w:pPr>
        <w:pStyle w:val="NORCCoer-TimesNewRomanBold"/>
        <w:rPr>
          <w:bCs/>
          <w:iCs/>
        </w:rPr>
      </w:pPr>
    </w:p>
    <w:p w14:paraId="360F3AEC" w14:textId="77777777" w:rsidR="00124898" w:rsidRPr="00393279" w:rsidRDefault="00124898" w:rsidP="00393279">
      <w:pPr>
        <w:pStyle w:val="NORCCoer-TimesNewRomanBold"/>
        <w:rPr>
          <w:bCs/>
          <w:iCs/>
        </w:rPr>
      </w:pPr>
    </w:p>
    <w:p w14:paraId="015431E6" w14:textId="77777777" w:rsidR="00124898" w:rsidRPr="00393279" w:rsidRDefault="00124898" w:rsidP="00393279">
      <w:pPr>
        <w:pStyle w:val="NORCCoer-TimesNewRomanBold"/>
        <w:rPr>
          <w:bCs/>
          <w:iCs/>
        </w:rPr>
      </w:pPr>
    </w:p>
    <w:p w14:paraId="160B06F2" w14:textId="77777777" w:rsidR="00124898" w:rsidRPr="00393279" w:rsidRDefault="00124898" w:rsidP="00393279">
      <w:pPr>
        <w:pStyle w:val="NORCCoer-TimesNewRomanBold"/>
        <w:rPr>
          <w:bCs/>
          <w:iCs/>
        </w:rPr>
      </w:pPr>
    </w:p>
    <w:p w14:paraId="2C438EE6" w14:textId="77777777" w:rsidR="00124898" w:rsidRPr="00393279" w:rsidRDefault="00124898" w:rsidP="00393279">
      <w:pPr>
        <w:pStyle w:val="NORCCoer-TimesNewRomanBold"/>
        <w:rPr>
          <w:bCs/>
          <w:iCs/>
        </w:rPr>
      </w:pPr>
    </w:p>
    <w:p w14:paraId="3BB658F9" w14:textId="490B5BD9" w:rsidR="00124898" w:rsidRPr="002520F0" w:rsidRDefault="00124898" w:rsidP="00393279">
      <w:pPr>
        <w:pStyle w:val="NORCCover-TimesNewRoman"/>
      </w:pPr>
      <w:r w:rsidRPr="009F633E">
        <w:t>Version:</w:t>
      </w:r>
      <w:r w:rsidRPr="00393279">
        <w:t xml:space="preserve"> </w:t>
      </w:r>
      <w:r w:rsidR="00311558">
        <w:t>August</w:t>
      </w:r>
      <w:r w:rsidR="005C0D4A">
        <w:t xml:space="preserve"> </w:t>
      </w:r>
      <w:r>
        <w:t>2018</w:t>
      </w:r>
      <w:r w:rsidR="00D47213">
        <w:t>, Revision October 2018</w:t>
      </w:r>
    </w:p>
    <w:p w14:paraId="5D801ACD" w14:textId="77777777" w:rsidR="00124898" w:rsidRPr="00393279" w:rsidRDefault="00124898" w:rsidP="00393279">
      <w:pPr>
        <w:pStyle w:val="NORCCover-TimesNewRoman"/>
      </w:pPr>
    </w:p>
    <w:p w14:paraId="16911C37" w14:textId="77777777" w:rsidR="00124898" w:rsidRDefault="00124898" w:rsidP="00393279">
      <w:pPr>
        <w:pStyle w:val="NORCCover-TimesNewRoman"/>
      </w:pPr>
    </w:p>
    <w:p w14:paraId="62B42D91" w14:textId="77777777" w:rsidR="002C0259" w:rsidRPr="00393279" w:rsidRDefault="002C0259" w:rsidP="00393279">
      <w:pPr>
        <w:pStyle w:val="NORCCover-Arial"/>
      </w:pPr>
      <w:r>
        <w:t>Submitted By:</w:t>
      </w:r>
    </w:p>
    <w:p w14:paraId="3544F169" w14:textId="77777777" w:rsidR="002C0259" w:rsidRDefault="002C0259" w:rsidP="00393279">
      <w:pPr>
        <w:pStyle w:val="NORCCover-Arial"/>
      </w:pPr>
      <w:r>
        <w:t>Office of Planning, Research, and Evaluation</w:t>
      </w:r>
    </w:p>
    <w:p w14:paraId="30EE2BE7" w14:textId="77777777" w:rsidR="002C0259" w:rsidRDefault="002C0259" w:rsidP="00393279">
      <w:pPr>
        <w:pStyle w:val="NORCCover-Arial"/>
      </w:pPr>
      <w:r>
        <w:t xml:space="preserve">Administration for Children and Families </w:t>
      </w:r>
    </w:p>
    <w:p w14:paraId="3C16FFD4" w14:textId="77777777" w:rsidR="002C0259" w:rsidRDefault="002C0259" w:rsidP="00393279">
      <w:pPr>
        <w:pStyle w:val="NORCCover-Arial"/>
      </w:pPr>
      <w:r>
        <w:t>U.S. Department of Health and Human Services</w:t>
      </w:r>
    </w:p>
    <w:p w14:paraId="596149B9" w14:textId="77777777" w:rsidR="002C0259" w:rsidRDefault="002C0259" w:rsidP="00393279">
      <w:pPr>
        <w:pStyle w:val="NORCCover-Arial"/>
      </w:pPr>
    </w:p>
    <w:p w14:paraId="045612A8" w14:textId="77777777" w:rsidR="002C0259" w:rsidRDefault="002C0259" w:rsidP="00393279">
      <w:pPr>
        <w:pStyle w:val="NORCCover-Arial"/>
      </w:pPr>
      <w:r>
        <w:t>4</w:t>
      </w:r>
      <w:r w:rsidRPr="00393279">
        <w:t>th</w:t>
      </w:r>
      <w:r>
        <w:t xml:space="preserve"> Floor, Mary E. Switzer Building</w:t>
      </w:r>
    </w:p>
    <w:p w14:paraId="75165F57" w14:textId="77777777" w:rsidR="002C0259" w:rsidRDefault="002C0259" w:rsidP="00393279">
      <w:pPr>
        <w:pStyle w:val="NORCCover-Arial"/>
      </w:pPr>
      <w:r>
        <w:t>330 C Street, SW</w:t>
      </w:r>
    </w:p>
    <w:p w14:paraId="7654822A" w14:textId="77777777" w:rsidR="002C0259" w:rsidRPr="005C62F2" w:rsidRDefault="002C0259" w:rsidP="00393279">
      <w:pPr>
        <w:pStyle w:val="NORCCover-Arial"/>
      </w:pPr>
      <w:r>
        <w:t>Washington, D.C. 20201</w:t>
      </w:r>
    </w:p>
    <w:p w14:paraId="71241021" w14:textId="77777777" w:rsidR="00C367C9" w:rsidRPr="00D4194F" w:rsidRDefault="00C367C9" w:rsidP="00D4194F">
      <w:pPr>
        <w:pStyle w:val="NORCCover-Arial"/>
        <w:sectPr w:rsidR="00C367C9" w:rsidRPr="00D4194F" w:rsidSect="00BD79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39476DF" w14:textId="77777777" w:rsidR="007F4549" w:rsidRPr="00A10FDE" w:rsidRDefault="007F4549" w:rsidP="007F4549">
      <w:pPr>
        <w:pStyle w:val="Title2"/>
      </w:pPr>
      <w:r w:rsidRPr="00A10FDE">
        <w:lastRenderedPageBreak/>
        <w:t>Table of Contents</w:t>
      </w:r>
    </w:p>
    <w:p w14:paraId="6C824A0A" w14:textId="77777777" w:rsidR="001D129B" w:rsidRDefault="007F4549">
      <w:pPr>
        <w:pStyle w:val="TOC2"/>
        <w:rPr>
          <w:rFonts w:asciiTheme="minorHAnsi" w:eastAsiaTheme="minorEastAsia" w:hAnsiTheme="minorHAnsi" w:cstheme="minorBidi"/>
          <w:b w:val="0"/>
          <w:sz w:val="22"/>
        </w:rPr>
      </w:pPr>
      <w:r>
        <w:rPr>
          <w:szCs w:val="24"/>
        </w:rPr>
        <w:fldChar w:fldCharType="begin"/>
      </w:r>
      <w:r>
        <w:rPr>
          <w:szCs w:val="24"/>
        </w:rPr>
        <w:instrText xml:space="preserve"> TOC \o "1-4" \h \z \u </w:instrText>
      </w:r>
      <w:r>
        <w:rPr>
          <w:szCs w:val="24"/>
        </w:rPr>
        <w:fldChar w:fldCharType="separate"/>
      </w:r>
      <w:hyperlink w:anchor="_Toc520896105" w:history="1">
        <w:r w:rsidR="001D129B" w:rsidRPr="006F7FA2">
          <w:rPr>
            <w:rStyle w:val="Hyperlink"/>
          </w:rPr>
          <w:t>B.</w:t>
        </w:r>
        <w:r w:rsidR="001D129B">
          <w:rPr>
            <w:rFonts w:asciiTheme="minorHAnsi" w:eastAsiaTheme="minorEastAsia" w:hAnsiTheme="minorHAnsi" w:cstheme="minorBidi"/>
            <w:b w:val="0"/>
            <w:sz w:val="22"/>
          </w:rPr>
          <w:tab/>
        </w:r>
        <w:r w:rsidR="001D129B" w:rsidRPr="006F7FA2">
          <w:rPr>
            <w:rStyle w:val="Hyperlink"/>
          </w:rPr>
          <w:t>Collections of Information Employing Statistical Methods</w:t>
        </w:r>
        <w:r w:rsidR="001D129B">
          <w:rPr>
            <w:webHidden/>
          </w:rPr>
          <w:tab/>
        </w:r>
        <w:r w:rsidR="001D129B">
          <w:rPr>
            <w:webHidden/>
          </w:rPr>
          <w:fldChar w:fldCharType="begin"/>
        </w:r>
        <w:r w:rsidR="001D129B">
          <w:rPr>
            <w:webHidden/>
          </w:rPr>
          <w:instrText xml:space="preserve"> PAGEREF _Toc520896105 \h </w:instrText>
        </w:r>
        <w:r w:rsidR="001D129B">
          <w:rPr>
            <w:webHidden/>
          </w:rPr>
        </w:r>
        <w:r w:rsidR="001D129B">
          <w:rPr>
            <w:webHidden/>
          </w:rPr>
          <w:fldChar w:fldCharType="separate"/>
        </w:r>
        <w:r w:rsidR="006B546E">
          <w:rPr>
            <w:webHidden/>
          </w:rPr>
          <w:t>1</w:t>
        </w:r>
        <w:r w:rsidR="001D129B">
          <w:rPr>
            <w:webHidden/>
          </w:rPr>
          <w:fldChar w:fldCharType="end"/>
        </w:r>
      </w:hyperlink>
    </w:p>
    <w:p w14:paraId="5D5F6129" w14:textId="77777777" w:rsidR="001D129B" w:rsidRDefault="000E7169">
      <w:pPr>
        <w:pStyle w:val="TOC3"/>
        <w:rPr>
          <w:rFonts w:asciiTheme="minorHAnsi" w:eastAsiaTheme="minorEastAsia" w:hAnsiTheme="minorHAnsi" w:cstheme="minorBidi"/>
          <w:b w:val="0"/>
          <w:sz w:val="22"/>
        </w:rPr>
      </w:pPr>
      <w:hyperlink w:anchor="_Toc520896106" w:history="1">
        <w:r w:rsidR="001D129B" w:rsidRPr="006F7FA2">
          <w:rPr>
            <w:rStyle w:val="Hyperlink"/>
          </w:rPr>
          <w:t>1.</w:t>
        </w:r>
        <w:r w:rsidR="001D129B">
          <w:rPr>
            <w:rFonts w:asciiTheme="minorHAnsi" w:eastAsiaTheme="minorEastAsia" w:hAnsiTheme="minorHAnsi" w:cstheme="minorBidi"/>
            <w:b w:val="0"/>
            <w:sz w:val="22"/>
          </w:rPr>
          <w:tab/>
        </w:r>
        <w:r w:rsidR="001D129B" w:rsidRPr="006F7FA2">
          <w:rPr>
            <w:rStyle w:val="Hyperlink"/>
          </w:rPr>
          <w:t>Respondent Universe and Sampling Methods</w:t>
        </w:r>
        <w:r w:rsidR="001D129B">
          <w:rPr>
            <w:webHidden/>
          </w:rPr>
          <w:tab/>
        </w:r>
        <w:r w:rsidR="001D129B">
          <w:rPr>
            <w:webHidden/>
          </w:rPr>
          <w:fldChar w:fldCharType="begin"/>
        </w:r>
        <w:r w:rsidR="001D129B">
          <w:rPr>
            <w:webHidden/>
          </w:rPr>
          <w:instrText xml:space="preserve"> PAGEREF _Toc520896106 \h </w:instrText>
        </w:r>
        <w:r w:rsidR="001D129B">
          <w:rPr>
            <w:webHidden/>
          </w:rPr>
        </w:r>
        <w:r w:rsidR="001D129B">
          <w:rPr>
            <w:webHidden/>
          </w:rPr>
          <w:fldChar w:fldCharType="separate"/>
        </w:r>
        <w:r w:rsidR="006B546E">
          <w:rPr>
            <w:webHidden/>
          </w:rPr>
          <w:t>1</w:t>
        </w:r>
        <w:r w:rsidR="001D129B">
          <w:rPr>
            <w:webHidden/>
          </w:rPr>
          <w:fldChar w:fldCharType="end"/>
        </w:r>
      </w:hyperlink>
    </w:p>
    <w:p w14:paraId="2F1F41BB" w14:textId="77777777" w:rsidR="001D129B" w:rsidRDefault="000E7169">
      <w:pPr>
        <w:pStyle w:val="TOC4"/>
        <w:tabs>
          <w:tab w:val="right" w:leader="dot" w:pos="9350"/>
        </w:tabs>
        <w:rPr>
          <w:rFonts w:asciiTheme="minorHAnsi" w:eastAsiaTheme="minorEastAsia" w:hAnsiTheme="minorHAnsi" w:cstheme="minorBidi"/>
          <w:noProof/>
        </w:rPr>
      </w:pPr>
      <w:hyperlink w:anchor="_Toc520896107" w:history="1">
        <w:r w:rsidR="001D129B" w:rsidRPr="006F7FA2">
          <w:rPr>
            <w:rStyle w:val="Hyperlink"/>
            <w:noProof/>
          </w:rPr>
          <w:t>Design of the Household Survey</w:t>
        </w:r>
        <w:r w:rsidR="001D129B">
          <w:rPr>
            <w:noProof/>
            <w:webHidden/>
          </w:rPr>
          <w:tab/>
        </w:r>
        <w:r w:rsidR="001D129B">
          <w:rPr>
            <w:noProof/>
            <w:webHidden/>
          </w:rPr>
          <w:fldChar w:fldCharType="begin"/>
        </w:r>
        <w:r w:rsidR="001D129B">
          <w:rPr>
            <w:noProof/>
            <w:webHidden/>
          </w:rPr>
          <w:instrText xml:space="preserve"> PAGEREF _Toc520896107 \h </w:instrText>
        </w:r>
        <w:r w:rsidR="001D129B">
          <w:rPr>
            <w:noProof/>
            <w:webHidden/>
          </w:rPr>
        </w:r>
        <w:r w:rsidR="001D129B">
          <w:rPr>
            <w:noProof/>
            <w:webHidden/>
          </w:rPr>
          <w:fldChar w:fldCharType="separate"/>
        </w:r>
        <w:r w:rsidR="006B546E">
          <w:rPr>
            <w:noProof/>
            <w:webHidden/>
          </w:rPr>
          <w:t>1</w:t>
        </w:r>
        <w:r w:rsidR="001D129B">
          <w:rPr>
            <w:noProof/>
            <w:webHidden/>
          </w:rPr>
          <w:fldChar w:fldCharType="end"/>
        </w:r>
      </w:hyperlink>
    </w:p>
    <w:p w14:paraId="5D29629F" w14:textId="77777777" w:rsidR="001D129B" w:rsidRDefault="000E7169">
      <w:pPr>
        <w:pStyle w:val="TOC4"/>
        <w:tabs>
          <w:tab w:val="right" w:leader="dot" w:pos="9350"/>
        </w:tabs>
        <w:rPr>
          <w:rFonts w:asciiTheme="minorHAnsi" w:eastAsiaTheme="minorEastAsia" w:hAnsiTheme="minorHAnsi" w:cstheme="minorBidi"/>
          <w:noProof/>
        </w:rPr>
      </w:pPr>
      <w:hyperlink w:anchor="_Toc520896108" w:history="1">
        <w:r w:rsidR="001D129B" w:rsidRPr="006F7FA2">
          <w:rPr>
            <w:rStyle w:val="Hyperlink"/>
            <w:noProof/>
          </w:rPr>
          <w:t>Design of the Home-based Provider Survey</w:t>
        </w:r>
        <w:r w:rsidR="001D129B">
          <w:rPr>
            <w:noProof/>
            <w:webHidden/>
          </w:rPr>
          <w:tab/>
        </w:r>
        <w:r w:rsidR="001D129B">
          <w:rPr>
            <w:noProof/>
            <w:webHidden/>
          </w:rPr>
          <w:fldChar w:fldCharType="begin"/>
        </w:r>
        <w:r w:rsidR="001D129B">
          <w:rPr>
            <w:noProof/>
            <w:webHidden/>
          </w:rPr>
          <w:instrText xml:space="preserve"> PAGEREF _Toc520896108 \h </w:instrText>
        </w:r>
        <w:r w:rsidR="001D129B">
          <w:rPr>
            <w:noProof/>
            <w:webHidden/>
          </w:rPr>
        </w:r>
        <w:r w:rsidR="001D129B">
          <w:rPr>
            <w:noProof/>
            <w:webHidden/>
          </w:rPr>
          <w:fldChar w:fldCharType="separate"/>
        </w:r>
        <w:r w:rsidR="006B546E">
          <w:rPr>
            <w:noProof/>
            <w:webHidden/>
          </w:rPr>
          <w:t>3</w:t>
        </w:r>
        <w:r w:rsidR="001D129B">
          <w:rPr>
            <w:noProof/>
            <w:webHidden/>
          </w:rPr>
          <w:fldChar w:fldCharType="end"/>
        </w:r>
      </w:hyperlink>
    </w:p>
    <w:p w14:paraId="17B956BD" w14:textId="77777777" w:rsidR="001D129B" w:rsidRDefault="000E7169">
      <w:pPr>
        <w:pStyle w:val="TOC4"/>
        <w:tabs>
          <w:tab w:val="right" w:leader="dot" w:pos="9350"/>
        </w:tabs>
        <w:rPr>
          <w:rFonts w:asciiTheme="minorHAnsi" w:eastAsiaTheme="minorEastAsia" w:hAnsiTheme="minorHAnsi" w:cstheme="minorBidi"/>
          <w:noProof/>
        </w:rPr>
      </w:pPr>
      <w:hyperlink w:anchor="_Toc520896109" w:history="1">
        <w:r w:rsidR="001D129B" w:rsidRPr="006F7FA2">
          <w:rPr>
            <w:rStyle w:val="Hyperlink"/>
            <w:noProof/>
          </w:rPr>
          <w:t>Design of the Survey for Listed Providers (center-based and home-based providers from administrative lists)</w:t>
        </w:r>
        <w:r w:rsidR="001D129B">
          <w:rPr>
            <w:noProof/>
            <w:webHidden/>
          </w:rPr>
          <w:tab/>
        </w:r>
        <w:r w:rsidR="001D129B">
          <w:rPr>
            <w:noProof/>
            <w:webHidden/>
          </w:rPr>
          <w:fldChar w:fldCharType="begin"/>
        </w:r>
        <w:r w:rsidR="001D129B">
          <w:rPr>
            <w:noProof/>
            <w:webHidden/>
          </w:rPr>
          <w:instrText xml:space="preserve"> PAGEREF _Toc520896109 \h </w:instrText>
        </w:r>
        <w:r w:rsidR="001D129B">
          <w:rPr>
            <w:noProof/>
            <w:webHidden/>
          </w:rPr>
        </w:r>
        <w:r w:rsidR="001D129B">
          <w:rPr>
            <w:noProof/>
            <w:webHidden/>
          </w:rPr>
          <w:fldChar w:fldCharType="separate"/>
        </w:r>
        <w:r w:rsidR="006B546E">
          <w:rPr>
            <w:noProof/>
            <w:webHidden/>
          </w:rPr>
          <w:t>4</w:t>
        </w:r>
        <w:r w:rsidR="001D129B">
          <w:rPr>
            <w:noProof/>
            <w:webHidden/>
          </w:rPr>
          <w:fldChar w:fldCharType="end"/>
        </w:r>
      </w:hyperlink>
    </w:p>
    <w:p w14:paraId="3C41567E" w14:textId="77777777" w:rsidR="001D129B" w:rsidRDefault="000E7169">
      <w:pPr>
        <w:pStyle w:val="TOC4"/>
        <w:tabs>
          <w:tab w:val="right" w:leader="dot" w:pos="9350"/>
        </w:tabs>
        <w:rPr>
          <w:rFonts w:asciiTheme="minorHAnsi" w:eastAsiaTheme="minorEastAsia" w:hAnsiTheme="minorHAnsi" w:cstheme="minorBidi"/>
          <w:noProof/>
        </w:rPr>
      </w:pPr>
      <w:hyperlink w:anchor="_Toc520896110" w:history="1">
        <w:r w:rsidR="001D129B" w:rsidRPr="006F7FA2">
          <w:rPr>
            <w:rStyle w:val="Hyperlink"/>
            <w:noProof/>
          </w:rPr>
          <w:t>Design of the Classroom Staff (Workforce) Survey</w:t>
        </w:r>
        <w:r w:rsidR="001D129B">
          <w:rPr>
            <w:noProof/>
            <w:webHidden/>
          </w:rPr>
          <w:tab/>
        </w:r>
        <w:r w:rsidR="001D129B">
          <w:rPr>
            <w:noProof/>
            <w:webHidden/>
          </w:rPr>
          <w:fldChar w:fldCharType="begin"/>
        </w:r>
        <w:r w:rsidR="001D129B">
          <w:rPr>
            <w:noProof/>
            <w:webHidden/>
          </w:rPr>
          <w:instrText xml:space="preserve"> PAGEREF _Toc520896110 \h </w:instrText>
        </w:r>
        <w:r w:rsidR="001D129B">
          <w:rPr>
            <w:noProof/>
            <w:webHidden/>
          </w:rPr>
        </w:r>
        <w:r w:rsidR="001D129B">
          <w:rPr>
            <w:noProof/>
            <w:webHidden/>
          </w:rPr>
          <w:fldChar w:fldCharType="separate"/>
        </w:r>
        <w:r w:rsidR="006B546E">
          <w:rPr>
            <w:noProof/>
            <w:webHidden/>
          </w:rPr>
          <w:t>6</w:t>
        </w:r>
        <w:r w:rsidR="001D129B">
          <w:rPr>
            <w:noProof/>
            <w:webHidden/>
          </w:rPr>
          <w:fldChar w:fldCharType="end"/>
        </w:r>
      </w:hyperlink>
    </w:p>
    <w:p w14:paraId="31A004B4" w14:textId="77777777" w:rsidR="001D129B" w:rsidRDefault="000E7169">
      <w:pPr>
        <w:pStyle w:val="TOC3"/>
        <w:rPr>
          <w:rFonts w:asciiTheme="minorHAnsi" w:eastAsiaTheme="minorEastAsia" w:hAnsiTheme="minorHAnsi" w:cstheme="minorBidi"/>
          <w:b w:val="0"/>
          <w:sz w:val="22"/>
        </w:rPr>
      </w:pPr>
      <w:hyperlink w:anchor="_Toc520896111" w:history="1">
        <w:r w:rsidR="001D129B" w:rsidRPr="006F7FA2">
          <w:rPr>
            <w:rStyle w:val="Hyperlink"/>
          </w:rPr>
          <w:t>2.</w:t>
        </w:r>
        <w:r w:rsidR="001D129B">
          <w:rPr>
            <w:rFonts w:asciiTheme="minorHAnsi" w:eastAsiaTheme="minorEastAsia" w:hAnsiTheme="minorHAnsi" w:cstheme="minorBidi"/>
            <w:b w:val="0"/>
            <w:sz w:val="22"/>
          </w:rPr>
          <w:tab/>
        </w:r>
        <w:r w:rsidR="001D129B" w:rsidRPr="006F7FA2">
          <w:rPr>
            <w:rStyle w:val="Hyperlink"/>
          </w:rPr>
          <w:t>Procedures for Collection of Information</w:t>
        </w:r>
        <w:r w:rsidR="001D129B">
          <w:rPr>
            <w:webHidden/>
          </w:rPr>
          <w:tab/>
        </w:r>
        <w:r w:rsidR="001D129B">
          <w:rPr>
            <w:webHidden/>
          </w:rPr>
          <w:fldChar w:fldCharType="begin"/>
        </w:r>
        <w:r w:rsidR="001D129B">
          <w:rPr>
            <w:webHidden/>
          </w:rPr>
          <w:instrText xml:space="preserve"> PAGEREF _Toc520896111 \h </w:instrText>
        </w:r>
        <w:r w:rsidR="001D129B">
          <w:rPr>
            <w:webHidden/>
          </w:rPr>
        </w:r>
        <w:r w:rsidR="001D129B">
          <w:rPr>
            <w:webHidden/>
          </w:rPr>
          <w:fldChar w:fldCharType="separate"/>
        </w:r>
        <w:r w:rsidR="006B546E">
          <w:rPr>
            <w:webHidden/>
          </w:rPr>
          <w:t>7</w:t>
        </w:r>
        <w:r w:rsidR="001D129B">
          <w:rPr>
            <w:webHidden/>
          </w:rPr>
          <w:fldChar w:fldCharType="end"/>
        </w:r>
      </w:hyperlink>
    </w:p>
    <w:p w14:paraId="62E13A91" w14:textId="77777777" w:rsidR="001D129B" w:rsidRDefault="000E7169">
      <w:pPr>
        <w:pStyle w:val="TOC4"/>
        <w:tabs>
          <w:tab w:val="right" w:leader="dot" w:pos="9350"/>
        </w:tabs>
        <w:rPr>
          <w:rFonts w:asciiTheme="minorHAnsi" w:eastAsiaTheme="minorEastAsia" w:hAnsiTheme="minorHAnsi" w:cstheme="minorBidi"/>
          <w:noProof/>
        </w:rPr>
      </w:pPr>
      <w:hyperlink w:anchor="_Toc520896112" w:history="1">
        <w:r w:rsidR="001D129B" w:rsidRPr="006F7FA2">
          <w:rPr>
            <w:rStyle w:val="Hyperlink"/>
            <w:noProof/>
          </w:rPr>
          <w:t>Household Screener and Questionnaire</w:t>
        </w:r>
        <w:r w:rsidR="001D129B">
          <w:rPr>
            <w:noProof/>
            <w:webHidden/>
          </w:rPr>
          <w:tab/>
        </w:r>
        <w:r w:rsidR="001D129B">
          <w:rPr>
            <w:noProof/>
            <w:webHidden/>
          </w:rPr>
          <w:fldChar w:fldCharType="begin"/>
        </w:r>
        <w:r w:rsidR="001D129B">
          <w:rPr>
            <w:noProof/>
            <w:webHidden/>
          </w:rPr>
          <w:instrText xml:space="preserve"> PAGEREF _Toc520896112 \h </w:instrText>
        </w:r>
        <w:r w:rsidR="001D129B">
          <w:rPr>
            <w:noProof/>
            <w:webHidden/>
          </w:rPr>
        </w:r>
        <w:r w:rsidR="001D129B">
          <w:rPr>
            <w:noProof/>
            <w:webHidden/>
          </w:rPr>
          <w:fldChar w:fldCharType="separate"/>
        </w:r>
        <w:r w:rsidR="006B546E">
          <w:rPr>
            <w:noProof/>
            <w:webHidden/>
          </w:rPr>
          <w:t>10</w:t>
        </w:r>
        <w:r w:rsidR="001D129B">
          <w:rPr>
            <w:noProof/>
            <w:webHidden/>
          </w:rPr>
          <w:fldChar w:fldCharType="end"/>
        </w:r>
      </w:hyperlink>
    </w:p>
    <w:p w14:paraId="7590A9F5" w14:textId="77777777" w:rsidR="001D129B" w:rsidRDefault="000E7169">
      <w:pPr>
        <w:pStyle w:val="TOC4"/>
        <w:tabs>
          <w:tab w:val="right" w:leader="dot" w:pos="9350"/>
        </w:tabs>
        <w:rPr>
          <w:rFonts w:asciiTheme="minorHAnsi" w:eastAsiaTheme="minorEastAsia" w:hAnsiTheme="minorHAnsi" w:cstheme="minorBidi"/>
          <w:noProof/>
        </w:rPr>
      </w:pPr>
      <w:hyperlink w:anchor="_Toc520896113" w:history="1">
        <w:r w:rsidR="001D129B" w:rsidRPr="006F7FA2">
          <w:rPr>
            <w:rStyle w:val="Hyperlink"/>
            <w:noProof/>
          </w:rPr>
          <w:t>Home-based Provider Screener</w:t>
        </w:r>
        <w:r w:rsidR="001D129B">
          <w:rPr>
            <w:noProof/>
            <w:webHidden/>
          </w:rPr>
          <w:tab/>
        </w:r>
        <w:r w:rsidR="001D129B">
          <w:rPr>
            <w:noProof/>
            <w:webHidden/>
          </w:rPr>
          <w:fldChar w:fldCharType="begin"/>
        </w:r>
        <w:r w:rsidR="001D129B">
          <w:rPr>
            <w:noProof/>
            <w:webHidden/>
          </w:rPr>
          <w:instrText xml:space="preserve"> PAGEREF _Toc520896113 \h </w:instrText>
        </w:r>
        <w:r w:rsidR="001D129B">
          <w:rPr>
            <w:noProof/>
            <w:webHidden/>
          </w:rPr>
        </w:r>
        <w:r w:rsidR="001D129B">
          <w:rPr>
            <w:noProof/>
            <w:webHidden/>
          </w:rPr>
          <w:fldChar w:fldCharType="separate"/>
        </w:r>
        <w:r w:rsidR="006B546E">
          <w:rPr>
            <w:noProof/>
            <w:webHidden/>
          </w:rPr>
          <w:t>11</w:t>
        </w:r>
        <w:r w:rsidR="001D129B">
          <w:rPr>
            <w:noProof/>
            <w:webHidden/>
          </w:rPr>
          <w:fldChar w:fldCharType="end"/>
        </w:r>
      </w:hyperlink>
    </w:p>
    <w:p w14:paraId="49D521AD" w14:textId="77777777" w:rsidR="001D129B" w:rsidRDefault="000E7169">
      <w:pPr>
        <w:pStyle w:val="TOC4"/>
        <w:tabs>
          <w:tab w:val="right" w:leader="dot" w:pos="9350"/>
        </w:tabs>
        <w:rPr>
          <w:rFonts w:asciiTheme="minorHAnsi" w:eastAsiaTheme="minorEastAsia" w:hAnsiTheme="minorHAnsi" w:cstheme="minorBidi"/>
          <w:noProof/>
        </w:rPr>
      </w:pPr>
      <w:hyperlink w:anchor="_Toc520896114" w:history="1">
        <w:r w:rsidR="001D129B" w:rsidRPr="006F7FA2">
          <w:rPr>
            <w:rStyle w:val="Hyperlink"/>
            <w:noProof/>
          </w:rPr>
          <w:t>Home-based Provider Questionnaire</w:t>
        </w:r>
        <w:r w:rsidR="001D129B">
          <w:rPr>
            <w:noProof/>
            <w:webHidden/>
          </w:rPr>
          <w:tab/>
        </w:r>
        <w:r w:rsidR="001D129B">
          <w:rPr>
            <w:noProof/>
            <w:webHidden/>
          </w:rPr>
          <w:fldChar w:fldCharType="begin"/>
        </w:r>
        <w:r w:rsidR="001D129B">
          <w:rPr>
            <w:noProof/>
            <w:webHidden/>
          </w:rPr>
          <w:instrText xml:space="preserve"> PAGEREF _Toc520896114 \h </w:instrText>
        </w:r>
        <w:r w:rsidR="001D129B">
          <w:rPr>
            <w:noProof/>
            <w:webHidden/>
          </w:rPr>
        </w:r>
        <w:r w:rsidR="001D129B">
          <w:rPr>
            <w:noProof/>
            <w:webHidden/>
          </w:rPr>
          <w:fldChar w:fldCharType="separate"/>
        </w:r>
        <w:r w:rsidR="006B546E">
          <w:rPr>
            <w:noProof/>
            <w:webHidden/>
          </w:rPr>
          <w:t>12</w:t>
        </w:r>
        <w:r w:rsidR="001D129B">
          <w:rPr>
            <w:noProof/>
            <w:webHidden/>
          </w:rPr>
          <w:fldChar w:fldCharType="end"/>
        </w:r>
      </w:hyperlink>
    </w:p>
    <w:p w14:paraId="1079C57D" w14:textId="77777777" w:rsidR="001D129B" w:rsidRDefault="000E7169">
      <w:pPr>
        <w:pStyle w:val="TOC4"/>
        <w:tabs>
          <w:tab w:val="right" w:leader="dot" w:pos="9350"/>
        </w:tabs>
        <w:rPr>
          <w:rFonts w:asciiTheme="minorHAnsi" w:eastAsiaTheme="minorEastAsia" w:hAnsiTheme="minorHAnsi" w:cstheme="minorBidi"/>
          <w:noProof/>
        </w:rPr>
      </w:pPr>
      <w:hyperlink w:anchor="_Toc520896115" w:history="1">
        <w:r w:rsidR="001D129B" w:rsidRPr="006F7FA2">
          <w:rPr>
            <w:rStyle w:val="Hyperlink"/>
            <w:noProof/>
          </w:rPr>
          <w:t>Center-based Provider Screener</w:t>
        </w:r>
        <w:r w:rsidR="001D129B">
          <w:rPr>
            <w:noProof/>
            <w:webHidden/>
          </w:rPr>
          <w:tab/>
        </w:r>
        <w:r w:rsidR="001D129B">
          <w:rPr>
            <w:noProof/>
            <w:webHidden/>
          </w:rPr>
          <w:fldChar w:fldCharType="begin"/>
        </w:r>
        <w:r w:rsidR="001D129B">
          <w:rPr>
            <w:noProof/>
            <w:webHidden/>
          </w:rPr>
          <w:instrText xml:space="preserve"> PAGEREF _Toc520896115 \h </w:instrText>
        </w:r>
        <w:r w:rsidR="001D129B">
          <w:rPr>
            <w:noProof/>
            <w:webHidden/>
          </w:rPr>
        </w:r>
        <w:r w:rsidR="001D129B">
          <w:rPr>
            <w:noProof/>
            <w:webHidden/>
          </w:rPr>
          <w:fldChar w:fldCharType="separate"/>
        </w:r>
        <w:r w:rsidR="006B546E">
          <w:rPr>
            <w:noProof/>
            <w:webHidden/>
          </w:rPr>
          <w:t>12</w:t>
        </w:r>
        <w:r w:rsidR="001D129B">
          <w:rPr>
            <w:noProof/>
            <w:webHidden/>
          </w:rPr>
          <w:fldChar w:fldCharType="end"/>
        </w:r>
      </w:hyperlink>
    </w:p>
    <w:p w14:paraId="2A9A0582" w14:textId="77777777" w:rsidR="001D129B" w:rsidRDefault="000E7169">
      <w:pPr>
        <w:pStyle w:val="TOC4"/>
        <w:tabs>
          <w:tab w:val="right" w:leader="dot" w:pos="9350"/>
        </w:tabs>
        <w:rPr>
          <w:rFonts w:asciiTheme="minorHAnsi" w:eastAsiaTheme="minorEastAsia" w:hAnsiTheme="minorHAnsi" w:cstheme="minorBidi"/>
          <w:noProof/>
        </w:rPr>
      </w:pPr>
      <w:hyperlink w:anchor="_Toc520896116" w:history="1">
        <w:r w:rsidR="001D129B" w:rsidRPr="006F7FA2">
          <w:rPr>
            <w:rStyle w:val="Hyperlink"/>
            <w:noProof/>
          </w:rPr>
          <w:t>Center-based Provider Questionnaire</w:t>
        </w:r>
        <w:r w:rsidR="001D129B">
          <w:rPr>
            <w:noProof/>
            <w:webHidden/>
          </w:rPr>
          <w:tab/>
        </w:r>
        <w:r w:rsidR="001D129B">
          <w:rPr>
            <w:noProof/>
            <w:webHidden/>
          </w:rPr>
          <w:fldChar w:fldCharType="begin"/>
        </w:r>
        <w:r w:rsidR="001D129B">
          <w:rPr>
            <w:noProof/>
            <w:webHidden/>
          </w:rPr>
          <w:instrText xml:space="preserve"> PAGEREF _Toc520896116 \h </w:instrText>
        </w:r>
        <w:r w:rsidR="001D129B">
          <w:rPr>
            <w:noProof/>
            <w:webHidden/>
          </w:rPr>
        </w:r>
        <w:r w:rsidR="001D129B">
          <w:rPr>
            <w:noProof/>
            <w:webHidden/>
          </w:rPr>
          <w:fldChar w:fldCharType="separate"/>
        </w:r>
        <w:r w:rsidR="006B546E">
          <w:rPr>
            <w:noProof/>
            <w:webHidden/>
          </w:rPr>
          <w:t>13</w:t>
        </w:r>
        <w:r w:rsidR="001D129B">
          <w:rPr>
            <w:noProof/>
            <w:webHidden/>
          </w:rPr>
          <w:fldChar w:fldCharType="end"/>
        </w:r>
      </w:hyperlink>
    </w:p>
    <w:p w14:paraId="71D20F6F" w14:textId="77777777" w:rsidR="001D129B" w:rsidRDefault="000E7169">
      <w:pPr>
        <w:pStyle w:val="TOC4"/>
        <w:tabs>
          <w:tab w:val="right" w:leader="dot" w:pos="9350"/>
        </w:tabs>
        <w:rPr>
          <w:rFonts w:asciiTheme="minorHAnsi" w:eastAsiaTheme="minorEastAsia" w:hAnsiTheme="minorHAnsi" w:cstheme="minorBidi"/>
          <w:noProof/>
        </w:rPr>
      </w:pPr>
      <w:hyperlink w:anchor="_Toc520896117" w:history="1">
        <w:r w:rsidR="001D129B" w:rsidRPr="006F7FA2">
          <w:rPr>
            <w:rStyle w:val="Hyperlink"/>
            <w:noProof/>
          </w:rPr>
          <w:t>Classroom Staff (Workforce) Questionnaire</w:t>
        </w:r>
        <w:r w:rsidR="001D129B">
          <w:rPr>
            <w:noProof/>
            <w:webHidden/>
          </w:rPr>
          <w:tab/>
        </w:r>
        <w:r w:rsidR="001D129B">
          <w:rPr>
            <w:noProof/>
            <w:webHidden/>
          </w:rPr>
          <w:fldChar w:fldCharType="begin"/>
        </w:r>
        <w:r w:rsidR="001D129B">
          <w:rPr>
            <w:noProof/>
            <w:webHidden/>
          </w:rPr>
          <w:instrText xml:space="preserve"> PAGEREF _Toc520896117 \h </w:instrText>
        </w:r>
        <w:r w:rsidR="001D129B">
          <w:rPr>
            <w:noProof/>
            <w:webHidden/>
          </w:rPr>
        </w:r>
        <w:r w:rsidR="001D129B">
          <w:rPr>
            <w:noProof/>
            <w:webHidden/>
          </w:rPr>
          <w:fldChar w:fldCharType="separate"/>
        </w:r>
        <w:r w:rsidR="006B546E">
          <w:rPr>
            <w:noProof/>
            <w:webHidden/>
          </w:rPr>
          <w:t>13</w:t>
        </w:r>
        <w:r w:rsidR="001D129B">
          <w:rPr>
            <w:noProof/>
            <w:webHidden/>
          </w:rPr>
          <w:fldChar w:fldCharType="end"/>
        </w:r>
      </w:hyperlink>
    </w:p>
    <w:p w14:paraId="22A712E8" w14:textId="77777777" w:rsidR="001D129B" w:rsidRDefault="000E7169">
      <w:pPr>
        <w:pStyle w:val="TOC3"/>
        <w:rPr>
          <w:rFonts w:asciiTheme="minorHAnsi" w:eastAsiaTheme="minorEastAsia" w:hAnsiTheme="minorHAnsi" w:cstheme="minorBidi"/>
          <w:b w:val="0"/>
          <w:sz w:val="22"/>
        </w:rPr>
      </w:pPr>
      <w:hyperlink w:anchor="_Toc520896118" w:history="1">
        <w:r w:rsidR="001D129B" w:rsidRPr="006F7FA2">
          <w:rPr>
            <w:rStyle w:val="Hyperlink"/>
          </w:rPr>
          <w:t>3.</w:t>
        </w:r>
        <w:r w:rsidR="001D129B">
          <w:rPr>
            <w:rFonts w:asciiTheme="minorHAnsi" w:eastAsiaTheme="minorEastAsia" w:hAnsiTheme="minorHAnsi" w:cstheme="minorBidi"/>
            <w:b w:val="0"/>
            <w:sz w:val="22"/>
          </w:rPr>
          <w:tab/>
        </w:r>
        <w:r w:rsidR="001D129B" w:rsidRPr="006F7FA2">
          <w:rPr>
            <w:rStyle w:val="Hyperlink"/>
          </w:rPr>
          <w:t>Methods to Maximize Response Rates and Address Nonresponse</w:t>
        </w:r>
        <w:r w:rsidR="001D129B">
          <w:rPr>
            <w:webHidden/>
          </w:rPr>
          <w:tab/>
        </w:r>
        <w:r w:rsidR="001D129B">
          <w:rPr>
            <w:webHidden/>
          </w:rPr>
          <w:fldChar w:fldCharType="begin"/>
        </w:r>
        <w:r w:rsidR="001D129B">
          <w:rPr>
            <w:webHidden/>
          </w:rPr>
          <w:instrText xml:space="preserve"> PAGEREF _Toc520896118 \h </w:instrText>
        </w:r>
        <w:r w:rsidR="001D129B">
          <w:rPr>
            <w:webHidden/>
          </w:rPr>
        </w:r>
        <w:r w:rsidR="001D129B">
          <w:rPr>
            <w:webHidden/>
          </w:rPr>
          <w:fldChar w:fldCharType="separate"/>
        </w:r>
        <w:r w:rsidR="006B546E">
          <w:rPr>
            <w:webHidden/>
          </w:rPr>
          <w:t>14</w:t>
        </w:r>
        <w:r w:rsidR="001D129B">
          <w:rPr>
            <w:webHidden/>
          </w:rPr>
          <w:fldChar w:fldCharType="end"/>
        </w:r>
      </w:hyperlink>
    </w:p>
    <w:p w14:paraId="7E8D123D" w14:textId="77777777" w:rsidR="001D129B" w:rsidRDefault="000E7169">
      <w:pPr>
        <w:pStyle w:val="TOC4"/>
        <w:tabs>
          <w:tab w:val="right" w:leader="dot" w:pos="9350"/>
        </w:tabs>
        <w:rPr>
          <w:rFonts w:asciiTheme="minorHAnsi" w:eastAsiaTheme="minorEastAsia" w:hAnsiTheme="minorHAnsi" w:cstheme="minorBidi"/>
          <w:noProof/>
        </w:rPr>
      </w:pPr>
      <w:hyperlink w:anchor="_Toc520896119" w:history="1">
        <w:r w:rsidR="001D129B" w:rsidRPr="006F7FA2">
          <w:rPr>
            <w:rStyle w:val="Hyperlink"/>
            <w:noProof/>
          </w:rPr>
          <w:t>Maximizing Response Rates</w:t>
        </w:r>
        <w:r w:rsidR="001D129B">
          <w:rPr>
            <w:noProof/>
            <w:webHidden/>
          </w:rPr>
          <w:tab/>
        </w:r>
        <w:r w:rsidR="001D129B">
          <w:rPr>
            <w:noProof/>
            <w:webHidden/>
          </w:rPr>
          <w:fldChar w:fldCharType="begin"/>
        </w:r>
        <w:r w:rsidR="001D129B">
          <w:rPr>
            <w:noProof/>
            <w:webHidden/>
          </w:rPr>
          <w:instrText xml:space="preserve"> PAGEREF _Toc520896119 \h </w:instrText>
        </w:r>
        <w:r w:rsidR="001D129B">
          <w:rPr>
            <w:noProof/>
            <w:webHidden/>
          </w:rPr>
        </w:r>
        <w:r w:rsidR="001D129B">
          <w:rPr>
            <w:noProof/>
            <w:webHidden/>
          </w:rPr>
          <w:fldChar w:fldCharType="separate"/>
        </w:r>
        <w:r w:rsidR="006B546E">
          <w:rPr>
            <w:noProof/>
            <w:webHidden/>
          </w:rPr>
          <w:t>14</w:t>
        </w:r>
        <w:r w:rsidR="001D129B">
          <w:rPr>
            <w:noProof/>
            <w:webHidden/>
          </w:rPr>
          <w:fldChar w:fldCharType="end"/>
        </w:r>
      </w:hyperlink>
    </w:p>
    <w:p w14:paraId="0501A4B3" w14:textId="77777777" w:rsidR="001D129B" w:rsidRDefault="000E7169">
      <w:pPr>
        <w:pStyle w:val="TOC4"/>
        <w:tabs>
          <w:tab w:val="right" w:leader="dot" w:pos="9350"/>
        </w:tabs>
        <w:rPr>
          <w:rFonts w:asciiTheme="minorHAnsi" w:eastAsiaTheme="minorEastAsia" w:hAnsiTheme="minorHAnsi" w:cstheme="minorBidi"/>
          <w:noProof/>
        </w:rPr>
      </w:pPr>
      <w:hyperlink w:anchor="_Toc520896120" w:history="1">
        <w:r w:rsidR="001D129B" w:rsidRPr="006F7FA2">
          <w:rPr>
            <w:rStyle w:val="Hyperlink"/>
            <w:noProof/>
          </w:rPr>
          <w:t>Addressing Nonresponse</w:t>
        </w:r>
        <w:r w:rsidR="001D129B">
          <w:rPr>
            <w:noProof/>
            <w:webHidden/>
          </w:rPr>
          <w:tab/>
        </w:r>
        <w:r w:rsidR="001D129B">
          <w:rPr>
            <w:noProof/>
            <w:webHidden/>
          </w:rPr>
          <w:fldChar w:fldCharType="begin"/>
        </w:r>
        <w:r w:rsidR="001D129B">
          <w:rPr>
            <w:noProof/>
            <w:webHidden/>
          </w:rPr>
          <w:instrText xml:space="preserve"> PAGEREF _Toc520896120 \h </w:instrText>
        </w:r>
        <w:r w:rsidR="001D129B">
          <w:rPr>
            <w:noProof/>
            <w:webHidden/>
          </w:rPr>
        </w:r>
        <w:r w:rsidR="001D129B">
          <w:rPr>
            <w:noProof/>
            <w:webHidden/>
          </w:rPr>
          <w:fldChar w:fldCharType="separate"/>
        </w:r>
        <w:r w:rsidR="006B546E">
          <w:rPr>
            <w:noProof/>
            <w:webHidden/>
          </w:rPr>
          <w:t>16</w:t>
        </w:r>
        <w:r w:rsidR="001D129B">
          <w:rPr>
            <w:noProof/>
            <w:webHidden/>
          </w:rPr>
          <w:fldChar w:fldCharType="end"/>
        </w:r>
      </w:hyperlink>
    </w:p>
    <w:p w14:paraId="2B18284B" w14:textId="77777777" w:rsidR="001D129B" w:rsidRDefault="000E7169">
      <w:pPr>
        <w:pStyle w:val="TOC4"/>
        <w:tabs>
          <w:tab w:val="right" w:leader="dot" w:pos="9350"/>
        </w:tabs>
        <w:rPr>
          <w:rFonts w:asciiTheme="minorHAnsi" w:eastAsiaTheme="minorEastAsia" w:hAnsiTheme="minorHAnsi" w:cstheme="minorBidi"/>
          <w:noProof/>
        </w:rPr>
      </w:pPr>
      <w:hyperlink w:anchor="_Toc520896121" w:history="1">
        <w:r w:rsidR="001D129B" w:rsidRPr="006F7FA2">
          <w:rPr>
            <w:rStyle w:val="Hyperlink"/>
            <w:noProof/>
          </w:rPr>
          <w:t>Analysis of Nonresponse Bias</w:t>
        </w:r>
        <w:r w:rsidR="001D129B">
          <w:rPr>
            <w:noProof/>
            <w:webHidden/>
          </w:rPr>
          <w:tab/>
        </w:r>
        <w:r w:rsidR="001D129B">
          <w:rPr>
            <w:noProof/>
            <w:webHidden/>
          </w:rPr>
          <w:fldChar w:fldCharType="begin"/>
        </w:r>
        <w:r w:rsidR="001D129B">
          <w:rPr>
            <w:noProof/>
            <w:webHidden/>
          </w:rPr>
          <w:instrText xml:space="preserve"> PAGEREF _Toc520896121 \h </w:instrText>
        </w:r>
        <w:r w:rsidR="001D129B">
          <w:rPr>
            <w:noProof/>
            <w:webHidden/>
          </w:rPr>
        </w:r>
        <w:r w:rsidR="001D129B">
          <w:rPr>
            <w:noProof/>
            <w:webHidden/>
          </w:rPr>
          <w:fldChar w:fldCharType="separate"/>
        </w:r>
        <w:r w:rsidR="006B546E">
          <w:rPr>
            <w:noProof/>
            <w:webHidden/>
          </w:rPr>
          <w:t>17</w:t>
        </w:r>
        <w:r w:rsidR="001D129B">
          <w:rPr>
            <w:noProof/>
            <w:webHidden/>
          </w:rPr>
          <w:fldChar w:fldCharType="end"/>
        </w:r>
      </w:hyperlink>
    </w:p>
    <w:p w14:paraId="58CE80BD" w14:textId="77777777" w:rsidR="001D129B" w:rsidRDefault="000E7169">
      <w:pPr>
        <w:pStyle w:val="TOC3"/>
        <w:rPr>
          <w:rFonts w:asciiTheme="minorHAnsi" w:eastAsiaTheme="minorEastAsia" w:hAnsiTheme="minorHAnsi" w:cstheme="minorBidi"/>
          <w:b w:val="0"/>
          <w:sz w:val="22"/>
        </w:rPr>
      </w:pPr>
      <w:hyperlink w:anchor="_Toc520896122" w:history="1">
        <w:r w:rsidR="001D129B" w:rsidRPr="006F7FA2">
          <w:rPr>
            <w:rStyle w:val="Hyperlink"/>
          </w:rPr>
          <w:t>4.</w:t>
        </w:r>
        <w:r w:rsidR="001D129B">
          <w:rPr>
            <w:rFonts w:asciiTheme="minorHAnsi" w:eastAsiaTheme="minorEastAsia" w:hAnsiTheme="minorHAnsi" w:cstheme="minorBidi"/>
            <w:b w:val="0"/>
            <w:sz w:val="22"/>
          </w:rPr>
          <w:tab/>
        </w:r>
        <w:r w:rsidR="001D129B" w:rsidRPr="006F7FA2">
          <w:rPr>
            <w:rStyle w:val="Hyperlink"/>
          </w:rPr>
          <w:t>Tests of Procedures or Methods to be Undertaken</w:t>
        </w:r>
        <w:r w:rsidR="001D129B">
          <w:rPr>
            <w:webHidden/>
          </w:rPr>
          <w:tab/>
        </w:r>
        <w:r w:rsidR="001D129B">
          <w:rPr>
            <w:webHidden/>
          </w:rPr>
          <w:fldChar w:fldCharType="begin"/>
        </w:r>
        <w:r w:rsidR="001D129B">
          <w:rPr>
            <w:webHidden/>
          </w:rPr>
          <w:instrText xml:space="preserve"> PAGEREF _Toc520896122 \h </w:instrText>
        </w:r>
        <w:r w:rsidR="001D129B">
          <w:rPr>
            <w:webHidden/>
          </w:rPr>
        </w:r>
        <w:r w:rsidR="001D129B">
          <w:rPr>
            <w:webHidden/>
          </w:rPr>
          <w:fldChar w:fldCharType="separate"/>
        </w:r>
        <w:r w:rsidR="006B546E">
          <w:rPr>
            <w:webHidden/>
          </w:rPr>
          <w:t>17</w:t>
        </w:r>
        <w:r w:rsidR="001D129B">
          <w:rPr>
            <w:webHidden/>
          </w:rPr>
          <w:fldChar w:fldCharType="end"/>
        </w:r>
      </w:hyperlink>
    </w:p>
    <w:p w14:paraId="052DB50B" w14:textId="77777777" w:rsidR="001D129B" w:rsidRDefault="000E7169">
      <w:pPr>
        <w:pStyle w:val="TOC4"/>
        <w:tabs>
          <w:tab w:val="right" w:leader="dot" w:pos="9350"/>
        </w:tabs>
        <w:rPr>
          <w:rFonts w:asciiTheme="minorHAnsi" w:eastAsiaTheme="minorEastAsia" w:hAnsiTheme="minorHAnsi" w:cstheme="minorBidi"/>
          <w:noProof/>
        </w:rPr>
      </w:pPr>
      <w:hyperlink w:anchor="_Toc520896123" w:history="1">
        <w:r w:rsidR="001D129B" w:rsidRPr="006F7FA2">
          <w:rPr>
            <w:rStyle w:val="Hyperlink"/>
            <w:noProof/>
          </w:rPr>
          <w:t>Testing of Questionnaire Items</w:t>
        </w:r>
        <w:r w:rsidR="001D129B">
          <w:rPr>
            <w:noProof/>
            <w:webHidden/>
          </w:rPr>
          <w:tab/>
        </w:r>
        <w:r w:rsidR="001D129B">
          <w:rPr>
            <w:noProof/>
            <w:webHidden/>
          </w:rPr>
          <w:fldChar w:fldCharType="begin"/>
        </w:r>
        <w:r w:rsidR="001D129B">
          <w:rPr>
            <w:noProof/>
            <w:webHidden/>
          </w:rPr>
          <w:instrText xml:space="preserve"> PAGEREF _Toc520896123 \h </w:instrText>
        </w:r>
        <w:r w:rsidR="001D129B">
          <w:rPr>
            <w:noProof/>
            <w:webHidden/>
          </w:rPr>
        </w:r>
        <w:r w:rsidR="001D129B">
          <w:rPr>
            <w:noProof/>
            <w:webHidden/>
          </w:rPr>
          <w:fldChar w:fldCharType="separate"/>
        </w:r>
        <w:r w:rsidR="006B546E">
          <w:rPr>
            <w:noProof/>
            <w:webHidden/>
          </w:rPr>
          <w:t>17</w:t>
        </w:r>
        <w:r w:rsidR="001D129B">
          <w:rPr>
            <w:noProof/>
            <w:webHidden/>
          </w:rPr>
          <w:fldChar w:fldCharType="end"/>
        </w:r>
      </w:hyperlink>
    </w:p>
    <w:p w14:paraId="45872D6E" w14:textId="77777777" w:rsidR="001D129B" w:rsidRDefault="000E7169">
      <w:pPr>
        <w:pStyle w:val="TOC3"/>
        <w:rPr>
          <w:rFonts w:asciiTheme="minorHAnsi" w:eastAsiaTheme="minorEastAsia" w:hAnsiTheme="minorHAnsi" w:cstheme="minorBidi"/>
          <w:b w:val="0"/>
          <w:sz w:val="22"/>
        </w:rPr>
      </w:pPr>
      <w:hyperlink w:anchor="_Toc520896124" w:history="1">
        <w:r w:rsidR="001D129B" w:rsidRPr="006F7FA2">
          <w:rPr>
            <w:rStyle w:val="Hyperlink"/>
          </w:rPr>
          <w:t>5.</w:t>
        </w:r>
        <w:r w:rsidR="001D129B">
          <w:rPr>
            <w:rFonts w:asciiTheme="minorHAnsi" w:eastAsiaTheme="minorEastAsia" w:hAnsiTheme="minorHAnsi" w:cstheme="minorBidi"/>
            <w:b w:val="0"/>
            <w:sz w:val="22"/>
          </w:rPr>
          <w:tab/>
        </w:r>
        <w:r w:rsidR="001D129B" w:rsidRPr="006F7FA2">
          <w:rPr>
            <w:rStyle w:val="Hyperlink"/>
          </w:rPr>
          <w:t>Individual(s) Consulted on Statistical Aspects and Individuals Collecting and/or Analyzing Data</w:t>
        </w:r>
        <w:r w:rsidR="001D129B">
          <w:rPr>
            <w:webHidden/>
          </w:rPr>
          <w:tab/>
        </w:r>
        <w:r w:rsidR="001D129B">
          <w:rPr>
            <w:webHidden/>
          </w:rPr>
          <w:fldChar w:fldCharType="begin"/>
        </w:r>
        <w:r w:rsidR="001D129B">
          <w:rPr>
            <w:webHidden/>
          </w:rPr>
          <w:instrText xml:space="preserve"> PAGEREF _Toc520896124 \h </w:instrText>
        </w:r>
        <w:r w:rsidR="001D129B">
          <w:rPr>
            <w:webHidden/>
          </w:rPr>
        </w:r>
        <w:r w:rsidR="001D129B">
          <w:rPr>
            <w:webHidden/>
          </w:rPr>
          <w:fldChar w:fldCharType="separate"/>
        </w:r>
        <w:r w:rsidR="006B546E">
          <w:rPr>
            <w:webHidden/>
          </w:rPr>
          <w:t>18</w:t>
        </w:r>
        <w:r w:rsidR="001D129B">
          <w:rPr>
            <w:webHidden/>
          </w:rPr>
          <w:fldChar w:fldCharType="end"/>
        </w:r>
      </w:hyperlink>
    </w:p>
    <w:p w14:paraId="6DE6A4E8" w14:textId="77777777" w:rsidR="001D129B" w:rsidRDefault="000E7169">
      <w:pPr>
        <w:pStyle w:val="TOC3"/>
        <w:rPr>
          <w:rFonts w:asciiTheme="minorHAnsi" w:eastAsiaTheme="minorEastAsia" w:hAnsiTheme="minorHAnsi" w:cstheme="minorBidi"/>
          <w:b w:val="0"/>
          <w:sz w:val="22"/>
        </w:rPr>
      </w:pPr>
      <w:hyperlink w:anchor="_Toc520896125" w:history="1">
        <w:r w:rsidR="001D129B" w:rsidRPr="006F7FA2">
          <w:rPr>
            <w:rStyle w:val="Hyperlink"/>
          </w:rPr>
          <w:t>Reference List</w:t>
        </w:r>
        <w:r w:rsidR="001D129B">
          <w:rPr>
            <w:webHidden/>
          </w:rPr>
          <w:tab/>
        </w:r>
        <w:r w:rsidR="001D129B">
          <w:rPr>
            <w:webHidden/>
          </w:rPr>
          <w:fldChar w:fldCharType="begin"/>
        </w:r>
        <w:r w:rsidR="001D129B">
          <w:rPr>
            <w:webHidden/>
          </w:rPr>
          <w:instrText xml:space="preserve"> PAGEREF _Toc520896125 \h </w:instrText>
        </w:r>
        <w:r w:rsidR="001D129B">
          <w:rPr>
            <w:webHidden/>
          </w:rPr>
        </w:r>
        <w:r w:rsidR="001D129B">
          <w:rPr>
            <w:webHidden/>
          </w:rPr>
          <w:fldChar w:fldCharType="separate"/>
        </w:r>
        <w:r w:rsidR="006B546E">
          <w:rPr>
            <w:webHidden/>
          </w:rPr>
          <w:t>19</w:t>
        </w:r>
        <w:r w:rsidR="001D129B">
          <w:rPr>
            <w:webHidden/>
          </w:rPr>
          <w:fldChar w:fldCharType="end"/>
        </w:r>
      </w:hyperlink>
    </w:p>
    <w:p w14:paraId="2647CBBB" w14:textId="77777777" w:rsidR="007F4549" w:rsidRDefault="007F4549" w:rsidP="00460D8F">
      <w:pPr>
        <w:pStyle w:val="BodyText"/>
      </w:pPr>
      <w:r>
        <w:fldChar w:fldCharType="end"/>
      </w:r>
    </w:p>
    <w:p w14:paraId="5DA6CB55" w14:textId="77777777" w:rsidR="00926073" w:rsidRDefault="00926073" w:rsidP="00C8527B">
      <w:pPr>
        <w:pStyle w:val="Title2"/>
      </w:pPr>
      <w:r>
        <w:br w:type="page"/>
      </w:r>
    </w:p>
    <w:p w14:paraId="6D24EB1F" w14:textId="1EB6960A" w:rsidR="00C8527B" w:rsidRDefault="00C8527B" w:rsidP="00C8527B">
      <w:pPr>
        <w:pStyle w:val="Title2"/>
      </w:pPr>
      <w:r>
        <w:lastRenderedPageBreak/>
        <w:t>List of Exhibits</w:t>
      </w:r>
    </w:p>
    <w:p w14:paraId="00CBE1D8" w14:textId="77777777" w:rsidR="0098152A" w:rsidRDefault="00C8527B">
      <w:pPr>
        <w:pStyle w:val="TableofFigures"/>
        <w:rPr>
          <w:rFonts w:asciiTheme="minorHAnsi" w:eastAsiaTheme="minorEastAsia" w:hAnsiTheme="minorHAnsi" w:cstheme="minorBidi"/>
          <w:sz w:val="22"/>
        </w:rPr>
      </w:pPr>
      <w:r>
        <w:rPr>
          <w:szCs w:val="24"/>
        </w:rPr>
        <w:fldChar w:fldCharType="begin"/>
      </w:r>
      <w:r>
        <w:rPr>
          <w:szCs w:val="24"/>
        </w:rPr>
        <w:instrText xml:space="preserve"> TOC \h \z \t "NORC Caption - Exhibit" \c </w:instrText>
      </w:r>
      <w:r>
        <w:rPr>
          <w:szCs w:val="24"/>
        </w:rPr>
        <w:fldChar w:fldCharType="separate"/>
      </w:r>
      <w:hyperlink w:anchor="_Toc526933196" w:history="1">
        <w:r w:rsidR="0098152A" w:rsidRPr="00A12687">
          <w:rPr>
            <w:rStyle w:val="Hyperlink"/>
            <w:b/>
          </w:rPr>
          <w:t>Exhibit 1.</w:t>
        </w:r>
        <w:r w:rsidR="0098152A">
          <w:rPr>
            <w:rFonts w:asciiTheme="minorHAnsi" w:eastAsiaTheme="minorEastAsia" w:hAnsiTheme="minorHAnsi" w:cstheme="minorBidi"/>
            <w:sz w:val="22"/>
          </w:rPr>
          <w:tab/>
        </w:r>
        <w:r w:rsidR="0098152A" w:rsidRPr="00A12687">
          <w:rPr>
            <w:rStyle w:val="Hyperlink"/>
            <w:rFonts w:eastAsia="Batang"/>
          </w:rPr>
          <w:t>Target Sample Size for the Household Survey</w:t>
        </w:r>
        <w:r w:rsidR="0098152A">
          <w:rPr>
            <w:webHidden/>
          </w:rPr>
          <w:tab/>
        </w:r>
        <w:r w:rsidR="0098152A">
          <w:rPr>
            <w:webHidden/>
          </w:rPr>
          <w:fldChar w:fldCharType="begin"/>
        </w:r>
        <w:r w:rsidR="0098152A">
          <w:rPr>
            <w:webHidden/>
          </w:rPr>
          <w:instrText xml:space="preserve"> PAGEREF _Toc526933196 \h </w:instrText>
        </w:r>
        <w:r w:rsidR="0098152A">
          <w:rPr>
            <w:webHidden/>
          </w:rPr>
        </w:r>
        <w:r w:rsidR="0098152A">
          <w:rPr>
            <w:webHidden/>
          </w:rPr>
          <w:fldChar w:fldCharType="separate"/>
        </w:r>
        <w:r w:rsidR="0098152A">
          <w:rPr>
            <w:webHidden/>
          </w:rPr>
          <w:t>3</w:t>
        </w:r>
        <w:r w:rsidR="0098152A">
          <w:rPr>
            <w:webHidden/>
          </w:rPr>
          <w:fldChar w:fldCharType="end"/>
        </w:r>
      </w:hyperlink>
    </w:p>
    <w:p w14:paraId="28A3DB76" w14:textId="77777777" w:rsidR="0098152A" w:rsidRDefault="000E7169">
      <w:pPr>
        <w:pStyle w:val="TableofFigures"/>
        <w:rPr>
          <w:rFonts w:asciiTheme="minorHAnsi" w:eastAsiaTheme="minorEastAsia" w:hAnsiTheme="minorHAnsi" w:cstheme="minorBidi"/>
          <w:sz w:val="22"/>
        </w:rPr>
      </w:pPr>
      <w:hyperlink w:anchor="_Toc526933197" w:history="1">
        <w:r w:rsidR="0098152A" w:rsidRPr="00A12687">
          <w:rPr>
            <w:rStyle w:val="Hyperlink"/>
            <w:b/>
          </w:rPr>
          <w:t>Exhibit 2.</w:t>
        </w:r>
        <w:r w:rsidR="0098152A">
          <w:rPr>
            <w:rFonts w:asciiTheme="minorHAnsi" w:eastAsiaTheme="minorEastAsia" w:hAnsiTheme="minorHAnsi" w:cstheme="minorBidi"/>
            <w:sz w:val="22"/>
          </w:rPr>
          <w:tab/>
        </w:r>
        <w:r w:rsidR="0098152A" w:rsidRPr="00A12687">
          <w:rPr>
            <w:rStyle w:val="Hyperlink"/>
            <w:rFonts w:eastAsia="Batang"/>
            <w:bCs/>
            <w:lang w:eastAsia="ko-KR"/>
          </w:rPr>
          <w:t>Target Sample Sizes for the Center- and Listed Home-based Provider Surveys</w:t>
        </w:r>
        <w:r w:rsidR="0098152A">
          <w:rPr>
            <w:webHidden/>
          </w:rPr>
          <w:tab/>
        </w:r>
        <w:r w:rsidR="0098152A">
          <w:rPr>
            <w:webHidden/>
          </w:rPr>
          <w:fldChar w:fldCharType="begin"/>
        </w:r>
        <w:r w:rsidR="0098152A">
          <w:rPr>
            <w:webHidden/>
          </w:rPr>
          <w:instrText xml:space="preserve"> PAGEREF _Toc526933197 \h </w:instrText>
        </w:r>
        <w:r w:rsidR="0098152A">
          <w:rPr>
            <w:webHidden/>
          </w:rPr>
        </w:r>
        <w:r w:rsidR="0098152A">
          <w:rPr>
            <w:webHidden/>
          </w:rPr>
          <w:fldChar w:fldCharType="separate"/>
        </w:r>
        <w:r w:rsidR="0098152A">
          <w:rPr>
            <w:webHidden/>
          </w:rPr>
          <w:t>5</w:t>
        </w:r>
        <w:r w:rsidR="0098152A">
          <w:rPr>
            <w:webHidden/>
          </w:rPr>
          <w:fldChar w:fldCharType="end"/>
        </w:r>
      </w:hyperlink>
    </w:p>
    <w:p w14:paraId="3126F5FE" w14:textId="77777777" w:rsidR="0098152A" w:rsidRDefault="000E7169">
      <w:pPr>
        <w:pStyle w:val="TableofFigures"/>
        <w:rPr>
          <w:rFonts w:asciiTheme="minorHAnsi" w:eastAsiaTheme="minorEastAsia" w:hAnsiTheme="minorHAnsi" w:cstheme="minorBidi"/>
          <w:sz w:val="22"/>
        </w:rPr>
      </w:pPr>
      <w:hyperlink w:anchor="_Toc526933198" w:history="1">
        <w:r w:rsidR="0098152A" w:rsidRPr="00A12687">
          <w:rPr>
            <w:rStyle w:val="Hyperlink"/>
            <w:b/>
          </w:rPr>
          <w:t>Exhibit 3.</w:t>
        </w:r>
        <w:r w:rsidR="0098152A">
          <w:rPr>
            <w:rFonts w:asciiTheme="minorHAnsi" w:eastAsiaTheme="minorEastAsia" w:hAnsiTheme="minorHAnsi" w:cstheme="minorBidi"/>
            <w:sz w:val="22"/>
          </w:rPr>
          <w:tab/>
        </w:r>
        <w:r w:rsidR="0098152A" w:rsidRPr="00A12687">
          <w:rPr>
            <w:rStyle w:val="Hyperlink"/>
            <w:rFonts w:eastAsia="Batang"/>
            <w:bCs/>
            <w:lang w:eastAsia="ko-KR"/>
          </w:rPr>
          <w:t>Target Sample Size for the Classroom Staff (Workforce) Survey</w:t>
        </w:r>
        <w:r w:rsidR="0098152A">
          <w:rPr>
            <w:webHidden/>
          </w:rPr>
          <w:tab/>
        </w:r>
        <w:r w:rsidR="0098152A">
          <w:rPr>
            <w:webHidden/>
          </w:rPr>
          <w:fldChar w:fldCharType="begin"/>
        </w:r>
        <w:r w:rsidR="0098152A">
          <w:rPr>
            <w:webHidden/>
          </w:rPr>
          <w:instrText xml:space="preserve"> PAGEREF _Toc526933198 \h </w:instrText>
        </w:r>
        <w:r w:rsidR="0098152A">
          <w:rPr>
            <w:webHidden/>
          </w:rPr>
        </w:r>
        <w:r w:rsidR="0098152A">
          <w:rPr>
            <w:webHidden/>
          </w:rPr>
          <w:fldChar w:fldCharType="separate"/>
        </w:r>
        <w:r w:rsidR="0098152A">
          <w:rPr>
            <w:webHidden/>
          </w:rPr>
          <w:t>7</w:t>
        </w:r>
        <w:r w:rsidR="0098152A">
          <w:rPr>
            <w:webHidden/>
          </w:rPr>
          <w:fldChar w:fldCharType="end"/>
        </w:r>
      </w:hyperlink>
    </w:p>
    <w:p w14:paraId="3EB7D220" w14:textId="77777777" w:rsidR="0098152A" w:rsidRDefault="000E7169">
      <w:pPr>
        <w:pStyle w:val="TableofFigures"/>
        <w:rPr>
          <w:rFonts w:asciiTheme="minorHAnsi" w:eastAsiaTheme="minorEastAsia" w:hAnsiTheme="minorHAnsi" w:cstheme="minorBidi"/>
          <w:sz w:val="22"/>
        </w:rPr>
      </w:pPr>
      <w:hyperlink w:anchor="_Toc526933199" w:history="1">
        <w:r w:rsidR="0098152A" w:rsidRPr="00A12687">
          <w:rPr>
            <w:rStyle w:val="Hyperlink"/>
            <w:b/>
          </w:rPr>
          <w:t>Exhibit 4.</w:t>
        </w:r>
        <w:r w:rsidR="0098152A">
          <w:rPr>
            <w:rFonts w:asciiTheme="minorHAnsi" w:eastAsiaTheme="minorEastAsia" w:hAnsiTheme="minorHAnsi" w:cstheme="minorBidi"/>
            <w:sz w:val="22"/>
          </w:rPr>
          <w:tab/>
        </w:r>
        <w:r w:rsidR="0098152A" w:rsidRPr="00A12687">
          <w:rPr>
            <w:rStyle w:val="Hyperlink"/>
          </w:rPr>
          <w:t>2012 NSECE Center-based Provider Response Rates by Phase of Data Collection Outreach</w:t>
        </w:r>
        <w:r w:rsidR="0098152A">
          <w:rPr>
            <w:webHidden/>
          </w:rPr>
          <w:tab/>
        </w:r>
        <w:r w:rsidR="0098152A">
          <w:rPr>
            <w:webHidden/>
          </w:rPr>
          <w:fldChar w:fldCharType="begin"/>
        </w:r>
        <w:r w:rsidR="0098152A">
          <w:rPr>
            <w:webHidden/>
          </w:rPr>
          <w:instrText xml:space="preserve"> PAGEREF _Toc526933199 \h </w:instrText>
        </w:r>
        <w:r w:rsidR="0098152A">
          <w:rPr>
            <w:webHidden/>
          </w:rPr>
        </w:r>
        <w:r w:rsidR="0098152A">
          <w:rPr>
            <w:webHidden/>
          </w:rPr>
          <w:fldChar w:fldCharType="separate"/>
        </w:r>
        <w:r w:rsidR="0098152A">
          <w:rPr>
            <w:webHidden/>
          </w:rPr>
          <w:t>9</w:t>
        </w:r>
        <w:r w:rsidR="0098152A">
          <w:rPr>
            <w:webHidden/>
          </w:rPr>
          <w:fldChar w:fldCharType="end"/>
        </w:r>
      </w:hyperlink>
    </w:p>
    <w:p w14:paraId="2D04E457" w14:textId="77777777" w:rsidR="0098152A" w:rsidRDefault="000E7169">
      <w:pPr>
        <w:pStyle w:val="TableofFigures"/>
        <w:rPr>
          <w:rFonts w:asciiTheme="minorHAnsi" w:eastAsiaTheme="minorEastAsia" w:hAnsiTheme="minorHAnsi" w:cstheme="minorBidi"/>
          <w:sz w:val="22"/>
        </w:rPr>
      </w:pPr>
      <w:hyperlink w:anchor="_Toc526933200" w:history="1">
        <w:r w:rsidR="0098152A" w:rsidRPr="00A12687">
          <w:rPr>
            <w:rStyle w:val="Hyperlink"/>
            <w:b/>
          </w:rPr>
          <w:t>Exhibit 5.</w:t>
        </w:r>
        <w:r w:rsidR="0098152A">
          <w:rPr>
            <w:rFonts w:asciiTheme="minorHAnsi" w:eastAsiaTheme="minorEastAsia" w:hAnsiTheme="minorHAnsi" w:cstheme="minorBidi"/>
            <w:sz w:val="22"/>
          </w:rPr>
          <w:tab/>
        </w:r>
        <w:r w:rsidR="0098152A" w:rsidRPr="00A12687">
          <w:rPr>
            <w:rStyle w:val="Hyperlink"/>
          </w:rPr>
          <w:t xml:space="preserve">2012 NSECE (Listed) Home-based Provider Response Rates by Phase of Data Collection Outreach </w:t>
        </w:r>
        <w:r w:rsidR="0098152A">
          <w:rPr>
            <w:webHidden/>
          </w:rPr>
          <w:tab/>
        </w:r>
        <w:r w:rsidR="0098152A">
          <w:rPr>
            <w:webHidden/>
          </w:rPr>
          <w:fldChar w:fldCharType="begin"/>
        </w:r>
        <w:r w:rsidR="0098152A">
          <w:rPr>
            <w:webHidden/>
          </w:rPr>
          <w:instrText xml:space="preserve"> PAGEREF _Toc526933200 \h </w:instrText>
        </w:r>
        <w:r w:rsidR="0098152A">
          <w:rPr>
            <w:webHidden/>
          </w:rPr>
        </w:r>
        <w:r w:rsidR="0098152A">
          <w:rPr>
            <w:webHidden/>
          </w:rPr>
          <w:fldChar w:fldCharType="separate"/>
        </w:r>
        <w:r w:rsidR="0098152A">
          <w:rPr>
            <w:webHidden/>
          </w:rPr>
          <w:t>9</w:t>
        </w:r>
        <w:r w:rsidR="0098152A">
          <w:rPr>
            <w:webHidden/>
          </w:rPr>
          <w:fldChar w:fldCharType="end"/>
        </w:r>
      </w:hyperlink>
    </w:p>
    <w:p w14:paraId="2FB89D25" w14:textId="77777777" w:rsidR="0098152A" w:rsidRDefault="000E7169">
      <w:pPr>
        <w:pStyle w:val="TableofFigures"/>
        <w:rPr>
          <w:rFonts w:asciiTheme="minorHAnsi" w:eastAsiaTheme="minorEastAsia" w:hAnsiTheme="minorHAnsi" w:cstheme="minorBidi"/>
          <w:sz w:val="22"/>
        </w:rPr>
      </w:pPr>
      <w:hyperlink w:anchor="_Toc526933201" w:history="1">
        <w:r w:rsidR="0098152A" w:rsidRPr="00A12687">
          <w:rPr>
            <w:rStyle w:val="Hyperlink"/>
            <w:b/>
          </w:rPr>
          <w:t>Exhibit 6.</w:t>
        </w:r>
        <w:r w:rsidR="0098152A">
          <w:rPr>
            <w:rFonts w:asciiTheme="minorHAnsi" w:eastAsiaTheme="minorEastAsia" w:hAnsiTheme="minorHAnsi" w:cstheme="minorBidi"/>
            <w:sz w:val="22"/>
          </w:rPr>
          <w:tab/>
        </w:r>
        <w:r w:rsidR="0098152A" w:rsidRPr="00A12687">
          <w:rPr>
            <w:rStyle w:val="Hyperlink"/>
            <w:rFonts w:eastAsia="Batang"/>
          </w:rPr>
          <w:t>Household Screener Eligibility Criteria</w:t>
        </w:r>
        <w:r w:rsidR="0098152A">
          <w:rPr>
            <w:webHidden/>
          </w:rPr>
          <w:tab/>
        </w:r>
        <w:r w:rsidR="0098152A">
          <w:rPr>
            <w:webHidden/>
          </w:rPr>
          <w:fldChar w:fldCharType="begin"/>
        </w:r>
        <w:r w:rsidR="0098152A">
          <w:rPr>
            <w:webHidden/>
          </w:rPr>
          <w:instrText xml:space="preserve"> PAGEREF _Toc526933201 \h </w:instrText>
        </w:r>
        <w:r w:rsidR="0098152A">
          <w:rPr>
            <w:webHidden/>
          </w:rPr>
        </w:r>
        <w:r w:rsidR="0098152A">
          <w:rPr>
            <w:webHidden/>
          </w:rPr>
          <w:fldChar w:fldCharType="separate"/>
        </w:r>
        <w:r w:rsidR="0098152A">
          <w:rPr>
            <w:webHidden/>
          </w:rPr>
          <w:t>10</w:t>
        </w:r>
        <w:r w:rsidR="0098152A">
          <w:rPr>
            <w:webHidden/>
          </w:rPr>
          <w:fldChar w:fldCharType="end"/>
        </w:r>
      </w:hyperlink>
    </w:p>
    <w:p w14:paraId="58716F7A" w14:textId="77777777" w:rsidR="0098152A" w:rsidRDefault="000E7169">
      <w:pPr>
        <w:pStyle w:val="TableofFigures"/>
        <w:rPr>
          <w:rFonts w:asciiTheme="minorHAnsi" w:eastAsiaTheme="minorEastAsia" w:hAnsiTheme="minorHAnsi" w:cstheme="minorBidi"/>
          <w:sz w:val="22"/>
        </w:rPr>
      </w:pPr>
      <w:hyperlink w:anchor="_Toc526933202" w:history="1">
        <w:r w:rsidR="0098152A" w:rsidRPr="00A12687">
          <w:rPr>
            <w:rStyle w:val="Hyperlink"/>
            <w:b/>
          </w:rPr>
          <w:t>Exhibit 7.</w:t>
        </w:r>
        <w:r w:rsidR="0098152A">
          <w:rPr>
            <w:rFonts w:asciiTheme="minorHAnsi" w:eastAsiaTheme="minorEastAsia" w:hAnsiTheme="minorHAnsi" w:cstheme="minorBidi"/>
            <w:sz w:val="22"/>
          </w:rPr>
          <w:tab/>
        </w:r>
        <w:r w:rsidR="0098152A" w:rsidRPr="00A12687">
          <w:rPr>
            <w:rStyle w:val="Hyperlink"/>
          </w:rPr>
          <w:t>2012 NSECE Household Respondents</w:t>
        </w:r>
        <w:r w:rsidR="0098152A">
          <w:rPr>
            <w:webHidden/>
          </w:rPr>
          <w:tab/>
        </w:r>
        <w:r w:rsidR="0098152A">
          <w:rPr>
            <w:webHidden/>
          </w:rPr>
          <w:fldChar w:fldCharType="begin"/>
        </w:r>
        <w:r w:rsidR="0098152A">
          <w:rPr>
            <w:webHidden/>
          </w:rPr>
          <w:instrText xml:space="preserve"> PAGEREF _Toc526933202 \h </w:instrText>
        </w:r>
        <w:r w:rsidR="0098152A">
          <w:rPr>
            <w:webHidden/>
          </w:rPr>
        </w:r>
        <w:r w:rsidR="0098152A">
          <w:rPr>
            <w:webHidden/>
          </w:rPr>
          <w:fldChar w:fldCharType="separate"/>
        </w:r>
        <w:r w:rsidR="0098152A">
          <w:rPr>
            <w:webHidden/>
          </w:rPr>
          <w:t>15</w:t>
        </w:r>
        <w:r w:rsidR="0098152A">
          <w:rPr>
            <w:webHidden/>
          </w:rPr>
          <w:fldChar w:fldCharType="end"/>
        </w:r>
      </w:hyperlink>
    </w:p>
    <w:p w14:paraId="12CE8FC3" w14:textId="77777777" w:rsidR="0098152A" w:rsidRDefault="000E7169">
      <w:pPr>
        <w:pStyle w:val="TableofFigures"/>
        <w:rPr>
          <w:rFonts w:asciiTheme="minorHAnsi" w:eastAsiaTheme="minorEastAsia" w:hAnsiTheme="minorHAnsi" w:cstheme="minorBidi"/>
          <w:sz w:val="22"/>
        </w:rPr>
      </w:pPr>
      <w:hyperlink w:anchor="_Toc526933203" w:history="1">
        <w:r w:rsidR="0098152A" w:rsidRPr="00A12687">
          <w:rPr>
            <w:rStyle w:val="Hyperlink"/>
            <w:b/>
          </w:rPr>
          <w:t>Exhibit 8.</w:t>
        </w:r>
        <w:r w:rsidR="0098152A">
          <w:rPr>
            <w:rFonts w:asciiTheme="minorHAnsi" w:eastAsiaTheme="minorEastAsia" w:hAnsiTheme="minorHAnsi" w:cstheme="minorBidi"/>
            <w:sz w:val="22"/>
          </w:rPr>
          <w:tab/>
        </w:r>
        <w:r w:rsidR="0098152A" w:rsidRPr="00A12687">
          <w:rPr>
            <w:rStyle w:val="Hyperlink"/>
          </w:rPr>
          <w:t>Level of Effort for Household Survey Completion by Race for Respondents below the Poverty Line</w:t>
        </w:r>
        <w:r w:rsidR="0098152A">
          <w:rPr>
            <w:webHidden/>
          </w:rPr>
          <w:tab/>
        </w:r>
        <w:r w:rsidR="0098152A">
          <w:rPr>
            <w:webHidden/>
          </w:rPr>
          <w:fldChar w:fldCharType="begin"/>
        </w:r>
        <w:r w:rsidR="0098152A">
          <w:rPr>
            <w:webHidden/>
          </w:rPr>
          <w:instrText xml:space="preserve"> PAGEREF _Toc526933203 \h </w:instrText>
        </w:r>
        <w:r w:rsidR="0098152A">
          <w:rPr>
            <w:webHidden/>
          </w:rPr>
        </w:r>
        <w:r w:rsidR="0098152A">
          <w:rPr>
            <w:webHidden/>
          </w:rPr>
          <w:fldChar w:fldCharType="separate"/>
        </w:r>
        <w:r w:rsidR="0098152A">
          <w:rPr>
            <w:webHidden/>
          </w:rPr>
          <w:t>16</w:t>
        </w:r>
        <w:r w:rsidR="0098152A">
          <w:rPr>
            <w:webHidden/>
          </w:rPr>
          <w:fldChar w:fldCharType="end"/>
        </w:r>
      </w:hyperlink>
    </w:p>
    <w:p w14:paraId="604A7E90" w14:textId="4D30156A" w:rsidR="00460D8F" w:rsidRDefault="00C8527B" w:rsidP="00C8527B">
      <w:pPr>
        <w:spacing w:after="0"/>
        <w:ind w:left="0"/>
      </w:pPr>
      <w:r>
        <w:rPr>
          <w:szCs w:val="24"/>
        </w:rPr>
        <w:fldChar w:fldCharType="end"/>
      </w:r>
      <w:r w:rsidR="00460D8F">
        <w:br w:type="page"/>
      </w:r>
    </w:p>
    <w:p w14:paraId="00D0498B" w14:textId="7D862BFA" w:rsidR="0017503E" w:rsidRPr="00AF100A" w:rsidRDefault="0017503E" w:rsidP="00EB6994">
      <w:pPr>
        <w:pStyle w:val="Title2"/>
      </w:pPr>
      <w:r w:rsidRPr="00AF100A">
        <w:t>Table of Attachments</w:t>
      </w:r>
    </w:p>
    <w:tbl>
      <w:tblPr>
        <w:tblStyle w:val="TableGrid"/>
        <w:tblW w:w="9445" w:type="dxa"/>
        <w:tblLayout w:type="fixed"/>
        <w:tblLook w:val="04A0" w:firstRow="1" w:lastRow="0" w:firstColumn="1" w:lastColumn="0" w:noHBand="0" w:noVBand="1"/>
      </w:tblPr>
      <w:tblGrid>
        <w:gridCol w:w="8005"/>
        <w:gridCol w:w="1440"/>
      </w:tblGrid>
      <w:tr w:rsidR="000C2EDD" w:rsidRPr="00AF100A" w14:paraId="41BAC91B" w14:textId="77777777" w:rsidTr="000C2EDD">
        <w:tc>
          <w:tcPr>
            <w:tcW w:w="8005" w:type="dxa"/>
            <w:shd w:val="clear" w:color="auto" w:fill="BFB6AC"/>
            <w:vAlign w:val="bottom"/>
          </w:tcPr>
          <w:p w14:paraId="23F28ED1" w14:textId="77777777" w:rsidR="000C2EDD" w:rsidRPr="00AF100A" w:rsidRDefault="000C2EDD" w:rsidP="000C2EDD">
            <w:pPr>
              <w:ind w:left="0"/>
              <w:rPr>
                <w:b/>
              </w:rPr>
            </w:pPr>
            <w:r w:rsidRPr="00AF100A">
              <w:rPr>
                <w:b/>
              </w:rPr>
              <w:t>Supporting Document</w:t>
            </w:r>
          </w:p>
        </w:tc>
        <w:tc>
          <w:tcPr>
            <w:tcW w:w="1440" w:type="dxa"/>
            <w:shd w:val="clear" w:color="auto" w:fill="BFB6AC"/>
            <w:vAlign w:val="bottom"/>
          </w:tcPr>
          <w:p w14:paraId="2B5D9F73" w14:textId="77777777" w:rsidR="000C2EDD" w:rsidRPr="00AF100A" w:rsidRDefault="000C2EDD" w:rsidP="000C2EDD">
            <w:pPr>
              <w:ind w:left="0"/>
              <w:rPr>
                <w:b/>
              </w:rPr>
            </w:pPr>
            <w:r w:rsidRPr="00AF100A">
              <w:rPr>
                <w:b/>
              </w:rPr>
              <w:t>Attachment</w:t>
            </w:r>
          </w:p>
        </w:tc>
      </w:tr>
      <w:tr w:rsidR="000C2EDD" w:rsidRPr="00AF100A" w14:paraId="5F940CB6" w14:textId="77777777" w:rsidTr="000C2EDD">
        <w:tc>
          <w:tcPr>
            <w:tcW w:w="8005" w:type="dxa"/>
            <w:vAlign w:val="bottom"/>
          </w:tcPr>
          <w:p w14:paraId="35C1F1D7" w14:textId="77F3A28B" w:rsidR="000C2EDD" w:rsidRPr="00AF100A" w:rsidRDefault="00766848" w:rsidP="000C2EDD">
            <w:pPr>
              <w:ind w:left="0"/>
            </w:pPr>
            <w:r>
              <w:t xml:space="preserve">2019 NSECE </w:t>
            </w:r>
            <w:r w:rsidRPr="00AF100A">
              <w:t xml:space="preserve">Center-based </w:t>
            </w:r>
            <w:r>
              <w:t>Provider Questionnaire</w:t>
            </w:r>
            <w:r w:rsidRPr="00AF100A">
              <w:t xml:space="preserve"> Items - Overview and Comparison </w:t>
            </w:r>
          </w:p>
        </w:tc>
        <w:tc>
          <w:tcPr>
            <w:tcW w:w="1440" w:type="dxa"/>
            <w:vAlign w:val="bottom"/>
          </w:tcPr>
          <w:p w14:paraId="6C67A78F" w14:textId="77777777" w:rsidR="000C2EDD" w:rsidRPr="00AF100A" w:rsidRDefault="000C2EDD" w:rsidP="000C2EDD">
            <w:pPr>
              <w:ind w:left="0"/>
              <w:jc w:val="center"/>
            </w:pPr>
            <w:r>
              <w:t>1</w:t>
            </w:r>
          </w:p>
        </w:tc>
      </w:tr>
      <w:tr w:rsidR="000C2EDD" w:rsidRPr="00AF100A" w14:paraId="41A79998" w14:textId="77777777" w:rsidTr="000C2EDD">
        <w:tc>
          <w:tcPr>
            <w:tcW w:w="8005" w:type="dxa"/>
            <w:vAlign w:val="bottom"/>
          </w:tcPr>
          <w:p w14:paraId="4DB89462" w14:textId="5265AB10" w:rsidR="000C2EDD" w:rsidRPr="00AF100A" w:rsidRDefault="000C2EDD" w:rsidP="000C2EDD">
            <w:pPr>
              <w:ind w:left="0"/>
            </w:pPr>
            <w:r>
              <w:t xml:space="preserve">2019 NSECE </w:t>
            </w:r>
            <w:r w:rsidRPr="00AF100A">
              <w:t xml:space="preserve">Center-based </w:t>
            </w:r>
            <w:r w:rsidR="00B721FC">
              <w:t xml:space="preserve">Provider </w:t>
            </w:r>
            <w:r w:rsidR="00243FBE">
              <w:t xml:space="preserve">Screener and </w:t>
            </w:r>
            <w:r>
              <w:t>Questionnaire</w:t>
            </w:r>
            <w:r w:rsidRPr="00AF100A">
              <w:t xml:space="preserve"> </w:t>
            </w:r>
          </w:p>
        </w:tc>
        <w:tc>
          <w:tcPr>
            <w:tcW w:w="1440" w:type="dxa"/>
            <w:vAlign w:val="bottom"/>
          </w:tcPr>
          <w:p w14:paraId="3D214D84" w14:textId="77777777" w:rsidR="000C2EDD" w:rsidRPr="00AF100A" w:rsidRDefault="000C2EDD" w:rsidP="000C2EDD">
            <w:pPr>
              <w:ind w:left="0"/>
              <w:jc w:val="center"/>
            </w:pPr>
            <w:r>
              <w:t>2</w:t>
            </w:r>
          </w:p>
        </w:tc>
      </w:tr>
      <w:tr w:rsidR="000C2EDD" w:rsidRPr="00AF100A" w14:paraId="73EDD651" w14:textId="77777777" w:rsidTr="000C2EDD">
        <w:tc>
          <w:tcPr>
            <w:tcW w:w="8005" w:type="dxa"/>
            <w:vAlign w:val="bottom"/>
          </w:tcPr>
          <w:p w14:paraId="55BC317C" w14:textId="7C6104EE" w:rsidR="000C2EDD" w:rsidRPr="00AF100A" w:rsidRDefault="000C2EDD" w:rsidP="00DE07D3">
            <w:pPr>
              <w:ind w:left="0"/>
            </w:pPr>
            <w:r>
              <w:t xml:space="preserve">2019 NSECE </w:t>
            </w:r>
            <w:r w:rsidRPr="00AF100A">
              <w:t xml:space="preserve">Home-based </w:t>
            </w:r>
            <w:r w:rsidR="00A0405A">
              <w:t xml:space="preserve">Provider </w:t>
            </w:r>
            <w:r>
              <w:t>Questionnaire</w:t>
            </w:r>
            <w:r w:rsidRPr="00AF100A">
              <w:t xml:space="preserve"> Items - Overview and Comparison</w:t>
            </w:r>
            <w:r>
              <w:t xml:space="preserve"> </w:t>
            </w:r>
          </w:p>
        </w:tc>
        <w:tc>
          <w:tcPr>
            <w:tcW w:w="1440" w:type="dxa"/>
            <w:vAlign w:val="bottom"/>
          </w:tcPr>
          <w:p w14:paraId="2FC35703" w14:textId="77777777" w:rsidR="000C2EDD" w:rsidRPr="00AF100A" w:rsidRDefault="000C2EDD" w:rsidP="000C2EDD">
            <w:pPr>
              <w:ind w:left="0"/>
              <w:jc w:val="center"/>
            </w:pPr>
            <w:r>
              <w:t>3</w:t>
            </w:r>
          </w:p>
        </w:tc>
      </w:tr>
      <w:tr w:rsidR="000C2EDD" w:rsidRPr="00AF100A" w14:paraId="4123F378" w14:textId="77777777" w:rsidTr="000C2EDD">
        <w:tc>
          <w:tcPr>
            <w:tcW w:w="8005" w:type="dxa"/>
            <w:vAlign w:val="bottom"/>
          </w:tcPr>
          <w:p w14:paraId="0643E587" w14:textId="5083927A" w:rsidR="000C2EDD" w:rsidRPr="00AF100A" w:rsidRDefault="000C2EDD" w:rsidP="00DE07D3">
            <w:pPr>
              <w:ind w:left="0"/>
            </w:pPr>
            <w:r>
              <w:t>2019 NSECE</w:t>
            </w:r>
            <w:r w:rsidR="00A0405A">
              <w:t xml:space="preserve"> </w:t>
            </w:r>
            <w:r w:rsidRPr="00AF100A">
              <w:t xml:space="preserve">Home-based </w:t>
            </w:r>
            <w:r w:rsidR="00A0405A">
              <w:t>Provider</w:t>
            </w:r>
            <w:r w:rsidR="00243FBE">
              <w:t xml:space="preserve"> Screener and</w:t>
            </w:r>
            <w:r w:rsidR="00A0405A">
              <w:t xml:space="preserve"> </w:t>
            </w:r>
            <w:r>
              <w:t>Questionnaire</w:t>
            </w:r>
            <w:r w:rsidRPr="009854CC">
              <w:rPr>
                <w:i/>
              </w:rPr>
              <w:t xml:space="preserve"> </w:t>
            </w:r>
          </w:p>
        </w:tc>
        <w:tc>
          <w:tcPr>
            <w:tcW w:w="1440" w:type="dxa"/>
            <w:vAlign w:val="bottom"/>
          </w:tcPr>
          <w:p w14:paraId="75C92882" w14:textId="43221742" w:rsidR="000C2EDD" w:rsidRPr="00AF100A" w:rsidRDefault="000C2EDD" w:rsidP="000C2EDD">
            <w:pPr>
              <w:ind w:left="0"/>
              <w:jc w:val="center"/>
            </w:pPr>
            <w:r>
              <w:t>4</w:t>
            </w:r>
            <w:r w:rsidR="00562803">
              <w:t>a</w:t>
            </w:r>
          </w:p>
        </w:tc>
      </w:tr>
      <w:tr w:rsidR="00562803" w:rsidRPr="00AF100A" w14:paraId="4D7045E0" w14:textId="77777777" w:rsidTr="000C2EDD">
        <w:tc>
          <w:tcPr>
            <w:tcW w:w="8005" w:type="dxa"/>
            <w:vAlign w:val="bottom"/>
          </w:tcPr>
          <w:p w14:paraId="68344DE2" w14:textId="0CBF5471" w:rsidR="00562803" w:rsidRPr="00562803" w:rsidRDefault="00562803" w:rsidP="00562803">
            <w:pPr>
              <w:ind w:left="0"/>
            </w:pPr>
            <w:r>
              <w:t xml:space="preserve">2019 NSECE </w:t>
            </w:r>
            <w:r w:rsidRPr="00AF100A">
              <w:t xml:space="preserve">Home-based </w:t>
            </w:r>
            <w:r>
              <w:t xml:space="preserve">Provider </w:t>
            </w:r>
            <w:r w:rsidR="00243FBE">
              <w:t xml:space="preserve">Screener and </w:t>
            </w:r>
            <w:r>
              <w:t>Questionnaire</w:t>
            </w:r>
            <w:r w:rsidRPr="009854CC">
              <w:rPr>
                <w:i/>
              </w:rPr>
              <w:t xml:space="preserve"> </w:t>
            </w:r>
            <w:r>
              <w:t>(Spanish)</w:t>
            </w:r>
          </w:p>
        </w:tc>
        <w:tc>
          <w:tcPr>
            <w:tcW w:w="1440" w:type="dxa"/>
            <w:vAlign w:val="bottom"/>
          </w:tcPr>
          <w:p w14:paraId="399CBFA1" w14:textId="1E0319C3" w:rsidR="00562803" w:rsidRDefault="00562803" w:rsidP="00562803">
            <w:pPr>
              <w:ind w:left="0"/>
              <w:jc w:val="center"/>
            </w:pPr>
            <w:r>
              <w:t>4b</w:t>
            </w:r>
          </w:p>
        </w:tc>
      </w:tr>
      <w:tr w:rsidR="000C2EDD" w:rsidRPr="00AF100A" w14:paraId="58475557" w14:textId="77777777" w:rsidTr="000C2EDD">
        <w:tc>
          <w:tcPr>
            <w:tcW w:w="8005" w:type="dxa"/>
            <w:vAlign w:val="bottom"/>
          </w:tcPr>
          <w:p w14:paraId="1B402055" w14:textId="2A1B2FA3" w:rsidR="000C2EDD" w:rsidRPr="00AF100A" w:rsidRDefault="00766848" w:rsidP="000C2EDD">
            <w:pPr>
              <w:ind w:left="0"/>
            </w:pPr>
            <w:r>
              <w:t xml:space="preserve">2019 NSECE </w:t>
            </w:r>
            <w:r w:rsidRPr="00AF100A">
              <w:t xml:space="preserve">Classroom Staff (Workforce) </w:t>
            </w:r>
            <w:r>
              <w:t>Questionnaire</w:t>
            </w:r>
            <w:r w:rsidRPr="00AF100A">
              <w:t xml:space="preserve"> Items - Overview and Comparison</w:t>
            </w:r>
            <w:r w:rsidDel="00826202">
              <w:t xml:space="preserve"> </w:t>
            </w:r>
          </w:p>
        </w:tc>
        <w:tc>
          <w:tcPr>
            <w:tcW w:w="1440" w:type="dxa"/>
            <w:vAlign w:val="bottom"/>
          </w:tcPr>
          <w:p w14:paraId="06251946" w14:textId="77777777" w:rsidR="000C2EDD" w:rsidRPr="00AF100A" w:rsidRDefault="000C2EDD" w:rsidP="000C2EDD">
            <w:pPr>
              <w:ind w:left="0"/>
              <w:jc w:val="center"/>
            </w:pPr>
            <w:r>
              <w:t>5</w:t>
            </w:r>
          </w:p>
        </w:tc>
      </w:tr>
      <w:tr w:rsidR="000C2EDD" w:rsidRPr="00AF100A" w14:paraId="63CF62E6" w14:textId="77777777" w:rsidTr="000C2EDD">
        <w:tc>
          <w:tcPr>
            <w:tcW w:w="8005" w:type="dxa"/>
            <w:vAlign w:val="bottom"/>
          </w:tcPr>
          <w:p w14:paraId="43A1CC50" w14:textId="77777777" w:rsidR="000C2EDD" w:rsidRPr="00AF100A" w:rsidRDefault="000C2EDD" w:rsidP="000C2EDD">
            <w:pPr>
              <w:ind w:left="0"/>
            </w:pPr>
            <w:r>
              <w:t xml:space="preserve">2019 NSECE </w:t>
            </w:r>
            <w:r w:rsidRPr="00AF100A">
              <w:t xml:space="preserve">Classroom Staff (Workforce) </w:t>
            </w:r>
            <w:r>
              <w:t>Questionnaire</w:t>
            </w:r>
          </w:p>
        </w:tc>
        <w:tc>
          <w:tcPr>
            <w:tcW w:w="1440" w:type="dxa"/>
            <w:vAlign w:val="bottom"/>
          </w:tcPr>
          <w:p w14:paraId="3127ED82" w14:textId="1A039082" w:rsidR="000C2EDD" w:rsidRPr="00AF100A" w:rsidRDefault="000C2EDD" w:rsidP="000C2EDD">
            <w:pPr>
              <w:ind w:left="0"/>
              <w:jc w:val="center"/>
            </w:pPr>
            <w:r>
              <w:t>6</w:t>
            </w:r>
            <w:r w:rsidR="004A5074">
              <w:t>a</w:t>
            </w:r>
          </w:p>
        </w:tc>
      </w:tr>
      <w:tr w:rsidR="004A5074" w:rsidRPr="00AF100A" w14:paraId="541C1CA2" w14:textId="77777777" w:rsidTr="000C2EDD">
        <w:tc>
          <w:tcPr>
            <w:tcW w:w="8005" w:type="dxa"/>
            <w:vAlign w:val="bottom"/>
          </w:tcPr>
          <w:p w14:paraId="741C5158" w14:textId="3EBC638A" w:rsidR="004A5074" w:rsidRDefault="004A5074" w:rsidP="004A5074">
            <w:pPr>
              <w:ind w:left="0"/>
            </w:pPr>
            <w:r>
              <w:t xml:space="preserve">2019 NSECE </w:t>
            </w:r>
            <w:r w:rsidRPr="00AF100A">
              <w:t xml:space="preserve">Classroom Staff (Workforce) </w:t>
            </w:r>
            <w:r>
              <w:t>Questionnaire (Spanish)</w:t>
            </w:r>
          </w:p>
        </w:tc>
        <w:tc>
          <w:tcPr>
            <w:tcW w:w="1440" w:type="dxa"/>
            <w:vAlign w:val="bottom"/>
          </w:tcPr>
          <w:p w14:paraId="7D6984E4" w14:textId="15CB9914" w:rsidR="004A5074" w:rsidRDefault="004A5074" w:rsidP="004A5074">
            <w:pPr>
              <w:ind w:left="0"/>
              <w:jc w:val="center"/>
            </w:pPr>
            <w:r>
              <w:t>6b</w:t>
            </w:r>
          </w:p>
        </w:tc>
      </w:tr>
      <w:tr w:rsidR="000C2EDD" w:rsidRPr="00AF100A" w14:paraId="6FCFFBB8" w14:textId="77777777" w:rsidTr="000C2EDD">
        <w:tc>
          <w:tcPr>
            <w:tcW w:w="8005" w:type="dxa"/>
            <w:vAlign w:val="bottom"/>
          </w:tcPr>
          <w:p w14:paraId="2612071E" w14:textId="2B7F9AAB" w:rsidR="000C2EDD" w:rsidRPr="00AF100A" w:rsidRDefault="00826202" w:rsidP="000C2EDD">
            <w:pPr>
              <w:ind w:left="0"/>
            </w:pPr>
            <w:r>
              <w:t xml:space="preserve">2019 NSECE </w:t>
            </w:r>
            <w:r w:rsidRPr="00AF100A">
              <w:t xml:space="preserve">Center-based </w:t>
            </w:r>
            <w:r>
              <w:t xml:space="preserve">Provider Survey </w:t>
            </w:r>
            <w:r w:rsidRPr="00AF100A">
              <w:t>Contact Materials</w:t>
            </w:r>
          </w:p>
        </w:tc>
        <w:tc>
          <w:tcPr>
            <w:tcW w:w="1440" w:type="dxa"/>
            <w:vAlign w:val="bottom"/>
          </w:tcPr>
          <w:p w14:paraId="1CA7E384" w14:textId="2A57557D" w:rsidR="000C2EDD" w:rsidRPr="00AF100A" w:rsidRDefault="000C2EDD" w:rsidP="000C2EDD">
            <w:pPr>
              <w:ind w:left="0"/>
              <w:jc w:val="center"/>
            </w:pPr>
            <w:r>
              <w:t>7</w:t>
            </w:r>
            <w:r w:rsidR="003C742E">
              <w:t xml:space="preserve"> (A-I)</w:t>
            </w:r>
          </w:p>
        </w:tc>
      </w:tr>
      <w:tr w:rsidR="000C2EDD" w:rsidRPr="00AF100A" w14:paraId="0C4980A3" w14:textId="77777777" w:rsidTr="000C2EDD">
        <w:tc>
          <w:tcPr>
            <w:tcW w:w="8005" w:type="dxa"/>
            <w:vAlign w:val="bottom"/>
          </w:tcPr>
          <w:p w14:paraId="18F8A799" w14:textId="6AEA9BA2" w:rsidR="000C2EDD" w:rsidRPr="00AF100A" w:rsidRDefault="00766848" w:rsidP="000C2EDD">
            <w:pPr>
              <w:ind w:left="0"/>
            </w:pPr>
            <w:r w:rsidRPr="00865B90">
              <w:t xml:space="preserve">2019 NSECE </w:t>
            </w:r>
            <w:r w:rsidR="00FF0658">
              <w:t xml:space="preserve">Listed </w:t>
            </w:r>
            <w:r w:rsidRPr="00865B90">
              <w:t xml:space="preserve">Home-based </w:t>
            </w:r>
            <w:r>
              <w:t>Provider Survey</w:t>
            </w:r>
            <w:r w:rsidRPr="00865B90">
              <w:t xml:space="preserve"> Contact Materials</w:t>
            </w:r>
            <w:r w:rsidRPr="00865B90" w:rsidDel="00826202">
              <w:t xml:space="preserve"> </w:t>
            </w:r>
          </w:p>
        </w:tc>
        <w:tc>
          <w:tcPr>
            <w:tcW w:w="1440" w:type="dxa"/>
            <w:vAlign w:val="bottom"/>
          </w:tcPr>
          <w:p w14:paraId="164265D6" w14:textId="73777652" w:rsidR="000C2EDD" w:rsidRPr="00AF100A" w:rsidRDefault="000C2EDD" w:rsidP="000C2EDD">
            <w:pPr>
              <w:ind w:left="0"/>
              <w:jc w:val="center"/>
            </w:pPr>
            <w:r>
              <w:t>8</w:t>
            </w:r>
            <w:r w:rsidR="003C742E">
              <w:t xml:space="preserve"> (A-I)</w:t>
            </w:r>
          </w:p>
        </w:tc>
      </w:tr>
      <w:tr w:rsidR="000C2EDD" w:rsidRPr="00723C2F" w14:paraId="528FD6E1" w14:textId="77777777" w:rsidTr="000C2EDD">
        <w:tc>
          <w:tcPr>
            <w:tcW w:w="8005" w:type="dxa"/>
            <w:vAlign w:val="bottom"/>
          </w:tcPr>
          <w:p w14:paraId="7AD8A209" w14:textId="1D49C9F8" w:rsidR="000C2EDD" w:rsidRPr="00723C2F" w:rsidRDefault="00766848" w:rsidP="00B336A2">
            <w:pPr>
              <w:ind w:left="0"/>
              <w:rPr>
                <w:webHidden/>
              </w:rPr>
            </w:pPr>
            <w:r>
              <w:t xml:space="preserve">2019 NSECE </w:t>
            </w:r>
            <w:r w:rsidRPr="00AF100A">
              <w:t>Classroom Staff</w:t>
            </w:r>
            <w:r>
              <w:t xml:space="preserve"> (Workforce) Survey Respondent Contact Materials</w:t>
            </w:r>
            <w:r w:rsidDel="00826202">
              <w:t xml:space="preserve"> </w:t>
            </w:r>
          </w:p>
        </w:tc>
        <w:tc>
          <w:tcPr>
            <w:tcW w:w="1440" w:type="dxa"/>
            <w:vAlign w:val="bottom"/>
          </w:tcPr>
          <w:p w14:paraId="63CD35A5" w14:textId="490326CB" w:rsidR="000C2EDD" w:rsidRPr="00AF100A" w:rsidRDefault="000C2EDD" w:rsidP="000C2EDD">
            <w:pPr>
              <w:ind w:left="0"/>
              <w:jc w:val="center"/>
            </w:pPr>
            <w:r>
              <w:t>9</w:t>
            </w:r>
            <w:r w:rsidR="003C742E">
              <w:t xml:space="preserve"> (A-H)</w:t>
            </w:r>
          </w:p>
        </w:tc>
      </w:tr>
      <w:tr w:rsidR="000C2EDD" w:rsidRPr="00723C2F" w14:paraId="6E696942" w14:textId="77777777" w:rsidTr="000C2EDD">
        <w:tc>
          <w:tcPr>
            <w:tcW w:w="8005" w:type="dxa"/>
            <w:vAlign w:val="bottom"/>
          </w:tcPr>
          <w:p w14:paraId="73334AB4" w14:textId="7B34FD3D" w:rsidR="000C2EDD" w:rsidRDefault="00766848" w:rsidP="000C2EDD">
            <w:pPr>
              <w:ind w:left="0"/>
            </w:pPr>
            <w:r w:rsidRPr="00865B90">
              <w:t xml:space="preserve">2019 NSECE </w:t>
            </w:r>
            <w:r w:rsidR="00FF0658">
              <w:t xml:space="preserve">Listed </w:t>
            </w:r>
            <w:r w:rsidRPr="00865B90">
              <w:t xml:space="preserve">Home-based </w:t>
            </w:r>
            <w:r>
              <w:t>Provider Survey</w:t>
            </w:r>
            <w:r w:rsidRPr="00865B90">
              <w:t xml:space="preserve"> Contact Materials</w:t>
            </w:r>
            <w:r>
              <w:t xml:space="preserve"> (Spanish)</w:t>
            </w:r>
          </w:p>
        </w:tc>
        <w:tc>
          <w:tcPr>
            <w:tcW w:w="1440" w:type="dxa"/>
            <w:vAlign w:val="bottom"/>
          </w:tcPr>
          <w:p w14:paraId="11C5DAD9" w14:textId="18F40F18" w:rsidR="000C2EDD" w:rsidRDefault="000C2EDD" w:rsidP="000C2EDD">
            <w:pPr>
              <w:ind w:left="0"/>
              <w:jc w:val="center"/>
            </w:pPr>
            <w:r>
              <w:t>10</w:t>
            </w:r>
            <w:r w:rsidR="003C742E">
              <w:t xml:space="preserve"> (A-I)</w:t>
            </w:r>
          </w:p>
        </w:tc>
      </w:tr>
      <w:tr w:rsidR="000C2EDD" w:rsidRPr="00723C2F" w14:paraId="7E3AA44D" w14:textId="77777777" w:rsidTr="000C2EDD">
        <w:tc>
          <w:tcPr>
            <w:tcW w:w="8005" w:type="dxa"/>
            <w:vAlign w:val="bottom"/>
          </w:tcPr>
          <w:p w14:paraId="5CF7EC2E" w14:textId="563BC05A" w:rsidR="000C2EDD" w:rsidRDefault="00766848" w:rsidP="00BC6E6D">
            <w:pPr>
              <w:ind w:left="0"/>
            </w:pPr>
            <w:r>
              <w:t xml:space="preserve">2019 NSECE </w:t>
            </w:r>
            <w:r w:rsidRPr="00AF100A">
              <w:t>Classroom Staff</w:t>
            </w:r>
            <w:r>
              <w:t xml:space="preserve"> (Workforce) Survey Respondent Contact Materials (Spanish)</w:t>
            </w:r>
          </w:p>
        </w:tc>
        <w:tc>
          <w:tcPr>
            <w:tcW w:w="1440" w:type="dxa"/>
            <w:vAlign w:val="bottom"/>
          </w:tcPr>
          <w:p w14:paraId="2E2C8D6F" w14:textId="65F3BAEC" w:rsidR="000C2EDD" w:rsidRDefault="000C2EDD" w:rsidP="000C2EDD">
            <w:pPr>
              <w:ind w:left="0"/>
              <w:jc w:val="center"/>
            </w:pPr>
            <w:r>
              <w:t>11</w:t>
            </w:r>
            <w:r w:rsidR="003C742E">
              <w:t xml:space="preserve"> (A-H)</w:t>
            </w:r>
          </w:p>
        </w:tc>
      </w:tr>
      <w:tr w:rsidR="005C0D4A" w:rsidRPr="00723C2F" w14:paraId="3B868D40" w14:textId="77777777" w:rsidTr="005C0D4A">
        <w:tc>
          <w:tcPr>
            <w:tcW w:w="8005" w:type="dxa"/>
          </w:tcPr>
          <w:p w14:paraId="1CE525DC" w14:textId="7F8FC33D" w:rsidR="005C0D4A" w:rsidRDefault="005C0D4A" w:rsidP="003C742E">
            <w:pPr>
              <w:ind w:left="0"/>
            </w:pPr>
            <w:r w:rsidRPr="00232695">
              <w:t xml:space="preserve">2019 NSECE Unlisted Home-based </w:t>
            </w:r>
            <w:r w:rsidR="00FF0658">
              <w:t>Provider</w:t>
            </w:r>
            <w:r w:rsidRPr="00232695">
              <w:t xml:space="preserve"> </w:t>
            </w:r>
            <w:r w:rsidR="00B336A2">
              <w:t xml:space="preserve">Survey </w:t>
            </w:r>
            <w:r w:rsidRPr="00232695">
              <w:t>Contact Materials</w:t>
            </w:r>
          </w:p>
        </w:tc>
        <w:tc>
          <w:tcPr>
            <w:tcW w:w="1440" w:type="dxa"/>
          </w:tcPr>
          <w:p w14:paraId="1DEA2B29" w14:textId="5256DA35" w:rsidR="005C0D4A" w:rsidRDefault="005C0D4A" w:rsidP="005C0D4A">
            <w:pPr>
              <w:ind w:left="0"/>
              <w:jc w:val="center"/>
            </w:pPr>
            <w:r w:rsidRPr="00232695">
              <w:t>12</w:t>
            </w:r>
            <w:r w:rsidR="003C742E">
              <w:t xml:space="preserve"> (A-E)</w:t>
            </w:r>
          </w:p>
        </w:tc>
      </w:tr>
      <w:tr w:rsidR="005C0D4A" w:rsidRPr="00723C2F" w14:paraId="276843AA" w14:textId="77777777" w:rsidTr="005C0D4A">
        <w:tc>
          <w:tcPr>
            <w:tcW w:w="8005" w:type="dxa"/>
          </w:tcPr>
          <w:p w14:paraId="33E5A36C" w14:textId="4720D0A0" w:rsidR="005C0D4A" w:rsidRDefault="005C0D4A" w:rsidP="003C742E">
            <w:pPr>
              <w:ind w:left="0"/>
            </w:pPr>
            <w:r w:rsidRPr="00232695">
              <w:t xml:space="preserve">2019 NSECE Unlisted Home-based </w:t>
            </w:r>
            <w:r w:rsidR="00FF0658">
              <w:t>Provider</w:t>
            </w:r>
            <w:r w:rsidRPr="00232695">
              <w:t xml:space="preserve"> </w:t>
            </w:r>
            <w:r w:rsidR="00B336A2">
              <w:t xml:space="preserve">Survey </w:t>
            </w:r>
            <w:r w:rsidRPr="00232695">
              <w:t>Contact Materials (Spanish)</w:t>
            </w:r>
          </w:p>
        </w:tc>
        <w:tc>
          <w:tcPr>
            <w:tcW w:w="1440" w:type="dxa"/>
          </w:tcPr>
          <w:p w14:paraId="0BBB318A" w14:textId="68FE015D" w:rsidR="005C0D4A" w:rsidRDefault="005C0D4A" w:rsidP="005C0D4A">
            <w:pPr>
              <w:ind w:left="0"/>
              <w:jc w:val="center"/>
            </w:pPr>
            <w:r w:rsidRPr="00232695">
              <w:t>13</w:t>
            </w:r>
            <w:r w:rsidR="003C742E">
              <w:t xml:space="preserve"> (A-E)</w:t>
            </w:r>
          </w:p>
        </w:tc>
      </w:tr>
      <w:tr w:rsidR="005C0D4A" w:rsidRPr="00723C2F" w14:paraId="58F80DA0" w14:textId="77777777" w:rsidTr="005C0D4A">
        <w:tc>
          <w:tcPr>
            <w:tcW w:w="8005" w:type="dxa"/>
          </w:tcPr>
          <w:p w14:paraId="65F8A400" w14:textId="77777777" w:rsidR="005C0D4A" w:rsidRDefault="005C0D4A" w:rsidP="005C0D4A">
            <w:pPr>
              <w:ind w:left="0"/>
            </w:pPr>
            <w:r w:rsidRPr="00232695">
              <w:t>2019 NSECE Household Questionnaire Items - Overview and Comparison</w:t>
            </w:r>
          </w:p>
        </w:tc>
        <w:tc>
          <w:tcPr>
            <w:tcW w:w="1440" w:type="dxa"/>
          </w:tcPr>
          <w:p w14:paraId="0EB88CA3" w14:textId="77777777" w:rsidR="005C0D4A" w:rsidRDefault="005C0D4A" w:rsidP="005C0D4A">
            <w:pPr>
              <w:ind w:left="0"/>
              <w:jc w:val="center"/>
            </w:pPr>
            <w:r w:rsidRPr="00232695">
              <w:t>14</w:t>
            </w:r>
          </w:p>
        </w:tc>
      </w:tr>
      <w:tr w:rsidR="005C0D4A" w:rsidRPr="00723C2F" w14:paraId="4BB140E2" w14:textId="77777777" w:rsidTr="005C0D4A">
        <w:tc>
          <w:tcPr>
            <w:tcW w:w="8005" w:type="dxa"/>
          </w:tcPr>
          <w:p w14:paraId="3F2F86BF" w14:textId="23172D92" w:rsidR="005C0D4A" w:rsidRDefault="005C0D4A" w:rsidP="005C0D4A">
            <w:pPr>
              <w:ind w:left="0"/>
            </w:pPr>
            <w:r w:rsidRPr="00232695">
              <w:t xml:space="preserve">2019 NSECE Household </w:t>
            </w:r>
            <w:r w:rsidR="00243FBE">
              <w:t xml:space="preserve">Screener and </w:t>
            </w:r>
            <w:r w:rsidRPr="00232695">
              <w:t>Questionnaire</w:t>
            </w:r>
          </w:p>
        </w:tc>
        <w:tc>
          <w:tcPr>
            <w:tcW w:w="1440" w:type="dxa"/>
          </w:tcPr>
          <w:p w14:paraId="1D511C24" w14:textId="77777777" w:rsidR="005C0D4A" w:rsidRDefault="005C0D4A" w:rsidP="005C0D4A">
            <w:pPr>
              <w:ind w:left="0"/>
              <w:jc w:val="center"/>
            </w:pPr>
            <w:r w:rsidRPr="00232695">
              <w:t>15a</w:t>
            </w:r>
          </w:p>
        </w:tc>
      </w:tr>
      <w:tr w:rsidR="005C0D4A" w:rsidRPr="00723C2F" w14:paraId="55A12870" w14:textId="77777777" w:rsidTr="005C0D4A">
        <w:tc>
          <w:tcPr>
            <w:tcW w:w="8005" w:type="dxa"/>
          </w:tcPr>
          <w:p w14:paraId="6A12F398" w14:textId="4B3C0E8F" w:rsidR="005C0D4A" w:rsidRDefault="005C0D4A" w:rsidP="005C0D4A">
            <w:pPr>
              <w:ind w:left="0"/>
            </w:pPr>
            <w:r w:rsidRPr="00232695">
              <w:t xml:space="preserve">2019 NSECE Household </w:t>
            </w:r>
            <w:r w:rsidR="00243FBE">
              <w:t xml:space="preserve">Screener and </w:t>
            </w:r>
            <w:r w:rsidRPr="00232695">
              <w:t>Questionnaire (Spanish)</w:t>
            </w:r>
          </w:p>
        </w:tc>
        <w:tc>
          <w:tcPr>
            <w:tcW w:w="1440" w:type="dxa"/>
          </w:tcPr>
          <w:p w14:paraId="7417F1B8" w14:textId="77777777" w:rsidR="005C0D4A" w:rsidRDefault="005C0D4A" w:rsidP="005C0D4A">
            <w:pPr>
              <w:ind w:left="0"/>
              <w:jc w:val="center"/>
            </w:pPr>
            <w:r w:rsidRPr="00232695">
              <w:t>15b</w:t>
            </w:r>
          </w:p>
        </w:tc>
      </w:tr>
      <w:tr w:rsidR="005C0D4A" w:rsidRPr="00723C2F" w14:paraId="3CE9BC6F" w14:textId="77777777" w:rsidTr="005C0D4A">
        <w:tc>
          <w:tcPr>
            <w:tcW w:w="8005" w:type="dxa"/>
          </w:tcPr>
          <w:p w14:paraId="22992FA0" w14:textId="2FFE9DAC" w:rsidR="005C0D4A" w:rsidRDefault="005C0D4A" w:rsidP="003C742E">
            <w:pPr>
              <w:ind w:left="0"/>
            </w:pPr>
            <w:r w:rsidRPr="00232695">
              <w:t xml:space="preserve">2019 NSECE Household </w:t>
            </w:r>
            <w:r w:rsidR="00BC6E6D">
              <w:t xml:space="preserve">Survey </w:t>
            </w:r>
            <w:r w:rsidRPr="00232695">
              <w:t>Respondent Contact Materials</w:t>
            </w:r>
          </w:p>
        </w:tc>
        <w:tc>
          <w:tcPr>
            <w:tcW w:w="1440" w:type="dxa"/>
          </w:tcPr>
          <w:p w14:paraId="69C4C5EB" w14:textId="73872C04" w:rsidR="005C0D4A" w:rsidRDefault="005C0D4A" w:rsidP="005C0D4A">
            <w:pPr>
              <w:ind w:left="0"/>
              <w:jc w:val="center"/>
            </w:pPr>
            <w:r w:rsidRPr="00232695">
              <w:t>16</w:t>
            </w:r>
            <w:r w:rsidR="003C742E">
              <w:t xml:space="preserve"> (A-I)</w:t>
            </w:r>
          </w:p>
        </w:tc>
      </w:tr>
      <w:tr w:rsidR="005C0D4A" w:rsidRPr="00723C2F" w14:paraId="4A4F3DB3" w14:textId="77777777" w:rsidTr="005C0D4A">
        <w:tc>
          <w:tcPr>
            <w:tcW w:w="8005" w:type="dxa"/>
          </w:tcPr>
          <w:p w14:paraId="6DEED606" w14:textId="497FC41E" w:rsidR="005C0D4A" w:rsidRDefault="005C0D4A" w:rsidP="003C742E">
            <w:pPr>
              <w:ind w:left="0"/>
            </w:pPr>
            <w:r w:rsidRPr="00232695">
              <w:t>20</w:t>
            </w:r>
            <w:r w:rsidR="00252F42">
              <w:t>19</w:t>
            </w:r>
            <w:r w:rsidRPr="00232695">
              <w:t xml:space="preserve"> NSECE Household </w:t>
            </w:r>
            <w:r w:rsidR="00BC6E6D">
              <w:t xml:space="preserve">Survey </w:t>
            </w:r>
            <w:r w:rsidRPr="00232695">
              <w:t>Respondent Contact Materials (Spanish)</w:t>
            </w:r>
          </w:p>
        </w:tc>
        <w:tc>
          <w:tcPr>
            <w:tcW w:w="1440" w:type="dxa"/>
          </w:tcPr>
          <w:p w14:paraId="7E958D00" w14:textId="23B0907D" w:rsidR="005C0D4A" w:rsidRDefault="005C0D4A" w:rsidP="005C0D4A">
            <w:pPr>
              <w:ind w:left="0"/>
              <w:jc w:val="center"/>
            </w:pPr>
            <w:r w:rsidRPr="00232695">
              <w:t>17</w:t>
            </w:r>
            <w:r w:rsidR="003C742E">
              <w:t xml:space="preserve"> (A-I)</w:t>
            </w:r>
          </w:p>
        </w:tc>
      </w:tr>
    </w:tbl>
    <w:p w14:paraId="225575CB" w14:textId="77777777" w:rsidR="00D80757" w:rsidRDefault="00D80757" w:rsidP="00460D8F">
      <w:pPr>
        <w:pStyle w:val="BodyText"/>
      </w:pPr>
    </w:p>
    <w:p w14:paraId="3397D759" w14:textId="77777777" w:rsidR="00D80757" w:rsidRDefault="00D80757" w:rsidP="00460D8F">
      <w:pPr>
        <w:pStyle w:val="BodyText"/>
        <w:sectPr w:rsidR="00D80757" w:rsidSect="00D80757">
          <w:footerReference w:type="default" r:id="rId15"/>
          <w:pgSz w:w="12240" w:h="15840"/>
          <w:pgMar w:top="1440" w:right="1440" w:bottom="1440" w:left="1440" w:header="720" w:footer="720" w:gutter="0"/>
          <w:pgNumType w:fmt="lowerRoman" w:start="1"/>
          <w:cols w:space="720"/>
          <w:docGrid w:linePitch="360"/>
        </w:sectPr>
      </w:pPr>
    </w:p>
    <w:p w14:paraId="156AFC2B" w14:textId="77777777" w:rsidR="00E916C5" w:rsidRDefault="00E916C5" w:rsidP="00C12BB8">
      <w:pPr>
        <w:pStyle w:val="Title"/>
        <w:spacing w:after="0"/>
      </w:pPr>
      <w:r>
        <w:t xml:space="preserve">Supporting </w:t>
      </w:r>
      <w:r w:rsidR="00124898" w:rsidRPr="00832309">
        <w:t xml:space="preserve">Statement </w:t>
      </w:r>
      <w:r>
        <w:t xml:space="preserve">B </w:t>
      </w:r>
    </w:p>
    <w:p w14:paraId="3CBB745C" w14:textId="7FD43789" w:rsidR="00124898" w:rsidRPr="00832309" w:rsidRDefault="00124898" w:rsidP="00832309">
      <w:pPr>
        <w:pStyle w:val="Title"/>
      </w:pPr>
      <w:r w:rsidRPr="00832309">
        <w:t>for the National Survey of Early Care and Education</w:t>
      </w:r>
    </w:p>
    <w:p w14:paraId="2FDF9F82" w14:textId="77777777" w:rsidR="00FC1B10" w:rsidRPr="00832309" w:rsidRDefault="00FC1B10" w:rsidP="00832309">
      <w:pPr>
        <w:pStyle w:val="Heading2"/>
      </w:pPr>
      <w:bookmarkStart w:id="1" w:name="_Toc511036870"/>
      <w:bookmarkStart w:id="2" w:name="_Toc520896105"/>
      <w:r w:rsidRPr="00832309">
        <w:t>Collections of Information Employing Statistical Methods</w:t>
      </w:r>
      <w:bookmarkEnd w:id="1"/>
      <w:bookmarkEnd w:id="2"/>
    </w:p>
    <w:p w14:paraId="61FFB70A" w14:textId="5CEC5D83" w:rsidR="003A26AB" w:rsidRPr="00393279" w:rsidRDefault="003A26AB" w:rsidP="00C063E0">
      <w:pPr>
        <w:pStyle w:val="Heading3"/>
      </w:pPr>
      <w:bookmarkStart w:id="3" w:name="_Toc520896106"/>
      <w:r w:rsidRPr="00393279">
        <w:t>1.</w:t>
      </w:r>
      <w:r w:rsidR="00865CFB" w:rsidRPr="00393279">
        <w:tab/>
      </w:r>
      <w:r w:rsidRPr="00393279">
        <w:t>Respondent Universe and Sampling Methods</w:t>
      </w:r>
      <w:bookmarkEnd w:id="3"/>
    </w:p>
    <w:p w14:paraId="62C65CE9" w14:textId="5676CB98" w:rsidR="003356BF" w:rsidRPr="003356BF" w:rsidRDefault="003356BF" w:rsidP="003356BF">
      <w:pPr>
        <w:ind w:left="0"/>
      </w:pPr>
      <w:r w:rsidRPr="003356BF">
        <w:t xml:space="preserve">An important feature of the </w:t>
      </w:r>
      <w:r w:rsidR="00686870">
        <w:t xml:space="preserve">2019 </w:t>
      </w:r>
      <w:r w:rsidR="00926073">
        <w:t>National Survey of Early Care and Education (</w:t>
      </w:r>
      <w:r w:rsidRPr="003356BF">
        <w:t>NSECE</w:t>
      </w:r>
      <w:r w:rsidR="00926073">
        <w:t>)</w:t>
      </w:r>
      <w:r w:rsidRPr="003356BF">
        <w:t xml:space="preserve"> survey design is support for analyses of the association between the utilizat</w:t>
      </w:r>
      <w:r w:rsidR="00686870">
        <w:t>ion of early care and education</w:t>
      </w:r>
      <w:r w:rsidRPr="003356BF">
        <w:t xml:space="preserve"> (ECE) services by families and the availability of such services offered by providers. Analysis of this association is critical to the development of a better understanding of how government policy can support parental employment and promote child development. The local nature of ECE usage underscores the importance of collecting and analyzing data in matched geographic areas. In order to strengthen the tie between the utilization and provision of ECE services, we </w:t>
      </w:r>
      <w:r w:rsidR="00877BE6">
        <w:t>propose a</w:t>
      </w:r>
      <w:r w:rsidRPr="003356BF">
        <w:t xml:space="preserve"> sampling approach</w:t>
      </w:r>
      <w:r w:rsidR="00877BE6">
        <w:t xml:space="preserve"> in which sampled units from all four surveys are co-located in small geographic areas</w:t>
      </w:r>
      <w:r w:rsidRPr="003356BF">
        <w:t xml:space="preserve">. </w:t>
      </w:r>
    </w:p>
    <w:p w14:paraId="373A9EB3" w14:textId="3D293874" w:rsidR="00686870" w:rsidRPr="003356BF" w:rsidRDefault="00877BE6" w:rsidP="00686870">
      <w:pPr>
        <w:ind w:left="0"/>
      </w:pPr>
      <w:r>
        <w:t>Specifically, we will tightly cluster households within one or at most two census tracts. We will then sample center-based providers and listed home-based providers from a larger cluster of census tracts that include the tracts from which households were sampled.</w:t>
      </w:r>
      <w:r w:rsidR="00686870" w:rsidRPr="003356BF">
        <w:t xml:space="preserve"> The co-location of households and providers will greatly enhance the value of the data about each. Parents’ search behaviors can be understood in the context of the choices actually available to them, while providers’ decisions about capacity and staffing can be seen as responses to their real audiences. Details on this sampling approach are provided below.</w:t>
      </w:r>
    </w:p>
    <w:p w14:paraId="1D150232" w14:textId="740FC324" w:rsidR="003356BF" w:rsidRPr="003356BF" w:rsidRDefault="007B45B4" w:rsidP="003356BF">
      <w:pPr>
        <w:ind w:left="0"/>
      </w:pPr>
      <w:r w:rsidRPr="00393279">
        <w:t>Th</w:t>
      </w:r>
      <w:r w:rsidR="00A87A3B">
        <w:t>is</w:t>
      </w:r>
      <w:r w:rsidRPr="00393279">
        <w:t xml:space="preserve"> </w:t>
      </w:r>
      <w:r w:rsidR="00A87A3B" w:rsidRPr="00393279">
        <w:t xml:space="preserve">multistage, cluster sampling design </w:t>
      </w:r>
      <w:r w:rsidR="00A87A3B">
        <w:t xml:space="preserve">is </w:t>
      </w:r>
      <w:r w:rsidRPr="00393279">
        <w:t xml:space="preserve">stratified by the 50 states and the District of Columbia </w:t>
      </w:r>
      <w:r w:rsidR="00A87A3B">
        <w:t>(</w:t>
      </w:r>
      <w:r w:rsidRPr="00393279">
        <w:t xml:space="preserve">DC) </w:t>
      </w:r>
      <w:r w:rsidR="00A87A3B">
        <w:t>and includes</w:t>
      </w:r>
      <w:r w:rsidR="00A87A3B" w:rsidRPr="00393279">
        <w:t xml:space="preserve"> </w:t>
      </w:r>
      <w:r w:rsidRPr="00393279">
        <w:t xml:space="preserve">an over-sample of </w:t>
      </w:r>
      <w:r>
        <w:t xml:space="preserve">households and </w:t>
      </w:r>
      <w:r w:rsidRPr="00393279">
        <w:t xml:space="preserve">providers located in </w:t>
      </w:r>
      <w:r w:rsidR="003F7BF2">
        <w:t>low-income</w:t>
      </w:r>
      <w:r w:rsidRPr="00393279">
        <w:t xml:space="preserve"> areas. </w:t>
      </w:r>
      <w:r w:rsidR="00334C7B">
        <w:t>The</w:t>
      </w:r>
      <w:r w:rsidR="003356BF" w:rsidRPr="003356BF">
        <w:t xml:space="preserve"> respondents for this study</w:t>
      </w:r>
      <w:r w:rsidR="00334C7B">
        <w:t xml:space="preserve"> include</w:t>
      </w:r>
      <w:r w:rsidR="003356BF" w:rsidRPr="003356BF">
        <w:t xml:space="preserve"> individuals living in households and ECE providers</w:t>
      </w:r>
      <w:r w:rsidR="00334C7B">
        <w:t xml:space="preserve"> and their workforce</w:t>
      </w:r>
      <w:r w:rsidR="003356BF" w:rsidRPr="003356BF">
        <w:t>. For the surveys of individuals in households, the eligible population of households is those households with children under 13 in the 50 states and DC. The eligible population of providers is those individuals and facilities who provide ECE services in the 50 states and DC.</w:t>
      </w:r>
      <w:r w:rsidR="00480293">
        <w:t xml:space="preserve"> Additional </w:t>
      </w:r>
      <w:r w:rsidR="00FC5315">
        <w:t xml:space="preserve">household and </w:t>
      </w:r>
      <w:r w:rsidR="00480293">
        <w:t>provider eligibility criteria is further detailed in the following sections for each respective sample type.</w:t>
      </w:r>
    </w:p>
    <w:p w14:paraId="32197291" w14:textId="77777777" w:rsidR="003356BF" w:rsidRPr="003356BF" w:rsidRDefault="003356BF" w:rsidP="00960707">
      <w:pPr>
        <w:pStyle w:val="Heading4"/>
      </w:pPr>
      <w:bookmarkStart w:id="4" w:name="_Toc520896107"/>
      <w:r w:rsidRPr="003356BF">
        <w:t>Design of the Household Survey</w:t>
      </w:r>
      <w:bookmarkEnd w:id="4"/>
    </w:p>
    <w:p w14:paraId="0891C0BA" w14:textId="6821D5AF" w:rsidR="0023623D" w:rsidRPr="007B614B" w:rsidRDefault="0023623D" w:rsidP="0023623D">
      <w:pPr>
        <w:pStyle w:val="BodyText"/>
        <w:rPr>
          <w:color w:val="000000"/>
          <w:szCs w:val="24"/>
        </w:rPr>
      </w:pPr>
      <w:r w:rsidRPr="00205C88">
        <w:rPr>
          <w:b/>
          <w:iCs/>
          <w:szCs w:val="24"/>
        </w:rPr>
        <w:t>First Stage.</w:t>
      </w:r>
      <w:r w:rsidRPr="007B614B">
        <w:rPr>
          <w:i/>
          <w:iCs/>
          <w:color w:val="33669A"/>
          <w:szCs w:val="24"/>
        </w:rPr>
        <w:t xml:space="preserve"> </w:t>
      </w:r>
      <w:r w:rsidRPr="007B614B">
        <w:rPr>
          <w:color w:val="000000"/>
          <w:szCs w:val="24"/>
        </w:rPr>
        <w:t xml:space="preserve">At the first stage of sampling, we propose a stratified probability sample of primary sampling units (PSUs) representative of all geographic areas in the 50 states and </w:t>
      </w:r>
      <w:r>
        <w:rPr>
          <w:color w:val="000000"/>
          <w:szCs w:val="24"/>
        </w:rPr>
        <w:t>DC</w:t>
      </w:r>
      <w:r w:rsidRPr="007B614B">
        <w:rPr>
          <w:color w:val="000000"/>
          <w:szCs w:val="24"/>
        </w:rPr>
        <w:t xml:space="preserve">. We define the PSU as </w:t>
      </w:r>
      <w:r>
        <w:rPr>
          <w:color w:val="000000"/>
          <w:szCs w:val="24"/>
        </w:rPr>
        <w:t>a</w:t>
      </w:r>
      <w:r w:rsidRPr="007B614B">
        <w:rPr>
          <w:color w:val="000000"/>
          <w:szCs w:val="24"/>
        </w:rPr>
        <w:t xml:space="preserve"> county or a group of contiguous counties. Counties are generally large enough to represent a bundle of child</w:t>
      </w:r>
      <w:r>
        <w:rPr>
          <w:color w:val="000000"/>
          <w:szCs w:val="24"/>
        </w:rPr>
        <w:t xml:space="preserve"> </w:t>
      </w:r>
      <w:r w:rsidRPr="007B614B">
        <w:rPr>
          <w:color w:val="000000"/>
          <w:szCs w:val="24"/>
        </w:rPr>
        <w:t>care markets. Smaller counties will be linked to geographically adjacent neighboring counties until a minimum PSU size is met. We will stratify PSUs by state</w:t>
      </w:r>
      <w:r>
        <w:rPr>
          <w:color w:val="000000"/>
          <w:szCs w:val="24"/>
        </w:rPr>
        <w:t>,</w:t>
      </w:r>
      <w:r w:rsidRPr="007B614B">
        <w:rPr>
          <w:color w:val="000000"/>
          <w:szCs w:val="24"/>
        </w:rPr>
        <w:t xml:space="preserve"> because historically, </w:t>
      </w:r>
      <w:r>
        <w:rPr>
          <w:color w:val="000000"/>
          <w:szCs w:val="24"/>
        </w:rPr>
        <w:t>policies</w:t>
      </w:r>
      <w:r w:rsidRPr="007B614B">
        <w:rPr>
          <w:color w:val="000000"/>
          <w:szCs w:val="24"/>
        </w:rPr>
        <w:t xml:space="preserve"> for </w:t>
      </w:r>
      <w:r w:rsidR="00C07B0C">
        <w:rPr>
          <w:color w:val="000000"/>
          <w:szCs w:val="24"/>
        </w:rPr>
        <w:t>ECE</w:t>
      </w:r>
      <w:r w:rsidRPr="007B614B">
        <w:rPr>
          <w:color w:val="000000"/>
          <w:szCs w:val="24"/>
        </w:rPr>
        <w:t xml:space="preserve"> </w:t>
      </w:r>
      <w:r>
        <w:rPr>
          <w:color w:val="000000"/>
          <w:szCs w:val="24"/>
        </w:rPr>
        <w:t>are set at the state level and vary widely across states</w:t>
      </w:r>
      <w:r w:rsidRPr="007B614B">
        <w:rPr>
          <w:color w:val="000000"/>
          <w:szCs w:val="24"/>
        </w:rPr>
        <w:t xml:space="preserve">. Stratification by state will be likely to reduce the sampling variance of </w:t>
      </w:r>
      <w:r>
        <w:rPr>
          <w:color w:val="000000"/>
          <w:szCs w:val="24"/>
        </w:rPr>
        <w:t xml:space="preserve">2019 </w:t>
      </w:r>
      <w:r w:rsidRPr="007B614B">
        <w:rPr>
          <w:color w:val="000000"/>
          <w:szCs w:val="24"/>
        </w:rPr>
        <w:t xml:space="preserve">NSECE estimators because of the relative homogeneity within states in child care policies. The number of PSUs will be allocated to each state in proportion to the number of households with age-eligible children, with a minimum of two PSUs for each state to support variance estimation. A probability-proportional-to-size (PPS) method will be used to select PSUs within each stratum (or state). Given PPS sampling, the probability of selecting a PSU is based on the measure of size (MOS) of the PSU. The number of households with at least one child under age 13 is the MOS for PPS sampling. </w:t>
      </w:r>
      <w:r>
        <w:rPr>
          <w:color w:val="000000"/>
          <w:szCs w:val="24"/>
        </w:rPr>
        <w:t xml:space="preserve">The 2019 NSECE </w:t>
      </w:r>
      <w:r w:rsidR="00877BE6">
        <w:rPr>
          <w:color w:val="000000"/>
          <w:szCs w:val="24"/>
        </w:rPr>
        <w:t xml:space="preserve">sampling design </w:t>
      </w:r>
      <w:r>
        <w:rPr>
          <w:color w:val="000000"/>
          <w:szCs w:val="24"/>
        </w:rPr>
        <w:t xml:space="preserve">will </w:t>
      </w:r>
      <w:r w:rsidR="00877BE6">
        <w:rPr>
          <w:color w:val="000000"/>
          <w:szCs w:val="24"/>
        </w:rPr>
        <w:t xml:space="preserve">begin from </w:t>
      </w:r>
      <w:r>
        <w:rPr>
          <w:color w:val="000000"/>
          <w:szCs w:val="24"/>
        </w:rPr>
        <w:t>the PSUs selected for the 2012 NSECE, which used t</w:t>
      </w:r>
      <w:r w:rsidRPr="007B614B">
        <w:rPr>
          <w:color w:val="000000"/>
          <w:szCs w:val="24"/>
        </w:rPr>
        <w:t xml:space="preserve">he MOS from the most recent </w:t>
      </w:r>
      <w:r>
        <w:rPr>
          <w:color w:val="000000"/>
          <w:szCs w:val="24"/>
        </w:rPr>
        <w:t>five</w:t>
      </w:r>
      <w:r w:rsidRPr="007B614B">
        <w:rPr>
          <w:color w:val="000000"/>
          <w:szCs w:val="24"/>
        </w:rPr>
        <w:t xml:space="preserve">-year data from the American Community </w:t>
      </w:r>
      <w:r>
        <w:rPr>
          <w:color w:val="000000"/>
          <w:szCs w:val="24"/>
        </w:rPr>
        <w:t xml:space="preserve">Survey (ACS) </w:t>
      </w:r>
      <w:r w:rsidRPr="007B614B">
        <w:rPr>
          <w:color w:val="000000"/>
          <w:szCs w:val="24"/>
        </w:rPr>
        <w:t xml:space="preserve">for the period </w:t>
      </w:r>
      <w:r>
        <w:rPr>
          <w:color w:val="000000"/>
          <w:szCs w:val="24"/>
        </w:rPr>
        <w:t>2005–2009 (the most recent available at the time of selection in 2011)</w:t>
      </w:r>
      <w:r w:rsidRPr="007B614B">
        <w:rPr>
          <w:color w:val="000000"/>
          <w:szCs w:val="24"/>
        </w:rPr>
        <w:t>.</w:t>
      </w:r>
      <w:r>
        <w:rPr>
          <w:color w:val="000000"/>
          <w:szCs w:val="24"/>
        </w:rPr>
        <w:t xml:space="preserve"> </w:t>
      </w:r>
      <w:r w:rsidRPr="007B614B">
        <w:rPr>
          <w:color w:val="000000"/>
          <w:szCs w:val="24"/>
        </w:rPr>
        <w:t xml:space="preserve">Some of the largest PSUs may be selected with probability equal to 1.0 – such PSUs are typically called </w:t>
      </w:r>
      <w:r w:rsidRPr="007B614B">
        <w:rPr>
          <w:i/>
          <w:iCs/>
          <w:color w:val="000000"/>
          <w:szCs w:val="24"/>
        </w:rPr>
        <w:t xml:space="preserve">certainty </w:t>
      </w:r>
      <w:r w:rsidRPr="007B614B">
        <w:rPr>
          <w:color w:val="000000"/>
          <w:szCs w:val="24"/>
        </w:rPr>
        <w:t xml:space="preserve">or </w:t>
      </w:r>
      <w:r w:rsidRPr="007B614B">
        <w:rPr>
          <w:i/>
          <w:iCs/>
          <w:color w:val="000000"/>
          <w:szCs w:val="24"/>
        </w:rPr>
        <w:t xml:space="preserve">self-representing </w:t>
      </w:r>
      <w:r w:rsidRPr="007B614B">
        <w:rPr>
          <w:color w:val="000000"/>
          <w:szCs w:val="24"/>
        </w:rPr>
        <w:t xml:space="preserve">PSUs. </w:t>
      </w:r>
      <w:r>
        <w:rPr>
          <w:color w:val="000000"/>
          <w:szCs w:val="24"/>
        </w:rPr>
        <w:t>DC</w:t>
      </w:r>
      <w:r w:rsidRPr="007B614B">
        <w:rPr>
          <w:color w:val="000000"/>
          <w:szCs w:val="24"/>
        </w:rPr>
        <w:t xml:space="preserve"> will be treated as a “self-representing” PSU or a stratum in its own right</w:t>
      </w:r>
      <w:r>
        <w:rPr>
          <w:color w:val="000000"/>
          <w:szCs w:val="24"/>
        </w:rPr>
        <w:t>. The weights associated with each PSU may be adjusted to reflect any changes in population of households with children using 2011–2015 ACS</w:t>
      </w:r>
      <w:r w:rsidRPr="007B614B">
        <w:rPr>
          <w:color w:val="000000"/>
          <w:szCs w:val="24"/>
        </w:rPr>
        <w:t xml:space="preserve"> </w:t>
      </w:r>
      <w:r>
        <w:rPr>
          <w:color w:val="000000"/>
          <w:szCs w:val="24"/>
        </w:rPr>
        <w:t>data</w:t>
      </w:r>
      <w:r w:rsidR="00877BE6">
        <w:rPr>
          <w:color w:val="000000"/>
          <w:szCs w:val="24"/>
        </w:rPr>
        <w:t>. PSU definitions may be altered or additional PSUs may also be selected if required</w:t>
      </w:r>
      <w:r>
        <w:rPr>
          <w:color w:val="000000"/>
          <w:szCs w:val="24"/>
        </w:rPr>
        <w:t>.</w:t>
      </w:r>
    </w:p>
    <w:p w14:paraId="02F33DA5" w14:textId="750F7BFA" w:rsidR="00513A4B" w:rsidRDefault="006D30E2" w:rsidP="006D30E2">
      <w:pPr>
        <w:ind w:left="0"/>
      </w:pPr>
      <w:r w:rsidRPr="003356BF">
        <w:rPr>
          <w:b/>
          <w:iCs/>
        </w:rPr>
        <w:t>Second Stage.</w:t>
      </w:r>
      <w:r w:rsidRPr="003356BF">
        <w:rPr>
          <w:i/>
          <w:iCs/>
        </w:rPr>
        <w:t xml:space="preserve"> </w:t>
      </w:r>
      <w:r w:rsidRPr="003356BF">
        <w:t xml:space="preserve">Within the selected PSUs, we will select a sample of census tracts, or </w:t>
      </w:r>
      <w:r w:rsidRPr="003356BF">
        <w:rPr>
          <w:i/>
          <w:iCs/>
        </w:rPr>
        <w:t xml:space="preserve">second stage units </w:t>
      </w:r>
      <w:r w:rsidRPr="003356BF">
        <w:t xml:space="preserve">(SSUs). </w:t>
      </w:r>
      <w:r>
        <w:t xml:space="preserve">SSUs will be constructed by combining multiple adjacent tracts in order to create SSUs that meet a minimum MOS requirement. </w:t>
      </w:r>
      <w:r w:rsidRPr="003356BF">
        <w:t xml:space="preserve">Overall, we will select about 741 SSUs with about </w:t>
      </w:r>
      <w:r w:rsidR="00C07B0C">
        <w:t>three</w:t>
      </w:r>
      <w:r w:rsidRPr="003356BF">
        <w:t xml:space="preserve"> SSUs per non-certainty PSU and more per certainty PSU on a proportional basis. </w:t>
      </w:r>
      <w:r>
        <w:t>For the household sample, t</w:t>
      </w:r>
      <w:r w:rsidRPr="003356BF">
        <w:t xml:space="preserve">he </w:t>
      </w:r>
      <w:r>
        <w:t>MOS</w:t>
      </w:r>
      <w:r w:rsidRPr="003356BF">
        <w:t xml:space="preserve"> is the number of households with at least one child under age 13 in each SSU, and will be determined from 5-year data from the </w:t>
      </w:r>
      <w:r>
        <w:t>ACS</w:t>
      </w:r>
      <w:r w:rsidRPr="003356BF">
        <w:t xml:space="preserve"> for the period 20</w:t>
      </w:r>
      <w:r>
        <w:t>11</w:t>
      </w:r>
      <w:r w:rsidRPr="003356BF">
        <w:t>-20</w:t>
      </w:r>
      <w:r>
        <w:t>15</w:t>
      </w:r>
      <w:r w:rsidRPr="003356BF">
        <w:t>, since only the 5-year data contain information at census tract level.</w:t>
      </w:r>
    </w:p>
    <w:p w14:paraId="6B3A2DA3" w14:textId="609BBE23" w:rsidR="003356BF" w:rsidRDefault="003356BF" w:rsidP="00513A4B">
      <w:pPr>
        <w:spacing w:after="0"/>
        <w:ind w:left="0"/>
      </w:pPr>
      <w:r w:rsidRPr="003356BF">
        <w:rPr>
          <w:b/>
          <w:iCs/>
        </w:rPr>
        <w:t>Third Stage.</w:t>
      </w:r>
      <w:r w:rsidRPr="003356BF">
        <w:rPr>
          <w:i/>
          <w:iCs/>
        </w:rPr>
        <w:t xml:space="preserve"> </w:t>
      </w:r>
      <w:r w:rsidR="00513A4B" w:rsidRPr="00513A4B">
        <w:rPr>
          <w:rFonts w:eastAsia="Times New Roman"/>
          <w:color w:val="000000"/>
          <w:szCs w:val="24"/>
        </w:rPr>
        <w:t xml:space="preserve">We will use an extract of the United States Postal Service </w:t>
      </w:r>
      <w:r w:rsidR="00C6144D">
        <w:rPr>
          <w:rFonts w:eastAsia="Times New Roman"/>
          <w:color w:val="000000"/>
          <w:szCs w:val="24"/>
        </w:rPr>
        <w:t xml:space="preserve">(USPS) </w:t>
      </w:r>
      <w:r w:rsidR="00513A4B" w:rsidRPr="00513A4B">
        <w:rPr>
          <w:rFonts w:eastAsia="Times New Roman"/>
          <w:color w:val="000000"/>
          <w:szCs w:val="24"/>
        </w:rPr>
        <w:t>computerized delivery sequence file (CDS or CDSF) acq</w:t>
      </w:r>
      <w:r w:rsidR="00513A4B">
        <w:rPr>
          <w:rFonts w:eastAsia="Times New Roman"/>
          <w:color w:val="000000"/>
          <w:szCs w:val="24"/>
        </w:rPr>
        <w:t xml:space="preserve">uired from the Valassis vendor </w:t>
      </w:r>
      <w:r w:rsidR="00513A4B" w:rsidRPr="00513A4B">
        <w:rPr>
          <w:rFonts w:eastAsia="Times New Roman"/>
          <w:color w:val="000000"/>
          <w:szCs w:val="24"/>
        </w:rPr>
        <w:t xml:space="preserve">as the sampling frame for housing units (HUs) at the third stage of sampling. </w:t>
      </w:r>
      <w:r w:rsidR="008B6EE0">
        <w:rPr>
          <w:rFonts w:eastAsia="Times New Roman"/>
          <w:color w:val="000000"/>
          <w:szCs w:val="24"/>
        </w:rPr>
        <w:t xml:space="preserve">We acquire this extract from a vendor </w:t>
      </w:r>
      <w:r w:rsidR="008B6EE0" w:rsidRPr="00695C0B">
        <w:rPr>
          <w:rFonts w:eastAsia="Times New Roman"/>
          <w:szCs w:val="24"/>
        </w:rPr>
        <w:t xml:space="preserve">because </w:t>
      </w:r>
      <w:r w:rsidR="008B6EE0" w:rsidRPr="00695C0B">
        <w:t xml:space="preserve">the USPS is not allowed to directly license their computerized delivery sequence file to parties other than the US Census Bureau </w:t>
      </w:r>
      <w:r w:rsidR="008B6EE0" w:rsidRPr="00695C0B">
        <w:rPr>
          <w:rFonts w:eastAsia="Times New Roman"/>
          <w:szCs w:val="24"/>
        </w:rPr>
        <w:t xml:space="preserve">(AAPOR </w:t>
      </w:r>
      <w:r w:rsidR="008B6EE0">
        <w:rPr>
          <w:rFonts w:eastAsia="Times New Roman"/>
          <w:color w:val="000000"/>
          <w:szCs w:val="24"/>
        </w:rPr>
        <w:t>ABS Task Force 2017).</w:t>
      </w:r>
      <w:r w:rsidR="008B6EE0">
        <w:rPr>
          <w:color w:val="1F497D"/>
        </w:rPr>
        <w:t xml:space="preserve"> </w:t>
      </w:r>
      <w:r w:rsidR="00513A4B" w:rsidRPr="00513A4B">
        <w:rPr>
          <w:rFonts w:eastAsia="Times New Roman"/>
          <w:color w:val="000000"/>
          <w:szCs w:val="24"/>
        </w:rPr>
        <w:t>The CDS is a list of residential addresses updated continually by mail carriers and is considered a suitable address frame for national samp</w:t>
      </w:r>
      <w:r w:rsidR="00513A4B">
        <w:rPr>
          <w:rFonts w:eastAsia="Times New Roman"/>
          <w:color w:val="000000"/>
          <w:szCs w:val="24"/>
        </w:rPr>
        <w:t>les (AAPOR ABS Task Force 201</w:t>
      </w:r>
      <w:r w:rsidR="00C6144D">
        <w:rPr>
          <w:rFonts w:eastAsia="Times New Roman"/>
          <w:color w:val="000000"/>
          <w:szCs w:val="24"/>
        </w:rPr>
        <w:t>7</w:t>
      </w:r>
      <w:r w:rsidR="00513A4B">
        <w:rPr>
          <w:rFonts w:eastAsia="Times New Roman"/>
          <w:color w:val="000000"/>
          <w:szCs w:val="24"/>
        </w:rPr>
        <w:t>)</w:t>
      </w:r>
      <w:r w:rsidR="00513A4B" w:rsidRPr="00513A4B">
        <w:rPr>
          <w:rFonts w:eastAsia="Times New Roman"/>
          <w:color w:val="000000"/>
          <w:szCs w:val="24"/>
        </w:rPr>
        <w:t xml:space="preserve">. Direct mail marketers (e.g., InfoUSA, </w:t>
      </w:r>
      <w:r w:rsidR="00C6144D">
        <w:rPr>
          <w:rFonts w:eastAsia="Times New Roman"/>
          <w:color w:val="000000"/>
          <w:szCs w:val="24"/>
        </w:rPr>
        <w:t>Valassis</w:t>
      </w:r>
      <w:r w:rsidR="00513A4B" w:rsidRPr="00513A4B">
        <w:rPr>
          <w:rFonts w:eastAsia="Times New Roman"/>
          <w:color w:val="000000"/>
          <w:szCs w:val="24"/>
        </w:rPr>
        <w:t>) license the list from the USPS and, in turn, NORC maintains a nationwide license for the Valassis version of the CDS.</w:t>
      </w:r>
      <w:r w:rsidR="00513A4B">
        <w:rPr>
          <w:rFonts w:eastAsia="Times New Roman"/>
          <w:color w:val="000000"/>
          <w:szCs w:val="24"/>
        </w:rPr>
        <w:t xml:space="preserve"> N</w:t>
      </w:r>
      <w:r w:rsidRPr="003356BF">
        <w:t>ORC ha</w:t>
      </w:r>
      <w:r w:rsidR="00513A4B">
        <w:t>s</w:t>
      </w:r>
      <w:r w:rsidRPr="003356BF">
        <w:t xml:space="preserve"> conducted extensive evaluation of the quality of the </w:t>
      </w:r>
      <w:r w:rsidR="00513A4B">
        <w:t>delivery sequence file</w:t>
      </w:r>
      <w:r w:rsidRPr="003356BF">
        <w:t xml:space="preserve"> as a sampling frame for HUs (</w:t>
      </w:r>
      <w:r w:rsidRPr="00870A26">
        <w:t>O’Muircheartaigh, English, and Eckman, 2007</w:t>
      </w:r>
      <w:r w:rsidRPr="003356BF">
        <w:t xml:space="preserve">). We have found that the list is of very good quality for non-rural areas. </w:t>
      </w:r>
    </w:p>
    <w:p w14:paraId="065E5C37" w14:textId="77777777" w:rsidR="00513A4B" w:rsidRPr="003356BF" w:rsidRDefault="00513A4B" w:rsidP="00513A4B">
      <w:pPr>
        <w:spacing w:after="0"/>
        <w:ind w:left="0"/>
      </w:pPr>
    </w:p>
    <w:p w14:paraId="090AC37F" w14:textId="26A672CA" w:rsidR="00F959E3" w:rsidRPr="00C733B4" w:rsidRDefault="00F959E3" w:rsidP="00C733B4">
      <w:pPr>
        <w:ind w:left="0"/>
      </w:pPr>
      <w:r w:rsidRPr="00C733B4">
        <w:t xml:space="preserve">For the NSECE, we will compare the number of </w:t>
      </w:r>
      <w:r w:rsidR="009F3954">
        <w:t>computerized delivery sequence (</w:t>
      </w:r>
      <w:r w:rsidRPr="00C733B4">
        <w:t>CDS</w:t>
      </w:r>
      <w:r w:rsidR="009F3954">
        <w:t>)</w:t>
      </w:r>
      <w:r w:rsidRPr="00C733B4">
        <w:t xml:space="preserve"> addresses</w:t>
      </w:r>
      <w:r w:rsidR="009F3954">
        <w:t xml:space="preserve"> (i.e., updated delivery sequence address information)</w:t>
      </w:r>
      <w:r w:rsidRPr="00C733B4">
        <w:t xml:space="preserve"> in a selected SSU to the corresponding census count.</w:t>
      </w:r>
      <w:r w:rsidR="007B27BD">
        <w:t xml:space="preserve"> </w:t>
      </w:r>
      <w:r w:rsidRPr="00C733B4">
        <w:t>In 2012 we implemented list-and-go methods in order to adequately sample from areas where the CDS count was unacceptably smaller than the census count.</w:t>
      </w:r>
      <w:r w:rsidR="00C52BEE">
        <w:t xml:space="preserve"> </w:t>
      </w:r>
      <w:r w:rsidRPr="00C733B4">
        <w:t>In 2019 we plan to take advantage of more cost effective methods of dealing with areas with limited coverage in the CDS.</w:t>
      </w:r>
      <w:r w:rsidR="007B27BD">
        <w:t xml:space="preserve"> </w:t>
      </w:r>
      <w:r w:rsidRPr="00C733B4">
        <w:t xml:space="preserve">Recent research indicates that supplementing the CDS frame with commercially-available address lists as well </w:t>
      </w:r>
      <w:r>
        <w:t>a</w:t>
      </w:r>
      <w:r w:rsidRPr="00C733B4">
        <w:t xml:space="preserve">s the </w:t>
      </w:r>
      <w:r w:rsidR="00E277E1">
        <w:t>USPS</w:t>
      </w:r>
      <w:r w:rsidRPr="00C733B4">
        <w:t xml:space="preserve"> “no-statistics” file can improve coverage in sparsely populated or otherwise unique geographies</w:t>
      </w:r>
      <w:r w:rsidR="00E277E1">
        <w:t xml:space="preserve"> and</w:t>
      </w:r>
      <w:r w:rsidRPr="00C733B4">
        <w:t xml:space="preserve"> is a cost effective way of addressing this sampling issue. In addition, it would avoid known drawbacks of list-and-go methods related to unintentional and intentional errors in implementation.</w:t>
      </w:r>
    </w:p>
    <w:p w14:paraId="12D29F66" w14:textId="5858E4E0" w:rsidR="003356BF" w:rsidRPr="003356BF" w:rsidRDefault="003356BF" w:rsidP="003356BF">
      <w:pPr>
        <w:ind w:left="0"/>
      </w:pPr>
      <w:r w:rsidRPr="003356BF">
        <w:t xml:space="preserve">An analytic focus of the NSECE is on the low-income population, and thus the household sample oversamples low-income families. Screening on household income is not a worthwhile option because it would damage response rates and thus undermine the representativeness of the sample. Instead, we will achieve an oversample of low-income households and age-eligible children living in such households by oversampling addresses in high-density low-income tracts. </w:t>
      </w:r>
    </w:p>
    <w:p w14:paraId="03D471D0" w14:textId="3468596C" w:rsidR="003356BF" w:rsidRPr="003356BF" w:rsidRDefault="003356BF" w:rsidP="003356BF">
      <w:pPr>
        <w:ind w:left="0"/>
      </w:pPr>
      <w:r w:rsidRPr="003356BF">
        <w:t xml:space="preserve">Overall, we will select </w:t>
      </w:r>
      <w:r w:rsidR="00FC5315">
        <w:t xml:space="preserve">approximately </w:t>
      </w:r>
      <w:r w:rsidR="00F369B8">
        <w:t>100</w:t>
      </w:r>
      <w:r w:rsidR="00A94F24">
        <w:t xml:space="preserve">,000 </w:t>
      </w:r>
      <w:r w:rsidRPr="003356BF">
        <w:t xml:space="preserve">HUs within the selected tracts to obtain </w:t>
      </w:r>
      <w:r w:rsidR="00A94F24">
        <w:t>1</w:t>
      </w:r>
      <w:r w:rsidR="00F369B8">
        <w:t>0</w:t>
      </w:r>
      <w:r w:rsidR="00A94F24">
        <w:t xml:space="preserve">,600 </w:t>
      </w:r>
      <w:r w:rsidRPr="003356BF">
        <w:t>completed household interviews. We will use equal probability systematic sampling to select HUs within a tract. Our goal will be to make the national sample as close to self-weighting (equal probabilities of selection) as possible within each of the high- and low-density strata.</w:t>
      </w:r>
    </w:p>
    <w:p w14:paraId="482DBE8C" w14:textId="4FA170A1" w:rsidR="00A9574B" w:rsidRDefault="009020D2" w:rsidP="003356BF">
      <w:pPr>
        <w:ind w:left="0"/>
      </w:pPr>
      <w:r>
        <w:t xml:space="preserve">Exhibit </w:t>
      </w:r>
      <w:r w:rsidR="00E57F40">
        <w:t xml:space="preserve">1 </w:t>
      </w:r>
      <w:r>
        <w:t>below</w:t>
      </w:r>
      <w:r w:rsidR="003356BF" w:rsidRPr="003356BF">
        <w:t xml:space="preserve"> documents </w:t>
      </w:r>
      <w:r>
        <w:t>the</w:t>
      </w:r>
      <w:r w:rsidR="003356BF" w:rsidRPr="003356BF">
        <w:t xml:space="preserve"> </w:t>
      </w:r>
      <w:r w:rsidR="00FC5315">
        <w:t xml:space="preserve">estimated number of sampled households </w:t>
      </w:r>
      <w:r w:rsidR="00F916BC">
        <w:t>and screening by</w:t>
      </w:r>
      <w:r w:rsidR="003356BF" w:rsidRPr="003356BF">
        <w:t xml:space="preserve"> </w:t>
      </w:r>
      <w:r w:rsidR="00F916BC">
        <w:t>several</w:t>
      </w:r>
      <w:r w:rsidR="003356BF" w:rsidRPr="003356BF">
        <w:t xml:space="preserve"> data collection </w:t>
      </w:r>
      <w:r w:rsidR="00F916BC">
        <w:t xml:space="preserve">modes </w:t>
      </w:r>
      <w:r w:rsidR="003356BF" w:rsidRPr="003356BF">
        <w:t xml:space="preserve">to achieve </w:t>
      </w:r>
      <w:r w:rsidR="00FC5315">
        <w:t>the</w:t>
      </w:r>
      <w:r w:rsidR="003356BF" w:rsidRPr="003356BF">
        <w:t xml:space="preserve"> goal of </w:t>
      </w:r>
      <w:r w:rsidR="009B30E6">
        <w:t>10</w:t>
      </w:r>
      <w:r>
        <w:t xml:space="preserve">,600 </w:t>
      </w:r>
      <w:r w:rsidR="003356BF" w:rsidRPr="003356BF">
        <w:t xml:space="preserve">completed household </w:t>
      </w:r>
      <w:r w:rsidR="00F916BC">
        <w:t>questionnaires</w:t>
      </w:r>
      <w:r w:rsidR="003356BF" w:rsidRPr="003356BF">
        <w:t xml:space="preserve">. Ultimately, we expect to screen </w:t>
      </w:r>
      <w:r>
        <w:t xml:space="preserve">61,500 </w:t>
      </w:r>
      <w:r w:rsidR="003356BF" w:rsidRPr="003356BF">
        <w:t>households (</w:t>
      </w:r>
      <w:r>
        <w:t xml:space="preserve">12,000 </w:t>
      </w:r>
      <w:r w:rsidR="003356BF" w:rsidRPr="003356BF">
        <w:t>by mail</w:t>
      </w:r>
      <w:r>
        <w:t>, 9,000 by web,</w:t>
      </w:r>
      <w:r w:rsidR="003356BF" w:rsidRPr="003356BF">
        <w:t xml:space="preserve"> and </w:t>
      </w:r>
      <w:r>
        <w:t xml:space="preserve">40,500 </w:t>
      </w:r>
      <w:r w:rsidR="007F00B2">
        <w:t>by telephone or in person</w:t>
      </w:r>
      <w:r w:rsidR="003356BF" w:rsidRPr="003356BF">
        <w:t>)</w:t>
      </w:r>
      <w:r w:rsidR="00FC5315">
        <w:t>,</w:t>
      </w:r>
      <w:r w:rsidR="003356BF" w:rsidRPr="003356BF">
        <w:t xml:space="preserve"> and complete </w:t>
      </w:r>
      <w:r>
        <w:t>1</w:t>
      </w:r>
      <w:r w:rsidR="007F00B2">
        <w:t>0</w:t>
      </w:r>
      <w:r>
        <w:t xml:space="preserve">,600 </w:t>
      </w:r>
      <w:r w:rsidR="003356BF" w:rsidRPr="003356BF">
        <w:t xml:space="preserve">household interviews by telephone </w:t>
      </w:r>
      <w:r w:rsidR="00B267FC">
        <w:t>or</w:t>
      </w:r>
      <w:r w:rsidR="003356BF" w:rsidRPr="003356BF">
        <w:t xml:space="preserve"> </w:t>
      </w:r>
      <w:r w:rsidR="00B267FC">
        <w:t>in</w:t>
      </w:r>
      <w:r w:rsidR="003356BF" w:rsidRPr="003356BF">
        <w:t xml:space="preserve"> person.</w:t>
      </w:r>
    </w:p>
    <w:p w14:paraId="5B7E26D4" w14:textId="7F6A9D5C" w:rsidR="00A9574B" w:rsidRPr="00181A34" w:rsidRDefault="00A9574B" w:rsidP="003347CD">
      <w:pPr>
        <w:pStyle w:val="NORCCaption-Exhibit"/>
      </w:pPr>
      <w:bookmarkStart w:id="5" w:name="_Toc526933196"/>
      <w:r w:rsidRPr="00181A34">
        <w:rPr>
          <w:b/>
        </w:rPr>
        <w:t xml:space="preserve">Exhibit </w:t>
      </w:r>
      <w:r w:rsidR="00E57F40">
        <w:rPr>
          <w:b/>
        </w:rPr>
        <w:t>1</w:t>
      </w:r>
      <w:r w:rsidRPr="00181A34">
        <w:rPr>
          <w:b/>
        </w:rPr>
        <w:t>.</w:t>
      </w:r>
      <w:r w:rsidRPr="00181A34">
        <w:tab/>
      </w:r>
      <w:r w:rsidR="00FC5315">
        <w:rPr>
          <w:rFonts w:eastAsia="Batang"/>
        </w:rPr>
        <w:t>Target Sample Size for the Household Survey</w:t>
      </w:r>
      <w:bookmarkEnd w:id="5"/>
    </w:p>
    <w:p w14:paraId="3AB18593" w14:textId="77777777" w:rsidR="00C242AE" w:rsidRDefault="00C242AE" w:rsidP="00F369B8">
      <w:pPr>
        <w:spacing w:after="0"/>
        <w:ind w:left="0"/>
        <w:rPr>
          <w:b/>
        </w:rPr>
      </w:pPr>
    </w:p>
    <w:tbl>
      <w:tblPr>
        <w:tblStyle w:val="TableGrid"/>
        <w:tblW w:w="7105" w:type="dxa"/>
        <w:jc w:val="center"/>
        <w:tblLayout w:type="fixed"/>
        <w:tblCellMar>
          <w:top w:w="58" w:type="dxa"/>
          <w:left w:w="72" w:type="dxa"/>
          <w:bottom w:w="58" w:type="dxa"/>
          <w:right w:w="72" w:type="dxa"/>
        </w:tblCellMar>
        <w:tblLook w:val="04A0" w:firstRow="1" w:lastRow="0" w:firstColumn="1" w:lastColumn="0" w:noHBand="0" w:noVBand="1"/>
      </w:tblPr>
      <w:tblGrid>
        <w:gridCol w:w="5756"/>
        <w:gridCol w:w="1349"/>
      </w:tblGrid>
      <w:tr w:rsidR="00C242AE" w:rsidRPr="00E543F8" w14:paraId="68C13906" w14:textId="77777777" w:rsidTr="00870A26">
        <w:trPr>
          <w:jc w:val="center"/>
        </w:trPr>
        <w:tc>
          <w:tcPr>
            <w:tcW w:w="5756" w:type="dxa"/>
            <w:shd w:val="clear" w:color="auto" w:fill="BFB6AC"/>
          </w:tcPr>
          <w:p w14:paraId="3BEB3204" w14:textId="10C54F1B" w:rsidR="00C242AE" w:rsidRPr="00514FA8" w:rsidRDefault="00C242AE" w:rsidP="009B30E6">
            <w:pPr>
              <w:pStyle w:val="NORCTableBodyLeftBold"/>
              <w:rPr>
                <w:rFonts w:cs="Arial"/>
              </w:rPr>
            </w:pPr>
            <w:r w:rsidRPr="00514FA8">
              <w:rPr>
                <w:rFonts w:cs="Arial"/>
              </w:rPr>
              <w:t xml:space="preserve">Data Collection Mode for </w:t>
            </w:r>
            <w:r w:rsidR="009B30E6">
              <w:rPr>
                <w:rFonts w:cs="Arial"/>
              </w:rPr>
              <w:t xml:space="preserve">Household </w:t>
            </w:r>
            <w:r w:rsidRPr="00514FA8">
              <w:rPr>
                <w:rFonts w:cs="Arial"/>
              </w:rPr>
              <w:t>Screener Completion</w:t>
            </w:r>
          </w:p>
        </w:tc>
        <w:tc>
          <w:tcPr>
            <w:tcW w:w="1349" w:type="dxa"/>
            <w:shd w:val="clear" w:color="auto" w:fill="BFB6AC"/>
          </w:tcPr>
          <w:p w14:paraId="48EA8A1C" w14:textId="631B0420" w:rsidR="00C242AE" w:rsidRPr="009B30E6" w:rsidRDefault="009B30E6" w:rsidP="00C242AE">
            <w:pPr>
              <w:pStyle w:val="NORCTableBodyCenter"/>
              <w:rPr>
                <w:rFonts w:cs="Arial"/>
                <w:b/>
              </w:rPr>
            </w:pPr>
            <w:r w:rsidRPr="009B30E6">
              <w:rPr>
                <w:rFonts w:cs="Arial"/>
                <w:b/>
              </w:rPr>
              <w:t>Estimated counts</w:t>
            </w:r>
          </w:p>
        </w:tc>
      </w:tr>
      <w:tr w:rsidR="009B30E6" w:rsidRPr="00E543F8" w14:paraId="1D4A7937" w14:textId="77777777" w:rsidTr="00870A26">
        <w:trPr>
          <w:jc w:val="center"/>
        </w:trPr>
        <w:tc>
          <w:tcPr>
            <w:tcW w:w="5756" w:type="dxa"/>
          </w:tcPr>
          <w:p w14:paraId="0A9E2810" w14:textId="3B6FA211" w:rsidR="009B30E6" w:rsidRPr="00F369B8" w:rsidRDefault="007F61F9" w:rsidP="00C33336">
            <w:pPr>
              <w:pStyle w:val="NORCTableBodyLeftBold"/>
              <w:rPr>
                <w:rFonts w:cs="Arial"/>
                <w:b w:val="0"/>
              </w:rPr>
            </w:pPr>
            <w:r>
              <w:rPr>
                <w:rFonts w:cs="Arial"/>
                <w:b w:val="0"/>
              </w:rPr>
              <w:t>Total s</w:t>
            </w:r>
            <w:r w:rsidR="009B30E6">
              <w:rPr>
                <w:rFonts w:cs="Arial"/>
                <w:b w:val="0"/>
              </w:rPr>
              <w:t>ampled households</w:t>
            </w:r>
          </w:p>
        </w:tc>
        <w:tc>
          <w:tcPr>
            <w:tcW w:w="1349" w:type="dxa"/>
          </w:tcPr>
          <w:p w14:paraId="707395E6" w14:textId="32B249E6" w:rsidR="009B30E6" w:rsidRPr="00514FA8" w:rsidRDefault="009B30E6" w:rsidP="00C242AE">
            <w:pPr>
              <w:pStyle w:val="NORCTableBodyCenter"/>
              <w:rPr>
                <w:rFonts w:cs="Arial"/>
              </w:rPr>
            </w:pPr>
            <w:r>
              <w:rPr>
                <w:rFonts w:cs="Arial"/>
              </w:rPr>
              <w:t>100,000</w:t>
            </w:r>
          </w:p>
        </w:tc>
      </w:tr>
      <w:tr w:rsidR="00C242AE" w:rsidRPr="00E543F8" w14:paraId="0F2B979C" w14:textId="77777777" w:rsidTr="00870A26">
        <w:trPr>
          <w:jc w:val="center"/>
        </w:trPr>
        <w:tc>
          <w:tcPr>
            <w:tcW w:w="5756" w:type="dxa"/>
          </w:tcPr>
          <w:p w14:paraId="546928DD" w14:textId="7CC9C4DB" w:rsidR="00C242AE" w:rsidRPr="00F369B8" w:rsidRDefault="009B30E6" w:rsidP="00C242AE">
            <w:pPr>
              <w:pStyle w:val="NORCTableBodyLeftBold"/>
              <w:rPr>
                <w:b w:val="0"/>
              </w:rPr>
            </w:pPr>
            <w:r>
              <w:rPr>
                <w:rFonts w:cs="Arial"/>
                <w:b w:val="0"/>
              </w:rPr>
              <w:t xml:space="preserve">     </w:t>
            </w:r>
            <w:r w:rsidR="00C242AE" w:rsidRPr="00F369B8">
              <w:rPr>
                <w:rFonts w:cs="Arial"/>
                <w:b w:val="0"/>
              </w:rPr>
              <w:t>Screening by hard-copy questionnaire</w:t>
            </w:r>
          </w:p>
        </w:tc>
        <w:tc>
          <w:tcPr>
            <w:tcW w:w="1349" w:type="dxa"/>
          </w:tcPr>
          <w:p w14:paraId="6151836B" w14:textId="5C35E0C4" w:rsidR="00C242AE" w:rsidRPr="00E543F8" w:rsidRDefault="00C242AE" w:rsidP="00C242AE">
            <w:pPr>
              <w:pStyle w:val="NORCTableBodyCenter"/>
            </w:pPr>
            <w:r w:rsidRPr="00514FA8">
              <w:rPr>
                <w:rFonts w:cs="Arial"/>
              </w:rPr>
              <w:t>12,000</w:t>
            </w:r>
          </w:p>
        </w:tc>
      </w:tr>
      <w:tr w:rsidR="00C242AE" w:rsidRPr="00E543F8" w14:paraId="773A9283" w14:textId="77777777" w:rsidTr="00870A26">
        <w:trPr>
          <w:jc w:val="center"/>
        </w:trPr>
        <w:tc>
          <w:tcPr>
            <w:tcW w:w="5756" w:type="dxa"/>
          </w:tcPr>
          <w:p w14:paraId="145B8526" w14:textId="639210A0" w:rsidR="00C242AE" w:rsidRPr="00F369B8" w:rsidRDefault="009B30E6" w:rsidP="00C242AE">
            <w:pPr>
              <w:pStyle w:val="NORCTableBodyLeftBold"/>
              <w:rPr>
                <w:b w:val="0"/>
              </w:rPr>
            </w:pPr>
            <w:r>
              <w:rPr>
                <w:rFonts w:cs="Arial"/>
                <w:b w:val="0"/>
              </w:rPr>
              <w:t xml:space="preserve">     </w:t>
            </w:r>
            <w:r w:rsidR="00C242AE" w:rsidRPr="00F369B8">
              <w:rPr>
                <w:rFonts w:cs="Arial"/>
                <w:b w:val="0"/>
              </w:rPr>
              <w:t>Screening by web questionnaire</w:t>
            </w:r>
          </w:p>
        </w:tc>
        <w:tc>
          <w:tcPr>
            <w:tcW w:w="1349" w:type="dxa"/>
          </w:tcPr>
          <w:p w14:paraId="160FCD10" w14:textId="09FE12E1" w:rsidR="00C242AE" w:rsidRPr="00E543F8" w:rsidRDefault="00C242AE" w:rsidP="00C242AE">
            <w:pPr>
              <w:pStyle w:val="NORCTableBodyCenter"/>
            </w:pPr>
            <w:r w:rsidRPr="00514FA8">
              <w:rPr>
                <w:rFonts w:cs="Arial"/>
              </w:rPr>
              <w:t>9,000</w:t>
            </w:r>
          </w:p>
        </w:tc>
      </w:tr>
      <w:tr w:rsidR="00C242AE" w:rsidRPr="00E543F8" w14:paraId="686A731B" w14:textId="77777777" w:rsidTr="00870A26">
        <w:trPr>
          <w:jc w:val="center"/>
        </w:trPr>
        <w:tc>
          <w:tcPr>
            <w:tcW w:w="5756" w:type="dxa"/>
          </w:tcPr>
          <w:p w14:paraId="12DB48BA" w14:textId="7594A8C2" w:rsidR="00C242AE" w:rsidRPr="00F369B8" w:rsidRDefault="009B30E6" w:rsidP="00C242AE">
            <w:pPr>
              <w:pStyle w:val="NORCTableBodyLeftBold"/>
              <w:rPr>
                <w:b w:val="0"/>
              </w:rPr>
            </w:pPr>
            <w:r>
              <w:rPr>
                <w:rFonts w:cs="Arial"/>
                <w:b w:val="0"/>
              </w:rPr>
              <w:t xml:space="preserve">     </w:t>
            </w:r>
            <w:r w:rsidR="00C242AE" w:rsidRPr="00F369B8">
              <w:rPr>
                <w:rFonts w:cs="Arial"/>
                <w:b w:val="0"/>
              </w:rPr>
              <w:t>Field interviewer screening</w:t>
            </w:r>
          </w:p>
        </w:tc>
        <w:tc>
          <w:tcPr>
            <w:tcW w:w="1349" w:type="dxa"/>
          </w:tcPr>
          <w:p w14:paraId="0181B787" w14:textId="396EC715" w:rsidR="00C242AE" w:rsidRPr="00E543F8" w:rsidRDefault="00C242AE" w:rsidP="00C242AE">
            <w:pPr>
              <w:pStyle w:val="NORCTableBodyCenter"/>
            </w:pPr>
            <w:r w:rsidRPr="00514FA8">
              <w:rPr>
                <w:rFonts w:cs="Arial"/>
              </w:rPr>
              <w:t>40,500</w:t>
            </w:r>
          </w:p>
        </w:tc>
      </w:tr>
      <w:tr w:rsidR="00C242AE" w:rsidRPr="009B30E6" w14:paraId="5F30195D" w14:textId="77777777" w:rsidTr="00870A26">
        <w:trPr>
          <w:trHeight w:val="395"/>
          <w:jc w:val="center"/>
        </w:trPr>
        <w:tc>
          <w:tcPr>
            <w:tcW w:w="5756" w:type="dxa"/>
          </w:tcPr>
          <w:p w14:paraId="56CED46F" w14:textId="2C8DE52D" w:rsidR="00C242AE" w:rsidRPr="009B30E6" w:rsidRDefault="007F61F9" w:rsidP="00C33336">
            <w:pPr>
              <w:pStyle w:val="NORCTableBodyLeftBold"/>
              <w:rPr>
                <w:rFonts w:eastAsia="Calibri" w:cs="Times New Roman"/>
              </w:rPr>
            </w:pPr>
            <w:r>
              <w:rPr>
                <w:rFonts w:cs="Arial"/>
              </w:rPr>
              <w:t>Total c</w:t>
            </w:r>
            <w:r w:rsidR="007F00B2">
              <w:rPr>
                <w:rFonts w:cs="Arial"/>
              </w:rPr>
              <w:t>ompleted h</w:t>
            </w:r>
            <w:r w:rsidR="00C242AE" w:rsidRPr="009B30E6">
              <w:rPr>
                <w:rFonts w:cs="Arial"/>
              </w:rPr>
              <w:t xml:space="preserve">ousehold </w:t>
            </w:r>
            <w:r w:rsidR="007F00B2">
              <w:rPr>
                <w:rFonts w:cs="Arial"/>
              </w:rPr>
              <w:t>questionnaires</w:t>
            </w:r>
          </w:p>
        </w:tc>
        <w:tc>
          <w:tcPr>
            <w:tcW w:w="1349" w:type="dxa"/>
          </w:tcPr>
          <w:p w14:paraId="57B894C4" w14:textId="29E72CAE" w:rsidR="00C242AE" w:rsidRPr="009B30E6" w:rsidRDefault="00C242AE" w:rsidP="00C242AE">
            <w:pPr>
              <w:pStyle w:val="NORCTableBodyCenter"/>
              <w:rPr>
                <w:b/>
              </w:rPr>
            </w:pPr>
            <w:r w:rsidRPr="009B30E6">
              <w:rPr>
                <w:rFonts w:cs="Arial"/>
                <w:b/>
              </w:rPr>
              <w:t>10,600</w:t>
            </w:r>
          </w:p>
        </w:tc>
      </w:tr>
    </w:tbl>
    <w:p w14:paraId="19BCCD2B" w14:textId="77777777" w:rsidR="00C242AE" w:rsidRDefault="00C242AE" w:rsidP="003356BF">
      <w:pPr>
        <w:ind w:left="0"/>
        <w:rPr>
          <w:rFonts w:ascii="Arial" w:hAnsi="Arial" w:cs="Arial"/>
          <w:sz w:val="20"/>
          <w:szCs w:val="20"/>
        </w:rPr>
      </w:pPr>
    </w:p>
    <w:p w14:paraId="01D83313" w14:textId="642F1C66" w:rsidR="003356BF" w:rsidRPr="003356BF" w:rsidRDefault="003356BF" w:rsidP="003356BF">
      <w:pPr>
        <w:ind w:left="0"/>
      </w:pPr>
      <w:r w:rsidRPr="003356BF">
        <w:t>We propose us</w:t>
      </w:r>
      <w:r w:rsidR="00B67BBA">
        <w:t>ing</w:t>
      </w:r>
      <w:r w:rsidRPr="003356BF">
        <w:t xml:space="preserve"> multiple modes of </w:t>
      </w:r>
      <w:r w:rsidR="00B67BBA">
        <w:t>data collection</w:t>
      </w:r>
      <w:r w:rsidR="007B2B2E" w:rsidRPr="003356BF">
        <w:t xml:space="preserve"> </w:t>
      </w:r>
      <w:r w:rsidRPr="003356BF">
        <w:t>(mail,</w:t>
      </w:r>
      <w:r w:rsidR="007B2B2E">
        <w:t xml:space="preserve"> web,</w:t>
      </w:r>
      <w:r w:rsidRPr="003356BF">
        <w:t xml:space="preserve"> telephone, and </w:t>
      </w:r>
      <w:r w:rsidR="007B2B2E">
        <w:t>in</w:t>
      </w:r>
      <w:r w:rsidR="00B67BBA">
        <w:t>-</w:t>
      </w:r>
      <w:r w:rsidR="007B2B2E">
        <w:t>person</w:t>
      </w:r>
      <w:r w:rsidRPr="003356BF">
        <w:t xml:space="preserve">) </w:t>
      </w:r>
      <w:r w:rsidR="00B67BBA">
        <w:t xml:space="preserve">to complete the household screener </w:t>
      </w:r>
      <w:r w:rsidRPr="003356BF">
        <w:t xml:space="preserve">for the hybrid sample of HUs. </w:t>
      </w:r>
      <w:r w:rsidR="00B67BBA" w:rsidRPr="003356BF">
        <w:t>We will begin data collection by mailing a screening questionnaire</w:t>
      </w:r>
      <w:r w:rsidR="00B67BBA">
        <w:t xml:space="preserve"> or optional web </w:t>
      </w:r>
      <w:r w:rsidR="00BF6BCC">
        <w:t>questionnaire</w:t>
      </w:r>
      <w:r w:rsidR="00B67BBA">
        <w:t xml:space="preserve"> for the household screener</w:t>
      </w:r>
      <w:r w:rsidR="00B67BBA" w:rsidRPr="003356BF">
        <w:t xml:space="preserve"> to all </w:t>
      </w:r>
      <w:r w:rsidR="00B67BBA">
        <w:t>sampled households</w:t>
      </w:r>
      <w:r w:rsidR="00B67BBA" w:rsidRPr="003356BF">
        <w:t xml:space="preserve"> with the exception of drop points. </w:t>
      </w:r>
      <w:r w:rsidR="00B67BBA">
        <w:t>These</w:t>
      </w:r>
      <w:r w:rsidR="00B67BBA" w:rsidRPr="003356BF">
        <w:t xml:space="preserve"> </w:t>
      </w:r>
      <w:r w:rsidRPr="003356BF">
        <w:t xml:space="preserve">addresses (drop points) will never be suitable for telephone or mail screening and we will directly </w:t>
      </w:r>
      <w:r w:rsidR="007B2B2E">
        <w:t xml:space="preserve">route these cases </w:t>
      </w:r>
      <w:r w:rsidRPr="003356BF">
        <w:t xml:space="preserve">to </w:t>
      </w:r>
      <w:r w:rsidR="007B2B2E">
        <w:t>in-</w:t>
      </w:r>
      <w:r w:rsidRPr="003356BF">
        <w:t xml:space="preserve">person screening. </w:t>
      </w:r>
      <w:r w:rsidR="00EF2A6F" w:rsidRPr="00EF2A6F">
        <w:t>The household sample will be matched against a telephone commercial database to identify any telephone numbers associated with each sampled household.</w:t>
      </w:r>
      <w:r w:rsidR="00EF2A6F" w:rsidRPr="00EF2A6F" w:rsidDel="00B67BBA">
        <w:t xml:space="preserve"> </w:t>
      </w:r>
      <w:r w:rsidRPr="003356BF">
        <w:t>Selected addresses that have screened eligible (i.e., at least one child under 13 years of age) and have a telephone match will be worked by telephone initially</w:t>
      </w:r>
      <w:r w:rsidR="00EF2A6F">
        <w:t>, with a subsequent in-person visit</w:t>
      </w:r>
      <w:r w:rsidR="00FC5315">
        <w:t>, as needed</w:t>
      </w:r>
      <w:r w:rsidRPr="003356BF">
        <w:t xml:space="preserve">. </w:t>
      </w:r>
      <w:r w:rsidR="003A6AF7">
        <w:t xml:space="preserve">If an eligible household does not have an available telephone number, a field interviewer will visit in person to conduct the household </w:t>
      </w:r>
      <w:r w:rsidR="00B67BBA">
        <w:t>questionnaire</w:t>
      </w:r>
      <w:r w:rsidR="003A6AF7">
        <w:t>.</w:t>
      </w:r>
    </w:p>
    <w:p w14:paraId="2F86D1B3" w14:textId="6F96E9B9" w:rsidR="003356BF" w:rsidRPr="003356BF" w:rsidRDefault="003356BF" w:rsidP="00960707">
      <w:pPr>
        <w:pStyle w:val="Heading4"/>
      </w:pPr>
      <w:bookmarkStart w:id="6" w:name="_Toc520896108"/>
      <w:r w:rsidRPr="003356BF">
        <w:t>Design of the Home-</w:t>
      </w:r>
      <w:r w:rsidR="00A9574B">
        <w:t>b</w:t>
      </w:r>
      <w:r w:rsidRPr="003356BF">
        <w:t>ased Provider Survey</w:t>
      </w:r>
      <w:bookmarkEnd w:id="6"/>
    </w:p>
    <w:p w14:paraId="1969F20B" w14:textId="01655946" w:rsidR="006F3109" w:rsidRDefault="003356BF" w:rsidP="003356BF">
      <w:pPr>
        <w:ind w:left="0"/>
      </w:pPr>
      <w:r w:rsidRPr="003356BF">
        <w:t xml:space="preserve">Two types of respondents will complete the </w:t>
      </w:r>
      <w:r w:rsidR="00A9574B" w:rsidRPr="003356BF">
        <w:t>home-based provider questionnaire</w:t>
      </w:r>
      <w:r w:rsidR="007468D0">
        <w:t>, listed and unlisted home-based providers</w:t>
      </w:r>
      <w:r w:rsidRPr="003356BF">
        <w:t xml:space="preserve">. </w:t>
      </w:r>
      <w:r w:rsidR="007468D0">
        <w:t xml:space="preserve">Listed home-based providers include all sampled </w:t>
      </w:r>
      <w:r w:rsidR="005A32DF">
        <w:t>l</w:t>
      </w:r>
      <w:r w:rsidR="005A32DF" w:rsidRPr="003356BF">
        <w:t xml:space="preserve">icensed, license-exempt, </w:t>
      </w:r>
      <w:r w:rsidR="005A32DF" w:rsidRPr="007468D0">
        <w:t xml:space="preserve">registered, regulated, and otherwise listed </w:t>
      </w:r>
      <w:r w:rsidR="007468D0">
        <w:t xml:space="preserve">home-based </w:t>
      </w:r>
      <w:r w:rsidR="005A32DF">
        <w:t xml:space="preserve">ECE </w:t>
      </w:r>
      <w:r w:rsidR="007468D0">
        <w:t>providers identified from state or national administrative lists</w:t>
      </w:r>
      <w:r w:rsidR="005A32DF">
        <w:t xml:space="preserve">. Unlisted home-based providers include all home-based providers that do not appear on any administrative lists and are identified from the household screener. Eligible home-based providers will be individuals who provide care in a residential setting for one or more children under age 13 </w:t>
      </w:r>
      <w:r w:rsidR="000D7FD9">
        <w:t>(</w:t>
      </w:r>
      <w:r w:rsidR="005A32DF">
        <w:t>who are not their own</w:t>
      </w:r>
      <w:r w:rsidR="000D7FD9">
        <w:t>)</w:t>
      </w:r>
      <w:r w:rsidR="005A32DF">
        <w:t xml:space="preserve"> at least five hours per week. </w:t>
      </w:r>
      <w:r w:rsidRPr="003356BF">
        <w:t xml:space="preserve">In the event that more than one </w:t>
      </w:r>
      <w:r w:rsidR="005A32DF">
        <w:t xml:space="preserve">home-based provider </w:t>
      </w:r>
      <w:r w:rsidRPr="003356BF">
        <w:t>is identified</w:t>
      </w:r>
      <w:r w:rsidR="005A32DF">
        <w:t xml:space="preserve"> through the household screener</w:t>
      </w:r>
      <w:r w:rsidRPr="003356BF">
        <w:t xml:space="preserve">, </w:t>
      </w:r>
      <w:r w:rsidR="005A32DF">
        <w:t>one respondent will be randomly selected for the home-based provider questionnaire</w:t>
      </w:r>
      <w:r w:rsidRPr="003356BF">
        <w:t>.</w:t>
      </w:r>
    </w:p>
    <w:p w14:paraId="5AA51BEC" w14:textId="0BFFFF06" w:rsidR="003356BF" w:rsidRPr="003356BF" w:rsidRDefault="006F3109" w:rsidP="003356BF">
      <w:pPr>
        <w:ind w:left="0"/>
      </w:pPr>
      <w:r>
        <w:t xml:space="preserve">While these two respondent types complete the same </w:t>
      </w:r>
      <w:r w:rsidR="00B67BBA">
        <w:t xml:space="preserve">home-based provider </w:t>
      </w:r>
      <w:r>
        <w:t>questionnaire, the</w:t>
      </w:r>
      <w:r w:rsidR="00B67BBA">
        <w:t>se respondents stem from two different samples: 1)</w:t>
      </w:r>
      <w:r>
        <w:t xml:space="preserve"> sampling for the unlisted home-based providers is through the design of the household survey, and </w:t>
      </w:r>
      <w:r w:rsidR="00B67BBA">
        <w:t xml:space="preserve">2) </w:t>
      </w:r>
      <w:r>
        <w:t xml:space="preserve">the sampling for the listed home-based provider survey is </w:t>
      </w:r>
      <w:r w:rsidR="00940D50">
        <w:t>through the design of the listed provider-based survey (for center-based and home-based providers from administrative lists)</w:t>
      </w:r>
      <w:r w:rsidR="000D7FD9">
        <w:t>, as detailed in the following section.</w:t>
      </w:r>
    </w:p>
    <w:p w14:paraId="1636247E" w14:textId="1F044778" w:rsidR="00484FF3" w:rsidRPr="00C063E0" w:rsidRDefault="00484FF3" w:rsidP="00C063E0">
      <w:pPr>
        <w:pStyle w:val="Heading4"/>
      </w:pPr>
      <w:bookmarkStart w:id="7" w:name="_Toc520896109"/>
      <w:r w:rsidRPr="00C063E0">
        <w:t>Design of the Survey</w:t>
      </w:r>
      <w:r w:rsidR="00531510">
        <w:t xml:space="preserve"> for Listed</w:t>
      </w:r>
      <w:r w:rsidR="00531510" w:rsidRPr="00531510">
        <w:t xml:space="preserve"> </w:t>
      </w:r>
      <w:r w:rsidR="00531510" w:rsidRPr="00C063E0">
        <w:t>Provider</w:t>
      </w:r>
      <w:r w:rsidR="00531510">
        <w:t>s</w:t>
      </w:r>
      <w:r w:rsidR="00531510" w:rsidRPr="00C063E0">
        <w:t xml:space="preserve"> </w:t>
      </w:r>
      <w:r w:rsidR="00531510">
        <w:t>(</w:t>
      </w:r>
      <w:r w:rsidR="000D7FD9">
        <w:t>center-based and home-based providers from administrative lists)</w:t>
      </w:r>
      <w:bookmarkEnd w:id="7"/>
    </w:p>
    <w:p w14:paraId="5D68CA25" w14:textId="16C6FD23" w:rsidR="00612650" w:rsidRDefault="00612650" w:rsidP="00C063E0">
      <w:pPr>
        <w:pStyle w:val="BodyText"/>
      </w:pPr>
      <w:r w:rsidRPr="00393279">
        <w:t xml:space="preserve">The target population for </w:t>
      </w:r>
      <w:r w:rsidR="000D7FD9">
        <w:t>this sample type</w:t>
      </w:r>
      <w:r w:rsidRPr="00393279">
        <w:t xml:space="preserve"> is defined as </w:t>
      </w:r>
      <w:r w:rsidR="00EE1D18" w:rsidRPr="00C063E0">
        <w:t xml:space="preserve">center-based ECE providers to children birth through age five years, not yet in kindergarten; </w:t>
      </w:r>
      <w:r w:rsidRPr="00C063E0">
        <w:t>registered, regulated</w:t>
      </w:r>
      <w:r w:rsidR="00E543F8" w:rsidRPr="00C063E0">
        <w:t>,</w:t>
      </w:r>
      <w:r w:rsidRPr="00C063E0">
        <w:t xml:space="preserve"> and otherwise listed</w:t>
      </w:r>
      <w:r w:rsidR="00EE1D18" w:rsidRPr="00C063E0">
        <w:t xml:space="preserve"> home-based</w:t>
      </w:r>
      <w:r w:rsidRPr="00C063E0">
        <w:t xml:space="preserve"> </w:t>
      </w:r>
      <w:r w:rsidR="00EE1D18" w:rsidRPr="00C063E0">
        <w:t>ECE providers</w:t>
      </w:r>
      <w:r w:rsidRPr="00C063E0">
        <w:t xml:space="preserve"> serving children from birth to 13 years</w:t>
      </w:r>
      <w:r w:rsidR="00EE1D18" w:rsidRPr="00C063E0">
        <w:t>;</w:t>
      </w:r>
      <w:r w:rsidRPr="00C063E0">
        <w:t xml:space="preserve"> </w:t>
      </w:r>
      <w:r w:rsidR="00EE1D18" w:rsidRPr="00C063E0">
        <w:t>and classroom-assigned center-based</w:t>
      </w:r>
      <w:r w:rsidRPr="00C063E0">
        <w:t xml:space="preserve"> </w:t>
      </w:r>
      <w:r w:rsidR="00EE1D18" w:rsidRPr="00C063E0">
        <w:t>workers in E</w:t>
      </w:r>
      <w:r w:rsidRPr="00C063E0">
        <w:t xml:space="preserve">CE </w:t>
      </w:r>
      <w:r w:rsidR="00EE1D18" w:rsidRPr="00C063E0">
        <w:t>centers</w:t>
      </w:r>
      <w:r w:rsidR="00084F33" w:rsidRPr="00C063E0">
        <w:t>.</w:t>
      </w:r>
    </w:p>
    <w:p w14:paraId="03E6AAFD" w14:textId="3823E090" w:rsidR="007B45B4" w:rsidRDefault="007B45B4" w:rsidP="00C063E0">
      <w:pPr>
        <w:pStyle w:val="BodyText"/>
      </w:pPr>
      <w:r w:rsidRPr="003347CD">
        <w:rPr>
          <w:b/>
        </w:rPr>
        <w:t>First Stage.</w:t>
      </w:r>
      <w:r>
        <w:t xml:space="preserve"> The sampling plan for the listed providers follows the same initial stratified probability sample of PSUs representing all geographic areas in the 50 states and DC for the household sample. As previously noted, this serves as the foundation to collecting and analyzing data for the cluster</w:t>
      </w:r>
      <w:r w:rsidR="00877BE6">
        <w:t>ed</w:t>
      </w:r>
      <w:r>
        <w:t xml:space="preserve"> sampling approach</w:t>
      </w:r>
      <w:r w:rsidR="00877BE6">
        <w:t xml:space="preserve"> across surveys</w:t>
      </w:r>
      <w:r>
        <w:t>.</w:t>
      </w:r>
    </w:p>
    <w:p w14:paraId="40B46654" w14:textId="712905A6" w:rsidR="00EA0B57" w:rsidRPr="003356BF" w:rsidRDefault="00EA0B57" w:rsidP="00EA0B57">
      <w:pPr>
        <w:ind w:left="0"/>
      </w:pPr>
      <w:r w:rsidRPr="003347CD">
        <w:rPr>
          <w:b/>
        </w:rPr>
        <w:t>Second Stage.</w:t>
      </w:r>
      <w:r>
        <w:t xml:space="preserve"> </w:t>
      </w:r>
      <w:r w:rsidR="007B45B4">
        <w:t>The SSUs</w:t>
      </w:r>
      <w:r w:rsidR="00006811">
        <w:t xml:space="preserve"> </w:t>
      </w:r>
      <w:r w:rsidR="007B45B4">
        <w:t>for the provider sample</w:t>
      </w:r>
      <w:r w:rsidR="00006811">
        <w:t xml:space="preserve"> are larger in area but geographically connected to household SSU’s.</w:t>
      </w:r>
      <w:r w:rsidR="00C52BEE">
        <w:t xml:space="preserve"> </w:t>
      </w:r>
      <w:r w:rsidR="00006811">
        <w:t xml:space="preserve">Provider SSU’s are designed in a way that they contain providers that are likely to serve the households of the selected household SSU. </w:t>
      </w:r>
      <w:r w:rsidR="007B45B4">
        <w:t xml:space="preserve">The only distinction here is </w:t>
      </w:r>
      <w:r w:rsidR="00006811">
        <w:t xml:space="preserve">that </w:t>
      </w:r>
      <w:r w:rsidR="007B45B4">
        <w:t>the MOS for</w:t>
      </w:r>
      <w:r>
        <w:t xml:space="preserve"> the listed provider sampl</w:t>
      </w:r>
      <w:r w:rsidR="00006811">
        <w:t>e</w:t>
      </w:r>
      <w:r w:rsidR="007B45B4">
        <w:t xml:space="preserve"> is </w:t>
      </w:r>
      <w:r>
        <w:t>the number of providers within the SSU. This number will be based on the sampling frame constructed for the sampling of center- and listed home-based providers. If these data are not available at the time of SSU selection, the number of households with at lea</w:t>
      </w:r>
      <w:r w:rsidR="007B45B4">
        <w:t>s</w:t>
      </w:r>
      <w:r>
        <w:t>t one child under age 18 based on the ACS for the period 2011-2015 will be used instead.</w:t>
      </w:r>
      <w:r w:rsidR="00C52BEE">
        <w:t xml:space="preserve"> </w:t>
      </w:r>
      <w:r w:rsidR="00006811">
        <w:t xml:space="preserve">This </w:t>
      </w:r>
      <w:r w:rsidR="00F916BC">
        <w:t>MOS</w:t>
      </w:r>
      <w:r w:rsidR="00006811">
        <w:t xml:space="preserve"> will be used to evaluate</w:t>
      </w:r>
      <w:r w:rsidR="00877BE6">
        <w:t xml:space="preserve"> how many tracts are required to </w:t>
      </w:r>
      <w:r w:rsidR="00A443C6">
        <w:t>obtain</w:t>
      </w:r>
      <w:r w:rsidR="00877BE6">
        <w:t xml:space="preserve"> an </w:t>
      </w:r>
      <w:r w:rsidR="00006811">
        <w:t xml:space="preserve">adequate number of providers in the cluster </w:t>
      </w:r>
      <w:r w:rsidR="00877BE6">
        <w:t xml:space="preserve">from which providers will be sampled. </w:t>
      </w:r>
      <w:r w:rsidR="00006811">
        <w:t>The probability of selection for the SSU will be a function of the size of the associated household SSU.</w:t>
      </w:r>
    </w:p>
    <w:p w14:paraId="0892DAA2" w14:textId="27C74145" w:rsidR="003E7C3D" w:rsidRDefault="009E4621" w:rsidP="00C45EF7">
      <w:pPr>
        <w:pStyle w:val="BodyText"/>
      </w:pPr>
      <w:r>
        <w:rPr>
          <w:b/>
          <w:iCs/>
          <w:szCs w:val="24"/>
        </w:rPr>
        <w:t>Third Stage</w:t>
      </w:r>
      <w:r w:rsidR="00CD78E5">
        <w:rPr>
          <w:b/>
          <w:iCs/>
          <w:szCs w:val="24"/>
        </w:rPr>
        <w:t xml:space="preserve">. </w:t>
      </w:r>
      <w:r w:rsidR="003702DB" w:rsidRPr="00F137B9">
        <w:t xml:space="preserve">While the sampling frames for the first and second stages come from Census definitions and data, </w:t>
      </w:r>
      <w:r w:rsidR="00497E3A">
        <w:t>we</w:t>
      </w:r>
      <w:r w:rsidR="00497E3A" w:rsidRPr="00F137B9">
        <w:t xml:space="preserve"> </w:t>
      </w:r>
      <w:r w:rsidR="003702DB" w:rsidRPr="00F137B9">
        <w:t>will construct a sampling frame of providers for the third stage.</w:t>
      </w:r>
      <w:r w:rsidR="00BA7625">
        <w:t xml:space="preserve"> </w:t>
      </w:r>
      <w:r w:rsidR="009D2DB2">
        <w:t>Specifically, w</w:t>
      </w:r>
      <w:r w:rsidR="003702DB">
        <w:t xml:space="preserve">e </w:t>
      </w:r>
      <w:r w:rsidR="003702DB" w:rsidRPr="00F137B9">
        <w:t xml:space="preserve">will gather state-level lists of center-based and home-based providers from the relevant state agencies. </w:t>
      </w:r>
      <w:r w:rsidR="00497E3A">
        <w:t>This</w:t>
      </w:r>
      <w:r w:rsidR="009D2DB2">
        <w:t xml:space="preserve"> effort</w:t>
      </w:r>
      <w:r w:rsidR="00497E3A">
        <w:t xml:space="preserve"> will include </w:t>
      </w:r>
      <w:r w:rsidR="009D2DB2">
        <w:t xml:space="preserve">obtaining </w:t>
      </w:r>
      <w:r w:rsidR="00497E3A">
        <w:t xml:space="preserve">publicly available </w:t>
      </w:r>
      <w:r w:rsidR="004509B1">
        <w:t xml:space="preserve">online </w:t>
      </w:r>
      <w:r w:rsidR="00497E3A">
        <w:t xml:space="preserve">administrative lists, </w:t>
      </w:r>
      <w:r w:rsidR="004509B1">
        <w:t>and having individualized follow</w:t>
      </w:r>
      <w:r w:rsidR="006123CF">
        <w:t>-</w:t>
      </w:r>
      <w:r w:rsidR="004509B1">
        <w:t>up conversations with state administrators based on the publicly available information</w:t>
      </w:r>
      <w:r w:rsidR="009D2DB2">
        <w:t xml:space="preserve">. </w:t>
      </w:r>
      <w:r w:rsidR="003702DB" w:rsidRPr="00F137B9">
        <w:t xml:space="preserve">We will supplement these with national lists of ECE providers, for example, lists from the Office of Head Start, the accreditation list from the National Association for the Education of Young Children, and </w:t>
      </w:r>
      <w:r w:rsidR="00345C69">
        <w:t xml:space="preserve">ECE provider </w:t>
      </w:r>
      <w:r w:rsidR="003702DB" w:rsidRPr="00F137B9">
        <w:t>lists maintained by federal agencies such as the Department of Defense and the General Services Administration.</w:t>
      </w:r>
      <w:r w:rsidR="00BA7625">
        <w:t xml:space="preserve"> </w:t>
      </w:r>
      <w:r>
        <w:t>A</w:t>
      </w:r>
      <w:r w:rsidR="003702DB" w:rsidRPr="00F137B9">
        <w:t>n important supplemental source will be a commercially available list of all K-</w:t>
      </w:r>
      <w:r w:rsidR="00345C69">
        <w:t>8</w:t>
      </w:r>
      <w:r w:rsidR="003702DB" w:rsidRPr="00F137B9">
        <w:rPr>
          <w:vertAlign w:val="superscript"/>
        </w:rPr>
        <w:t>th</w:t>
      </w:r>
      <w:r w:rsidR="003702DB" w:rsidRPr="00F137B9">
        <w:t xml:space="preserve"> grade elementary schools in the country</w:t>
      </w:r>
      <w:r w:rsidR="00A13BD7">
        <w:t>;</w:t>
      </w:r>
      <w:r w:rsidR="003702DB" w:rsidRPr="00F137B9">
        <w:t xml:space="preserve"> </w:t>
      </w:r>
      <w:r>
        <w:t xml:space="preserve">many of these locations </w:t>
      </w:r>
      <w:r w:rsidR="003702DB" w:rsidRPr="00F137B9">
        <w:t xml:space="preserve">potentially </w:t>
      </w:r>
      <w:r>
        <w:t>have early</w:t>
      </w:r>
      <w:r w:rsidR="003702DB" w:rsidRPr="00F137B9">
        <w:t xml:space="preserve"> childhood programs </w:t>
      </w:r>
      <w:r>
        <w:t xml:space="preserve">that do </w:t>
      </w:r>
      <w:r w:rsidR="00084F33">
        <w:t>not appear on state lists.</w:t>
      </w:r>
    </w:p>
    <w:p w14:paraId="4D57043A" w14:textId="4DCAA957" w:rsidR="002D6EB1" w:rsidRDefault="003702DB" w:rsidP="00C45EF7">
      <w:pPr>
        <w:pStyle w:val="BodyText"/>
        <w:rPr>
          <w:szCs w:val="24"/>
        </w:rPr>
      </w:pPr>
      <w:r>
        <w:t xml:space="preserve">Once the sampling frame </w:t>
      </w:r>
      <w:r w:rsidR="00D01FC7">
        <w:t>ha</w:t>
      </w:r>
      <w:r w:rsidR="00A13BD7">
        <w:t>s</w:t>
      </w:r>
      <w:r w:rsidR="00D01FC7">
        <w:t xml:space="preserve"> been </w:t>
      </w:r>
      <w:r>
        <w:t>de-duplicated</w:t>
      </w:r>
      <w:r w:rsidR="00A13BD7">
        <w:t xml:space="preserve"> of providers appearing on more than one list</w:t>
      </w:r>
      <w:r>
        <w:t xml:space="preserve">, </w:t>
      </w:r>
      <w:r w:rsidR="00900842">
        <w:t xml:space="preserve">we </w:t>
      </w:r>
      <w:r w:rsidR="00900842" w:rsidRPr="00FC47D2">
        <w:t>will construct</w:t>
      </w:r>
      <w:r w:rsidR="00900842">
        <w:t xml:space="preserve"> </w:t>
      </w:r>
      <w:r>
        <w:t>a p</w:t>
      </w:r>
      <w:r w:rsidRPr="00FC47D2">
        <w:t>rovider location sampling frame.</w:t>
      </w:r>
      <w:r w:rsidR="00BA7625">
        <w:t xml:space="preserve"> </w:t>
      </w:r>
      <w:r w:rsidRPr="00FC47D2">
        <w:t>This</w:t>
      </w:r>
      <w:r w:rsidR="005F285A">
        <w:t xml:space="preserve"> </w:t>
      </w:r>
      <w:r w:rsidRPr="00FC47D2">
        <w:t>will be a list of physical locations where at least one eligible provider is located.</w:t>
      </w:r>
      <w:r w:rsidR="00BA7625">
        <w:t xml:space="preserve"> </w:t>
      </w:r>
      <w:r w:rsidRPr="00FC47D2">
        <w:t xml:space="preserve">In cases where more than one provider is </w:t>
      </w:r>
      <w:r w:rsidR="009926A7">
        <w:t>located at a selected location</w:t>
      </w:r>
      <w:r w:rsidRPr="00FC47D2">
        <w:t xml:space="preserve">, an additional stage of sampling will be used to </w:t>
      </w:r>
      <w:r w:rsidR="00902B7B">
        <w:t>select</w:t>
      </w:r>
      <w:r w:rsidR="00902B7B" w:rsidRPr="00FC47D2">
        <w:t xml:space="preserve"> </w:t>
      </w:r>
      <w:r w:rsidRPr="00FC47D2">
        <w:t xml:space="preserve">a single provider from </w:t>
      </w:r>
      <w:r w:rsidR="009926A7">
        <w:t xml:space="preserve">that </w:t>
      </w:r>
      <w:r w:rsidRPr="00FC47D2">
        <w:t>location.</w:t>
      </w:r>
      <w:r w:rsidR="00BA7625">
        <w:t xml:space="preserve"> </w:t>
      </w:r>
      <w:r w:rsidR="00902B7B">
        <w:t>Exhibit</w:t>
      </w:r>
      <w:r w:rsidR="009926A7">
        <w:t xml:space="preserve"> </w:t>
      </w:r>
      <w:r w:rsidR="00E57F40">
        <w:t xml:space="preserve">2 </w:t>
      </w:r>
      <w:r w:rsidR="005561D8">
        <w:t xml:space="preserve">below </w:t>
      </w:r>
      <w:r>
        <w:t xml:space="preserve">summarizes the expected number of sampled providers </w:t>
      </w:r>
      <w:r w:rsidR="00345C69">
        <w:t xml:space="preserve">and classroom staff </w:t>
      </w:r>
      <w:r>
        <w:t xml:space="preserve">needed to meet the targeted number of completed </w:t>
      </w:r>
      <w:r w:rsidR="00B324ED">
        <w:t>questionnaires</w:t>
      </w:r>
      <w:r>
        <w:t>.</w:t>
      </w:r>
    </w:p>
    <w:p w14:paraId="42991BAC" w14:textId="72CF4824" w:rsidR="000A0675" w:rsidRPr="006F47F8" w:rsidRDefault="000A0675" w:rsidP="000A0675">
      <w:pPr>
        <w:pStyle w:val="NORCCaption-Exhibit"/>
        <w:tabs>
          <w:tab w:val="clear" w:pos="1440"/>
          <w:tab w:val="left" w:pos="1170"/>
        </w:tabs>
        <w:spacing w:line="276" w:lineRule="auto"/>
        <w:ind w:left="1170" w:hanging="1170"/>
        <w:contextualSpacing/>
      </w:pPr>
      <w:bookmarkStart w:id="8" w:name="_Toc526933197"/>
      <w:r>
        <w:rPr>
          <w:b/>
        </w:rPr>
        <w:t xml:space="preserve">Exhibit </w:t>
      </w:r>
      <w:r w:rsidR="00E57F40">
        <w:rPr>
          <w:b/>
        </w:rPr>
        <w:t>2</w:t>
      </w:r>
      <w:r w:rsidRPr="00F95917">
        <w:rPr>
          <w:b/>
        </w:rPr>
        <w:t>.</w:t>
      </w:r>
      <w:r>
        <w:tab/>
      </w:r>
      <w:r w:rsidRPr="006F47F8">
        <w:rPr>
          <w:rFonts w:eastAsia="Batang"/>
          <w:bCs/>
          <w:color w:val="000000"/>
          <w:lang w:eastAsia="ko-KR"/>
        </w:rPr>
        <w:t xml:space="preserve">Target Sample Sizes for the </w:t>
      </w:r>
      <w:r>
        <w:rPr>
          <w:rFonts w:eastAsia="Batang"/>
          <w:bCs/>
          <w:color w:val="000000"/>
          <w:lang w:eastAsia="ko-KR"/>
        </w:rPr>
        <w:t xml:space="preserve">Center- and Listed Home-based </w:t>
      </w:r>
      <w:r w:rsidRPr="006F47F8">
        <w:rPr>
          <w:rFonts w:eastAsia="Batang"/>
          <w:bCs/>
          <w:color w:val="000000"/>
          <w:lang w:eastAsia="ko-KR"/>
        </w:rPr>
        <w:t>Provider Surveys</w:t>
      </w:r>
      <w:bookmarkEnd w:id="8"/>
    </w:p>
    <w:tbl>
      <w:tblPr>
        <w:tblStyle w:val="TableGrid"/>
        <w:tblW w:w="9360" w:type="dxa"/>
        <w:tblInd w:w="-5" w:type="dxa"/>
        <w:tblLayout w:type="fixed"/>
        <w:tblCellMar>
          <w:top w:w="58" w:type="dxa"/>
          <w:left w:w="72" w:type="dxa"/>
          <w:bottom w:w="58" w:type="dxa"/>
          <w:right w:w="72" w:type="dxa"/>
        </w:tblCellMar>
        <w:tblLook w:val="04A0" w:firstRow="1" w:lastRow="0" w:firstColumn="1" w:lastColumn="0" w:noHBand="0" w:noVBand="1"/>
      </w:tblPr>
      <w:tblGrid>
        <w:gridCol w:w="2070"/>
        <w:gridCol w:w="1296"/>
        <w:gridCol w:w="954"/>
        <w:gridCol w:w="1044"/>
        <w:gridCol w:w="936"/>
        <w:gridCol w:w="1062"/>
        <w:gridCol w:w="918"/>
        <w:gridCol w:w="1080"/>
      </w:tblGrid>
      <w:tr w:rsidR="000A0675" w:rsidRPr="00E543F8" w14:paraId="55B133AC" w14:textId="77777777" w:rsidTr="00E916C5">
        <w:tc>
          <w:tcPr>
            <w:tcW w:w="2070" w:type="dxa"/>
            <w:vMerge w:val="restart"/>
            <w:shd w:val="clear" w:color="auto" w:fill="BFB6AC"/>
            <w:vAlign w:val="center"/>
          </w:tcPr>
          <w:p w14:paraId="06C75D0B" w14:textId="77777777" w:rsidR="000A0675" w:rsidRPr="00E543F8" w:rsidRDefault="000A0675" w:rsidP="00E916C5">
            <w:pPr>
              <w:pStyle w:val="NORCTableHeader1"/>
            </w:pPr>
            <w:r w:rsidRPr="00E543F8">
              <w:t>Stratum</w:t>
            </w:r>
          </w:p>
        </w:tc>
        <w:tc>
          <w:tcPr>
            <w:tcW w:w="1296" w:type="dxa"/>
            <w:vMerge w:val="restart"/>
            <w:shd w:val="clear" w:color="auto" w:fill="BFB6AC"/>
            <w:vAlign w:val="center"/>
          </w:tcPr>
          <w:p w14:paraId="29493462" w14:textId="77777777" w:rsidR="000A0675" w:rsidRPr="00E543F8" w:rsidRDefault="000A0675" w:rsidP="00E916C5">
            <w:pPr>
              <w:pStyle w:val="NORCTableHeader1"/>
            </w:pPr>
            <w:r w:rsidRPr="00E543F8">
              <w:t>Released Programs</w:t>
            </w:r>
          </w:p>
        </w:tc>
        <w:tc>
          <w:tcPr>
            <w:tcW w:w="1998" w:type="dxa"/>
            <w:gridSpan w:val="2"/>
            <w:shd w:val="clear" w:color="auto" w:fill="BFB6AC"/>
            <w:vAlign w:val="center"/>
          </w:tcPr>
          <w:p w14:paraId="786B4EB8" w14:textId="77777777" w:rsidR="000A0675" w:rsidRPr="00E543F8" w:rsidRDefault="000A0675" w:rsidP="00E916C5">
            <w:pPr>
              <w:pStyle w:val="NORCTableHeader1"/>
            </w:pPr>
            <w:r w:rsidRPr="00E543F8">
              <w:t>Not Obsolete or Unlocatable</w:t>
            </w:r>
          </w:p>
        </w:tc>
        <w:tc>
          <w:tcPr>
            <w:tcW w:w="1998" w:type="dxa"/>
            <w:gridSpan w:val="2"/>
            <w:shd w:val="clear" w:color="auto" w:fill="BFB6AC"/>
            <w:vAlign w:val="center"/>
          </w:tcPr>
          <w:p w14:paraId="47B7CEBF" w14:textId="77777777" w:rsidR="000A0675" w:rsidRPr="00E543F8" w:rsidRDefault="000A0675" w:rsidP="00E916C5">
            <w:pPr>
              <w:pStyle w:val="NORCTableHeader1"/>
            </w:pPr>
            <w:r w:rsidRPr="00E543F8">
              <w:t>Eligible</w:t>
            </w:r>
          </w:p>
        </w:tc>
        <w:tc>
          <w:tcPr>
            <w:tcW w:w="1998" w:type="dxa"/>
            <w:gridSpan w:val="2"/>
            <w:shd w:val="clear" w:color="auto" w:fill="BFB6AC"/>
            <w:vAlign w:val="center"/>
          </w:tcPr>
          <w:p w14:paraId="7183506C" w14:textId="77777777" w:rsidR="000A0675" w:rsidRPr="00E543F8" w:rsidRDefault="000A0675" w:rsidP="00E916C5">
            <w:pPr>
              <w:pStyle w:val="NORCTableHeader1"/>
            </w:pPr>
            <w:r w:rsidRPr="00E543F8">
              <w:t xml:space="preserve">Completed Provider </w:t>
            </w:r>
            <w:r>
              <w:t>Questionnaires</w:t>
            </w:r>
          </w:p>
        </w:tc>
      </w:tr>
      <w:tr w:rsidR="000A0675" w:rsidRPr="00E543F8" w14:paraId="72832FC0" w14:textId="77777777" w:rsidTr="00E916C5">
        <w:tc>
          <w:tcPr>
            <w:tcW w:w="2070" w:type="dxa"/>
            <w:vMerge/>
            <w:vAlign w:val="center"/>
          </w:tcPr>
          <w:p w14:paraId="0A1831D1" w14:textId="77777777" w:rsidR="000A0675" w:rsidRPr="00E543F8" w:rsidRDefault="000A0675" w:rsidP="00E916C5">
            <w:pPr>
              <w:spacing w:before="120" w:after="120"/>
              <w:ind w:left="0"/>
              <w:jc w:val="center"/>
              <w:rPr>
                <w:rFonts w:ascii="Arial" w:hAnsi="Arial" w:cs="Arial"/>
                <w:b/>
                <w:sz w:val="20"/>
                <w:szCs w:val="20"/>
              </w:rPr>
            </w:pPr>
          </w:p>
        </w:tc>
        <w:tc>
          <w:tcPr>
            <w:tcW w:w="1296" w:type="dxa"/>
            <w:vMerge/>
            <w:vAlign w:val="center"/>
          </w:tcPr>
          <w:p w14:paraId="5D3BDAB8" w14:textId="77777777" w:rsidR="000A0675" w:rsidRPr="00E543F8" w:rsidRDefault="000A0675" w:rsidP="00E916C5">
            <w:pPr>
              <w:spacing w:before="120" w:after="120"/>
              <w:ind w:left="0"/>
              <w:jc w:val="center"/>
              <w:rPr>
                <w:rFonts w:ascii="Arial" w:hAnsi="Arial" w:cs="Arial"/>
                <w:b/>
                <w:sz w:val="20"/>
                <w:szCs w:val="20"/>
              </w:rPr>
            </w:pPr>
          </w:p>
        </w:tc>
        <w:tc>
          <w:tcPr>
            <w:tcW w:w="954" w:type="dxa"/>
            <w:shd w:val="clear" w:color="auto" w:fill="D9D3CD"/>
            <w:vAlign w:val="center"/>
          </w:tcPr>
          <w:p w14:paraId="5C429CBC" w14:textId="77777777" w:rsidR="000A0675" w:rsidRPr="00310AC2" w:rsidRDefault="000A0675" w:rsidP="00E916C5">
            <w:pPr>
              <w:pStyle w:val="NORCTableHeader2"/>
              <w:rPr>
                <w:rFonts w:eastAsia="Calibri"/>
              </w:rPr>
            </w:pPr>
            <w:r w:rsidRPr="00310AC2">
              <w:rPr>
                <w:rFonts w:eastAsia="Calibri"/>
              </w:rPr>
              <w:t>Rate</w:t>
            </w:r>
          </w:p>
        </w:tc>
        <w:tc>
          <w:tcPr>
            <w:tcW w:w="1044" w:type="dxa"/>
            <w:shd w:val="clear" w:color="auto" w:fill="D9D3CD"/>
            <w:vAlign w:val="center"/>
          </w:tcPr>
          <w:p w14:paraId="0283B49D" w14:textId="77777777" w:rsidR="000A0675" w:rsidRPr="00310AC2" w:rsidRDefault="000A0675" w:rsidP="00E916C5">
            <w:pPr>
              <w:pStyle w:val="NORCTableHeader2"/>
              <w:rPr>
                <w:rFonts w:eastAsia="Calibri"/>
              </w:rPr>
            </w:pPr>
            <w:r w:rsidRPr="00310AC2">
              <w:rPr>
                <w:rFonts w:eastAsia="Calibri"/>
              </w:rPr>
              <w:t>Number</w:t>
            </w:r>
          </w:p>
        </w:tc>
        <w:tc>
          <w:tcPr>
            <w:tcW w:w="936" w:type="dxa"/>
            <w:shd w:val="clear" w:color="auto" w:fill="D9D3CD"/>
            <w:vAlign w:val="center"/>
          </w:tcPr>
          <w:p w14:paraId="11B4961F" w14:textId="77777777" w:rsidR="000A0675" w:rsidRPr="00310AC2" w:rsidRDefault="000A0675" w:rsidP="00E916C5">
            <w:pPr>
              <w:pStyle w:val="NORCTableHeader2"/>
              <w:rPr>
                <w:rFonts w:eastAsia="Calibri"/>
              </w:rPr>
            </w:pPr>
            <w:r w:rsidRPr="00310AC2">
              <w:rPr>
                <w:rFonts w:eastAsia="Calibri"/>
              </w:rPr>
              <w:t>Rate</w:t>
            </w:r>
          </w:p>
        </w:tc>
        <w:tc>
          <w:tcPr>
            <w:tcW w:w="1062" w:type="dxa"/>
            <w:shd w:val="clear" w:color="auto" w:fill="D9D3CD"/>
            <w:vAlign w:val="center"/>
          </w:tcPr>
          <w:p w14:paraId="57EFE7BF" w14:textId="77777777" w:rsidR="000A0675" w:rsidRPr="00310AC2" w:rsidRDefault="000A0675" w:rsidP="00E916C5">
            <w:pPr>
              <w:pStyle w:val="NORCTableHeader2"/>
              <w:rPr>
                <w:rFonts w:eastAsia="Calibri"/>
              </w:rPr>
            </w:pPr>
            <w:r w:rsidRPr="00310AC2">
              <w:rPr>
                <w:rFonts w:eastAsia="Calibri"/>
              </w:rPr>
              <w:t>Number</w:t>
            </w:r>
          </w:p>
        </w:tc>
        <w:tc>
          <w:tcPr>
            <w:tcW w:w="918" w:type="dxa"/>
            <w:shd w:val="clear" w:color="auto" w:fill="D9D3CD"/>
            <w:vAlign w:val="center"/>
          </w:tcPr>
          <w:p w14:paraId="299A7BFB" w14:textId="77777777" w:rsidR="000A0675" w:rsidRPr="00310AC2" w:rsidRDefault="000A0675" w:rsidP="00E916C5">
            <w:pPr>
              <w:pStyle w:val="NORCTableHeader2"/>
              <w:rPr>
                <w:rFonts w:eastAsia="Calibri"/>
              </w:rPr>
            </w:pPr>
            <w:r w:rsidRPr="00310AC2">
              <w:rPr>
                <w:rFonts w:eastAsia="Calibri"/>
              </w:rPr>
              <w:t>Rate</w:t>
            </w:r>
          </w:p>
        </w:tc>
        <w:tc>
          <w:tcPr>
            <w:tcW w:w="1080" w:type="dxa"/>
            <w:shd w:val="clear" w:color="auto" w:fill="D9D3CD"/>
            <w:vAlign w:val="center"/>
          </w:tcPr>
          <w:p w14:paraId="26930DBF" w14:textId="77777777" w:rsidR="000A0675" w:rsidRPr="00310AC2" w:rsidRDefault="000A0675" w:rsidP="00E916C5">
            <w:pPr>
              <w:pStyle w:val="NORCTableHeader2"/>
              <w:rPr>
                <w:rFonts w:eastAsia="Calibri"/>
              </w:rPr>
            </w:pPr>
            <w:r w:rsidRPr="00310AC2">
              <w:rPr>
                <w:rFonts w:eastAsia="Calibri"/>
              </w:rPr>
              <w:t>Number</w:t>
            </w:r>
          </w:p>
        </w:tc>
      </w:tr>
      <w:tr w:rsidR="000A0675" w:rsidRPr="00E543F8" w14:paraId="304E5F5F" w14:textId="77777777" w:rsidTr="00E916C5">
        <w:tc>
          <w:tcPr>
            <w:tcW w:w="2070" w:type="dxa"/>
          </w:tcPr>
          <w:p w14:paraId="2DCBD103" w14:textId="77777777" w:rsidR="000A0675" w:rsidRPr="00E543F8" w:rsidRDefault="000A0675" w:rsidP="00E916C5">
            <w:pPr>
              <w:pStyle w:val="NORCTableBodyLeftBold"/>
            </w:pPr>
            <w:r w:rsidRPr="00E543F8">
              <w:t>Stratum 1:</w:t>
            </w:r>
          </w:p>
          <w:p w14:paraId="7F1E2818" w14:textId="77777777" w:rsidR="000A0675" w:rsidRPr="00E543F8" w:rsidRDefault="000A0675" w:rsidP="00E916C5">
            <w:pPr>
              <w:pStyle w:val="NORCTableBodyLeftBold"/>
            </w:pPr>
            <w:r w:rsidRPr="00E543F8">
              <w:t>Known Center-based Providers</w:t>
            </w:r>
          </w:p>
        </w:tc>
        <w:tc>
          <w:tcPr>
            <w:tcW w:w="1296" w:type="dxa"/>
            <w:vAlign w:val="center"/>
          </w:tcPr>
          <w:p w14:paraId="42F50FEA" w14:textId="77777777" w:rsidR="000A0675" w:rsidRPr="00E543F8" w:rsidRDefault="000A0675" w:rsidP="00E916C5">
            <w:pPr>
              <w:pStyle w:val="NORCTableBodyCenter"/>
            </w:pPr>
            <w:r w:rsidRPr="00E543F8">
              <w:t>10,974</w:t>
            </w:r>
          </w:p>
        </w:tc>
        <w:tc>
          <w:tcPr>
            <w:tcW w:w="954" w:type="dxa"/>
            <w:vAlign w:val="center"/>
          </w:tcPr>
          <w:p w14:paraId="4E704CC3" w14:textId="77777777" w:rsidR="000A0675" w:rsidRPr="00E543F8" w:rsidRDefault="000A0675" w:rsidP="00E916C5">
            <w:pPr>
              <w:pStyle w:val="NORCTableBodyCenter"/>
            </w:pPr>
            <w:r w:rsidRPr="00E543F8">
              <w:t>95%</w:t>
            </w:r>
          </w:p>
        </w:tc>
        <w:tc>
          <w:tcPr>
            <w:tcW w:w="1044" w:type="dxa"/>
            <w:vAlign w:val="center"/>
          </w:tcPr>
          <w:p w14:paraId="453DBCFD" w14:textId="77777777" w:rsidR="000A0675" w:rsidRPr="00E543F8" w:rsidRDefault="000A0675" w:rsidP="00E916C5">
            <w:pPr>
              <w:pStyle w:val="NORCTableBodyCenter"/>
            </w:pPr>
            <w:r w:rsidRPr="00E543F8">
              <w:t>10,370</w:t>
            </w:r>
          </w:p>
        </w:tc>
        <w:tc>
          <w:tcPr>
            <w:tcW w:w="936" w:type="dxa"/>
            <w:vAlign w:val="center"/>
          </w:tcPr>
          <w:p w14:paraId="6C88222E" w14:textId="77777777" w:rsidR="000A0675" w:rsidRPr="00E543F8" w:rsidRDefault="000A0675" w:rsidP="00E916C5">
            <w:pPr>
              <w:pStyle w:val="NORCTableBodyCenter"/>
            </w:pPr>
            <w:r w:rsidRPr="00E543F8">
              <w:t>88%</w:t>
            </w:r>
          </w:p>
        </w:tc>
        <w:tc>
          <w:tcPr>
            <w:tcW w:w="1062" w:type="dxa"/>
            <w:vAlign w:val="center"/>
          </w:tcPr>
          <w:p w14:paraId="3D942A9C" w14:textId="77777777" w:rsidR="000A0675" w:rsidRPr="00E543F8" w:rsidRDefault="000A0675" w:rsidP="00E916C5">
            <w:pPr>
              <w:pStyle w:val="NORCTableBodyCenter"/>
            </w:pPr>
            <w:r w:rsidRPr="00E543F8">
              <w:t>9,076</w:t>
            </w:r>
          </w:p>
        </w:tc>
        <w:tc>
          <w:tcPr>
            <w:tcW w:w="918" w:type="dxa"/>
            <w:vAlign w:val="center"/>
          </w:tcPr>
          <w:p w14:paraId="78336BB9" w14:textId="77777777" w:rsidR="000A0675" w:rsidRPr="00E543F8" w:rsidRDefault="000A0675" w:rsidP="00E916C5">
            <w:pPr>
              <w:pStyle w:val="NORCTableBodyCenter"/>
            </w:pPr>
            <w:r w:rsidRPr="00E543F8">
              <w:t>80%</w:t>
            </w:r>
          </w:p>
        </w:tc>
        <w:tc>
          <w:tcPr>
            <w:tcW w:w="1080" w:type="dxa"/>
            <w:vAlign w:val="center"/>
          </w:tcPr>
          <w:p w14:paraId="67B89C3B" w14:textId="77777777" w:rsidR="000A0675" w:rsidRPr="00E543F8" w:rsidRDefault="000A0675" w:rsidP="00E916C5">
            <w:pPr>
              <w:pStyle w:val="NORCTableBodyCenter"/>
            </w:pPr>
            <w:r w:rsidRPr="00E543F8">
              <w:t>7,215</w:t>
            </w:r>
          </w:p>
        </w:tc>
      </w:tr>
      <w:tr w:rsidR="000A0675" w:rsidRPr="00E543F8" w14:paraId="447EBADF" w14:textId="77777777" w:rsidTr="00E916C5">
        <w:tc>
          <w:tcPr>
            <w:tcW w:w="2070" w:type="dxa"/>
          </w:tcPr>
          <w:p w14:paraId="49AD947B" w14:textId="77777777" w:rsidR="000A0675" w:rsidRPr="00E543F8" w:rsidRDefault="000A0675" w:rsidP="00E916C5">
            <w:pPr>
              <w:pStyle w:val="NORCTableBodyLeftBold"/>
            </w:pPr>
            <w:r w:rsidRPr="00E543F8">
              <w:t xml:space="preserve">Stratum 2: </w:t>
            </w:r>
          </w:p>
          <w:p w14:paraId="23260BC7" w14:textId="77777777" w:rsidR="000A0675" w:rsidRPr="00E543F8" w:rsidRDefault="000A0675" w:rsidP="00E916C5">
            <w:pPr>
              <w:pStyle w:val="NORCTableBodyLeftBold"/>
            </w:pPr>
            <w:r>
              <w:t xml:space="preserve">Listed </w:t>
            </w:r>
            <w:r w:rsidRPr="00E543F8">
              <w:t>Home-based Providers</w:t>
            </w:r>
          </w:p>
        </w:tc>
        <w:tc>
          <w:tcPr>
            <w:tcW w:w="1296" w:type="dxa"/>
            <w:vAlign w:val="center"/>
          </w:tcPr>
          <w:p w14:paraId="059E83A6" w14:textId="77777777" w:rsidR="000A0675" w:rsidRPr="00E543F8" w:rsidRDefault="000A0675" w:rsidP="00E916C5">
            <w:pPr>
              <w:pStyle w:val="NORCTableBodyCenter"/>
            </w:pPr>
            <w:r w:rsidRPr="00E543F8">
              <w:t>7,076</w:t>
            </w:r>
          </w:p>
        </w:tc>
        <w:tc>
          <w:tcPr>
            <w:tcW w:w="954" w:type="dxa"/>
            <w:vAlign w:val="center"/>
          </w:tcPr>
          <w:p w14:paraId="2D2D2D2E" w14:textId="77777777" w:rsidR="000A0675" w:rsidRPr="00E543F8" w:rsidRDefault="000A0675" w:rsidP="00E916C5">
            <w:pPr>
              <w:pStyle w:val="NORCTableBodyCenter"/>
            </w:pPr>
            <w:r w:rsidRPr="00E543F8">
              <w:t>85%</w:t>
            </w:r>
          </w:p>
        </w:tc>
        <w:tc>
          <w:tcPr>
            <w:tcW w:w="1044" w:type="dxa"/>
            <w:vAlign w:val="center"/>
          </w:tcPr>
          <w:p w14:paraId="392B0831" w14:textId="77777777" w:rsidR="000A0675" w:rsidRPr="00E543F8" w:rsidRDefault="000A0675" w:rsidP="00E916C5">
            <w:pPr>
              <w:pStyle w:val="NORCTableBodyCenter"/>
            </w:pPr>
            <w:r w:rsidRPr="00E543F8">
              <w:t>6,015</w:t>
            </w:r>
          </w:p>
        </w:tc>
        <w:tc>
          <w:tcPr>
            <w:tcW w:w="936" w:type="dxa"/>
            <w:vAlign w:val="center"/>
          </w:tcPr>
          <w:p w14:paraId="42E60868" w14:textId="77777777" w:rsidR="000A0675" w:rsidRPr="00E543F8" w:rsidRDefault="000A0675" w:rsidP="00E916C5">
            <w:pPr>
              <w:pStyle w:val="NORCTableBodyCenter"/>
            </w:pPr>
            <w:r w:rsidRPr="00E543F8">
              <w:t>70%</w:t>
            </w:r>
          </w:p>
        </w:tc>
        <w:tc>
          <w:tcPr>
            <w:tcW w:w="1062" w:type="dxa"/>
            <w:vAlign w:val="center"/>
          </w:tcPr>
          <w:p w14:paraId="0DDD5800" w14:textId="77777777" w:rsidR="000A0675" w:rsidRPr="00E543F8" w:rsidRDefault="000A0675" w:rsidP="00E916C5">
            <w:pPr>
              <w:pStyle w:val="NORCTableBodyCenter"/>
            </w:pPr>
            <w:r w:rsidRPr="00E543F8">
              <w:t>4,211</w:t>
            </w:r>
          </w:p>
        </w:tc>
        <w:tc>
          <w:tcPr>
            <w:tcW w:w="918" w:type="dxa"/>
            <w:vAlign w:val="center"/>
          </w:tcPr>
          <w:p w14:paraId="7F859FC9" w14:textId="77777777" w:rsidR="000A0675" w:rsidRPr="00E543F8" w:rsidRDefault="000A0675" w:rsidP="00E916C5">
            <w:pPr>
              <w:pStyle w:val="NORCTableBodyCenter"/>
            </w:pPr>
            <w:r w:rsidRPr="00E543F8">
              <w:t>95%</w:t>
            </w:r>
          </w:p>
        </w:tc>
        <w:tc>
          <w:tcPr>
            <w:tcW w:w="1080" w:type="dxa"/>
            <w:vAlign w:val="center"/>
          </w:tcPr>
          <w:p w14:paraId="444FCD2B" w14:textId="77777777" w:rsidR="000A0675" w:rsidRPr="00E543F8" w:rsidRDefault="000A0675" w:rsidP="00E916C5">
            <w:pPr>
              <w:pStyle w:val="NORCTableBodyCenter"/>
            </w:pPr>
            <w:r w:rsidRPr="00E543F8">
              <w:t>4,000</w:t>
            </w:r>
          </w:p>
        </w:tc>
      </w:tr>
      <w:tr w:rsidR="000A0675" w:rsidRPr="00E543F8" w14:paraId="2F816073" w14:textId="77777777" w:rsidTr="00E916C5">
        <w:tc>
          <w:tcPr>
            <w:tcW w:w="2070" w:type="dxa"/>
          </w:tcPr>
          <w:p w14:paraId="4CD3C518" w14:textId="77777777" w:rsidR="000A0675" w:rsidRPr="00E543F8" w:rsidRDefault="000A0675" w:rsidP="00E916C5">
            <w:pPr>
              <w:pStyle w:val="NORCTableBodyLeftBold"/>
            </w:pPr>
            <w:r w:rsidRPr="00E543F8">
              <w:t xml:space="preserve">Stratum 3: </w:t>
            </w:r>
          </w:p>
          <w:p w14:paraId="733CF984" w14:textId="77777777" w:rsidR="000A0675" w:rsidRPr="00E543F8" w:rsidRDefault="000A0675" w:rsidP="00E916C5">
            <w:pPr>
              <w:pStyle w:val="NORCTableBodyLeftBold"/>
            </w:pPr>
            <w:r w:rsidRPr="00E543F8">
              <w:t>Possible Center-based Providers</w:t>
            </w:r>
          </w:p>
        </w:tc>
        <w:tc>
          <w:tcPr>
            <w:tcW w:w="1296" w:type="dxa"/>
            <w:vAlign w:val="center"/>
          </w:tcPr>
          <w:p w14:paraId="053D27F4" w14:textId="77777777" w:rsidR="000A0675" w:rsidRPr="00E543F8" w:rsidRDefault="000A0675" w:rsidP="00E916C5">
            <w:pPr>
              <w:pStyle w:val="NORCTableBodyCenter"/>
            </w:pPr>
            <w:r w:rsidRPr="00E543F8">
              <w:t>5,337</w:t>
            </w:r>
          </w:p>
        </w:tc>
        <w:tc>
          <w:tcPr>
            <w:tcW w:w="954" w:type="dxa"/>
            <w:vAlign w:val="center"/>
          </w:tcPr>
          <w:p w14:paraId="16327DCE" w14:textId="77777777" w:rsidR="000A0675" w:rsidRPr="00E543F8" w:rsidRDefault="000A0675" w:rsidP="00E916C5">
            <w:pPr>
              <w:pStyle w:val="NORCTableBodyCenter"/>
            </w:pPr>
            <w:r w:rsidRPr="00E543F8">
              <w:t>95%</w:t>
            </w:r>
          </w:p>
        </w:tc>
        <w:tc>
          <w:tcPr>
            <w:tcW w:w="1044" w:type="dxa"/>
            <w:vAlign w:val="center"/>
          </w:tcPr>
          <w:p w14:paraId="2A110A39" w14:textId="77777777" w:rsidR="000A0675" w:rsidRPr="00E543F8" w:rsidRDefault="000A0675" w:rsidP="00E916C5">
            <w:pPr>
              <w:pStyle w:val="NORCTableBodyCenter"/>
            </w:pPr>
            <w:r w:rsidRPr="00E543F8">
              <w:t>5,070</w:t>
            </w:r>
          </w:p>
        </w:tc>
        <w:tc>
          <w:tcPr>
            <w:tcW w:w="936" w:type="dxa"/>
            <w:vAlign w:val="center"/>
          </w:tcPr>
          <w:p w14:paraId="6AC203FF" w14:textId="77777777" w:rsidR="000A0675" w:rsidRPr="00E543F8" w:rsidRDefault="000A0675" w:rsidP="00E916C5">
            <w:pPr>
              <w:pStyle w:val="NORCTableBodyCenter"/>
            </w:pPr>
            <w:r w:rsidRPr="00E543F8">
              <w:t>15%</w:t>
            </w:r>
          </w:p>
        </w:tc>
        <w:tc>
          <w:tcPr>
            <w:tcW w:w="1062" w:type="dxa"/>
            <w:vAlign w:val="center"/>
          </w:tcPr>
          <w:p w14:paraId="30203EEE" w14:textId="77777777" w:rsidR="000A0675" w:rsidRPr="00E543F8" w:rsidRDefault="000A0675" w:rsidP="00E916C5">
            <w:pPr>
              <w:pStyle w:val="NORCTableBodyCenter"/>
            </w:pPr>
            <w:r w:rsidRPr="00E543F8">
              <w:t>735</w:t>
            </w:r>
          </w:p>
        </w:tc>
        <w:tc>
          <w:tcPr>
            <w:tcW w:w="918" w:type="dxa"/>
            <w:vAlign w:val="center"/>
          </w:tcPr>
          <w:p w14:paraId="601AFC83" w14:textId="77777777" w:rsidR="000A0675" w:rsidRPr="00E543F8" w:rsidRDefault="000A0675" w:rsidP="00E916C5">
            <w:pPr>
              <w:pStyle w:val="NORCTableBodyCenter"/>
            </w:pPr>
            <w:r w:rsidRPr="00E543F8">
              <w:t>80%</w:t>
            </w:r>
          </w:p>
        </w:tc>
        <w:tc>
          <w:tcPr>
            <w:tcW w:w="1080" w:type="dxa"/>
            <w:vAlign w:val="center"/>
          </w:tcPr>
          <w:p w14:paraId="06561572" w14:textId="77777777" w:rsidR="000A0675" w:rsidRPr="00E543F8" w:rsidRDefault="000A0675" w:rsidP="00E916C5">
            <w:pPr>
              <w:pStyle w:val="NORCTableBodyCenter"/>
            </w:pPr>
            <w:r w:rsidRPr="00E543F8">
              <w:t>584</w:t>
            </w:r>
          </w:p>
        </w:tc>
      </w:tr>
      <w:tr w:rsidR="000A0675" w:rsidRPr="00E543F8" w14:paraId="4CCBC51A" w14:textId="77777777" w:rsidTr="00E916C5">
        <w:trPr>
          <w:trHeight w:val="395"/>
        </w:trPr>
        <w:tc>
          <w:tcPr>
            <w:tcW w:w="2070" w:type="dxa"/>
          </w:tcPr>
          <w:p w14:paraId="115DF1CC" w14:textId="77777777" w:rsidR="000A0675" w:rsidRPr="00C45EF7" w:rsidRDefault="000A0675" w:rsidP="00E916C5">
            <w:pPr>
              <w:pStyle w:val="NORCTableBodyLeftBold"/>
              <w:rPr>
                <w:rFonts w:eastAsia="Calibri" w:cs="Times New Roman"/>
              </w:rPr>
            </w:pPr>
            <w:r w:rsidRPr="00C45EF7">
              <w:rPr>
                <w:rFonts w:eastAsia="Calibri" w:cs="Times New Roman"/>
              </w:rPr>
              <w:t>Total</w:t>
            </w:r>
          </w:p>
        </w:tc>
        <w:tc>
          <w:tcPr>
            <w:tcW w:w="1296" w:type="dxa"/>
            <w:vAlign w:val="center"/>
          </w:tcPr>
          <w:p w14:paraId="5C11E6AA" w14:textId="77777777" w:rsidR="000A0675" w:rsidRPr="00E543F8" w:rsidRDefault="000A0675" w:rsidP="00E916C5">
            <w:pPr>
              <w:pStyle w:val="NORCTableBodyCenter"/>
            </w:pPr>
            <w:r w:rsidRPr="00E543F8">
              <w:t>23,387</w:t>
            </w:r>
          </w:p>
        </w:tc>
        <w:tc>
          <w:tcPr>
            <w:tcW w:w="954" w:type="dxa"/>
            <w:vAlign w:val="center"/>
          </w:tcPr>
          <w:p w14:paraId="35CAF381" w14:textId="77777777" w:rsidR="000A0675" w:rsidRPr="00E543F8" w:rsidRDefault="000A0675" w:rsidP="00E916C5">
            <w:pPr>
              <w:pStyle w:val="NORCTableBodyCenter"/>
            </w:pPr>
          </w:p>
        </w:tc>
        <w:tc>
          <w:tcPr>
            <w:tcW w:w="1044" w:type="dxa"/>
            <w:vAlign w:val="center"/>
          </w:tcPr>
          <w:p w14:paraId="45EC7D58" w14:textId="77777777" w:rsidR="000A0675" w:rsidRPr="00E543F8" w:rsidRDefault="000A0675" w:rsidP="00E916C5">
            <w:pPr>
              <w:pStyle w:val="NORCTableBodyCenter"/>
            </w:pPr>
            <w:r w:rsidRPr="00E543F8">
              <w:t>21,455</w:t>
            </w:r>
          </w:p>
        </w:tc>
        <w:tc>
          <w:tcPr>
            <w:tcW w:w="936" w:type="dxa"/>
            <w:vAlign w:val="center"/>
          </w:tcPr>
          <w:p w14:paraId="1C917EE0" w14:textId="77777777" w:rsidR="000A0675" w:rsidRPr="00E543F8" w:rsidRDefault="000A0675" w:rsidP="00E916C5">
            <w:pPr>
              <w:pStyle w:val="NORCTableBodyCenter"/>
            </w:pPr>
          </w:p>
        </w:tc>
        <w:tc>
          <w:tcPr>
            <w:tcW w:w="1062" w:type="dxa"/>
            <w:vAlign w:val="center"/>
          </w:tcPr>
          <w:p w14:paraId="14BD0C0D" w14:textId="77777777" w:rsidR="000A0675" w:rsidRPr="00E543F8" w:rsidRDefault="000A0675" w:rsidP="00E916C5">
            <w:pPr>
              <w:pStyle w:val="NORCTableBodyCenter"/>
            </w:pPr>
            <w:r w:rsidRPr="00E543F8">
              <w:t>14,021</w:t>
            </w:r>
          </w:p>
        </w:tc>
        <w:tc>
          <w:tcPr>
            <w:tcW w:w="918" w:type="dxa"/>
            <w:vAlign w:val="center"/>
          </w:tcPr>
          <w:p w14:paraId="33841CCD" w14:textId="77777777" w:rsidR="000A0675" w:rsidRPr="00E543F8" w:rsidRDefault="000A0675" w:rsidP="00E916C5">
            <w:pPr>
              <w:pStyle w:val="NORCTableBodyCenter"/>
            </w:pPr>
          </w:p>
        </w:tc>
        <w:tc>
          <w:tcPr>
            <w:tcW w:w="1080" w:type="dxa"/>
            <w:vAlign w:val="center"/>
          </w:tcPr>
          <w:p w14:paraId="6E51A249" w14:textId="77777777" w:rsidR="000A0675" w:rsidRPr="00E543F8" w:rsidRDefault="000A0675" w:rsidP="00E916C5">
            <w:pPr>
              <w:pStyle w:val="NORCTableBodyCenter"/>
            </w:pPr>
            <w:r w:rsidRPr="00E543F8">
              <w:t>11,800</w:t>
            </w:r>
          </w:p>
        </w:tc>
      </w:tr>
    </w:tbl>
    <w:p w14:paraId="40555694" w14:textId="77777777" w:rsidR="000A0675" w:rsidRPr="003702DB" w:rsidRDefault="000A0675" w:rsidP="000A0675">
      <w:pPr>
        <w:pStyle w:val="BodyText"/>
      </w:pPr>
    </w:p>
    <w:p w14:paraId="37357CA8" w14:textId="1EC97234" w:rsidR="00036B48" w:rsidRPr="00E17D93" w:rsidRDefault="00AB732F" w:rsidP="00C45EF7">
      <w:pPr>
        <w:pStyle w:val="BodyText"/>
        <w:rPr>
          <w:szCs w:val="24"/>
        </w:rPr>
      </w:pPr>
      <w:r>
        <w:rPr>
          <w:bCs/>
          <w:szCs w:val="24"/>
        </w:rPr>
        <w:t xml:space="preserve">Center-based and </w:t>
      </w:r>
      <w:r w:rsidR="006F3109">
        <w:rPr>
          <w:bCs/>
          <w:szCs w:val="24"/>
        </w:rPr>
        <w:t xml:space="preserve">listed </w:t>
      </w:r>
      <w:r>
        <w:rPr>
          <w:bCs/>
          <w:szCs w:val="24"/>
        </w:rPr>
        <w:t xml:space="preserve">home-based providers will be sampled from the </w:t>
      </w:r>
      <w:r w:rsidR="007C3B1D">
        <w:rPr>
          <w:bCs/>
          <w:szCs w:val="24"/>
        </w:rPr>
        <w:t>constructed sampling frame</w:t>
      </w:r>
      <w:r>
        <w:rPr>
          <w:bCs/>
          <w:szCs w:val="24"/>
        </w:rPr>
        <w:t xml:space="preserve"> in quantities chosen to meet the specified number of completes for each type of provider</w:t>
      </w:r>
      <w:r w:rsidR="002D6EB1" w:rsidRPr="00FC1D07">
        <w:t xml:space="preserve">. </w:t>
      </w:r>
      <w:r w:rsidR="00E466A6">
        <w:t xml:space="preserve">A </w:t>
      </w:r>
      <w:r w:rsidR="006F3109">
        <w:t xml:space="preserve">listed </w:t>
      </w:r>
      <w:r w:rsidR="00E466A6">
        <w:t xml:space="preserve">home-based provider is a single entity providing </w:t>
      </w:r>
      <w:r w:rsidR="000D7FD9">
        <w:t xml:space="preserve">non-parental care to children under age 13 </w:t>
      </w:r>
      <w:r w:rsidR="000A0675">
        <w:t xml:space="preserve">in a home-based setting </w:t>
      </w:r>
      <w:r w:rsidR="000D7FD9">
        <w:t xml:space="preserve">at least five hours per week </w:t>
      </w:r>
      <w:r w:rsidR="00E466A6">
        <w:t>and appearing on an administrative list.</w:t>
      </w:r>
      <w:r w:rsidR="00A80044" w:rsidRPr="00E17D93">
        <w:rPr>
          <w:szCs w:val="24"/>
        </w:rPr>
        <w:t xml:space="preserve"> </w:t>
      </w:r>
      <w:r w:rsidR="00036B48" w:rsidRPr="00E17D93">
        <w:rPr>
          <w:szCs w:val="24"/>
        </w:rPr>
        <w:t xml:space="preserve">A </w:t>
      </w:r>
      <w:r w:rsidR="00345C69">
        <w:rPr>
          <w:szCs w:val="24"/>
        </w:rPr>
        <w:t xml:space="preserve">center-based provider </w:t>
      </w:r>
      <w:r w:rsidR="00036B48" w:rsidRPr="00E17D93">
        <w:rPr>
          <w:szCs w:val="24"/>
        </w:rPr>
        <w:t>is a single entity that provides ECE services to children</w:t>
      </w:r>
      <w:r w:rsidR="003F52A0">
        <w:rPr>
          <w:szCs w:val="24"/>
        </w:rPr>
        <w:t xml:space="preserve"> at a single location</w:t>
      </w:r>
      <w:r w:rsidR="00036B48" w:rsidRPr="00E17D93">
        <w:rPr>
          <w:szCs w:val="24"/>
        </w:rPr>
        <w:t>.</w:t>
      </w:r>
      <w:r w:rsidR="00BA7625">
        <w:rPr>
          <w:szCs w:val="24"/>
        </w:rPr>
        <w:t xml:space="preserve"> </w:t>
      </w:r>
      <w:r w:rsidR="00036B48" w:rsidRPr="00E17D93">
        <w:rPr>
          <w:szCs w:val="24"/>
        </w:rPr>
        <w:t xml:space="preserve">To be eligible as a </w:t>
      </w:r>
      <w:r w:rsidR="006F3109">
        <w:rPr>
          <w:szCs w:val="24"/>
        </w:rPr>
        <w:t xml:space="preserve">center-based </w:t>
      </w:r>
      <w:r w:rsidR="00036B48" w:rsidRPr="00E17D93">
        <w:rPr>
          <w:szCs w:val="24"/>
        </w:rPr>
        <w:t>provider, the entity must meet four criteria, as follows:</w:t>
      </w:r>
    </w:p>
    <w:p w14:paraId="19FC0BE8" w14:textId="1CA46EBC" w:rsidR="00036B48" w:rsidRPr="00C45EF7" w:rsidRDefault="00036B48" w:rsidP="00C45EF7">
      <w:pPr>
        <w:pStyle w:val="ListBullet"/>
      </w:pPr>
      <w:r w:rsidRPr="00393279">
        <w:t>Offer non</w:t>
      </w:r>
      <w:r w:rsidR="003202B4" w:rsidRPr="00393279">
        <w:t>-</w:t>
      </w:r>
      <w:r w:rsidRPr="00393279">
        <w:t>parental</w:t>
      </w:r>
      <w:r w:rsidR="00046085" w:rsidRPr="00393279">
        <w:t xml:space="preserve"> care, </w:t>
      </w:r>
      <w:r w:rsidR="00103B6C" w:rsidRPr="00832309">
        <w:t xml:space="preserve">including </w:t>
      </w:r>
      <w:r w:rsidR="00046085" w:rsidRPr="00832309">
        <w:t>early education, or</w:t>
      </w:r>
      <w:r w:rsidRPr="00832309">
        <w:t xml:space="preserve"> supervis</w:t>
      </w:r>
      <w:r w:rsidR="003F52A0" w:rsidRPr="00C063E0">
        <w:t xml:space="preserve">ion of children </w:t>
      </w:r>
      <w:r w:rsidR="00A13BD7" w:rsidRPr="00C063E0">
        <w:t xml:space="preserve">birth through age </w:t>
      </w:r>
      <w:r w:rsidR="003202B4" w:rsidRPr="00C063E0">
        <w:t xml:space="preserve">five </w:t>
      </w:r>
      <w:r w:rsidR="00A13BD7" w:rsidRPr="00C063E0">
        <w:t>years, not yet in kindergarten</w:t>
      </w:r>
      <w:r w:rsidRPr="00C45EF7">
        <w:t>;</w:t>
      </w:r>
    </w:p>
    <w:p w14:paraId="756172B5" w14:textId="788EAEA7" w:rsidR="00036B48" w:rsidRPr="00C45EF7" w:rsidRDefault="00036B48" w:rsidP="00C45EF7">
      <w:pPr>
        <w:pStyle w:val="ListBullet"/>
      </w:pPr>
      <w:r w:rsidRPr="00C45EF7">
        <w:t>Operate on a regular schedule of at least three days per week and two hours per day</w:t>
      </w:r>
      <w:r w:rsidR="00E466A6" w:rsidRPr="00C45EF7">
        <w:t xml:space="preserve"> but not including residential care</w:t>
      </w:r>
      <w:r w:rsidRPr="00C45EF7">
        <w:t>;</w:t>
      </w:r>
    </w:p>
    <w:p w14:paraId="367A8922" w14:textId="295EEC5A" w:rsidR="00036B48" w:rsidRPr="00C45EF7" w:rsidRDefault="00036B48" w:rsidP="00C45EF7">
      <w:pPr>
        <w:pStyle w:val="ListBullet"/>
      </w:pPr>
      <w:r w:rsidRPr="00C45EF7">
        <w:t>Offer ECE services above and beyond ad-hoc drop-in care (excluding entities such</w:t>
      </w:r>
      <w:r w:rsidR="00BA7625" w:rsidRPr="00C45EF7">
        <w:t xml:space="preserve"> </w:t>
      </w:r>
      <w:r w:rsidRPr="00C45EF7">
        <w:t xml:space="preserve">as shopping malls and YMCA open gym programs); and </w:t>
      </w:r>
    </w:p>
    <w:p w14:paraId="0DA93271" w14:textId="3FAF4C93" w:rsidR="003F52A0" w:rsidRPr="00C45EF7" w:rsidRDefault="00036B48" w:rsidP="00C45EF7">
      <w:pPr>
        <w:pStyle w:val="ListBullet"/>
      </w:pPr>
      <w:r w:rsidRPr="00C45EF7">
        <w:t>Offer care during the school year (excluding entities that offer only summer or holiday care).</w:t>
      </w:r>
    </w:p>
    <w:p w14:paraId="43198B67" w14:textId="77777777" w:rsidR="003702DB" w:rsidRPr="003702DB" w:rsidRDefault="003702DB" w:rsidP="00C45EF7">
      <w:pPr>
        <w:pStyle w:val="BodyText-NoSpaceAfter"/>
      </w:pPr>
    </w:p>
    <w:p w14:paraId="2F00E328" w14:textId="73FBFD1F" w:rsidR="00036B48" w:rsidRPr="00E17D93" w:rsidRDefault="00036B48" w:rsidP="00C45EF7">
      <w:pPr>
        <w:pStyle w:val="BodyText"/>
      </w:pPr>
      <w:r w:rsidRPr="00E17D93">
        <w:t xml:space="preserve">An entity that fails one or more of these criteria is not considered to be a </w:t>
      </w:r>
      <w:r w:rsidR="00E466A6">
        <w:t xml:space="preserve">center-based </w:t>
      </w:r>
      <w:r w:rsidRPr="00E17D93">
        <w:t>provider</w:t>
      </w:r>
      <w:r w:rsidR="003F52A0">
        <w:t xml:space="preserve"> for the purposes of the </w:t>
      </w:r>
      <w:r w:rsidR="003202B4">
        <w:t xml:space="preserve">2019 </w:t>
      </w:r>
      <w:r w:rsidR="003F52A0">
        <w:t>NSECE</w:t>
      </w:r>
      <w:r w:rsidRPr="00E17D93">
        <w:t>.</w:t>
      </w:r>
    </w:p>
    <w:p w14:paraId="7D0CDF89" w14:textId="399DFA2F" w:rsidR="0043226F" w:rsidRPr="00D91F02" w:rsidRDefault="0043226F" w:rsidP="00393279">
      <w:pPr>
        <w:pStyle w:val="BodyText"/>
      </w:pPr>
      <w:r w:rsidRPr="00D91F02">
        <w:t xml:space="preserve">All provider locations/addresses on the sampling </w:t>
      </w:r>
      <w:r w:rsidR="009926A7">
        <w:t>frame will</w:t>
      </w:r>
      <w:r w:rsidRPr="00D91F02">
        <w:t xml:space="preserve"> be assigned </w:t>
      </w:r>
      <w:r w:rsidR="009926A7">
        <w:t xml:space="preserve">to </w:t>
      </w:r>
      <w:r w:rsidRPr="00D91F02">
        <w:t>one of three provider location type strata.</w:t>
      </w:r>
      <w:r w:rsidR="00BA7625">
        <w:t xml:space="preserve"> </w:t>
      </w:r>
      <w:r w:rsidRPr="00D91F02">
        <w:t>Each location is assigned to the first stratum for which it qualifies in the order presented below:</w:t>
      </w:r>
    </w:p>
    <w:p w14:paraId="71E885CD" w14:textId="2EAC0557" w:rsidR="0043226F" w:rsidRPr="00C45EF7" w:rsidRDefault="0043226F" w:rsidP="00C45EF7">
      <w:pPr>
        <w:pStyle w:val="ListParagraph"/>
      </w:pPr>
      <w:r w:rsidRPr="00393279">
        <w:t xml:space="preserve">Known center-based provider locations – </w:t>
      </w:r>
      <w:r w:rsidR="00E466A6" w:rsidRPr="00393279">
        <w:t>Lo</w:t>
      </w:r>
      <w:r w:rsidRPr="00393279">
        <w:t>cation</w:t>
      </w:r>
      <w:r w:rsidR="00E466A6" w:rsidRPr="00393279">
        <w:t>s where</w:t>
      </w:r>
      <w:r w:rsidRPr="00832309">
        <w:t xml:space="preserve"> </w:t>
      </w:r>
      <w:r w:rsidR="00E466A6" w:rsidRPr="00832309">
        <w:t>at least one</w:t>
      </w:r>
      <w:r w:rsidRPr="00832309">
        <w:t xml:space="preserve"> Head Start, </w:t>
      </w:r>
      <w:r w:rsidR="008B4605" w:rsidRPr="00832309">
        <w:t>p</w:t>
      </w:r>
      <w:r w:rsidRPr="00C063E0">
        <w:t>re-K, child care center, faith-based child care entity</w:t>
      </w:r>
      <w:r w:rsidR="00940D50">
        <w:t>,</w:t>
      </w:r>
      <w:r w:rsidRPr="00C063E0">
        <w:t xml:space="preserve"> or other ECE entity </w:t>
      </w:r>
      <w:r w:rsidR="00BA7625" w:rsidRPr="00C45EF7">
        <w:t xml:space="preserve">is </w:t>
      </w:r>
      <w:r w:rsidRPr="00C45EF7">
        <w:t xml:space="preserve">listed by state, local, or tribal governments as providing care to children birth through age five years, not yet in kindergarten; </w:t>
      </w:r>
    </w:p>
    <w:p w14:paraId="0061ED35" w14:textId="252A89D2" w:rsidR="0043226F" w:rsidRPr="00C45EF7" w:rsidRDefault="006F3109" w:rsidP="00C45EF7">
      <w:pPr>
        <w:pStyle w:val="ListParagraph"/>
      </w:pPr>
      <w:r>
        <w:t>Listed h</w:t>
      </w:r>
      <w:r w:rsidR="0043226F" w:rsidRPr="00C45EF7">
        <w:t>ome-based provider locations</w:t>
      </w:r>
      <w:r w:rsidR="00A94226">
        <w:t>;</w:t>
      </w:r>
    </w:p>
    <w:p w14:paraId="2F0DA6E2" w14:textId="4F1009B2" w:rsidR="003702DB" w:rsidRPr="00C45EF7" w:rsidRDefault="0043226F" w:rsidP="00C45EF7">
      <w:pPr>
        <w:pStyle w:val="ListParagraph"/>
      </w:pPr>
      <w:r w:rsidRPr="00C45EF7">
        <w:t xml:space="preserve">Possible center-based provider locations – Locations </w:t>
      </w:r>
      <w:r w:rsidR="00E466A6" w:rsidRPr="00C45EF7">
        <w:t>indicated in the sampling frame as</w:t>
      </w:r>
      <w:r w:rsidRPr="00C45EF7">
        <w:t xml:space="preserve"> provid</w:t>
      </w:r>
      <w:r w:rsidR="00E466A6" w:rsidRPr="00C45EF7">
        <w:t>ing</w:t>
      </w:r>
      <w:r w:rsidRPr="00C45EF7">
        <w:t xml:space="preserve"> care for older children, such as elementary schools not known to have early childhood programs, or centers listed as providing only school-age care.</w:t>
      </w:r>
      <w:r w:rsidR="00BA7625" w:rsidRPr="00C45EF7">
        <w:t xml:space="preserve"> </w:t>
      </w:r>
      <w:r w:rsidRPr="00C45EF7">
        <w:t xml:space="preserve">It has been observed that a percentage of these centers also care for children </w:t>
      </w:r>
      <w:r w:rsidR="003202B4" w:rsidRPr="00C45EF7">
        <w:t>five</w:t>
      </w:r>
      <w:r w:rsidRPr="00C45EF7">
        <w:t xml:space="preserve"> years of age or younger</w:t>
      </w:r>
      <w:r w:rsidR="00A13BD7" w:rsidRPr="00C45EF7">
        <w:t>, not yet in kindergarten</w:t>
      </w:r>
      <w:r w:rsidRPr="00C45EF7">
        <w:t>.</w:t>
      </w:r>
    </w:p>
    <w:p w14:paraId="4F6200C5" w14:textId="77777777" w:rsidR="005F7254" w:rsidRPr="00C45EF7" w:rsidRDefault="005F7254" w:rsidP="00C45EF7">
      <w:pPr>
        <w:pStyle w:val="BodyText-NoSpaceAfter"/>
      </w:pPr>
    </w:p>
    <w:p w14:paraId="5E432AE2" w14:textId="5B3C0C69" w:rsidR="003E7C3D" w:rsidRPr="00DD5367" w:rsidRDefault="00E466A6" w:rsidP="00C45EF7">
      <w:pPr>
        <w:pStyle w:val="BodyText"/>
        <w:rPr>
          <w:color w:val="000000"/>
          <w:szCs w:val="24"/>
        </w:rPr>
      </w:pPr>
      <w:r>
        <w:rPr>
          <w:szCs w:val="24"/>
        </w:rPr>
        <w:t>We will</w:t>
      </w:r>
      <w:r w:rsidR="003E7C3D" w:rsidRPr="00C3772D">
        <w:rPr>
          <w:szCs w:val="24"/>
        </w:rPr>
        <w:t xml:space="preserve"> classify each provider location on the final sampling frame into </w:t>
      </w:r>
      <w:r>
        <w:rPr>
          <w:szCs w:val="24"/>
        </w:rPr>
        <w:t xml:space="preserve">one and only </w:t>
      </w:r>
      <w:r w:rsidR="003E7C3D" w:rsidRPr="00C3772D">
        <w:rPr>
          <w:szCs w:val="24"/>
        </w:rPr>
        <w:t xml:space="preserve">one of the strata detailed above. </w:t>
      </w:r>
      <w:r w:rsidR="003E7C3D" w:rsidRPr="00DD5367">
        <w:rPr>
          <w:color w:val="000000"/>
          <w:szCs w:val="24"/>
        </w:rPr>
        <w:t xml:space="preserve">Matching techniques </w:t>
      </w:r>
      <w:r w:rsidR="00CF4CDD">
        <w:rPr>
          <w:color w:val="000000"/>
          <w:szCs w:val="24"/>
        </w:rPr>
        <w:t>(</w:t>
      </w:r>
      <w:r w:rsidR="003E7C3D" w:rsidRPr="00DD5367">
        <w:rPr>
          <w:color w:val="000000"/>
          <w:szCs w:val="24"/>
        </w:rPr>
        <w:t>based upon name, address, and other characteristics</w:t>
      </w:r>
      <w:r w:rsidR="00CF4CDD">
        <w:rPr>
          <w:color w:val="000000"/>
          <w:szCs w:val="24"/>
        </w:rPr>
        <w:t>)</w:t>
      </w:r>
      <w:r w:rsidR="003E7C3D" w:rsidRPr="00DD5367">
        <w:rPr>
          <w:color w:val="000000"/>
          <w:szCs w:val="24"/>
        </w:rPr>
        <w:t xml:space="preserve"> w</w:t>
      </w:r>
      <w:r>
        <w:rPr>
          <w:color w:val="000000"/>
          <w:szCs w:val="24"/>
        </w:rPr>
        <w:t>ill</w:t>
      </w:r>
      <w:r w:rsidR="003E7C3D" w:rsidRPr="00DD5367">
        <w:rPr>
          <w:color w:val="000000"/>
          <w:szCs w:val="24"/>
        </w:rPr>
        <w:t xml:space="preserve"> be used to de-duplicate the sampling frame within and across the strata within a </w:t>
      </w:r>
      <w:r>
        <w:rPr>
          <w:color w:val="000000"/>
          <w:szCs w:val="24"/>
        </w:rPr>
        <w:t>sampled PSU</w:t>
      </w:r>
      <w:r w:rsidR="003E7C3D" w:rsidRPr="00DD5367">
        <w:rPr>
          <w:color w:val="000000"/>
          <w:szCs w:val="24"/>
        </w:rPr>
        <w:t xml:space="preserve">. For example, many programs will appear both on a list of Head Start providers and in a state list of licensed ECE facilities; we would want the </w:t>
      </w:r>
      <w:r>
        <w:rPr>
          <w:color w:val="000000"/>
          <w:szCs w:val="24"/>
        </w:rPr>
        <w:t>location</w:t>
      </w:r>
      <w:r w:rsidR="003E7C3D" w:rsidRPr="00DD5367">
        <w:rPr>
          <w:color w:val="000000"/>
          <w:szCs w:val="24"/>
        </w:rPr>
        <w:t xml:space="preserve"> to appear just once. We will use advanced matching systems based upon the Fellegi-Sunter matching algorithm supplemented by human review.</w:t>
      </w:r>
    </w:p>
    <w:p w14:paraId="1860A0F1" w14:textId="3EF73823" w:rsidR="00070F50" w:rsidRDefault="009A031D" w:rsidP="00C45EF7">
      <w:pPr>
        <w:pStyle w:val="BodyText"/>
        <w:rPr>
          <w:b/>
          <w:bCs/>
          <w:i/>
          <w:iCs/>
          <w:szCs w:val="24"/>
        </w:rPr>
      </w:pPr>
      <w:r w:rsidRPr="008C2879">
        <w:rPr>
          <w:color w:val="000000"/>
          <w:szCs w:val="24"/>
        </w:rPr>
        <w:t>An analytic focus of the NSECE is on the low-income population</w:t>
      </w:r>
      <w:r w:rsidR="008F6FC9">
        <w:rPr>
          <w:color w:val="000000"/>
          <w:szCs w:val="24"/>
        </w:rPr>
        <w:t>.</w:t>
      </w:r>
      <w:r w:rsidR="00BA7625">
        <w:rPr>
          <w:color w:val="000000"/>
          <w:szCs w:val="24"/>
        </w:rPr>
        <w:t xml:space="preserve"> </w:t>
      </w:r>
      <w:r w:rsidR="008F6FC9">
        <w:rPr>
          <w:color w:val="000000"/>
          <w:szCs w:val="24"/>
        </w:rPr>
        <w:t>In order to ensure a larger number of providers sampled from communities with higher percentages of household</w:t>
      </w:r>
      <w:r w:rsidR="00A13BD7">
        <w:rPr>
          <w:color w:val="000000"/>
          <w:szCs w:val="24"/>
        </w:rPr>
        <w:t>s</w:t>
      </w:r>
      <w:r w:rsidR="008F6FC9">
        <w:rPr>
          <w:color w:val="000000"/>
          <w:szCs w:val="24"/>
        </w:rPr>
        <w:t xml:space="preserve"> at or below 250% federal poverty level, two-thirds of sampled providers will be from communities where</w:t>
      </w:r>
      <w:r w:rsidR="004B0DC0">
        <w:rPr>
          <w:color w:val="000000"/>
          <w:szCs w:val="24"/>
        </w:rPr>
        <w:t xml:space="preserve"> at least 40</w:t>
      </w:r>
      <w:r w:rsidR="005F285A">
        <w:rPr>
          <w:color w:val="000000"/>
          <w:szCs w:val="24"/>
        </w:rPr>
        <w:t xml:space="preserve"> percent</w:t>
      </w:r>
      <w:r w:rsidR="004B0DC0">
        <w:rPr>
          <w:color w:val="000000"/>
          <w:szCs w:val="24"/>
        </w:rPr>
        <w:t xml:space="preserve"> of household</w:t>
      </w:r>
      <w:r w:rsidR="00A13BD7">
        <w:rPr>
          <w:color w:val="000000"/>
          <w:szCs w:val="24"/>
        </w:rPr>
        <w:t>s</w:t>
      </w:r>
      <w:r w:rsidR="004B0DC0">
        <w:rPr>
          <w:color w:val="000000"/>
          <w:szCs w:val="24"/>
        </w:rPr>
        <w:t xml:space="preserve"> are at or below 250% federal poverty level.</w:t>
      </w:r>
    </w:p>
    <w:p w14:paraId="183FF1E2" w14:textId="5F9C6B06" w:rsidR="00807730" w:rsidRPr="00C063E0" w:rsidRDefault="00807730" w:rsidP="00C45EF7">
      <w:pPr>
        <w:pStyle w:val="Heading4"/>
      </w:pPr>
      <w:bookmarkStart w:id="9" w:name="_Toc520896110"/>
      <w:r w:rsidRPr="00393279">
        <w:t xml:space="preserve">Design of the </w:t>
      </w:r>
      <w:r w:rsidR="00826852" w:rsidRPr="00393279">
        <w:t>Classroom Staff (</w:t>
      </w:r>
      <w:r w:rsidRPr="00393279">
        <w:t>Workforce</w:t>
      </w:r>
      <w:r w:rsidR="00826852" w:rsidRPr="00832309">
        <w:t>)</w:t>
      </w:r>
      <w:r w:rsidRPr="00832309">
        <w:t xml:space="preserve"> Survey</w:t>
      </w:r>
      <w:bookmarkEnd w:id="9"/>
      <w:r w:rsidRPr="00C063E0">
        <w:t xml:space="preserve"> </w:t>
      </w:r>
    </w:p>
    <w:p w14:paraId="3BEDE921" w14:textId="30AF43F4" w:rsidR="004B0DC0" w:rsidRDefault="00807730" w:rsidP="00C45EF7">
      <w:pPr>
        <w:pStyle w:val="BodyText"/>
      </w:pPr>
      <w:r>
        <w:t xml:space="preserve">The </w:t>
      </w:r>
      <w:r w:rsidR="003202B4">
        <w:t xml:space="preserve">center-based provider </w:t>
      </w:r>
      <w:r w:rsidR="001C78EB">
        <w:t>questionnaire</w:t>
      </w:r>
      <w:r>
        <w:t xml:space="preserve"> includes questions about a randomly selected classroom or group within the program. The respondent is then asked to enumerate all personnel who are primarily assigned to that classroom. For the </w:t>
      </w:r>
      <w:r w:rsidR="005F285A">
        <w:t>c</w:t>
      </w:r>
      <w:r w:rsidR="00826852">
        <w:t xml:space="preserve">lassroom </w:t>
      </w:r>
      <w:r w:rsidR="005F285A">
        <w:t>s</w:t>
      </w:r>
      <w:r w:rsidR="00826852">
        <w:t>taff (</w:t>
      </w:r>
      <w:r w:rsidR="005F285A">
        <w:t>w</w:t>
      </w:r>
      <w:r>
        <w:t>orkforce</w:t>
      </w:r>
      <w:r w:rsidR="00826852">
        <w:t>)</w:t>
      </w:r>
      <w:r>
        <w:t xml:space="preserve"> </w:t>
      </w:r>
      <w:r w:rsidR="005F285A">
        <w:t>s</w:t>
      </w:r>
      <w:r>
        <w:t>urvey, we will randomly select a</w:t>
      </w:r>
      <w:r w:rsidR="006E61D6">
        <w:t>t least one</w:t>
      </w:r>
      <w:r>
        <w:t xml:space="preserve"> </w:t>
      </w:r>
      <w:r w:rsidR="001C78EB">
        <w:t xml:space="preserve">staff </w:t>
      </w:r>
      <w:r w:rsidR="00FC001F">
        <w:t xml:space="preserve">member </w:t>
      </w:r>
      <w:r>
        <w:t xml:space="preserve">from among those enumerated as belonging to the randomly selected classroom. </w:t>
      </w:r>
      <w:r w:rsidR="006E61D6">
        <w:t xml:space="preserve">Two classroom staff will be selected from a pre-selected subset of classrooms in order to increase the total number of </w:t>
      </w:r>
      <w:r w:rsidR="001C78EB">
        <w:t>respondents</w:t>
      </w:r>
      <w:r w:rsidR="006E61D6">
        <w:t xml:space="preserve"> </w:t>
      </w:r>
      <w:r w:rsidR="00FC001F">
        <w:t>for</w:t>
      </w:r>
      <w:r w:rsidR="006E61D6">
        <w:t xml:space="preserve"> the classroom staff (workforce) survey. </w:t>
      </w:r>
      <w:r>
        <w:t xml:space="preserve">The </w:t>
      </w:r>
      <w:r w:rsidR="00FC001F">
        <w:t xml:space="preserve">selected </w:t>
      </w:r>
      <w:r w:rsidR="001C78EB">
        <w:t>individuals</w:t>
      </w:r>
      <w:r w:rsidR="00FC001F">
        <w:t xml:space="preserve"> </w:t>
      </w:r>
      <w:r>
        <w:t>will be sampled from the following staff roles: Lead Teacher, Instructor, Teacher</w:t>
      </w:r>
      <w:r w:rsidR="00826852">
        <w:t xml:space="preserve"> (possibly including Director/Teacher)</w:t>
      </w:r>
      <w:r>
        <w:t xml:space="preserve">, Assistant Teacher/Instructor, </w:t>
      </w:r>
      <w:r w:rsidR="00CF4CDD">
        <w:t xml:space="preserve">and </w:t>
      </w:r>
      <w:r>
        <w:t>Aid</w:t>
      </w:r>
      <w:r w:rsidR="00A13BD7">
        <w:t>e</w:t>
      </w:r>
      <w:r>
        <w:t>. Other roles, for example, specialist personnel, ar</w:t>
      </w:r>
      <w:r w:rsidR="00826852">
        <w:t>e not eligible for the classroom staff</w:t>
      </w:r>
      <w:r>
        <w:t xml:space="preserve"> </w:t>
      </w:r>
      <w:r w:rsidR="005F285A">
        <w:t xml:space="preserve">(workforce) </w:t>
      </w:r>
      <w:r>
        <w:t xml:space="preserve">survey even if they are enumerated as personnel associated with the randomly selected classroom. </w:t>
      </w:r>
      <w:r w:rsidR="001C78EB">
        <w:t>Items</w:t>
      </w:r>
      <w:r w:rsidR="00046085">
        <w:t xml:space="preserve"> about the teaching/caregiving workforce in home-based care are included in the </w:t>
      </w:r>
      <w:r w:rsidR="00464E48">
        <w:t xml:space="preserve">home-based provider </w:t>
      </w:r>
      <w:r w:rsidR="001C78EB">
        <w:t>questionnaire</w:t>
      </w:r>
      <w:r w:rsidR="00464E48">
        <w:t xml:space="preserve"> </w:t>
      </w:r>
      <w:r w:rsidR="00046085">
        <w:t xml:space="preserve">and parallel the constructs that are </w:t>
      </w:r>
      <w:r w:rsidR="00046085" w:rsidRPr="003202B4">
        <w:t xml:space="preserve">included in the </w:t>
      </w:r>
      <w:r w:rsidR="00464E48" w:rsidRPr="003202B4">
        <w:t xml:space="preserve">classroom staff (workforce) </w:t>
      </w:r>
      <w:r w:rsidR="001C78EB">
        <w:t>questionnaire</w:t>
      </w:r>
      <w:r w:rsidR="00464E48" w:rsidRPr="003202B4">
        <w:t xml:space="preserve"> </w:t>
      </w:r>
      <w:r w:rsidR="00046085" w:rsidRPr="003202B4">
        <w:t>to be administered to the sampled staff in center-</w:t>
      </w:r>
      <w:r w:rsidR="00046085">
        <w:t>based programs.</w:t>
      </w:r>
    </w:p>
    <w:p w14:paraId="58F7931B" w14:textId="150F8F9B" w:rsidR="006E61D6" w:rsidRPr="006F47F8" w:rsidRDefault="006E61D6" w:rsidP="006E61D6">
      <w:pPr>
        <w:pStyle w:val="NORCCaption-Exhibit"/>
        <w:tabs>
          <w:tab w:val="clear" w:pos="1440"/>
          <w:tab w:val="left" w:pos="1170"/>
        </w:tabs>
        <w:spacing w:line="276" w:lineRule="auto"/>
        <w:ind w:left="1170" w:hanging="1170"/>
        <w:contextualSpacing/>
      </w:pPr>
      <w:bookmarkStart w:id="10" w:name="_Toc526933198"/>
      <w:r>
        <w:rPr>
          <w:b/>
        </w:rPr>
        <w:t xml:space="preserve">Exhibit </w:t>
      </w:r>
      <w:r w:rsidR="00E57F40">
        <w:rPr>
          <w:b/>
        </w:rPr>
        <w:t>3</w:t>
      </w:r>
      <w:r w:rsidRPr="00F95917">
        <w:rPr>
          <w:b/>
        </w:rPr>
        <w:t>.</w:t>
      </w:r>
      <w:r>
        <w:tab/>
      </w:r>
      <w:r w:rsidRPr="006F47F8">
        <w:rPr>
          <w:rFonts w:eastAsia="Batang"/>
          <w:bCs/>
          <w:color w:val="000000"/>
          <w:lang w:eastAsia="ko-KR"/>
        </w:rPr>
        <w:t>Target Sample Size for the Classroom Staff (Workforce)</w:t>
      </w:r>
      <w:r w:rsidR="00D037E0" w:rsidRPr="00D037E0">
        <w:rPr>
          <w:rFonts w:eastAsia="Batang"/>
          <w:bCs/>
          <w:color w:val="000000"/>
          <w:lang w:eastAsia="ko-KR"/>
        </w:rPr>
        <w:t xml:space="preserve"> </w:t>
      </w:r>
      <w:r w:rsidR="00D037E0" w:rsidRPr="006F47F8">
        <w:rPr>
          <w:rFonts w:eastAsia="Batang"/>
          <w:bCs/>
          <w:color w:val="000000"/>
          <w:lang w:eastAsia="ko-KR"/>
        </w:rPr>
        <w:t>Survey</w:t>
      </w:r>
      <w:bookmarkEnd w:id="10"/>
    </w:p>
    <w:tbl>
      <w:tblPr>
        <w:tblW w:w="9349" w:type="dxa"/>
        <w:jc w:val="right"/>
        <w:tblCellMar>
          <w:top w:w="58" w:type="dxa"/>
          <w:left w:w="72" w:type="dxa"/>
          <w:bottom w:w="58" w:type="dxa"/>
          <w:right w:w="72" w:type="dxa"/>
        </w:tblCellMar>
        <w:tblLook w:val="04A0" w:firstRow="1" w:lastRow="0" w:firstColumn="1" w:lastColumn="0" w:noHBand="0" w:noVBand="1"/>
      </w:tblPr>
      <w:tblGrid>
        <w:gridCol w:w="2740"/>
        <w:gridCol w:w="2110"/>
        <w:gridCol w:w="1530"/>
        <w:gridCol w:w="1270"/>
        <w:gridCol w:w="1699"/>
      </w:tblGrid>
      <w:tr w:rsidR="006E61D6" w:rsidRPr="00917249" w14:paraId="010529DC" w14:textId="77777777" w:rsidTr="00D037E0">
        <w:trPr>
          <w:trHeight w:val="600"/>
          <w:jc w:val="right"/>
        </w:trPr>
        <w:tc>
          <w:tcPr>
            <w:tcW w:w="2740" w:type="dxa"/>
            <w:vMerge w:val="restart"/>
            <w:tcBorders>
              <w:top w:val="single" w:sz="8" w:space="0" w:color="auto"/>
              <w:left w:val="single" w:sz="8" w:space="0" w:color="auto"/>
              <w:bottom w:val="single" w:sz="8" w:space="0" w:color="000000"/>
              <w:right w:val="single" w:sz="8" w:space="0" w:color="auto"/>
            </w:tcBorders>
            <w:shd w:val="clear" w:color="auto" w:fill="BFB6AC"/>
            <w:noWrap/>
            <w:vAlign w:val="center"/>
            <w:hideMark/>
          </w:tcPr>
          <w:p w14:paraId="403BF8F8" w14:textId="77777777" w:rsidR="006E61D6" w:rsidRPr="00917249" w:rsidRDefault="006E61D6" w:rsidP="005E4B71">
            <w:pPr>
              <w:pStyle w:val="NORCTableHeader1"/>
            </w:pPr>
            <w:r w:rsidRPr="00917249">
              <w:t>Stratum</w:t>
            </w:r>
          </w:p>
        </w:tc>
        <w:tc>
          <w:tcPr>
            <w:tcW w:w="3640" w:type="dxa"/>
            <w:gridSpan w:val="2"/>
            <w:tcBorders>
              <w:top w:val="single" w:sz="8" w:space="0" w:color="auto"/>
              <w:left w:val="nil"/>
              <w:bottom w:val="single" w:sz="4" w:space="0" w:color="auto"/>
              <w:right w:val="nil"/>
            </w:tcBorders>
            <w:shd w:val="clear" w:color="auto" w:fill="BFB6AC"/>
            <w:vAlign w:val="center"/>
            <w:hideMark/>
          </w:tcPr>
          <w:p w14:paraId="57CB2081" w14:textId="0A79EA46" w:rsidR="006E61D6" w:rsidRPr="00917249" w:rsidRDefault="006E61D6" w:rsidP="005E4B71">
            <w:pPr>
              <w:pStyle w:val="NORCTableHeader1"/>
            </w:pPr>
            <w:r w:rsidRPr="00917249">
              <w:t xml:space="preserve">Completed </w:t>
            </w:r>
            <w:r w:rsidR="00D037E0">
              <w:t xml:space="preserve">Center-based              </w:t>
            </w:r>
            <w:r w:rsidRPr="00917249">
              <w:t xml:space="preserve">Provider </w:t>
            </w:r>
            <w:r w:rsidR="001C78EB">
              <w:t>Questionnaires</w:t>
            </w:r>
          </w:p>
        </w:tc>
        <w:tc>
          <w:tcPr>
            <w:tcW w:w="2969" w:type="dxa"/>
            <w:gridSpan w:val="2"/>
            <w:tcBorders>
              <w:top w:val="single" w:sz="8" w:space="0" w:color="auto"/>
              <w:left w:val="single" w:sz="8" w:space="0" w:color="auto"/>
              <w:bottom w:val="single" w:sz="4" w:space="0" w:color="auto"/>
              <w:right w:val="single" w:sz="8" w:space="0" w:color="000000"/>
            </w:tcBorders>
            <w:shd w:val="clear" w:color="auto" w:fill="BFB6AC"/>
            <w:vAlign w:val="center"/>
            <w:hideMark/>
          </w:tcPr>
          <w:p w14:paraId="26AAC99C" w14:textId="021D3A67" w:rsidR="006E61D6" w:rsidRPr="00917249" w:rsidRDefault="006E61D6" w:rsidP="001540EE">
            <w:pPr>
              <w:pStyle w:val="NORCTableHeader1"/>
            </w:pPr>
            <w:r w:rsidRPr="00917249">
              <w:t xml:space="preserve">Completed Classroom Staff </w:t>
            </w:r>
            <w:r w:rsidR="001540EE">
              <w:t>(Workforce)</w:t>
            </w:r>
            <w:r w:rsidR="00D037E0">
              <w:t xml:space="preserve"> </w:t>
            </w:r>
            <w:r w:rsidR="001C78EB">
              <w:t>Questionnaires</w:t>
            </w:r>
          </w:p>
        </w:tc>
      </w:tr>
      <w:tr w:rsidR="006E61D6" w:rsidRPr="00917249" w14:paraId="722EAE6C" w14:textId="77777777" w:rsidTr="00D037E0">
        <w:trPr>
          <w:trHeight w:val="600"/>
          <w:jc w:val="right"/>
        </w:trPr>
        <w:tc>
          <w:tcPr>
            <w:tcW w:w="2740" w:type="dxa"/>
            <w:vMerge/>
            <w:tcBorders>
              <w:top w:val="single" w:sz="8" w:space="0" w:color="auto"/>
              <w:left w:val="single" w:sz="8" w:space="0" w:color="auto"/>
              <w:bottom w:val="single" w:sz="8" w:space="0" w:color="000000"/>
              <w:right w:val="single" w:sz="8" w:space="0" w:color="auto"/>
            </w:tcBorders>
            <w:shd w:val="clear" w:color="auto" w:fill="BFB6AC"/>
            <w:vAlign w:val="center"/>
            <w:hideMark/>
          </w:tcPr>
          <w:p w14:paraId="3E239BA3" w14:textId="77777777" w:rsidR="006E61D6" w:rsidRPr="00917249" w:rsidRDefault="006E61D6" w:rsidP="007F4549">
            <w:pPr>
              <w:spacing w:after="0"/>
              <w:ind w:left="0"/>
              <w:rPr>
                <w:rFonts w:ascii="Arial" w:eastAsia="Times New Roman" w:hAnsi="Arial" w:cs="Arial"/>
                <w:b/>
                <w:bCs/>
                <w:color w:val="000000"/>
                <w:sz w:val="20"/>
                <w:szCs w:val="20"/>
              </w:rPr>
            </w:pPr>
          </w:p>
        </w:tc>
        <w:tc>
          <w:tcPr>
            <w:tcW w:w="2110" w:type="dxa"/>
            <w:tcBorders>
              <w:top w:val="nil"/>
              <w:left w:val="nil"/>
              <w:bottom w:val="single" w:sz="8" w:space="0" w:color="auto"/>
              <w:right w:val="single" w:sz="4" w:space="0" w:color="auto"/>
            </w:tcBorders>
            <w:shd w:val="clear" w:color="auto" w:fill="D9D3CD"/>
            <w:vAlign w:val="center"/>
            <w:hideMark/>
          </w:tcPr>
          <w:p w14:paraId="77169753" w14:textId="77777777" w:rsidR="006E61D6" w:rsidRPr="00917249" w:rsidRDefault="006E61D6" w:rsidP="005E4B71">
            <w:pPr>
              <w:pStyle w:val="NORCTableHeader2"/>
            </w:pPr>
            <w:r w:rsidRPr="00917249">
              <w:t>Number of Staff Selected per Classroom</w:t>
            </w:r>
          </w:p>
        </w:tc>
        <w:tc>
          <w:tcPr>
            <w:tcW w:w="1530" w:type="dxa"/>
            <w:tcBorders>
              <w:top w:val="nil"/>
              <w:left w:val="nil"/>
              <w:bottom w:val="single" w:sz="8" w:space="0" w:color="auto"/>
              <w:right w:val="nil"/>
            </w:tcBorders>
            <w:shd w:val="clear" w:color="auto" w:fill="D9D3CD"/>
            <w:vAlign w:val="center"/>
            <w:hideMark/>
          </w:tcPr>
          <w:p w14:paraId="38B85206" w14:textId="77777777" w:rsidR="006E61D6" w:rsidRPr="00917249" w:rsidRDefault="006E61D6" w:rsidP="005E4B71">
            <w:pPr>
              <w:pStyle w:val="NORCTableHeader2"/>
            </w:pPr>
            <w:r w:rsidRPr="00917249">
              <w:t>Number of Selected Staff</w:t>
            </w:r>
          </w:p>
        </w:tc>
        <w:tc>
          <w:tcPr>
            <w:tcW w:w="1270" w:type="dxa"/>
            <w:tcBorders>
              <w:top w:val="nil"/>
              <w:left w:val="single" w:sz="8" w:space="0" w:color="auto"/>
              <w:bottom w:val="single" w:sz="8" w:space="0" w:color="auto"/>
              <w:right w:val="single" w:sz="4" w:space="0" w:color="auto"/>
            </w:tcBorders>
            <w:shd w:val="clear" w:color="auto" w:fill="D9D3CD"/>
            <w:noWrap/>
            <w:vAlign w:val="center"/>
            <w:hideMark/>
          </w:tcPr>
          <w:p w14:paraId="122F8839" w14:textId="51DA1E41" w:rsidR="006E61D6" w:rsidRPr="00917249" w:rsidRDefault="006E61D6" w:rsidP="005E4B71">
            <w:pPr>
              <w:pStyle w:val="NORCTableHeader2"/>
            </w:pPr>
            <w:r w:rsidRPr="00917249">
              <w:t>Rate</w:t>
            </w:r>
            <w:r w:rsidR="008B6EE0">
              <w:t>*</w:t>
            </w:r>
          </w:p>
        </w:tc>
        <w:tc>
          <w:tcPr>
            <w:tcW w:w="1699" w:type="dxa"/>
            <w:tcBorders>
              <w:top w:val="nil"/>
              <w:left w:val="nil"/>
              <w:bottom w:val="single" w:sz="8" w:space="0" w:color="auto"/>
              <w:right w:val="single" w:sz="8" w:space="0" w:color="auto"/>
            </w:tcBorders>
            <w:shd w:val="clear" w:color="auto" w:fill="D9D3CD"/>
            <w:noWrap/>
            <w:vAlign w:val="center"/>
            <w:hideMark/>
          </w:tcPr>
          <w:p w14:paraId="4489B698" w14:textId="77777777" w:rsidR="006E61D6" w:rsidRPr="00917249" w:rsidRDefault="006E61D6" w:rsidP="005E4B71">
            <w:pPr>
              <w:pStyle w:val="NORCTableHeader2"/>
            </w:pPr>
            <w:r w:rsidRPr="00917249">
              <w:t>Number</w:t>
            </w:r>
          </w:p>
        </w:tc>
      </w:tr>
      <w:tr w:rsidR="006E61D6" w:rsidRPr="00917249" w14:paraId="486C3E6C" w14:textId="77777777" w:rsidTr="00D037E0">
        <w:trPr>
          <w:trHeight w:val="300"/>
          <w:jc w:val="right"/>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14:paraId="03E650D6" w14:textId="40A7D538" w:rsidR="006E61D6" w:rsidRPr="00917249" w:rsidRDefault="006E61D6" w:rsidP="005E4B71">
            <w:pPr>
              <w:pStyle w:val="NORCTableBodyLeftBold"/>
            </w:pPr>
            <w:r w:rsidRPr="00917249">
              <w:t xml:space="preserve">Stratum 1: </w:t>
            </w:r>
            <w:r w:rsidRPr="00917249">
              <w:br/>
              <w:t>Known Center-based Providers</w:t>
            </w:r>
          </w:p>
        </w:tc>
        <w:tc>
          <w:tcPr>
            <w:tcW w:w="2110" w:type="dxa"/>
            <w:tcBorders>
              <w:top w:val="nil"/>
              <w:left w:val="nil"/>
              <w:bottom w:val="single" w:sz="4" w:space="0" w:color="auto"/>
              <w:right w:val="single" w:sz="4" w:space="0" w:color="auto"/>
            </w:tcBorders>
            <w:shd w:val="clear" w:color="auto" w:fill="auto"/>
            <w:noWrap/>
            <w:vAlign w:val="center"/>
            <w:hideMark/>
          </w:tcPr>
          <w:p w14:paraId="35B7CEED"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1</w:t>
            </w:r>
          </w:p>
        </w:tc>
        <w:tc>
          <w:tcPr>
            <w:tcW w:w="1530" w:type="dxa"/>
            <w:tcBorders>
              <w:top w:val="nil"/>
              <w:left w:val="nil"/>
              <w:bottom w:val="single" w:sz="4" w:space="0" w:color="auto"/>
              <w:right w:val="nil"/>
            </w:tcBorders>
            <w:shd w:val="clear" w:color="auto" w:fill="auto"/>
            <w:noWrap/>
            <w:vAlign w:val="bottom"/>
            <w:hideMark/>
          </w:tcPr>
          <w:p w14:paraId="678A21E0"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6,571</w:t>
            </w:r>
          </w:p>
        </w:tc>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39428F07"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w:t>
            </w:r>
          </w:p>
        </w:tc>
        <w:tc>
          <w:tcPr>
            <w:tcW w:w="1699" w:type="dxa"/>
            <w:tcBorders>
              <w:top w:val="nil"/>
              <w:left w:val="nil"/>
              <w:bottom w:val="single" w:sz="4" w:space="0" w:color="auto"/>
              <w:right w:val="single" w:sz="8" w:space="0" w:color="auto"/>
            </w:tcBorders>
            <w:shd w:val="clear" w:color="auto" w:fill="auto"/>
            <w:noWrap/>
            <w:vAlign w:val="bottom"/>
            <w:hideMark/>
          </w:tcPr>
          <w:p w14:paraId="4975D4A9"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4,718</w:t>
            </w:r>
          </w:p>
        </w:tc>
      </w:tr>
      <w:tr w:rsidR="006E61D6" w:rsidRPr="00917249" w14:paraId="2C21027E" w14:textId="77777777" w:rsidTr="00D037E0">
        <w:trPr>
          <w:trHeight w:val="300"/>
          <w:jc w:val="right"/>
        </w:trPr>
        <w:tc>
          <w:tcPr>
            <w:tcW w:w="2740" w:type="dxa"/>
            <w:vMerge/>
            <w:tcBorders>
              <w:top w:val="nil"/>
              <w:left w:val="single" w:sz="8" w:space="0" w:color="auto"/>
              <w:bottom w:val="single" w:sz="8" w:space="0" w:color="000000"/>
              <w:right w:val="single" w:sz="8" w:space="0" w:color="auto"/>
            </w:tcBorders>
            <w:vAlign w:val="center"/>
            <w:hideMark/>
          </w:tcPr>
          <w:p w14:paraId="7BA385B4" w14:textId="77777777" w:rsidR="006E61D6" w:rsidRPr="00917249" w:rsidRDefault="006E61D6" w:rsidP="005E4B71">
            <w:pPr>
              <w:pStyle w:val="NORCTableBodyLeftBold"/>
            </w:pPr>
          </w:p>
        </w:tc>
        <w:tc>
          <w:tcPr>
            <w:tcW w:w="2110" w:type="dxa"/>
            <w:tcBorders>
              <w:top w:val="nil"/>
              <w:left w:val="nil"/>
              <w:bottom w:val="single" w:sz="4" w:space="0" w:color="auto"/>
              <w:right w:val="single" w:sz="4" w:space="0" w:color="auto"/>
            </w:tcBorders>
            <w:shd w:val="clear" w:color="auto" w:fill="auto"/>
            <w:noWrap/>
            <w:vAlign w:val="center"/>
            <w:hideMark/>
          </w:tcPr>
          <w:p w14:paraId="4B4D4DBD"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2</w:t>
            </w:r>
          </w:p>
        </w:tc>
        <w:tc>
          <w:tcPr>
            <w:tcW w:w="1530" w:type="dxa"/>
            <w:tcBorders>
              <w:top w:val="nil"/>
              <w:left w:val="nil"/>
              <w:bottom w:val="single" w:sz="4" w:space="0" w:color="auto"/>
              <w:right w:val="nil"/>
            </w:tcBorders>
            <w:shd w:val="clear" w:color="auto" w:fill="auto"/>
            <w:noWrap/>
            <w:vAlign w:val="bottom"/>
            <w:hideMark/>
          </w:tcPr>
          <w:p w14:paraId="6FAC3588"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644</w:t>
            </w:r>
          </w:p>
        </w:tc>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3C8E957F"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w:t>
            </w:r>
          </w:p>
        </w:tc>
        <w:tc>
          <w:tcPr>
            <w:tcW w:w="1699" w:type="dxa"/>
            <w:tcBorders>
              <w:top w:val="nil"/>
              <w:left w:val="nil"/>
              <w:bottom w:val="single" w:sz="4" w:space="0" w:color="auto"/>
              <w:right w:val="single" w:sz="8" w:space="0" w:color="auto"/>
            </w:tcBorders>
            <w:shd w:val="clear" w:color="auto" w:fill="auto"/>
            <w:noWrap/>
            <w:vAlign w:val="bottom"/>
            <w:hideMark/>
          </w:tcPr>
          <w:p w14:paraId="450A02FA"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463</w:t>
            </w:r>
          </w:p>
        </w:tc>
      </w:tr>
      <w:tr w:rsidR="006E61D6" w:rsidRPr="00917249" w14:paraId="21AD91EA" w14:textId="77777777" w:rsidTr="00D037E0">
        <w:trPr>
          <w:trHeight w:val="300"/>
          <w:jc w:val="right"/>
        </w:trPr>
        <w:tc>
          <w:tcPr>
            <w:tcW w:w="2740" w:type="dxa"/>
            <w:vMerge/>
            <w:tcBorders>
              <w:top w:val="nil"/>
              <w:left w:val="single" w:sz="8" w:space="0" w:color="auto"/>
              <w:bottom w:val="single" w:sz="8" w:space="0" w:color="000000"/>
              <w:right w:val="single" w:sz="8" w:space="0" w:color="auto"/>
            </w:tcBorders>
            <w:vAlign w:val="center"/>
            <w:hideMark/>
          </w:tcPr>
          <w:p w14:paraId="0969752B" w14:textId="77777777" w:rsidR="006E61D6" w:rsidRPr="00917249" w:rsidRDefault="006E61D6" w:rsidP="005E4B71">
            <w:pPr>
              <w:pStyle w:val="NORCTableBodyLeftBold"/>
            </w:pPr>
          </w:p>
        </w:tc>
        <w:tc>
          <w:tcPr>
            <w:tcW w:w="2110" w:type="dxa"/>
            <w:tcBorders>
              <w:top w:val="nil"/>
              <w:left w:val="nil"/>
              <w:bottom w:val="single" w:sz="8" w:space="0" w:color="auto"/>
              <w:right w:val="single" w:sz="4" w:space="0" w:color="auto"/>
            </w:tcBorders>
            <w:shd w:val="clear" w:color="auto" w:fill="auto"/>
            <w:noWrap/>
            <w:vAlign w:val="center"/>
            <w:hideMark/>
          </w:tcPr>
          <w:p w14:paraId="2DC09A7C"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Stratum 1 total</w:t>
            </w:r>
          </w:p>
        </w:tc>
        <w:tc>
          <w:tcPr>
            <w:tcW w:w="1530" w:type="dxa"/>
            <w:tcBorders>
              <w:top w:val="nil"/>
              <w:left w:val="nil"/>
              <w:bottom w:val="single" w:sz="8" w:space="0" w:color="auto"/>
              <w:right w:val="nil"/>
            </w:tcBorders>
            <w:shd w:val="clear" w:color="auto" w:fill="auto"/>
            <w:noWrap/>
            <w:vAlign w:val="bottom"/>
            <w:hideMark/>
          </w:tcPr>
          <w:p w14:paraId="50F352CC"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7,215</w:t>
            </w:r>
          </w:p>
        </w:tc>
        <w:tc>
          <w:tcPr>
            <w:tcW w:w="1270" w:type="dxa"/>
            <w:tcBorders>
              <w:top w:val="nil"/>
              <w:left w:val="single" w:sz="8" w:space="0" w:color="auto"/>
              <w:bottom w:val="single" w:sz="8" w:space="0" w:color="auto"/>
              <w:right w:val="single" w:sz="4" w:space="0" w:color="auto"/>
            </w:tcBorders>
            <w:shd w:val="clear" w:color="auto" w:fill="auto"/>
            <w:noWrap/>
            <w:vAlign w:val="bottom"/>
            <w:hideMark/>
          </w:tcPr>
          <w:p w14:paraId="21BC4E74"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w:t>
            </w:r>
          </w:p>
        </w:tc>
        <w:tc>
          <w:tcPr>
            <w:tcW w:w="1699" w:type="dxa"/>
            <w:tcBorders>
              <w:top w:val="nil"/>
              <w:left w:val="nil"/>
              <w:bottom w:val="single" w:sz="8" w:space="0" w:color="auto"/>
              <w:right w:val="single" w:sz="8" w:space="0" w:color="auto"/>
            </w:tcBorders>
            <w:shd w:val="clear" w:color="auto" w:fill="auto"/>
            <w:noWrap/>
            <w:vAlign w:val="bottom"/>
            <w:hideMark/>
          </w:tcPr>
          <w:p w14:paraId="501A72A9"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5,643</w:t>
            </w:r>
          </w:p>
        </w:tc>
      </w:tr>
      <w:tr w:rsidR="006E61D6" w:rsidRPr="00917249" w14:paraId="40124224" w14:textId="77777777" w:rsidTr="00D037E0">
        <w:trPr>
          <w:trHeight w:val="300"/>
          <w:jc w:val="right"/>
        </w:trPr>
        <w:tc>
          <w:tcPr>
            <w:tcW w:w="2740" w:type="dxa"/>
            <w:vMerge w:val="restart"/>
            <w:tcBorders>
              <w:top w:val="nil"/>
              <w:left w:val="single" w:sz="8" w:space="0" w:color="auto"/>
              <w:bottom w:val="single" w:sz="8" w:space="0" w:color="000000"/>
              <w:right w:val="single" w:sz="8" w:space="0" w:color="auto"/>
            </w:tcBorders>
            <w:shd w:val="clear" w:color="auto" w:fill="auto"/>
            <w:vAlign w:val="center"/>
            <w:hideMark/>
          </w:tcPr>
          <w:p w14:paraId="1AC393A7" w14:textId="6E663A5E" w:rsidR="006E61D6" w:rsidRPr="00917249" w:rsidRDefault="006E61D6" w:rsidP="005E4B71">
            <w:pPr>
              <w:pStyle w:val="NORCTableBodyLeftBold"/>
            </w:pPr>
            <w:r w:rsidRPr="00917249">
              <w:t xml:space="preserve">Stratum 3: </w:t>
            </w:r>
            <w:r w:rsidRPr="00917249">
              <w:br/>
              <w:t>Possible Center-based Providers</w:t>
            </w:r>
          </w:p>
        </w:tc>
        <w:tc>
          <w:tcPr>
            <w:tcW w:w="2110" w:type="dxa"/>
            <w:tcBorders>
              <w:top w:val="nil"/>
              <w:left w:val="nil"/>
              <w:bottom w:val="single" w:sz="4" w:space="0" w:color="auto"/>
              <w:right w:val="single" w:sz="4" w:space="0" w:color="auto"/>
            </w:tcBorders>
            <w:shd w:val="clear" w:color="auto" w:fill="auto"/>
            <w:noWrap/>
            <w:vAlign w:val="center"/>
            <w:hideMark/>
          </w:tcPr>
          <w:p w14:paraId="5C0438BF"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1</w:t>
            </w:r>
          </w:p>
        </w:tc>
        <w:tc>
          <w:tcPr>
            <w:tcW w:w="1530" w:type="dxa"/>
            <w:tcBorders>
              <w:top w:val="nil"/>
              <w:left w:val="nil"/>
              <w:bottom w:val="single" w:sz="4" w:space="0" w:color="auto"/>
              <w:right w:val="nil"/>
            </w:tcBorders>
            <w:shd w:val="clear" w:color="auto" w:fill="auto"/>
            <w:noWrap/>
            <w:vAlign w:val="bottom"/>
            <w:hideMark/>
          </w:tcPr>
          <w:p w14:paraId="2901D161"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532</w:t>
            </w:r>
          </w:p>
        </w:tc>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45CA2F7C"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w:t>
            </w:r>
          </w:p>
        </w:tc>
        <w:tc>
          <w:tcPr>
            <w:tcW w:w="1699" w:type="dxa"/>
            <w:tcBorders>
              <w:top w:val="nil"/>
              <w:left w:val="nil"/>
              <w:bottom w:val="single" w:sz="4" w:space="0" w:color="auto"/>
              <w:right w:val="single" w:sz="8" w:space="0" w:color="auto"/>
            </w:tcBorders>
            <w:shd w:val="clear" w:color="auto" w:fill="auto"/>
            <w:noWrap/>
            <w:vAlign w:val="bottom"/>
            <w:hideMark/>
          </w:tcPr>
          <w:p w14:paraId="788C7931"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382</w:t>
            </w:r>
          </w:p>
        </w:tc>
      </w:tr>
      <w:tr w:rsidR="006E61D6" w:rsidRPr="00917249" w14:paraId="73BE0CC2" w14:textId="77777777" w:rsidTr="00D037E0">
        <w:trPr>
          <w:trHeight w:val="300"/>
          <w:jc w:val="right"/>
        </w:trPr>
        <w:tc>
          <w:tcPr>
            <w:tcW w:w="2740" w:type="dxa"/>
            <w:vMerge/>
            <w:tcBorders>
              <w:top w:val="nil"/>
              <w:left w:val="single" w:sz="8" w:space="0" w:color="auto"/>
              <w:bottom w:val="single" w:sz="8" w:space="0" w:color="000000"/>
              <w:right w:val="single" w:sz="8" w:space="0" w:color="auto"/>
            </w:tcBorders>
            <w:vAlign w:val="center"/>
            <w:hideMark/>
          </w:tcPr>
          <w:p w14:paraId="178023F1" w14:textId="77777777" w:rsidR="006E61D6" w:rsidRPr="00917249" w:rsidRDefault="006E61D6" w:rsidP="007F4549">
            <w:pPr>
              <w:spacing w:after="0"/>
              <w:ind w:left="0"/>
              <w:rPr>
                <w:rFonts w:ascii="Arial" w:eastAsia="Times New Roman" w:hAnsi="Arial" w:cs="Arial"/>
                <w:b/>
                <w:bCs/>
                <w:color w:val="000000"/>
                <w:sz w:val="20"/>
                <w:szCs w:val="20"/>
              </w:rPr>
            </w:pPr>
          </w:p>
        </w:tc>
        <w:tc>
          <w:tcPr>
            <w:tcW w:w="2110" w:type="dxa"/>
            <w:tcBorders>
              <w:top w:val="nil"/>
              <w:left w:val="nil"/>
              <w:bottom w:val="single" w:sz="4" w:space="0" w:color="auto"/>
              <w:right w:val="single" w:sz="4" w:space="0" w:color="auto"/>
            </w:tcBorders>
            <w:shd w:val="clear" w:color="auto" w:fill="auto"/>
            <w:noWrap/>
            <w:vAlign w:val="center"/>
            <w:hideMark/>
          </w:tcPr>
          <w:p w14:paraId="29EF8541"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2</w:t>
            </w:r>
          </w:p>
        </w:tc>
        <w:tc>
          <w:tcPr>
            <w:tcW w:w="1530" w:type="dxa"/>
            <w:tcBorders>
              <w:top w:val="nil"/>
              <w:left w:val="nil"/>
              <w:bottom w:val="single" w:sz="4" w:space="0" w:color="auto"/>
              <w:right w:val="nil"/>
            </w:tcBorders>
            <w:shd w:val="clear" w:color="auto" w:fill="auto"/>
            <w:noWrap/>
            <w:vAlign w:val="bottom"/>
            <w:hideMark/>
          </w:tcPr>
          <w:p w14:paraId="64D7EAFF"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52</w:t>
            </w:r>
          </w:p>
        </w:tc>
        <w:tc>
          <w:tcPr>
            <w:tcW w:w="1270" w:type="dxa"/>
            <w:tcBorders>
              <w:top w:val="nil"/>
              <w:left w:val="single" w:sz="8" w:space="0" w:color="auto"/>
              <w:bottom w:val="single" w:sz="4" w:space="0" w:color="auto"/>
              <w:right w:val="single" w:sz="4" w:space="0" w:color="auto"/>
            </w:tcBorders>
            <w:shd w:val="clear" w:color="auto" w:fill="auto"/>
            <w:noWrap/>
            <w:vAlign w:val="bottom"/>
            <w:hideMark/>
          </w:tcPr>
          <w:p w14:paraId="4A5F376A"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w:t>
            </w:r>
          </w:p>
        </w:tc>
        <w:tc>
          <w:tcPr>
            <w:tcW w:w="1699" w:type="dxa"/>
            <w:tcBorders>
              <w:top w:val="nil"/>
              <w:left w:val="nil"/>
              <w:bottom w:val="single" w:sz="4" w:space="0" w:color="auto"/>
              <w:right w:val="single" w:sz="8" w:space="0" w:color="auto"/>
            </w:tcBorders>
            <w:shd w:val="clear" w:color="auto" w:fill="auto"/>
            <w:noWrap/>
            <w:vAlign w:val="bottom"/>
            <w:hideMark/>
          </w:tcPr>
          <w:p w14:paraId="41DDC43C"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37</w:t>
            </w:r>
          </w:p>
        </w:tc>
      </w:tr>
      <w:tr w:rsidR="006E61D6" w:rsidRPr="00917249" w14:paraId="0F6094CC" w14:textId="77777777" w:rsidTr="00D037E0">
        <w:trPr>
          <w:trHeight w:val="300"/>
          <w:jc w:val="right"/>
        </w:trPr>
        <w:tc>
          <w:tcPr>
            <w:tcW w:w="2740" w:type="dxa"/>
            <w:vMerge/>
            <w:tcBorders>
              <w:top w:val="nil"/>
              <w:left w:val="single" w:sz="8" w:space="0" w:color="auto"/>
              <w:bottom w:val="single" w:sz="8" w:space="0" w:color="000000"/>
              <w:right w:val="single" w:sz="8" w:space="0" w:color="auto"/>
            </w:tcBorders>
            <w:vAlign w:val="center"/>
            <w:hideMark/>
          </w:tcPr>
          <w:p w14:paraId="5CFC5BF2" w14:textId="77777777" w:rsidR="006E61D6" w:rsidRPr="00917249" w:rsidRDefault="006E61D6" w:rsidP="007F4549">
            <w:pPr>
              <w:spacing w:after="0"/>
              <w:ind w:left="0"/>
              <w:rPr>
                <w:rFonts w:ascii="Arial" w:eastAsia="Times New Roman" w:hAnsi="Arial" w:cs="Arial"/>
                <w:b/>
                <w:bCs/>
                <w:color w:val="000000"/>
                <w:sz w:val="20"/>
                <w:szCs w:val="20"/>
              </w:rPr>
            </w:pPr>
          </w:p>
        </w:tc>
        <w:tc>
          <w:tcPr>
            <w:tcW w:w="2110" w:type="dxa"/>
            <w:tcBorders>
              <w:top w:val="nil"/>
              <w:left w:val="nil"/>
              <w:bottom w:val="single" w:sz="8" w:space="0" w:color="auto"/>
              <w:right w:val="single" w:sz="4" w:space="0" w:color="auto"/>
            </w:tcBorders>
            <w:shd w:val="clear" w:color="auto" w:fill="auto"/>
            <w:noWrap/>
            <w:vAlign w:val="center"/>
            <w:hideMark/>
          </w:tcPr>
          <w:p w14:paraId="58603B4A"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Stratum 3 total</w:t>
            </w:r>
          </w:p>
        </w:tc>
        <w:tc>
          <w:tcPr>
            <w:tcW w:w="1530" w:type="dxa"/>
            <w:tcBorders>
              <w:top w:val="nil"/>
              <w:left w:val="nil"/>
              <w:bottom w:val="single" w:sz="8" w:space="0" w:color="auto"/>
              <w:right w:val="nil"/>
            </w:tcBorders>
            <w:shd w:val="clear" w:color="auto" w:fill="auto"/>
            <w:noWrap/>
            <w:vAlign w:val="bottom"/>
            <w:hideMark/>
          </w:tcPr>
          <w:p w14:paraId="7ECF60B1"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584</w:t>
            </w:r>
          </w:p>
        </w:tc>
        <w:tc>
          <w:tcPr>
            <w:tcW w:w="1270" w:type="dxa"/>
            <w:tcBorders>
              <w:top w:val="nil"/>
              <w:left w:val="single" w:sz="8" w:space="0" w:color="auto"/>
              <w:bottom w:val="single" w:sz="8" w:space="0" w:color="auto"/>
              <w:right w:val="single" w:sz="4" w:space="0" w:color="auto"/>
            </w:tcBorders>
            <w:shd w:val="clear" w:color="auto" w:fill="auto"/>
            <w:noWrap/>
            <w:vAlign w:val="bottom"/>
            <w:hideMark/>
          </w:tcPr>
          <w:p w14:paraId="74BD6C32"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72%</w:t>
            </w:r>
          </w:p>
        </w:tc>
        <w:tc>
          <w:tcPr>
            <w:tcW w:w="1699" w:type="dxa"/>
            <w:tcBorders>
              <w:top w:val="nil"/>
              <w:left w:val="nil"/>
              <w:bottom w:val="single" w:sz="8" w:space="0" w:color="auto"/>
              <w:right w:val="single" w:sz="8" w:space="0" w:color="auto"/>
            </w:tcBorders>
            <w:shd w:val="clear" w:color="auto" w:fill="auto"/>
            <w:noWrap/>
            <w:vAlign w:val="bottom"/>
            <w:hideMark/>
          </w:tcPr>
          <w:p w14:paraId="21ECAAC9" w14:textId="77777777" w:rsidR="006E61D6" w:rsidRPr="00917249" w:rsidRDefault="006E61D6" w:rsidP="007F4549">
            <w:pPr>
              <w:spacing w:after="0"/>
              <w:ind w:left="0"/>
              <w:jc w:val="center"/>
              <w:rPr>
                <w:rFonts w:ascii="Arial" w:eastAsia="Times New Roman" w:hAnsi="Arial" w:cs="Arial"/>
                <w:color w:val="000000"/>
                <w:sz w:val="20"/>
                <w:szCs w:val="20"/>
              </w:rPr>
            </w:pPr>
            <w:r w:rsidRPr="00917249">
              <w:rPr>
                <w:rFonts w:ascii="Arial" w:eastAsia="Times New Roman" w:hAnsi="Arial" w:cs="Arial"/>
                <w:color w:val="000000"/>
                <w:sz w:val="20"/>
                <w:szCs w:val="20"/>
              </w:rPr>
              <w:t>457</w:t>
            </w:r>
          </w:p>
        </w:tc>
      </w:tr>
      <w:tr w:rsidR="006E61D6" w:rsidRPr="00917249" w14:paraId="6B399922" w14:textId="77777777" w:rsidTr="00D037E0">
        <w:trPr>
          <w:trHeight w:val="402"/>
          <w:jc w:val="right"/>
        </w:trPr>
        <w:tc>
          <w:tcPr>
            <w:tcW w:w="2740" w:type="dxa"/>
            <w:tcBorders>
              <w:top w:val="nil"/>
              <w:left w:val="single" w:sz="8" w:space="0" w:color="auto"/>
              <w:bottom w:val="single" w:sz="8" w:space="0" w:color="auto"/>
              <w:right w:val="single" w:sz="8" w:space="0" w:color="auto"/>
            </w:tcBorders>
            <w:shd w:val="clear" w:color="auto" w:fill="auto"/>
            <w:noWrap/>
            <w:vAlign w:val="bottom"/>
            <w:hideMark/>
          </w:tcPr>
          <w:p w14:paraId="07391D4C" w14:textId="77777777" w:rsidR="006E61D6" w:rsidRPr="00917249" w:rsidRDefault="006E61D6" w:rsidP="007F4549">
            <w:pPr>
              <w:spacing w:after="0"/>
              <w:ind w:left="0"/>
              <w:rPr>
                <w:rFonts w:ascii="Arial" w:eastAsia="Times New Roman" w:hAnsi="Arial" w:cs="Arial"/>
                <w:b/>
                <w:bCs/>
                <w:color w:val="000000"/>
                <w:sz w:val="20"/>
                <w:szCs w:val="20"/>
              </w:rPr>
            </w:pPr>
            <w:r w:rsidRPr="00917249">
              <w:rPr>
                <w:rFonts w:ascii="Arial" w:eastAsia="Times New Roman" w:hAnsi="Arial" w:cs="Arial"/>
                <w:b/>
                <w:bCs/>
                <w:color w:val="000000"/>
                <w:sz w:val="20"/>
                <w:szCs w:val="20"/>
              </w:rPr>
              <w:t> </w:t>
            </w:r>
          </w:p>
        </w:tc>
        <w:tc>
          <w:tcPr>
            <w:tcW w:w="2110" w:type="dxa"/>
            <w:tcBorders>
              <w:top w:val="nil"/>
              <w:left w:val="nil"/>
              <w:bottom w:val="single" w:sz="8" w:space="0" w:color="auto"/>
              <w:right w:val="single" w:sz="4" w:space="0" w:color="auto"/>
            </w:tcBorders>
            <w:shd w:val="clear" w:color="auto" w:fill="auto"/>
            <w:noWrap/>
            <w:vAlign w:val="bottom"/>
            <w:hideMark/>
          </w:tcPr>
          <w:p w14:paraId="35258F27" w14:textId="77777777" w:rsidR="006E61D6" w:rsidRPr="00917249" w:rsidRDefault="006E61D6" w:rsidP="007F4549">
            <w:pPr>
              <w:spacing w:after="0"/>
              <w:ind w:left="0"/>
              <w:jc w:val="center"/>
              <w:rPr>
                <w:rFonts w:ascii="Arial" w:eastAsia="Times New Roman" w:hAnsi="Arial" w:cs="Arial"/>
                <w:b/>
                <w:bCs/>
                <w:color w:val="000000"/>
                <w:sz w:val="20"/>
                <w:szCs w:val="20"/>
              </w:rPr>
            </w:pPr>
            <w:r w:rsidRPr="00917249">
              <w:rPr>
                <w:rFonts w:ascii="Arial" w:eastAsia="Times New Roman" w:hAnsi="Arial" w:cs="Arial"/>
                <w:b/>
                <w:bCs/>
                <w:color w:val="000000"/>
                <w:sz w:val="20"/>
                <w:szCs w:val="20"/>
              </w:rPr>
              <w:t>Total</w:t>
            </w:r>
          </w:p>
        </w:tc>
        <w:tc>
          <w:tcPr>
            <w:tcW w:w="1530" w:type="dxa"/>
            <w:tcBorders>
              <w:top w:val="nil"/>
              <w:left w:val="nil"/>
              <w:bottom w:val="single" w:sz="8" w:space="0" w:color="auto"/>
              <w:right w:val="nil"/>
            </w:tcBorders>
            <w:shd w:val="clear" w:color="auto" w:fill="auto"/>
            <w:noWrap/>
            <w:vAlign w:val="bottom"/>
            <w:hideMark/>
          </w:tcPr>
          <w:p w14:paraId="7CF19AE3" w14:textId="77777777" w:rsidR="006E61D6" w:rsidRPr="00917249" w:rsidRDefault="006E61D6" w:rsidP="007F4549">
            <w:pPr>
              <w:spacing w:after="0"/>
              <w:ind w:left="0"/>
              <w:jc w:val="center"/>
              <w:rPr>
                <w:rFonts w:ascii="Arial" w:eastAsia="Times New Roman" w:hAnsi="Arial" w:cs="Arial"/>
                <w:b/>
                <w:bCs/>
                <w:color w:val="000000"/>
                <w:sz w:val="20"/>
                <w:szCs w:val="20"/>
              </w:rPr>
            </w:pPr>
            <w:r w:rsidRPr="00917249">
              <w:rPr>
                <w:rFonts w:ascii="Arial" w:eastAsia="Times New Roman" w:hAnsi="Arial" w:cs="Arial"/>
                <w:b/>
                <w:bCs/>
                <w:color w:val="000000"/>
                <w:sz w:val="20"/>
                <w:szCs w:val="20"/>
              </w:rPr>
              <w:t>7,800</w:t>
            </w:r>
          </w:p>
        </w:tc>
        <w:tc>
          <w:tcPr>
            <w:tcW w:w="1270" w:type="dxa"/>
            <w:tcBorders>
              <w:top w:val="nil"/>
              <w:left w:val="single" w:sz="8" w:space="0" w:color="auto"/>
              <w:bottom w:val="single" w:sz="8" w:space="0" w:color="auto"/>
              <w:right w:val="single" w:sz="4" w:space="0" w:color="auto"/>
            </w:tcBorders>
            <w:shd w:val="clear" w:color="auto" w:fill="auto"/>
            <w:noWrap/>
            <w:vAlign w:val="bottom"/>
            <w:hideMark/>
          </w:tcPr>
          <w:p w14:paraId="5BD000DB" w14:textId="77777777" w:rsidR="006E61D6" w:rsidRPr="00917249" w:rsidRDefault="006E61D6" w:rsidP="007F4549">
            <w:pPr>
              <w:spacing w:after="0"/>
              <w:ind w:left="0"/>
              <w:jc w:val="center"/>
              <w:rPr>
                <w:rFonts w:ascii="Arial" w:eastAsia="Times New Roman" w:hAnsi="Arial" w:cs="Arial"/>
                <w:b/>
                <w:bCs/>
                <w:color w:val="000000"/>
                <w:sz w:val="20"/>
                <w:szCs w:val="20"/>
              </w:rPr>
            </w:pPr>
          </w:p>
        </w:tc>
        <w:tc>
          <w:tcPr>
            <w:tcW w:w="1699" w:type="dxa"/>
            <w:tcBorders>
              <w:top w:val="nil"/>
              <w:left w:val="nil"/>
              <w:bottom w:val="single" w:sz="8" w:space="0" w:color="auto"/>
              <w:right w:val="single" w:sz="8" w:space="0" w:color="auto"/>
            </w:tcBorders>
            <w:shd w:val="clear" w:color="auto" w:fill="auto"/>
            <w:noWrap/>
            <w:vAlign w:val="bottom"/>
            <w:hideMark/>
          </w:tcPr>
          <w:p w14:paraId="55BDBE47" w14:textId="77777777" w:rsidR="006E61D6" w:rsidRPr="00917249" w:rsidRDefault="006E61D6" w:rsidP="007F4549">
            <w:pPr>
              <w:spacing w:after="0"/>
              <w:ind w:left="0"/>
              <w:jc w:val="center"/>
              <w:rPr>
                <w:rFonts w:ascii="Arial" w:eastAsia="Times New Roman" w:hAnsi="Arial" w:cs="Arial"/>
                <w:b/>
                <w:bCs/>
                <w:color w:val="000000"/>
                <w:sz w:val="20"/>
                <w:szCs w:val="20"/>
              </w:rPr>
            </w:pPr>
            <w:r w:rsidRPr="00917249">
              <w:rPr>
                <w:rFonts w:ascii="Arial" w:eastAsia="Times New Roman" w:hAnsi="Arial" w:cs="Arial"/>
                <w:b/>
                <w:bCs/>
                <w:color w:val="000000"/>
                <w:sz w:val="20"/>
                <w:szCs w:val="20"/>
              </w:rPr>
              <w:t>6,100</w:t>
            </w:r>
          </w:p>
        </w:tc>
      </w:tr>
    </w:tbl>
    <w:p w14:paraId="2CEA972E" w14:textId="0D63AE02" w:rsidR="00124898" w:rsidRDefault="008B6EE0" w:rsidP="00C45EF7">
      <w:pPr>
        <w:pStyle w:val="BodyText"/>
        <w:rPr>
          <w:color w:val="000000"/>
        </w:rPr>
      </w:pPr>
      <w:bookmarkStart w:id="11" w:name="_bookmark61"/>
      <w:bookmarkEnd w:id="11"/>
      <w:r>
        <w:rPr>
          <w:color w:val="000000"/>
        </w:rPr>
        <w:t xml:space="preserve">* This rate is based on what was realized for the 2012 classroom staff survey and discounted to account for general response rate attrition over the years. </w:t>
      </w:r>
    </w:p>
    <w:p w14:paraId="35C2494D" w14:textId="146F820B" w:rsidR="003A26AB" w:rsidRPr="003A26AB" w:rsidRDefault="003A26AB" w:rsidP="00C45EF7">
      <w:pPr>
        <w:pStyle w:val="Heading3"/>
      </w:pPr>
      <w:bookmarkStart w:id="12" w:name="_Toc520896111"/>
      <w:r w:rsidRPr="003A26AB">
        <w:t>2.</w:t>
      </w:r>
      <w:r w:rsidR="00DB19B4">
        <w:tab/>
      </w:r>
      <w:r w:rsidRPr="003A26AB">
        <w:t>Procedures for Collection of Information</w:t>
      </w:r>
      <w:bookmarkEnd w:id="12"/>
    </w:p>
    <w:p w14:paraId="72A6447A" w14:textId="545D1DFC" w:rsidR="00AE54E6" w:rsidRPr="00592BAC" w:rsidRDefault="00E17D93" w:rsidP="00C45EF7">
      <w:pPr>
        <w:pStyle w:val="BodyText"/>
      </w:pPr>
      <w:r w:rsidRPr="00592BAC">
        <w:t xml:space="preserve">The </w:t>
      </w:r>
      <w:r w:rsidR="007C5D95">
        <w:t xml:space="preserve">2019 </w:t>
      </w:r>
      <w:r w:rsidRPr="00592BAC">
        <w:t xml:space="preserve">NSECE data collection effort involves </w:t>
      </w:r>
      <w:r w:rsidR="000934F3">
        <w:t>four</w:t>
      </w:r>
      <w:r w:rsidR="000934F3" w:rsidRPr="00C9708E">
        <w:t xml:space="preserve"> </w:t>
      </w:r>
      <w:r w:rsidR="00C9708E" w:rsidRPr="00C9708E">
        <w:t>inter-related surveys</w:t>
      </w:r>
      <w:r w:rsidR="00C9708E">
        <w:t xml:space="preserve"> </w:t>
      </w:r>
      <w:r w:rsidR="007C5D95">
        <w:t>(</w:t>
      </w:r>
      <w:r w:rsidR="000934F3">
        <w:t xml:space="preserve">household survey, </w:t>
      </w:r>
      <w:r w:rsidR="007C5D95">
        <w:t>home-based provider survey, center-based provider survey, and classroom staff [workforce] survey)</w:t>
      </w:r>
      <w:r w:rsidR="00015AC8">
        <w:t>. These surveys are</w:t>
      </w:r>
      <w:r w:rsidR="007C5D95">
        <w:t xml:space="preserve"> </w:t>
      </w:r>
      <w:r w:rsidR="00C9708E">
        <w:t>comprised of</w:t>
      </w:r>
      <w:r w:rsidR="007C5D95">
        <w:t xml:space="preserve"> </w:t>
      </w:r>
      <w:r w:rsidR="000934F3">
        <w:t xml:space="preserve">seven </w:t>
      </w:r>
      <w:r w:rsidR="007C5D95">
        <w:t xml:space="preserve">questionnaires: 1) </w:t>
      </w:r>
      <w:r w:rsidR="000934F3">
        <w:t xml:space="preserve">household screener, 2) household questionnaire, 3) </w:t>
      </w:r>
      <w:r w:rsidR="00B9204F" w:rsidRPr="00592BAC">
        <w:t xml:space="preserve">home-based provider </w:t>
      </w:r>
      <w:r w:rsidR="00B9204F">
        <w:t xml:space="preserve">screener, </w:t>
      </w:r>
      <w:r w:rsidR="000934F3">
        <w:t>4</w:t>
      </w:r>
      <w:r w:rsidR="007C5D95">
        <w:t xml:space="preserve">) </w:t>
      </w:r>
      <w:r w:rsidR="00B9204F" w:rsidRPr="00592BAC">
        <w:t xml:space="preserve">home-based provider questionnaire, </w:t>
      </w:r>
      <w:r w:rsidR="000934F3">
        <w:t>5</w:t>
      </w:r>
      <w:r w:rsidR="007C5D95">
        <w:t xml:space="preserve">) </w:t>
      </w:r>
      <w:r w:rsidR="00B9204F" w:rsidRPr="00592BAC">
        <w:t xml:space="preserve">center-based provider screener, </w:t>
      </w:r>
      <w:r w:rsidR="000934F3">
        <w:t>6</w:t>
      </w:r>
      <w:r w:rsidR="007C5D95">
        <w:t xml:space="preserve">) </w:t>
      </w:r>
      <w:r w:rsidR="00B9204F" w:rsidRPr="00592BAC">
        <w:t xml:space="preserve">center-based provider questionnaire, and </w:t>
      </w:r>
      <w:r w:rsidR="000934F3">
        <w:t>7</w:t>
      </w:r>
      <w:r w:rsidR="007C5D95">
        <w:t xml:space="preserve">) </w:t>
      </w:r>
      <w:r w:rsidR="00B9204F" w:rsidRPr="00592BAC">
        <w:t>classroom staff (workforce) questionnaire</w:t>
      </w:r>
      <w:r w:rsidR="00FC1B10" w:rsidRPr="00592BAC">
        <w:t>.</w:t>
      </w:r>
      <w:r w:rsidRPr="00592BAC">
        <w:t xml:space="preserve"> </w:t>
      </w:r>
      <w:r w:rsidR="00AE54E6" w:rsidRPr="00592BAC">
        <w:t xml:space="preserve">Two underlying principles influence the data collection approach for </w:t>
      </w:r>
      <w:r w:rsidR="007C5D95">
        <w:t xml:space="preserve">all </w:t>
      </w:r>
      <w:r w:rsidR="00BD3106">
        <w:t xml:space="preserve">four </w:t>
      </w:r>
      <w:r w:rsidR="005128E2">
        <w:t xml:space="preserve">2019 </w:t>
      </w:r>
      <w:r w:rsidR="00AE54E6" w:rsidRPr="00592BAC">
        <w:t>NSECE</w:t>
      </w:r>
      <w:r w:rsidR="007C5D95">
        <w:t xml:space="preserve"> surveys</w:t>
      </w:r>
      <w:r w:rsidR="00AE54E6" w:rsidRPr="00592BAC">
        <w:t>.</w:t>
      </w:r>
    </w:p>
    <w:p w14:paraId="173E9CD9" w14:textId="3C280C57" w:rsidR="00AE54E6" w:rsidRDefault="00AE54E6" w:rsidP="00C45EF7">
      <w:pPr>
        <w:pStyle w:val="BodyText"/>
      </w:pPr>
      <w:r w:rsidRPr="00592BAC">
        <w:t xml:space="preserve">First, we use a multi-mode </w:t>
      </w:r>
      <w:r w:rsidR="00A13BD7">
        <w:t xml:space="preserve">contacting </w:t>
      </w:r>
      <w:r w:rsidRPr="00592BAC">
        <w:t xml:space="preserve">approach that attempts to complete </w:t>
      </w:r>
      <w:r w:rsidR="005128E2">
        <w:t xml:space="preserve">as many </w:t>
      </w:r>
      <w:r w:rsidR="007C5D95">
        <w:t>questionnaires</w:t>
      </w:r>
      <w:r w:rsidRPr="00592BAC">
        <w:t xml:space="preserve"> in the </w:t>
      </w:r>
      <w:r w:rsidR="005128E2">
        <w:t>most cost efficient</w:t>
      </w:r>
      <w:r w:rsidRPr="00592BAC">
        <w:t xml:space="preserve"> mode possible</w:t>
      </w:r>
      <w:r w:rsidR="00C3772D">
        <w:t xml:space="preserve"> (</w:t>
      </w:r>
      <w:r w:rsidR="007C5D95">
        <w:t>self-administration by web</w:t>
      </w:r>
      <w:r w:rsidR="00EE7B1E">
        <w:t xml:space="preserve"> </w:t>
      </w:r>
      <w:r w:rsidR="003C4793">
        <w:t xml:space="preserve">for all provider surveys, and for the household screener, self-administration by web and paper-and-pencil), </w:t>
      </w:r>
      <w:r w:rsidRPr="00592BAC">
        <w:t xml:space="preserve">resorting to higher-cost modes to address nonresponse in </w:t>
      </w:r>
      <w:r w:rsidR="00C3772D">
        <w:t>later</w:t>
      </w:r>
      <w:r w:rsidR="00C3772D" w:rsidRPr="00592BAC">
        <w:t xml:space="preserve"> </w:t>
      </w:r>
      <w:r w:rsidR="00CF4CDD">
        <w:t>stages</w:t>
      </w:r>
      <w:r w:rsidRPr="00592BAC">
        <w:t xml:space="preserve">. The multi-mode approach has two primary benefits: </w:t>
      </w:r>
      <w:r w:rsidR="000A0675">
        <w:t xml:space="preserve">1) </w:t>
      </w:r>
      <w:r w:rsidRPr="00592BAC">
        <w:t xml:space="preserve">it saves costs by exploiting lower-cost modes, and </w:t>
      </w:r>
      <w:r w:rsidR="00C42DB7">
        <w:t xml:space="preserve">2) </w:t>
      </w:r>
      <w:r w:rsidRPr="00592BAC">
        <w:t xml:space="preserve">it improves response rates by offering </w:t>
      </w:r>
      <w:r w:rsidR="00EE7B1E">
        <w:t>respondents</w:t>
      </w:r>
      <w:r w:rsidR="00FC001F" w:rsidRPr="00592BAC">
        <w:t xml:space="preserve"> </w:t>
      </w:r>
      <w:r w:rsidRPr="00592BAC">
        <w:t xml:space="preserve">a range of participation options that better accommodate </w:t>
      </w:r>
      <w:r w:rsidR="00EE7B1E">
        <w:t>their</w:t>
      </w:r>
      <w:r w:rsidR="00EE7B1E" w:rsidRPr="00592BAC">
        <w:t xml:space="preserve"> </w:t>
      </w:r>
      <w:r w:rsidRPr="00592BAC">
        <w:t xml:space="preserve">preferences </w:t>
      </w:r>
      <w:r w:rsidR="00F7153B">
        <w:t xml:space="preserve">including </w:t>
      </w:r>
      <w:r w:rsidRPr="00592BAC">
        <w:t>timing, mode, contact with interviewers, and other data collection factors.</w:t>
      </w:r>
    </w:p>
    <w:p w14:paraId="10806179" w14:textId="07CA7CC5" w:rsidR="00AE54E6" w:rsidRDefault="00AE54E6" w:rsidP="00C45EF7">
      <w:pPr>
        <w:pStyle w:val="BodyText"/>
      </w:pPr>
      <w:r>
        <w:t xml:space="preserve">Second, the nature of the NSECE </w:t>
      </w:r>
      <w:r w:rsidR="006371A7">
        <w:t>sample itself</w:t>
      </w:r>
      <w:r>
        <w:t xml:space="preserve"> constrains the data collection period somewhat. </w:t>
      </w:r>
      <w:r w:rsidR="003C4793">
        <w:t>A central feature of the household q</w:t>
      </w:r>
      <w:r w:rsidR="005A4603">
        <w:t xml:space="preserve">uestionnaire is the prior-week’s child care schedule, which captures non-parental care for all age-eligible children in the week prior to </w:t>
      </w:r>
      <w:r w:rsidR="00A94226">
        <w:t>questionnaire administration</w:t>
      </w:r>
      <w:r w:rsidR="005A4603">
        <w:t xml:space="preserve">, supplemented with the work, school, and training schedules of all adults in the household caring for the age-eligible children (including parents). So that these data can capture non-parental care practices, it is desirable for the data collection period to avoid extended periods when alternative non-parental care arrangements may be in use, for example, the end-of-December vacations and summer breaks. </w:t>
      </w:r>
      <w:r w:rsidR="00540A8D">
        <w:t>Similarly, c</w:t>
      </w:r>
      <w:r w:rsidR="00C3772D">
        <w:t xml:space="preserve">enter-based and home-based providers </w:t>
      </w:r>
      <w:r>
        <w:t>are typically inaccessible du</w:t>
      </w:r>
      <w:r w:rsidR="002E30DA">
        <w:t>ring major vacation periods, and many programs such as Head Start</w:t>
      </w:r>
      <w:r w:rsidR="00B9204F">
        <w:t xml:space="preserve"> </w:t>
      </w:r>
      <w:r w:rsidR="002E30DA">
        <w:t>may close altogether during the summer.</w:t>
      </w:r>
      <w:r w:rsidR="003C4793">
        <w:t xml:space="preserve"> </w:t>
      </w:r>
      <w:r w:rsidR="002E30DA">
        <w:t xml:space="preserve">For </w:t>
      </w:r>
      <w:r w:rsidR="00C1712F">
        <w:t xml:space="preserve">these </w:t>
      </w:r>
      <w:r w:rsidR="002E30DA">
        <w:t>reason</w:t>
      </w:r>
      <w:r w:rsidR="00C1712F">
        <w:t>s</w:t>
      </w:r>
      <w:r w:rsidR="002E30DA">
        <w:t>, we confine the data collection period to the 1</w:t>
      </w:r>
      <w:r w:rsidR="00292073">
        <w:t>7</w:t>
      </w:r>
      <w:r w:rsidR="002E30DA">
        <w:t xml:space="preserve"> weeks between winter vacations and the start of summer sessions around the middle of May.</w:t>
      </w:r>
    </w:p>
    <w:p w14:paraId="6C9B0267" w14:textId="7905B684" w:rsidR="00015AC8" w:rsidRDefault="005A4603" w:rsidP="005A4603">
      <w:pPr>
        <w:ind w:left="0"/>
        <w:contextualSpacing/>
      </w:pPr>
      <w:r>
        <w:t xml:space="preserve">In combining these two principles, any given case is slated for only two data collection approaches, with the latter phase involving assignment to a field interviewer. The former phase may involve self-administration (for example, by web or paper-and-pencil). </w:t>
      </w:r>
      <w:r w:rsidR="00015AC8">
        <w:t>The latter, field effort, includes variation in mode as well, encouraging case completion by telephone as well as in-person for the household samples, and prompting for web completion as well as telephone or in-person completion for the center-based and listed home-based provider samples.</w:t>
      </w:r>
    </w:p>
    <w:p w14:paraId="4E713B01" w14:textId="010743B3" w:rsidR="00C37585" w:rsidRDefault="00A110CC" w:rsidP="00C45EF7">
      <w:pPr>
        <w:pStyle w:val="BodyText"/>
      </w:pPr>
      <w:r>
        <w:t xml:space="preserve">This data collection approach </w:t>
      </w:r>
      <w:r w:rsidR="003C4793">
        <w:t>is rooted in our experiences</w:t>
      </w:r>
      <w:r>
        <w:t xml:space="preserve"> preparing for and conducting the 2012 NSECE.</w:t>
      </w:r>
      <w:r w:rsidR="00C52BEE">
        <w:t xml:space="preserve"> </w:t>
      </w:r>
      <w:r w:rsidR="00BE78B8" w:rsidRPr="00BE78B8">
        <w:t>Leading up to the 2012</w:t>
      </w:r>
      <w:r w:rsidR="00BE78B8">
        <w:t xml:space="preserve"> </w:t>
      </w:r>
      <w:r w:rsidR="00BE78B8" w:rsidRPr="00BE78B8">
        <w:t xml:space="preserve">data collection, </w:t>
      </w:r>
      <w:r w:rsidR="00BE78B8">
        <w:t>the project</w:t>
      </w:r>
      <w:r w:rsidR="00BE78B8" w:rsidRPr="00BE78B8">
        <w:t xml:space="preserve"> verified the need for phone and in-person outreach in a design phase feasibility test</w:t>
      </w:r>
      <w:r>
        <w:t xml:space="preserve"> and </w:t>
      </w:r>
      <w:r w:rsidR="00015AC8">
        <w:t xml:space="preserve">the 2012 NSECE </w:t>
      </w:r>
      <w:r w:rsidR="00BE78B8" w:rsidRPr="00BE78B8">
        <w:t>field test</w:t>
      </w:r>
      <w:r>
        <w:t xml:space="preserve"> where we saw that that</w:t>
      </w:r>
      <w:r w:rsidR="00BE78B8" w:rsidRPr="00BE78B8">
        <w:t xml:space="preserve"> mail data collection with phone prompting </w:t>
      </w:r>
      <w:r>
        <w:t xml:space="preserve">alone </w:t>
      </w:r>
      <w:r w:rsidR="00BE78B8" w:rsidRPr="00BE78B8">
        <w:t>was inadequate to achieve the desire</w:t>
      </w:r>
      <w:r w:rsidR="00084F33">
        <w:t>d levels of sample cooperation.</w:t>
      </w:r>
      <w:r>
        <w:t xml:space="preserve"> When interviewers were able to conduct an in-person visit, we saw increased cooperation across sample types. </w:t>
      </w:r>
      <w:r w:rsidR="005B3E68">
        <w:t>I</w:t>
      </w:r>
      <w:r w:rsidR="00C37585">
        <w:t xml:space="preserve">nterviewers were able to navigate organizational hierarchies more easily </w:t>
      </w:r>
      <w:r w:rsidR="005B3E68">
        <w:t>and</w:t>
      </w:r>
      <w:r w:rsidR="00C37585">
        <w:t xml:space="preserve"> identify the individual who could complete the questionnaire </w:t>
      </w:r>
      <w:r w:rsidR="005B3E68">
        <w:t>more quickly</w:t>
      </w:r>
      <w:r w:rsidR="00C37585">
        <w:t xml:space="preserve">. They also were able to provide the </w:t>
      </w:r>
      <w:r w:rsidR="005B3E68">
        <w:t>needed assistance to help</w:t>
      </w:r>
      <w:r w:rsidR="00C37585">
        <w:t xml:space="preserve"> respondents with questions or technical issues. We, therefore, incorporated field interviewer visits into the data collection protocol for the 2012 NSECE. This protocol was designed so that lower levels of effort were expended in the initial phases of data collection where mailing and telephone </w:t>
      </w:r>
      <w:r w:rsidR="009C4AF6">
        <w:t xml:space="preserve">contact </w:t>
      </w:r>
      <w:r w:rsidR="00C37585">
        <w:t xml:space="preserve">was the primary mode of outreach and in-person </w:t>
      </w:r>
      <w:r w:rsidR="009C4AF6">
        <w:t>visits</w:t>
      </w:r>
      <w:r w:rsidR="00C37585">
        <w:t xml:space="preserve"> w</w:t>
      </w:r>
      <w:r w:rsidR="00D5227D">
        <w:t>ere</w:t>
      </w:r>
      <w:r w:rsidR="00C37585">
        <w:t xml:space="preserve"> reserved for the less cooperative or more complicated cases in the later phases.</w:t>
      </w:r>
      <w:r w:rsidR="00753D86">
        <w:t xml:space="preserve"> </w:t>
      </w:r>
      <w:r w:rsidR="0098152A">
        <w:t xml:space="preserve">So that we could make repeat visits without having respondents feel pestered, we incorporated small in-kind tokens relevant to ECE providers and households with young children such as growth charts and crayons. These tokens do not have incentive value per se, but give the interviewers fresh reasons to contact already-contacted respondents. </w:t>
      </w:r>
    </w:p>
    <w:p w14:paraId="5FBBE56B" w14:textId="74F15352" w:rsidR="00B9204F" w:rsidRDefault="00A110CC" w:rsidP="00C45EF7">
      <w:pPr>
        <w:pStyle w:val="BodyText"/>
      </w:pPr>
      <w:r>
        <w:t xml:space="preserve">During the 2012 data collection, we found that </w:t>
      </w:r>
      <w:r w:rsidR="00C37585">
        <w:t>this field</w:t>
      </w:r>
      <w:r w:rsidR="009C4AF6">
        <w:t xml:space="preserve"> interviewer outreach</w:t>
      </w:r>
      <w:r w:rsidR="00C37585">
        <w:t xml:space="preserve"> </w:t>
      </w:r>
      <w:r>
        <w:t xml:space="preserve">played a critical role in facilitating completes by web. </w:t>
      </w:r>
      <w:r w:rsidR="00C37585">
        <w:t xml:space="preserve"> E</w:t>
      </w:r>
      <w:r w:rsidR="004C69C7" w:rsidRPr="004C69C7">
        <w:t xml:space="preserve">xhibits </w:t>
      </w:r>
      <w:r w:rsidR="00E57F40">
        <w:t>4</w:t>
      </w:r>
      <w:r w:rsidR="00E57F40" w:rsidRPr="004C69C7">
        <w:t xml:space="preserve"> </w:t>
      </w:r>
      <w:r w:rsidR="004C69C7" w:rsidRPr="004C69C7">
        <w:t xml:space="preserve">and </w:t>
      </w:r>
      <w:r w:rsidR="00E57F40">
        <w:t>5</w:t>
      </w:r>
      <w:r w:rsidR="00E57F40" w:rsidRPr="004C69C7">
        <w:t xml:space="preserve"> </w:t>
      </w:r>
      <w:r w:rsidR="004C69C7" w:rsidRPr="004C69C7">
        <w:t xml:space="preserve">below </w:t>
      </w:r>
      <w:r w:rsidR="00C37585">
        <w:t xml:space="preserve">show the pattern of completions across the 2012 NSECE field period for the center-based and listed home-based provider surveys. </w:t>
      </w:r>
      <w:r w:rsidR="005B3E68">
        <w:t>Along the top of the graphs we have included the type of outreach that was dominant during that phase</w:t>
      </w:r>
      <w:r w:rsidR="00350315">
        <w:t xml:space="preserve"> and the line</w:t>
      </w:r>
      <w:r w:rsidR="009C4AF6">
        <w:t xml:space="preserve"> across the center </w:t>
      </w:r>
      <w:r w:rsidR="00350315">
        <w:t>indicate</w:t>
      </w:r>
      <w:r w:rsidR="009C4AF6">
        <w:t xml:space="preserve">s </w:t>
      </w:r>
      <w:r w:rsidR="00350315">
        <w:t xml:space="preserve">the number of </w:t>
      </w:r>
      <w:r w:rsidR="009C4AF6">
        <w:t>completed surveys throughout the phase</w:t>
      </w:r>
      <w:r w:rsidR="005B3E68">
        <w:t xml:space="preserve">. </w:t>
      </w:r>
      <w:r w:rsidR="004C69C7" w:rsidRPr="004C69C7">
        <w:t xml:space="preserve"> </w:t>
      </w:r>
      <w:r w:rsidR="005B3E68">
        <w:t>The graphs show that s</w:t>
      </w:r>
      <w:r w:rsidR="004C69C7" w:rsidRPr="004C69C7">
        <w:t xml:space="preserve">ignificant numbers of provider </w:t>
      </w:r>
      <w:r w:rsidR="007C5D95">
        <w:t xml:space="preserve">questionnaires </w:t>
      </w:r>
      <w:r w:rsidR="004C69C7" w:rsidRPr="004C69C7">
        <w:t xml:space="preserve">were </w:t>
      </w:r>
      <w:r w:rsidR="007C5D95">
        <w:t>completed</w:t>
      </w:r>
      <w:r w:rsidR="004C69C7" w:rsidRPr="004C69C7">
        <w:t xml:space="preserve"> through only mail and telephone </w:t>
      </w:r>
      <w:r w:rsidR="009C4AF6">
        <w:t>contact</w:t>
      </w:r>
      <w:r w:rsidR="004C69C7" w:rsidRPr="004C69C7">
        <w:t>,</w:t>
      </w:r>
      <w:r w:rsidR="005B3E68">
        <w:t xml:space="preserve"> but</w:t>
      </w:r>
      <w:r w:rsidR="004C69C7" w:rsidRPr="004C69C7">
        <w:t xml:space="preserve"> the majority of </w:t>
      </w:r>
      <w:r w:rsidR="007C5D95">
        <w:t xml:space="preserve">completed </w:t>
      </w:r>
      <w:r w:rsidR="00350315">
        <w:t xml:space="preserve">center-based and home-based </w:t>
      </w:r>
      <w:r w:rsidR="004C69C7" w:rsidRPr="004C69C7">
        <w:t xml:space="preserve">provider </w:t>
      </w:r>
      <w:r w:rsidR="007C5D95">
        <w:t xml:space="preserve">questionnaires </w:t>
      </w:r>
      <w:r w:rsidR="004C69C7" w:rsidRPr="004C69C7">
        <w:t>in 2012</w:t>
      </w:r>
      <w:r w:rsidR="00EE73B5">
        <w:t xml:space="preserve"> required </w:t>
      </w:r>
      <w:r w:rsidR="004C69C7" w:rsidRPr="004C69C7">
        <w:t>some in-person outreach.</w:t>
      </w:r>
    </w:p>
    <w:p w14:paraId="60475538" w14:textId="20588677" w:rsidR="00C45EF7" w:rsidRDefault="00C45EF7">
      <w:pPr>
        <w:spacing w:after="0"/>
        <w:ind w:left="0"/>
      </w:pPr>
    </w:p>
    <w:p w14:paraId="0BDE6785" w14:textId="6916697F" w:rsidR="00B9204F" w:rsidRPr="00FD49AA" w:rsidRDefault="00B9204F" w:rsidP="00B9204F">
      <w:pPr>
        <w:pStyle w:val="NORCCaption-Exhibit"/>
      </w:pPr>
      <w:bookmarkStart w:id="13" w:name="_Toc508268601"/>
      <w:bookmarkStart w:id="14" w:name="_Toc526933199"/>
      <w:r>
        <w:rPr>
          <w:b/>
        </w:rPr>
        <w:t xml:space="preserve">Exhibit </w:t>
      </w:r>
      <w:r w:rsidR="00E57F40">
        <w:rPr>
          <w:b/>
        </w:rPr>
        <w:t>4</w:t>
      </w:r>
      <w:r w:rsidRPr="00F95917">
        <w:rPr>
          <w:b/>
        </w:rPr>
        <w:t>.</w:t>
      </w:r>
      <w:r>
        <w:tab/>
        <w:t>2012 NSECE Center-based Provider Response Rates by Phase of Data Collection Outreach</w:t>
      </w:r>
      <w:bookmarkEnd w:id="13"/>
      <w:bookmarkEnd w:id="14"/>
      <w:r>
        <w:t xml:space="preserve"> </w:t>
      </w:r>
    </w:p>
    <w:p w14:paraId="6E3617A7" w14:textId="5706C659" w:rsidR="00B9204F" w:rsidRDefault="00B9204F" w:rsidP="00C45EF7">
      <w:pPr>
        <w:pStyle w:val="BodyText"/>
      </w:pPr>
      <w:r w:rsidRPr="00933D3B">
        <w:rPr>
          <w:noProof/>
        </w:rPr>
        <w:drawing>
          <wp:inline distT="0" distB="0" distL="0" distR="0" wp14:anchorId="5F301EFA" wp14:editId="1D6DD2B3">
            <wp:extent cx="4581144" cy="27523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81144" cy="2752344"/>
                    </a:xfrm>
                    <a:prstGeom prst="rect">
                      <a:avLst/>
                    </a:prstGeom>
                  </pic:spPr>
                </pic:pic>
              </a:graphicData>
            </a:graphic>
          </wp:inline>
        </w:drawing>
      </w:r>
    </w:p>
    <w:p w14:paraId="5062A9FC" w14:textId="48BE7D04" w:rsidR="00B9204F" w:rsidRDefault="00B9204F" w:rsidP="00C45EF7">
      <w:pPr>
        <w:pStyle w:val="BodyText"/>
      </w:pPr>
    </w:p>
    <w:p w14:paraId="58C22AD4" w14:textId="1BDA1EF5" w:rsidR="004C69C7" w:rsidRPr="00FD49AA" w:rsidRDefault="004C69C7" w:rsidP="004C69C7">
      <w:pPr>
        <w:pStyle w:val="NORCCaption-Exhibit"/>
      </w:pPr>
      <w:bookmarkStart w:id="15" w:name="_Toc508268602"/>
      <w:bookmarkStart w:id="16" w:name="_Toc526933200"/>
      <w:r>
        <w:rPr>
          <w:b/>
        </w:rPr>
        <w:t xml:space="preserve">Exhibit </w:t>
      </w:r>
      <w:r w:rsidR="00E57F40">
        <w:rPr>
          <w:b/>
        </w:rPr>
        <w:t>5</w:t>
      </w:r>
      <w:r w:rsidRPr="00F95917">
        <w:rPr>
          <w:b/>
        </w:rPr>
        <w:t>.</w:t>
      </w:r>
      <w:r>
        <w:tab/>
        <w:t>2012 NSECE (Listed) Home-based Provider Response Rates by Phase of Data Collection Outreach</w:t>
      </w:r>
      <w:bookmarkEnd w:id="15"/>
      <w:r>
        <w:t xml:space="preserve"> </w:t>
      </w:r>
      <w:bookmarkEnd w:id="16"/>
    </w:p>
    <w:p w14:paraId="2BF1FB61" w14:textId="762DBBD6" w:rsidR="004C69C7" w:rsidRDefault="00E62BDB" w:rsidP="00C45EF7">
      <w:pPr>
        <w:pStyle w:val="BodyText"/>
      </w:pPr>
      <w:r>
        <w:rPr>
          <w:noProof/>
        </w:rPr>
        <w:drawing>
          <wp:inline distT="0" distB="0" distL="0" distR="0" wp14:anchorId="655F6CDA" wp14:editId="0108319D">
            <wp:extent cx="5276850" cy="28670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C64377" w14:textId="73C4049C" w:rsidR="005B3E68" w:rsidRDefault="00BE78B8" w:rsidP="00C45EF7">
      <w:pPr>
        <w:pStyle w:val="BodyText"/>
      </w:pPr>
      <w:r w:rsidRPr="00BE78B8">
        <w:t>The</w:t>
      </w:r>
      <w:r w:rsidR="005B3E68">
        <w:t xml:space="preserve"> field interviewer</w:t>
      </w:r>
      <w:r w:rsidRPr="00BE78B8">
        <w:t xml:space="preserve"> </w:t>
      </w:r>
      <w:r w:rsidR="000C2EDD">
        <w:t xml:space="preserve">prompting </w:t>
      </w:r>
      <w:r w:rsidRPr="00BE78B8">
        <w:t>efforts</w:t>
      </w:r>
      <w:r w:rsidR="009C4AF6">
        <w:t xml:space="preserve"> during the 2012 NSECE</w:t>
      </w:r>
      <w:r w:rsidRPr="00BE78B8">
        <w:t xml:space="preserve"> </w:t>
      </w:r>
      <w:r w:rsidR="00350315">
        <w:t>helped yield</w:t>
      </w:r>
      <w:r w:rsidRPr="00BE78B8">
        <w:t xml:space="preserve"> a 94 percent screener completion rate and a 7</w:t>
      </w:r>
      <w:r w:rsidR="00EE73B5">
        <w:t>4</w:t>
      </w:r>
      <w:r w:rsidRPr="00BE78B8">
        <w:t xml:space="preserve"> percent </w:t>
      </w:r>
      <w:r w:rsidR="00EE73B5">
        <w:t>weighted response</w:t>
      </w:r>
      <w:r w:rsidRPr="00BE78B8">
        <w:t xml:space="preserve"> rate</w:t>
      </w:r>
      <w:r w:rsidR="00771342">
        <w:t xml:space="preserve"> </w:t>
      </w:r>
      <w:r w:rsidR="0028463C">
        <w:t>for the center-based provider survey</w:t>
      </w:r>
      <w:r w:rsidR="00F7153B">
        <w:t>,</w:t>
      </w:r>
      <w:r w:rsidR="0028463C">
        <w:t xml:space="preserve"> </w:t>
      </w:r>
      <w:r w:rsidR="00771342">
        <w:t xml:space="preserve">and </w:t>
      </w:r>
      <w:r w:rsidR="004E632A">
        <w:t>an</w:t>
      </w:r>
      <w:r w:rsidR="006B690C">
        <w:t xml:space="preserve"> </w:t>
      </w:r>
      <w:r w:rsidR="00EE73B5">
        <w:t>81</w:t>
      </w:r>
      <w:r w:rsidR="00D45474">
        <w:t xml:space="preserve"> </w:t>
      </w:r>
      <w:r w:rsidR="00771342">
        <w:t xml:space="preserve">percent </w:t>
      </w:r>
      <w:r w:rsidR="00EE73B5">
        <w:t>weighted response</w:t>
      </w:r>
      <w:r w:rsidR="00771342">
        <w:t xml:space="preserve"> rate </w:t>
      </w:r>
      <w:r w:rsidR="0028463C">
        <w:t>for the</w:t>
      </w:r>
      <w:r w:rsidR="006C1F4C">
        <w:t xml:space="preserve"> listed</w:t>
      </w:r>
      <w:r w:rsidR="00771342">
        <w:t xml:space="preserve"> home-based provid</w:t>
      </w:r>
      <w:r w:rsidR="0028463C">
        <w:t>er survey</w:t>
      </w:r>
      <w:r w:rsidRPr="00BE78B8">
        <w:t>.</w:t>
      </w:r>
    </w:p>
    <w:p w14:paraId="73BAF669" w14:textId="66C3CF35" w:rsidR="00BE78B8" w:rsidRPr="00BE78B8" w:rsidRDefault="00350315" w:rsidP="00C45EF7">
      <w:pPr>
        <w:pStyle w:val="BodyText"/>
      </w:pPr>
      <w:r>
        <w:t xml:space="preserve">As a result, the </w:t>
      </w:r>
      <w:r w:rsidR="007C5D95">
        <w:t>2019 NS</w:t>
      </w:r>
      <w:r w:rsidR="00B3620C">
        <w:t xml:space="preserve">ECE </w:t>
      </w:r>
      <w:r w:rsidR="009C4AF6">
        <w:t xml:space="preserve">plans </w:t>
      </w:r>
      <w:r w:rsidR="00B3620C">
        <w:t>employ</w:t>
      </w:r>
      <w:r w:rsidR="007C5D95">
        <w:t xml:space="preserve"> a similar outreach approach that combines different types of contact and </w:t>
      </w:r>
      <w:r w:rsidR="00B3620C">
        <w:t xml:space="preserve">technical support across multiple </w:t>
      </w:r>
      <w:r w:rsidR="007C5D95">
        <w:t xml:space="preserve">phases of data collection. These outreach </w:t>
      </w:r>
      <w:r w:rsidR="00B3620C">
        <w:t>activities will be customized for each survey to account for the unique characteristics of each sample and the challenges we encountered collecting data in 2012.</w:t>
      </w:r>
    </w:p>
    <w:p w14:paraId="1338B2AF" w14:textId="60EFAC0B" w:rsidR="00FC1B10" w:rsidRDefault="00E17D93" w:rsidP="00C45EF7">
      <w:pPr>
        <w:pStyle w:val="BodyText"/>
      </w:pPr>
      <w:r>
        <w:t xml:space="preserve">We discuss our procedures for </w:t>
      </w:r>
      <w:r w:rsidR="00B3620C">
        <w:t xml:space="preserve">fielding </w:t>
      </w:r>
      <w:r>
        <w:t xml:space="preserve">each </w:t>
      </w:r>
      <w:r w:rsidR="002E30DA">
        <w:t xml:space="preserve">questionnaire </w:t>
      </w:r>
      <w:r>
        <w:t>in turn:</w:t>
      </w:r>
    </w:p>
    <w:p w14:paraId="137F0B83" w14:textId="4235DD9D" w:rsidR="006145D9" w:rsidRDefault="006145D9" w:rsidP="006145D9">
      <w:pPr>
        <w:pStyle w:val="Heading4"/>
      </w:pPr>
      <w:bookmarkStart w:id="17" w:name="_Toc520896112"/>
      <w:r>
        <w:t>Household</w:t>
      </w:r>
      <w:r w:rsidRPr="00C37CA8">
        <w:t xml:space="preserve"> </w:t>
      </w:r>
      <w:r>
        <w:t xml:space="preserve">Screener </w:t>
      </w:r>
      <w:r w:rsidR="00DB5CA9">
        <w:t xml:space="preserve">and </w:t>
      </w:r>
      <w:r w:rsidR="00892E27">
        <w:t>Questionnaire</w:t>
      </w:r>
      <w:bookmarkEnd w:id="17"/>
    </w:p>
    <w:p w14:paraId="15203911" w14:textId="19B4F62E" w:rsidR="00FA1A2E" w:rsidRPr="003A5ACD" w:rsidRDefault="00FA1A2E" w:rsidP="00FA1A2E">
      <w:pPr>
        <w:ind w:left="0"/>
        <w:rPr>
          <w:szCs w:val="24"/>
        </w:rPr>
      </w:pPr>
      <w:r>
        <w:t xml:space="preserve">The </w:t>
      </w:r>
      <w:r w:rsidR="00740A88">
        <w:t>h</w:t>
      </w:r>
      <w:r w:rsidRPr="003A5ACD">
        <w:t>ous</w:t>
      </w:r>
      <w:r>
        <w:t xml:space="preserve">ehold </w:t>
      </w:r>
      <w:r w:rsidR="00740A88">
        <w:t>s</w:t>
      </w:r>
      <w:r>
        <w:t xml:space="preserve">creener </w:t>
      </w:r>
      <w:r w:rsidR="00C1712F">
        <w:t xml:space="preserve">(included in Attachment 15a-b) </w:t>
      </w:r>
      <w:r>
        <w:t>will</w:t>
      </w:r>
      <w:r w:rsidRPr="003A5ACD">
        <w:rPr>
          <w:szCs w:val="24"/>
        </w:rPr>
        <w:t xml:space="preserve">: 1) identify eligible respondents to complete the </w:t>
      </w:r>
      <w:r>
        <w:rPr>
          <w:szCs w:val="24"/>
        </w:rPr>
        <w:t>h</w:t>
      </w:r>
      <w:r w:rsidRPr="003A5ACD">
        <w:rPr>
          <w:szCs w:val="24"/>
        </w:rPr>
        <w:t xml:space="preserve">ousehold </w:t>
      </w:r>
      <w:r>
        <w:rPr>
          <w:szCs w:val="24"/>
        </w:rPr>
        <w:t>q</w:t>
      </w:r>
      <w:r w:rsidRPr="003A5ACD">
        <w:rPr>
          <w:szCs w:val="24"/>
        </w:rPr>
        <w:t xml:space="preserve">uestionnaire, and 2) identify </w:t>
      </w:r>
      <w:r>
        <w:rPr>
          <w:szCs w:val="24"/>
        </w:rPr>
        <w:t>eligible</w:t>
      </w:r>
      <w:r w:rsidRPr="003A5ACD">
        <w:rPr>
          <w:szCs w:val="24"/>
        </w:rPr>
        <w:t xml:space="preserve"> respondents for the </w:t>
      </w:r>
      <w:r>
        <w:rPr>
          <w:szCs w:val="24"/>
        </w:rPr>
        <w:t>h</w:t>
      </w:r>
      <w:r w:rsidRPr="003A5ACD">
        <w:rPr>
          <w:szCs w:val="24"/>
        </w:rPr>
        <w:t>ome-</w:t>
      </w:r>
      <w:r>
        <w:rPr>
          <w:szCs w:val="24"/>
        </w:rPr>
        <w:t>b</w:t>
      </w:r>
      <w:r w:rsidRPr="003A5ACD">
        <w:rPr>
          <w:szCs w:val="24"/>
        </w:rPr>
        <w:t xml:space="preserve">ased </w:t>
      </w:r>
      <w:r>
        <w:rPr>
          <w:szCs w:val="24"/>
        </w:rPr>
        <w:t>p</w:t>
      </w:r>
      <w:r w:rsidRPr="003A5ACD">
        <w:rPr>
          <w:szCs w:val="24"/>
        </w:rPr>
        <w:t xml:space="preserve">rovider </w:t>
      </w:r>
      <w:r>
        <w:rPr>
          <w:szCs w:val="24"/>
        </w:rPr>
        <w:t>q</w:t>
      </w:r>
      <w:r w:rsidRPr="003A5ACD">
        <w:rPr>
          <w:szCs w:val="24"/>
        </w:rPr>
        <w:t>uestionnaire</w:t>
      </w:r>
      <w:r>
        <w:rPr>
          <w:szCs w:val="24"/>
        </w:rPr>
        <w:t xml:space="preserve"> (identified as unlisted home-based providers)</w:t>
      </w:r>
      <w:r w:rsidRPr="003A5ACD">
        <w:rPr>
          <w:szCs w:val="24"/>
        </w:rPr>
        <w:t xml:space="preserve">. </w:t>
      </w:r>
      <w:r>
        <w:rPr>
          <w:szCs w:val="24"/>
        </w:rPr>
        <w:t>E</w:t>
      </w:r>
      <w:r w:rsidRPr="003A5ACD">
        <w:rPr>
          <w:szCs w:val="24"/>
        </w:rPr>
        <w:t>ligibility criteria for these surveys are</w:t>
      </w:r>
      <w:r w:rsidR="00C33336">
        <w:rPr>
          <w:szCs w:val="24"/>
        </w:rPr>
        <w:t xml:space="preserve"> specified in Exhibit </w:t>
      </w:r>
      <w:r w:rsidR="00E57F40">
        <w:rPr>
          <w:szCs w:val="24"/>
        </w:rPr>
        <w:t xml:space="preserve">6 </w:t>
      </w:r>
      <w:r w:rsidR="00C33336">
        <w:rPr>
          <w:szCs w:val="24"/>
        </w:rPr>
        <w:t>below.</w:t>
      </w:r>
    </w:p>
    <w:p w14:paraId="42C6FA6B" w14:textId="4E54EF5E" w:rsidR="00540A8D" w:rsidRPr="00181A34" w:rsidRDefault="00540A8D" w:rsidP="00540A8D">
      <w:pPr>
        <w:pStyle w:val="NORCCaption-Exhibit"/>
      </w:pPr>
      <w:bookmarkStart w:id="18" w:name="_Toc526933201"/>
      <w:r w:rsidRPr="00181A34">
        <w:rPr>
          <w:b/>
        </w:rPr>
        <w:t xml:space="preserve">Exhibit </w:t>
      </w:r>
      <w:r w:rsidR="00E57F40">
        <w:rPr>
          <w:b/>
        </w:rPr>
        <w:t>6</w:t>
      </w:r>
      <w:r w:rsidRPr="00181A34">
        <w:rPr>
          <w:b/>
        </w:rPr>
        <w:t>.</w:t>
      </w:r>
      <w:r w:rsidRPr="00181A34">
        <w:tab/>
      </w:r>
      <w:r w:rsidRPr="003347CD">
        <w:rPr>
          <w:rFonts w:eastAsia="Batang"/>
        </w:rPr>
        <w:t xml:space="preserve">Household </w:t>
      </w:r>
      <w:r w:rsidR="00C33336">
        <w:rPr>
          <w:rFonts w:eastAsia="Batang"/>
        </w:rPr>
        <w:t>Screener Eligibility Criteria</w:t>
      </w:r>
      <w:bookmarkEnd w:id="18"/>
      <w:r w:rsidR="00C52BEE">
        <w:rPr>
          <w:rFonts w:eastAsia="Batang"/>
        </w:rPr>
        <w:t xml:space="preserve"> </w:t>
      </w:r>
    </w:p>
    <w:p w14:paraId="6681A6B2" w14:textId="77777777" w:rsidR="00540A8D" w:rsidRDefault="00540A8D" w:rsidP="00540A8D">
      <w:pPr>
        <w:spacing w:after="0"/>
        <w:ind w:left="0"/>
        <w:rPr>
          <w:b/>
        </w:rPr>
      </w:pPr>
    </w:p>
    <w:tbl>
      <w:tblPr>
        <w:tblStyle w:val="TableGrid"/>
        <w:tblW w:w="8005" w:type="dxa"/>
        <w:jc w:val="center"/>
        <w:tblLayout w:type="fixed"/>
        <w:tblCellMar>
          <w:top w:w="58" w:type="dxa"/>
          <w:left w:w="72" w:type="dxa"/>
          <w:bottom w:w="58" w:type="dxa"/>
          <w:right w:w="72" w:type="dxa"/>
        </w:tblCellMar>
        <w:tblLook w:val="04A0" w:firstRow="1" w:lastRow="0" w:firstColumn="1" w:lastColumn="0" w:noHBand="0" w:noVBand="1"/>
      </w:tblPr>
      <w:tblGrid>
        <w:gridCol w:w="2065"/>
        <w:gridCol w:w="5940"/>
      </w:tblGrid>
      <w:tr w:rsidR="00540A8D" w:rsidRPr="00E543F8" w14:paraId="3D275D3D" w14:textId="77777777" w:rsidTr="00540A8D">
        <w:trPr>
          <w:jc w:val="center"/>
        </w:trPr>
        <w:tc>
          <w:tcPr>
            <w:tcW w:w="2065" w:type="dxa"/>
            <w:shd w:val="clear" w:color="auto" w:fill="BFB6AC"/>
          </w:tcPr>
          <w:p w14:paraId="16E4F3FA" w14:textId="518CCEC0" w:rsidR="00540A8D" w:rsidRPr="00514FA8" w:rsidRDefault="00540A8D" w:rsidP="00C33336">
            <w:pPr>
              <w:pStyle w:val="NORCTableBodyLeftBold"/>
              <w:rPr>
                <w:rFonts w:cs="Arial"/>
              </w:rPr>
            </w:pPr>
            <w:r>
              <w:rPr>
                <w:rFonts w:cs="Arial"/>
              </w:rPr>
              <w:t xml:space="preserve">Survey </w:t>
            </w:r>
          </w:p>
        </w:tc>
        <w:tc>
          <w:tcPr>
            <w:tcW w:w="5940" w:type="dxa"/>
            <w:shd w:val="clear" w:color="auto" w:fill="BFB6AC"/>
          </w:tcPr>
          <w:p w14:paraId="68707437" w14:textId="11F92257" w:rsidR="00540A8D" w:rsidRPr="009B30E6" w:rsidRDefault="00C33336" w:rsidP="00FC5315">
            <w:pPr>
              <w:pStyle w:val="NORCTableBodyCenter"/>
              <w:rPr>
                <w:rFonts w:cs="Arial"/>
                <w:b/>
              </w:rPr>
            </w:pPr>
            <w:r>
              <w:rPr>
                <w:rFonts w:cs="Arial"/>
                <w:b/>
              </w:rPr>
              <w:t>Eligibility Criteria</w:t>
            </w:r>
          </w:p>
        </w:tc>
      </w:tr>
      <w:tr w:rsidR="00540A8D" w:rsidRPr="00E543F8" w14:paraId="13B73123" w14:textId="77777777" w:rsidTr="00FC5315">
        <w:trPr>
          <w:jc w:val="center"/>
        </w:trPr>
        <w:tc>
          <w:tcPr>
            <w:tcW w:w="2065" w:type="dxa"/>
            <w:vMerge w:val="restart"/>
          </w:tcPr>
          <w:p w14:paraId="2A30BF49" w14:textId="2D9564BC" w:rsidR="00540A8D" w:rsidRPr="00F369B8" w:rsidRDefault="00540A8D" w:rsidP="00C33336">
            <w:pPr>
              <w:pStyle w:val="NORCTableBodyLeftBold"/>
              <w:rPr>
                <w:rFonts w:cs="Arial"/>
                <w:b w:val="0"/>
              </w:rPr>
            </w:pPr>
            <w:r>
              <w:rPr>
                <w:rFonts w:cs="Arial"/>
                <w:b w:val="0"/>
              </w:rPr>
              <w:t xml:space="preserve">Household survey </w:t>
            </w:r>
          </w:p>
        </w:tc>
        <w:tc>
          <w:tcPr>
            <w:tcW w:w="5940" w:type="dxa"/>
          </w:tcPr>
          <w:p w14:paraId="2B2709FE" w14:textId="227BD625" w:rsidR="00540A8D" w:rsidRPr="00514FA8" w:rsidRDefault="00540A8D" w:rsidP="00C33336">
            <w:pPr>
              <w:pStyle w:val="NORCTableBodyCenter"/>
              <w:tabs>
                <w:tab w:val="left" w:pos="970"/>
                <w:tab w:val="center" w:pos="2898"/>
              </w:tabs>
              <w:jc w:val="left"/>
              <w:rPr>
                <w:rFonts w:cs="Arial"/>
              </w:rPr>
            </w:pPr>
            <w:r w:rsidRPr="00540A8D">
              <w:rPr>
                <w:rFonts w:cs="Arial"/>
              </w:rPr>
              <w:t>100 percent of screened households with at least one child under the age of six</w:t>
            </w:r>
            <w:r w:rsidR="00C33336">
              <w:rPr>
                <w:rFonts w:cs="Arial"/>
              </w:rPr>
              <w:t>.</w:t>
            </w:r>
          </w:p>
        </w:tc>
      </w:tr>
      <w:tr w:rsidR="00540A8D" w:rsidRPr="00E543F8" w14:paraId="5F8344A4" w14:textId="77777777" w:rsidTr="00FC5315">
        <w:trPr>
          <w:jc w:val="center"/>
        </w:trPr>
        <w:tc>
          <w:tcPr>
            <w:tcW w:w="2065" w:type="dxa"/>
            <w:vMerge/>
          </w:tcPr>
          <w:p w14:paraId="75E4D9B6" w14:textId="039A6FD9" w:rsidR="00540A8D" w:rsidRPr="00F369B8" w:rsidRDefault="00540A8D" w:rsidP="00FC5315">
            <w:pPr>
              <w:pStyle w:val="NORCTableBodyLeftBold"/>
              <w:rPr>
                <w:b w:val="0"/>
              </w:rPr>
            </w:pPr>
          </w:p>
        </w:tc>
        <w:tc>
          <w:tcPr>
            <w:tcW w:w="5940" w:type="dxa"/>
          </w:tcPr>
          <w:p w14:paraId="67811EB0" w14:textId="3B12230A" w:rsidR="00540A8D" w:rsidRPr="00E543F8" w:rsidRDefault="00C33336" w:rsidP="00C33336">
            <w:pPr>
              <w:pStyle w:val="NORCTableBodyCenter"/>
              <w:tabs>
                <w:tab w:val="left" w:pos="1155"/>
                <w:tab w:val="center" w:pos="2898"/>
              </w:tabs>
              <w:jc w:val="left"/>
            </w:pPr>
            <w:r w:rsidRPr="00C33336">
              <w:rPr>
                <w:rFonts w:cs="Arial"/>
              </w:rPr>
              <w:t>80 percent of screened households with a youngest child between the ages of 6 and 13.</w:t>
            </w:r>
          </w:p>
        </w:tc>
      </w:tr>
      <w:tr w:rsidR="00540A8D" w:rsidRPr="00E543F8" w14:paraId="003F7641" w14:textId="77777777" w:rsidTr="00C33336">
        <w:trPr>
          <w:jc w:val="center"/>
        </w:trPr>
        <w:tc>
          <w:tcPr>
            <w:tcW w:w="2065" w:type="dxa"/>
          </w:tcPr>
          <w:p w14:paraId="49ED2756" w14:textId="7E8A80CB" w:rsidR="00540A8D" w:rsidRPr="00F369B8" w:rsidRDefault="00C33336" w:rsidP="00C33336">
            <w:pPr>
              <w:pStyle w:val="NORCTableBodyLeftBold"/>
              <w:rPr>
                <w:b w:val="0"/>
              </w:rPr>
            </w:pPr>
            <w:r>
              <w:rPr>
                <w:rFonts w:cs="Arial"/>
                <w:b w:val="0"/>
              </w:rPr>
              <w:t xml:space="preserve">Home-based provider survey </w:t>
            </w:r>
            <w:r w:rsidRPr="00C33336">
              <w:rPr>
                <w:rFonts w:cs="Arial"/>
                <w:b w:val="0"/>
                <w:i/>
              </w:rPr>
              <w:t>(for unlisted home-based providers)</w:t>
            </w:r>
          </w:p>
        </w:tc>
        <w:tc>
          <w:tcPr>
            <w:tcW w:w="5940" w:type="dxa"/>
          </w:tcPr>
          <w:p w14:paraId="1147CB33" w14:textId="77777777" w:rsidR="00C33336" w:rsidRDefault="00C33336" w:rsidP="00C33336">
            <w:pPr>
              <w:pStyle w:val="NORCTableBodyCenter"/>
              <w:tabs>
                <w:tab w:val="left" w:pos="1183"/>
                <w:tab w:val="center" w:pos="2898"/>
              </w:tabs>
              <w:jc w:val="left"/>
              <w:rPr>
                <w:rFonts w:cs="Arial"/>
              </w:rPr>
            </w:pPr>
            <w:r w:rsidRPr="00C33336">
              <w:rPr>
                <w:rFonts w:cs="Arial"/>
              </w:rPr>
              <w:t>I</w:t>
            </w:r>
            <w:r w:rsidRPr="00C33336" w:rsidDel="00DA1B62">
              <w:rPr>
                <w:rFonts w:cs="Arial"/>
              </w:rPr>
              <w:t xml:space="preserve">ndividuals who </w:t>
            </w:r>
            <w:r>
              <w:rPr>
                <w:rFonts w:cs="Arial"/>
              </w:rPr>
              <w:t xml:space="preserve">regularly </w:t>
            </w:r>
            <w:r w:rsidRPr="00C33336" w:rsidDel="00DA1B62">
              <w:rPr>
                <w:rFonts w:cs="Arial"/>
              </w:rPr>
              <w:t>provide care in a residential setting for one or more children under age 13 who are not their own at least five hours per week.</w:t>
            </w:r>
            <w:r w:rsidRPr="00C33336">
              <w:rPr>
                <w:rFonts w:cs="Arial"/>
              </w:rPr>
              <w:t xml:space="preserve"> </w:t>
            </w:r>
          </w:p>
          <w:p w14:paraId="2A0AED54" w14:textId="0A4B1608" w:rsidR="00540A8D" w:rsidRPr="00E543F8" w:rsidRDefault="00C33336" w:rsidP="00C33336">
            <w:pPr>
              <w:pStyle w:val="NORCTableBodyCenter"/>
              <w:tabs>
                <w:tab w:val="left" w:pos="1183"/>
                <w:tab w:val="center" w:pos="2898"/>
              </w:tabs>
              <w:jc w:val="left"/>
            </w:pPr>
            <w:r>
              <w:rPr>
                <w:rFonts w:cs="Arial"/>
              </w:rPr>
              <w:t>(</w:t>
            </w:r>
            <w:r w:rsidRPr="00C33336">
              <w:rPr>
                <w:rFonts w:cs="Arial"/>
              </w:rPr>
              <w:t>These individuals do not appear on administrative lists of regulated or registered home-based providers.</w:t>
            </w:r>
            <w:r>
              <w:rPr>
                <w:rFonts w:cs="Arial"/>
              </w:rPr>
              <w:t>)</w:t>
            </w:r>
          </w:p>
        </w:tc>
      </w:tr>
    </w:tbl>
    <w:p w14:paraId="15898C8D" w14:textId="77777777" w:rsidR="00540A8D" w:rsidRDefault="00540A8D" w:rsidP="00FA1A2E">
      <w:pPr>
        <w:pStyle w:val="NORC-Head3Garamond"/>
        <w:ind w:left="0"/>
        <w:rPr>
          <w:rFonts w:ascii="Times New Roman" w:hAnsi="Times New Roman" w:cs="Times New Roman"/>
          <w:b w:val="0"/>
          <w:i w:val="0"/>
          <w:color w:val="auto"/>
        </w:rPr>
      </w:pPr>
    </w:p>
    <w:p w14:paraId="2875DDC7" w14:textId="7E4643F0" w:rsidR="00FA1A2E" w:rsidRDefault="0077767D" w:rsidP="0077767D">
      <w:pPr>
        <w:pStyle w:val="NORC-Answer"/>
        <w:ind w:left="0"/>
        <w:rPr>
          <w:rFonts w:ascii="Times New Roman" w:hAnsi="Times New Roman"/>
        </w:rPr>
      </w:pPr>
      <w:r>
        <w:rPr>
          <w:rFonts w:ascii="Times New Roman" w:hAnsi="Times New Roman"/>
        </w:rPr>
        <w:t xml:space="preserve">Sampled households </w:t>
      </w:r>
      <w:r w:rsidR="00FA1A2E" w:rsidRPr="003A5ACD">
        <w:rPr>
          <w:rFonts w:ascii="Times New Roman" w:hAnsi="Times New Roman"/>
        </w:rPr>
        <w:t>will be sent a</w:t>
      </w:r>
      <w:r w:rsidR="00FA1A2E">
        <w:rPr>
          <w:rFonts w:ascii="Times New Roman" w:hAnsi="Times New Roman"/>
        </w:rPr>
        <w:t xml:space="preserve"> letter </w:t>
      </w:r>
      <w:r w:rsidR="00215695">
        <w:rPr>
          <w:rFonts w:ascii="Times New Roman" w:hAnsi="Times New Roman"/>
        </w:rPr>
        <w:t>introducing the study and providing the option of completing the household screener online or by</w:t>
      </w:r>
      <w:r w:rsidR="00FA1A2E">
        <w:rPr>
          <w:rFonts w:ascii="Times New Roman" w:hAnsi="Times New Roman"/>
        </w:rPr>
        <w:t xml:space="preserve"> a</w:t>
      </w:r>
      <w:r w:rsidR="00FA1A2E" w:rsidRPr="003A5ACD">
        <w:rPr>
          <w:rFonts w:ascii="Times New Roman" w:hAnsi="Times New Roman"/>
        </w:rPr>
        <w:t xml:space="preserve"> brief </w:t>
      </w:r>
      <w:r w:rsidR="00FA1A2E">
        <w:rPr>
          <w:rFonts w:ascii="Times New Roman" w:hAnsi="Times New Roman"/>
        </w:rPr>
        <w:t xml:space="preserve">self-administered </w:t>
      </w:r>
      <w:r w:rsidR="00FA1A2E" w:rsidRPr="003A5ACD">
        <w:rPr>
          <w:rFonts w:ascii="Times New Roman" w:hAnsi="Times New Roman"/>
        </w:rPr>
        <w:t>mail screener</w:t>
      </w:r>
      <w:r w:rsidR="00D05079">
        <w:rPr>
          <w:rFonts w:ascii="Times New Roman" w:hAnsi="Times New Roman"/>
        </w:rPr>
        <w:t xml:space="preserve"> (Attachment 16</w:t>
      </w:r>
      <w:r w:rsidR="00534778">
        <w:rPr>
          <w:rFonts w:ascii="Times New Roman" w:hAnsi="Times New Roman"/>
        </w:rPr>
        <w:t>A</w:t>
      </w:r>
      <w:r w:rsidR="00D05079">
        <w:rPr>
          <w:rFonts w:ascii="Times New Roman" w:hAnsi="Times New Roman"/>
        </w:rPr>
        <w:t>/17A)</w:t>
      </w:r>
      <w:r w:rsidR="00FA1A2E">
        <w:rPr>
          <w:rFonts w:ascii="Times New Roman" w:hAnsi="Times New Roman"/>
        </w:rPr>
        <w:t>.</w:t>
      </w:r>
      <w:r w:rsidR="00FA1A2E" w:rsidRPr="003A5ACD">
        <w:rPr>
          <w:rFonts w:ascii="Times New Roman" w:hAnsi="Times New Roman"/>
        </w:rPr>
        <w:t xml:space="preserve"> This </w:t>
      </w:r>
      <w:r w:rsidR="00FA1A2E">
        <w:rPr>
          <w:rFonts w:ascii="Times New Roman" w:hAnsi="Times New Roman"/>
        </w:rPr>
        <w:t xml:space="preserve">mailing </w:t>
      </w:r>
      <w:r w:rsidR="00FA1A2E" w:rsidRPr="003A5ACD">
        <w:rPr>
          <w:rFonts w:ascii="Times New Roman" w:hAnsi="Times New Roman"/>
        </w:rPr>
        <w:t xml:space="preserve">will be followed, </w:t>
      </w:r>
      <w:r w:rsidR="00215695">
        <w:rPr>
          <w:rFonts w:ascii="Times New Roman" w:hAnsi="Times New Roman"/>
        </w:rPr>
        <w:t xml:space="preserve">approximately </w:t>
      </w:r>
      <w:r w:rsidR="00FA1A2E" w:rsidRPr="003A5ACD">
        <w:rPr>
          <w:rFonts w:ascii="Times New Roman" w:hAnsi="Times New Roman"/>
        </w:rPr>
        <w:t>one week later, by a postcard reminder</w:t>
      </w:r>
      <w:r w:rsidR="00D05079">
        <w:rPr>
          <w:rFonts w:ascii="Times New Roman" w:hAnsi="Times New Roman"/>
        </w:rPr>
        <w:t xml:space="preserve"> (Attachment 16</w:t>
      </w:r>
      <w:r w:rsidR="00534778">
        <w:rPr>
          <w:rFonts w:ascii="Times New Roman" w:hAnsi="Times New Roman"/>
        </w:rPr>
        <w:t>B</w:t>
      </w:r>
      <w:r w:rsidR="00D05079">
        <w:rPr>
          <w:rFonts w:ascii="Times New Roman" w:hAnsi="Times New Roman"/>
        </w:rPr>
        <w:t>/17B)</w:t>
      </w:r>
      <w:r w:rsidR="00FA1A2E">
        <w:rPr>
          <w:rFonts w:ascii="Times New Roman" w:hAnsi="Times New Roman"/>
        </w:rPr>
        <w:t xml:space="preserve">. After another two weeks, we will send the first nonresponse follow-up mailing to households that have not yet returned the mail </w:t>
      </w:r>
      <w:r w:rsidR="00215695">
        <w:rPr>
          <w:rFonts w:ascii="Times New Roman" w:hAnsi="Times New Roman"/>
        </w:rPr>
        <w:t>household screener or completed the household screener via web</w:t>
      </w:r>
      <w:r w:rsidR="00D05079">
        <w:rPr>
          <w:rFonts w:ascii="Times New Roman" w:hAnsi="Times New Roman"/>
        </w:rPr>
        <w:t xml:space="preserve"> (Attachment 16</w:t>
      </w:r>
      <w:r w:rsidR="00534778">
        <w:rPr>
          <w:rFonts w:ascii="Times New Roman" w:hAnsi="Times New Roman"/>
        </w:rPr>
        <w:t>C</w:t>
      </w:r>
      <w:r w:rsidR="00D05079">
        <w:rPr>
          <w:rFonts w:ascii="Times New Roman" w:hAnsi="Times New Roman"/>
        </w:rPr>
        <w:t>/17C)</w:t>
      </w:r>
      <w:r w:rsidR="00FA1A2E">
        <w:rPr>
          <w:rFonts w:ascii="Times New Roman" w:hAnsi="Times New Roman"/>
        </w:rPr>
        <w:t xml:space="preserve">. This will include </w:t>
      </w:r>
      <w:r w:rsidR="00263B6C">
        <w:rPr>
          <w:rFonts w:ascii="Times New Roman" w:hAnsi="Times New Roman"/>
        </w:rPr>
        <w:t>a different follow up letter</w:t>
      </w:r>
      <w:r w:rsidR="00FA1A2E">
        <w:rPr>
          <w:rFonts w:ascii="Times New Roman" w:hAnsi="Times New Roman"/>
        </w:rPr>
        <w:t xml:space="preserve"> and the </w:t>
      </w:r>
      <w:r w:rsidR="00263B6C">
        <w:rPr>
          <w:rFonts w:ascii="Times New Roman" w:hAnsi="Times New Roman"/>
        </w:rPr>
        <w:t xml:space="preserve">same web or </w:t>
      </w:r>
      <w:r w:rsidR="00FA1A2E">
        <w:rPr>
          <w:rFonts w:ascii="Times New Roman" w:hAnsi="Times New Roman"/>
        </w:rPr>
        <w:t xml:space="preserve">mail </w:t>
      </w:r>
      <w:r w:rsidR="00263B6C">
        <w:rPr>
          <w:rFonts w:ascii="Times New Roman" w:hAnsi="Times New Roman"/>
        </w:rPr>
        <w:t>household screener options</w:t>
      </w:r>
      <w:r w:rsidR="00FA1A2E">
        <w:rPr>
          <w:rFonts w:ascii="Times New Roman" w:hAnsi="Times New Roman"/>
        </w:rPr>
        <w:t xml:space="preserve">. A second </w:t>
      </w:r>
      <w:r w:rsidR="00F86EFD">
        <w:rPr>
          <w:rFonts w:ascii="Times New Roman" w:hAnsi="Times New Roman"/>
        </w:rPr>
        <w:t xml:space="preserve">and final </w:t>
      </w:r>
      <w:r w:rsidR="00FA1A2E">
        <w:rPr>
          <w:rFonts w:ascii="Times New Roman" w:hAnsi="Times New Roman"/>
        </w:rPr>
        <w:t>nonresponse mailing will be sent three weeks later, which will include a</w:t>
      </w:r>
      <w:r w:rsidR="00F86EFD">
        <w:rPr>
          <w:rFonts w:ascii="Times New Roman" w:hAnsi="Times New Roman"/>
        </w:rPr>
        <w:t xml:space="preserve"> third follow up</w:t>
      </w:r>
      <w:r w:rsidR="00FA1A2E">
        <w:rPr>
          <w:rFonts w:ascii="Times New Roman" w:hAnsi="Times New Roman"/>
        </w:rPr>
        <w:t xml:space="preserve"> letter and the </w:t>
      </w:r>
      <w:r w:rsidR="00F86EFD">
        <w:rPr>
          <w:rFonts w:ascii="Times New Roman" w:hAnsi="Times New Roman"/>
        </w:rPr>
        <w:t xml:space="preserve">web or </w:t>
      </w:r>
      <w:r w:rsidR="00FA1A2E">
        <w:rPr>
          <w:rFonts w:ascii="Times New Roman" w:hAnsi="Times New Roman"/>
        </w:rPr>
        <w:t xml:space="preserve">mail </w:t>
      </w:r>
      <w:r w:rsidR="00F86EFD">
        <w:rPr>
          <w:rFonts w:ascii="Times New Roman" w:hAnsi="Times New Roman"/>
        </w:rPr>
        <w:t>household screener options</w:t>
      </w:r>
      <w:r w:rsidR="00D05079">
        <w:rPr>
          <w:rFonts w:ascii="Times New Roman" w:hAnsi="Times New Roman"/>
        </w:rPr>
        <w:t xml:space="preserve"> (Attachment 16</w:t>
      </w:r>
      <w:r w:rsidR="00534778">
        <w:rPr>
          <w:rFonts w:ascii="Times New Roman" w:hAnsi="Times New Roman"/>
        </w:rPr>
        <w:t>D</w:t>
      </w:r>
      <w:r w:rsidR="00D05079">
        <w:rPr>
          <w:rFonts w:ascii="Times New Roman" w:hAnsi="Times New Roman"/>
        </w:rPr>
        <w:t>/17D)</w:t>
      </w:r>
      <w:r w:rsidR="00FA1A2E">
        <w:rPr>
          <w:rFonts w:ascii="Times New Roman" w:hAnsi="Times New Roman"/>
        </w:rPr>
        <w:t>.</w:t>
      </w:r>
    </w:p>
    <w:p w14:paraId="7A639E37" w14:textId="606852CF" w:rsidR="00DE1A91" w:rsidRDefault="00DE1A91" w:rsidP="00FA1A2E">
      <w:pPr>
        <w:pStyle w:val="NORC-Answer"/>
        <w:ind w:left="0"/>
        <w:rPr>
          <w:rFonts w:ascii="Times New Roman" w:hAnsi="Times New Roman"/>
        </w:rPr>
      </w:pPr>
      <w:r>
        <w:rPr>
          <w:rFonts w:ascii="Times New Roman" w:hAnsi="Times New Roman"/>
        </w:rPr>
        <w:t xml:space="preserve">Information from completed mail screeners will be </w:t>
      </w:r>
      <w:r w:rsidRPr="009A2DBE">
        <w:rPr>
          <w:rFonts w:ascii="Times New Roman" w:hAnsi="Times New Roman"/>
        </w:rPr>
        <w:t>data entered</w:t>
      </w:r>
      <w:r>
        <w:rPr>
          <w:rFonts w:ascii="Times New Roman" w:hAnsi="Times New Roman"/>
        </w:rPr>
        <w:t xml:space="preserve"> and combined with response data from the web screener completes</w:t>
      </w:r>
      <w:r w:rsidRPr="009A2DBE">
        <w:rPr>
          <w:rFonts w:ascii="Times New Roman" w:hAnsi="Times New Roman"/>
        </w:rPr>
        <w:t>. A</w:t>
      </w:r>
      <w:r w:rsidR="0077767D">
        <w:rPr>
          <w:rFonts w:ascii="Times New Roman" w:hAnsi="Times New Roman"/>
        </w:rPr>
        <w:t xml:space="preserve">ll </w:t>
      </w:r>
      <w:r w:rsidRPr="009A2DBE">
        <w:rPr>
          <w:rFonts w:ascii="Times New Roman" w:hAnsi="Times New Roman"/>
        </w:rPr>
        <w:t xml:space="preserve">households </w:t>
      </w:r>
      <w:r w:rsidR="0077767D">
        <w:rPr>
          <w:rFonts w:ascii="Times New Roman" w:hAnsi="Times New Roman"/>
        </w:rPr>
        <w:t xml:space="preserve">eligible for the household survey </w:t>
      </w:r>
      <w:r>
        <w:rPr>
          <w:rFonts w:ascii="Times New Roman" w:hAnsi="Times New Roman"/>
        </w:rPr>
        <w:t>will be mailed</w:t>
      </w:r>
      <w:r w:rsidRPr="009A2DBE">
        <w:rPr>
          <w:rFonts w:ascii="Times New Roman" w:hAnsi="Times New Roman"/>
        </w:rPr>
        <w:t xml:space="preserve"> a letter alerting them that a field interviewer will be contacting them soon to complete the household questionnaire (Attachment 16F/17F). The household sample will be matched against a telephone commercial database to identify any telephone numbers associa</w:t>
      </w:r>
      <w:r>
        <w:rPr>
          <w:rFonts w:ascii="Times New Roman" w:hAnsi="Times New Roman"/>
        </w:rPr>
        <w:t>ted with each sampled household. Field interviewers will contact households by phone where possible and in person to complete the questionnaire</w:t>
      </w:r>
      <w:r w:rsidRPr="009A2DBE">
        <w:rPr>
          <w:rFonts w:ascii="Times New Roman" w:hAnsi="Times New Roman"/>
        </w:rPr>
        <w:t>. Unlike the provider and classroom staff (workforce) surveys, t</w:t>
      </w:r>
      <w:r>
        <w:rPr>
          <w:rFonts w:ascii="Times New Roman" w:hAnsi="Times New Roman"/>
        </w:rPr>
        <w:t>he household questionnaire can only be administered by an interviewer because of its complexity.</w:t>
      </w:r>
      <w:r w:rsidR="0077767D">
        <w:rPr>
          <w:rFonts w:ascii="Times New Roman" w:hAnsi="Times New Roman"/>
        </w:rPr>
        <w:t xml:space="preserve"> Procedures for households eligible for the unlisted home-based provider survey are described in more detail under the home-based provider survey below. </w:t>
      </w:r>
    </w:p>
    <w:p w14:paraId="784610A4" w14:textId="34F6D050" w:rsidR="00DE1A91" w:rsidRPr="00DB5CA9" w:rsidRDefault="00D362B4" w:rsidP="009E6EB9">
      <w:pPr>
        <w:pStyle w:val="NORC-Answer"/>
        <w:ind w:left="0"/>
        <w:rPr>
          <w:rFonts w:ascii="Times New Roman" w:hAnsi="Times New Roman"/>
        </w:rPr>
      </w:pPr>
      <w:r>
        <w:rPr>
          <w:rFonts w:ascii="Times New Roman" w:hAnsi="Times New Roman"/>
        </w:rPr>
        <w:t>Those households that do not respond to these initial screening efforts will</w:t>
      </w:r>
      <w:r w:rsidR="00DE1A91">
        <w:rPr>
          <w:rFonts w:ascii="Times New Roman" w:hAnsi="Times New Roman"/>
        </w:rPr>
        <w:t xml:space="preserve"> also</w:t>
      </w:r>
      <w:r>
        <w:rPr>
          <w:rFonts w:ascii="Times New Roman" w:hAnsi="Times New Roman"/>
        </w:rPr>
        <w:t xml:space="preserve"> be assigned to field interviewers for telephone and in-person follow up. Prior to interviewer outreach these households will receive a letter (Attachment 16E/17E</w:t>
      </w:r>
      <w:r w:rsidR="00DE1A91">
        <w:rPr>
          <w:rFonts w:ascii="Times New Roman" w:hAnsi="Times New Roman"/>
        </w:rPr>
        <w:t xml:space="preserve">) that </w:t>
      </w:r>
      <w:r>
        <w:rPr>
          <w:rFonts w:ascii="Times New Roman" w:hAnsi="Times New Roman"/>
        </w:rPr>
        <w:t xml:space="preserve">reintroduces the study and informs the household that a field interviewer will be contacting them </w:t>
      </w:r>
      <w:r w:rsidR="00DE1A91" w:rsidRPr="00DB5CA9">
        <w:rPr>
          <w:rFonts w:ascii="Times New Roman" w:hAnsi="Times New Roman"/>
        </w:rPr>
        <w:t>in the near future. Interviewers will attempt to screen these households and administer the household questionnaire if eligible.</w:t>
      </w:r>
    </w:p>
    <w:p w14:paraId="3773B6AD" w14:textId="3F347DC1" w:rsidR="009775C5" w:rsidRDefault="009E6EB9" w:rsidP="00FA1A2E">
      <w:pPr>
        <w:pStyle w:val="NORC-Answer"/>
        <w:ind w:left="0"/>
        <w:rPr>
          <w:rFonts w:ascii="Times New Roman" w:hAnsi="Times New Roman"/>
        </w:rPr>
      </w:pPr>
      <w:r>
        <w:rPr>
          <w:rFonts w:ascii="Times New Roman" w:hAnsi="Times New Roman"/>
        </w:rPr>
        <w:t xml:space="preserve">The household screener </w:t>
      </w:r>
      <w:r w:rsidRPr="003A5ACD">
        <w:rPr>
          <w:rFonts w:ascii="Times New Roman" w:hAnsi="Times New Roman"/>
        </w:rPr>
        <w:t xml:space="preserve">may </w:t>
      </w:r>
      <w:r>
        <w:rPr>
          <w:rFonts w:ascii="Times New Roman" w:hAnsi="Times New Roman"/>
        </w:rPr>
        <w:t>indicat</w:t>
      </w:r>
      <w:r w:rsidRPr="003A5ACD">
        <w:rPr>
          <w:rFonts w:ascii="Times New Roman" w:hAnsi="Times New Roman"/>
        </w:rPr>
        <w:t xml:space="preserve">e that a household is eligible for </w:t>
      </w:r>
      <w:r w:rsidR="0077767D">
        <w:rPr>
          <w:rFonts w:ascii="Times New Roman" w:hAnsi="Times New Roman"/>
        </w:rPr>
        <w:t xml:space="preserve">both the household and unlisted home-based provider surveys. </w:t>
      </w:r>
      <w:r w:rsidRPr="003A5ACD">
        <w:rPr>
          <w:rFonts w:ascii="Times New Roman" w:hAnsi="Times New Roman"/>
        </w:rPr>
        <w:t xml:space="preserve"> If the household is eligible for both surveys, the </w:t>
      </w:r>
      <w:r>
        <w:rPr>
          <w:rFonts w:ascii="Times New Roman" w:hAnsi="Times New Roman"/>
        </w:rPr>
        <w:t>interviewer will administer the household questionnaire</w:t>
      </w:r>
      <w:r w:rsidRPr="003A5ACD">
        <w:rPr>
          <w:rFonts w:ascii="Times New Roman" w:hAnsi="Times New Roman"/>
        </w:rPr>
        <w:t xml:space="preserve"> first. Once that is complete, the interviewer will request to speak to the household member</w:t>
      </w:r>
      <w:r w:rsidR="00457F29">
        <w:rPr>
          <w:rFonts w:ascii="Times New Roman" w:hAnsi="Times New Roman"/>
        </w:rPr>
        <w:t xml:space="preserve"> </w:t>
      </w:r>
      <w:r w:rsidRPr="003A5ACD">
        <w:rPr>
          <w:rFonts w:ascii="Times New Roman" w:hAnsi="Times New Roman"/>
        </w:rPr>
        <w:t xml:space="preserve">who is eligible to complete the </w:t>
      </w:r>
      <w:r w:rsidR="0077767D">
        <w:rPr>
          <w:rFonts w:ascii="Times New Roman" w:hAnsi="Times New Roman"/>
        </w:rPr>
        <w:t xml:space="preserve">unlisted </w:t>
      </w:r>
      <w:r>
        <w:rPr>
          <w:rFonts w:ascii="Times New Roman" w:hAnsi="Times New Roman"/>
        </w:rPr>
        <w:t>h</w:t>
      </w:r>
      <w:r w:rsidRPr="003A5ACD">
        <w:rPr>
          <w:rFonts w:ascii="Times New Roman" w:hAnsi="Times New Roman"/>
        </w:rPr>
        <w:t>ome-</w:t>
      </w:r>
      <w:r>
        <w:rPr>
          <w:rFonts w:ascii="Times New Roman" w:hAnsi="Times New Roman"/>
        </w:rPr>
        <w:t>b</w:t>
      </w:r>
      <w:r w:rsidRPr="003A5ACD">
        <w:rPr>
          <w:rFonts w:ascii="Times New Roman" w:hAnsi="Times New Roman"/>
        </w:rPr>
        <w:t xml:space="preserve">ased </w:t>
      </w:r>
      <w:r>
        <w:rPr>
          <w:rFonts w:ascii="Times New Roman" w:hAnsi="Times New Roman"/>
        </w:rPr>
        <w:t>p</w:t>
      </w:r>
      <w:r w:rsidRPr="003A5ACD">
        <w:rPr>
          <w:rFonts w:ascii="Times New Roman" w:hAnsi="Times New Roman"/>
        </w:rPr>
        <w:t xml:space="preserve">rovider </w:t>
      </w:r>
      <w:r>
        <w:rPr>
          <w:rFonts w:ascii="Times New Roman" w:hAnsi="Times New Roman"/>
        </w:rPr>
        <w:t>questionnaire</w:t>
      </w:r>
      <w:r w:rsidRPr="003A5ACD">
        <w:rPr>
          <w:rFonts w:ascii="Times New Roman" w:hAnsi="Times New Roman"/>
        </w:rPr>
        <w:t xml:space="preserve"> (if that is not the same </w:t>
      </w:r>
      <w:r>
        <w:rPr>
          <w:rFonts w:ascii="Times New Roman" w:hAnsi="Times New Roman"/>
        </w:rPr>
        <w:t>individual who completed the household questionnaire</w:t>
      </w:r>
      <w:r w:rsidRPr="003A5ACD">
        <w:rPr>
          <w:rFonts w:ascii="Times New Roman" w:hAnsi="Times New Roman"/>
        </w:rPr>
        <w:t xml:space="preserve">). If </w:t>
      </w:r>
      <w:r w:rsidR="0077767D">
        <w:rPr>
          <w:rFonts w:ascii="Times New Roman" w:hAnsi="Times New Roman"/>
        </w:rPr>
        <w:t xml:space="preserve">the </w:t>
      </w:r>
      <w:r w:rsidR="00457F29">
        <w:rPr>
          <w:rFonts w:ascii="Times New Roman" w:hAnsi="Times New Roman"/>
        </w:rPr>
        <w:t>unlisted home-based providers</w:t>
      </w:r>
      <w:r w:rsidRPr="003A5ACD">
        <w:rPr>
          <w:rFonts w:ascii="Times New Roman" w:hAnsi="Times New Roman"/>
        </w:rPr>
        <w:t xml:space="preserve"> are unable to </w:t>
      </w:r>
      <w:r w:rsidR="0077767D">
        <w:rPr>
          <w:rFonts w:ascii="Times New Roman" w:hAnsi="Times New Roman"/>
        </w:rPr>
        <w:t xml:space="preserve">participate in the survey </w:t>
      </w:r>
      <w:r w:rsidRPr="003A5ACD">
        <w:rPr>
          <w:rFonts w:ascii="Times New Roman" w:hAnsi="Times New Roman"/>
        </w:rPr>
        <w:t xml:space="preserve">at that time, they will be asked to complete the </w:t>
      </w:r>
      <w:r>
        <w:rPr>
          <w:rFonts w:ascii="Times New Roman" w:hAnsi="Times New Roman"/>
        </w:rPr>
        <w:t xml:space="preserve">home-based provider questionnaire </w:t>
      </w:r>
      <w:r w:rsidRPr="003A5ACD">
        <w:rPr>
          <w:rFonts w:ascii="Times New Roman" w:hAnsi="Times New Roman"/>
        </w:rPr>
        <w:t xml:space="preserve">either by </w:t>
      </w:r>
      <w:r>
        <w:rPr>
          <w:rFonts w:ascii="Times New Roman" w:hAnsi="Times New Roman"/>
        </w:rPr>
        <w:t xml:space="preserve">web, </w:t>
      </w:r>
      <w:r w:rsidRPr="003A5ACD">
        <w:rPr>
          <w:rFonts w:ascii="Times New Roman" w:hAnsi="Times New Roman"/>
        </w:rPr>
        <w:t>telephone</w:t>
      </w:r>
      <w:r>
        <w:rPr>
          <w:rFonts w:ascii="Times New Roman" w:hAnsi="Times New Roman"/>
        </w:rPr>
        <w:t xml:space="preserve">, or in </w:t>
      </w:r>
      <w:r w:rsidRPr="00C37CA8">
        <w:rPr>
          <w:rFonts w:ascii="Times New Roman" w:hAnsi="Times New Roman"/>
        </w:rPr>
        <w:t>person at a later date.</w:t>
      </w:r>
    </w:p>
    <w:p w14:paraId="785BA516" w14:textId="77777777" w:rsidR="003F1734" w:rsidRDefault="003F1734" w:rsidP="003F1734">
      <w:pPr>
        <w:pStyle w:val="NORC-BodySingleSpaced1stLineIndent12ptGaramond"/>
        <w:ind w:firstLine="0"/>
        <w:rPr>
          <w:rFonts w:ascii="Times New Roman" w:hAnsi="Times New Roman"/>
        </w:rPr>
      </w:pPr>
    </w:p>
    <w:p w14:paraId="22D4D657" w14:textId="3ACEB3E6" w:rsidR="00DD5367" w:rsidRDefault="00DD5367" w:rsidP="00C45EF7">
      <w:pPr>
        <w:pStyle w:val="Heading4"/>
      </w:pPr>
      <w:bookmarkStart w:id="19" w:name="_Toc520896113"/>
      <w:r>
        <w:t>Home-</w:t>
      </w:r>
      <w:r w:rsidR="003C23E2">
        <w:t>b</w:t>
      </w:r>
      <w:r>
        <w:t xml:space="preserve">ased </w:t>
      </w:r>
      <w:r w:rsidRPr="00C37CA8">
        <w:t xml:space="preserve">Provider </w:t>
      </w:r>
      <w:r>
        <w:t>Screener</w:t>
      </w:r>
      <w:bookmarkEnd w:id="19"/>
      <w:r>
        <w:t xml:space="preserve"> </w:t>
      </w:r>
    </w:p>
    <w:p w14:paraId="7CB596DC" w14:textId="4A191E35" w:rsidR="00DD5367" w:rsidRDefault="00DD5367" w:rsidP="00C45EF7">
      <w:pPr>
        <w:pStyle w:val="BodyText"/>
      </w:pPr>
      <w:r w:rsidRPr="00DD5367">
        <w:t xml:space="preserve">The 2019 NSECE will screen a sample of home-based providers drawn from </w:t>
      </w:r>
      <w:r w:rsidR="001826E5">
        <w:t xml:space="preserve">national and </w:t>
      </w:r>
      <w:r w:rsidRPr="00DD5367">
        <w:t xml:space="preserve">state licensing and administrative lists </w:t>
      </w:r>
      <w:r w:rsidR="00B3620C">
        <w:t xml:space="preserve">for participation in the </w:t>
      </w:r>
      <w:r w:rsidRPr="00DD5367">
        <w:t xml:space="preserve">home-based provider </w:t>
      </w:r>
      <w:r w:rsidR="00B3620C">
        <w:t>survey</w:t>
      </w:r>
      <w:r w:rsidRPr="00DD5367">
        <w:t xml:space="preserve">. </w:t>
      </w:r>
      <w:r w:rsidR="00B3620C">
        <w:t>Because there is a high ineligibility rate (roughly 23 percent) among this sample group, a screening questionnaire</w:t>
      </w:r>
      <w:r w:rsidR="002E45E6">
        <w:t xml:space="preserve"> (Attachment </w:t>
      </w:r>
      <w:r w:rsidR="00D20D00">
        <w:t>4</w:t>
      </w:r>
      <w:r w:rsidR="001826E5">
        <w:t>a/4b</w:t>
      </w:r>
      <w:r w:rsidR="00D20D00">
        <w:t>)</w:t>
      </w:r>
      <w:r w:rsidR="00B3620C">
        <w:t xml:space="preserve"> </w:t>
      </w:r>
      <w:r w:rsidR="00457F29">
        <w:t>will</w:t>
      </w:r>
      <w:r w:rsidR="00B3620C">
        <w:t xml:space="preserve"> determine whether home-based providers are currently caring for children. Identifying eligible </w:t>
      </w:r>
      <w:r w:rsidR="00457F29">
        <w:t xml:space="preserve">listed </w:t>
      </w:r>
      <w:r w:rsidR="00B3620C">
        <w:t xml:space="preserve">home-based providers was one of the </w:t>
      </w:r>
      <w:r w:rsidR="00E87374">
        <w:t>main challenges</w:t>
      </w:r>
      <w:r w:rsidR="00B3620C">
        <w:t xml:space="preserve"> encountered during the</w:t>
      </w:r>
      <w:r w:rsidR="00757FAF">
        <w:t xml:space="preserve"> 2012 data collection effort; w</w:t>
      </w:r>
      <w:r w:rsidR="00E87374">
        <w:t xml:space="preserve">e </w:t>
      </w:r>
      <w:r w:rsidR="00B3620C">
        <w:t>have therefore focused our initial contacts on this screening step</w:t>
      </w:r>
      <w:r w:rsidR="00D20D00">
        <w:t xml:space="preserve"> (please refer to Attachments 8A-C</w:t>
      </w:r>
      <w:r w:rsidR="007E613A">
        <w:t xml:space="preserve"> </w:t>
      </w:r>
      <w:r w:rsidR="00D20D00">
        <w:t>and the corresponding Spanish materials in Attachment 1</w:t>
      </w:r>
      <w:r w:rsidR="001D12BB">
        <w:t>0</w:t>
      </w:r>
      <w:r w:rsidR="00D20D00">
        <w:t>)</w:t>
      </w:r>
      <w:r w:rsidR="00757FAF">
        <w:t xml:space="preserve">. </w:t>
      </w:r>
      <w:r w:rsidR="00B3620C">
        <w:t xml:space="preserve">The questions included in the screening questionnaire are designed to </w:t>
      </w:r>
      <w:r w:rsidRPr="00DD5367">
        <w:t xml:space="preserve">confirm that </w:t>
      </w:r>
      <w:r w:rsidR="00B3620C">
        <w:t xml:space="preserve">the </w:t>
      </w:r>
      <w:r w:rsidRPr="00DD5367">
        <w:t>sampled provider care</w:t>
      </w:r>
      <w:r w:rsidR="00B3620C">
        <w:t>s</w:t>
      </w:r>
      <w:r w:rsidRPr="00DD5367">
        <w:t xml:space="preserve"> for at least one child under 13 who is not their own, in a home-based setting for at least five hours per week. </w:t>
      </w:r>
      <w:r w:rsidR="00C84DB5">
        <w:t xml:space="preserve">This threshold was set to allow us to capture the full range of </w:t>
      </w:r>
      <w:r w:rsidR="00753D86">
        <w:t xml:space="preserve">home-based </w:t>
      </w:r>
      <w:r w:rsidR="00C84DB5">
        <w:t xml:space="preserve">ECE providers while also excluding incidental care that is not regular ECE like the individual who walks a child home from school five days a week or an occasional </w:t>
      </w:r>
      <w:r w:rsidR="00753D86">
        <w:t xml:space="preserve">‘date night’ </w:t>
      </w:r>
      <w:r w:rsidR="00C84DB5">
        <w:t xml:space="preserve">babysitter. </w:t>
      </w:r>
      <w:r w:rsidRPr="00DD5367">
        <w:t xml:space="preserve">If </w:t>
      </w:r>
      <w:r w:rsidR="00C84DB5">
        <w:t>these criteria are met</w:t>
      </w:r>
      <w:r w:rsidRPr="00DD5367">
        <w:t xml:space="preserve">, then the home-based provider </w:t>
      </w:r>
      <w:r w:rsidR="00B3620C">
        <w:t>is</w:t>
      </w:r>
      <w:r w:rsidRPr="00DD5367">
        <w:t xml:space="preserve"> eligible for </w:t>
      </w:r>
      <w:r w:rsidR="00783FE0">
        <w:t xml:space="preserve">participation </w:t>
      </w:r>
      <w:r w:rsidRPr="00DD5367">
        <w:t>and move</w:t>
      </w:r>
      <w:r w:rsidR="00B3620C">
        <w:t>s</w:t>
      </w:r>
      <w:r w:rsidRPr="00DD5367">
        <w:t xml:space="preserve"> </w:t>
      </w:r>
      <w:r w:rsidR="006371A7">
        <w:t xml:space="preserve">from the screening questions </w:t>
      </w:r>
      <w:r w:rsidR="00757FAF">
        <w:t>to the beginning of the main questionnaire</w:t>
      </w:r>
      <w:r w:rsidR="00E5255A">
        <w:t xml:space="preserve"> </w:t>
      </w:r>
      <w:r w:rsidR="00757FAF">
        <w:t>where they will be asked to answer additional questions and presented with a new informed consent statement</w:t>
      </w:r>
      <w:r w:rsidR="00D20D00">
        <w:t xml:space="preserve"> (Attachment 4</w:t>
      </w:r>
      <w:r w:rsidR="00457F29">
        <w:t>a/4b</w:t>
      </w:r>
      <w:r w:rsidR="00D20D00">
        <w:t>)</w:t>
      </w:r>
      <w:r w:rsidR="00757FAF">
        <w:t>.</w:t>
      </w:r>
      <w:r w:rsidRPr="00DD5367">
        <w:t xml:space="preserve"> For those who are no longer caring for children, the screener will proceed to ask</w:t>
      </w:r>
      <w:r w:rsidR="00757FAF">
        <w:t xml:space="preserve"> a few </w:t>
      </w:r>
      <w:r w:rsidRPr="00DD5367">
        <w:t>additional questions to provide some insight into when and why th</w:t>
      </w:r>
      <w:r w:rsidR="00084F33">
        <w:t>ey stopped caring for children.</w:t>
      </w:r>
    </w:p>
    <w:p w14:paraId="423E3FB0" w14:textId="3861993A" w:rsidR="003C23E2" w:rsidRDefault="003C23E2" w:rsidP="00C45EF7">
      <w:pPr>
        <w:pStyle w:val="BodyText"/>
      </w:pPr>
      <w:r w:rsidRPr="003C23E2">
        <w:t>In</w:t>
      </w:r>
      <w:r w:rsidR="00EE73B5">
        <w:t xml:space="preserve"> an effort to resolve any uncertain cases in the final stages of data collection, w</w:t>
      </w:r>
      <w:r w:rsidR="00C34E7C">
        <w:t>e</w:t>
      </w:r>
      <w:r w:rsidR="00C34E7C" w:rsidRPr="003C23E2">
        <w:t xml:space="preserve"> </w:t>
      </w:r>
      <w:r w:rsidRPr="003C23E2">
        <w:t xml:space="preserve">plan </w:t>
      </w:r>
      <w:r w:rsidR="00EE73B5">
        <w:t>to send a screening postcard</w:t>
      </w:r>
      <w:r w:rsidR="001E4EC0">
        <w:t xml:space="preserve"> (Attachment 8</w:t>
      </w:r>
      <w:r w:rsidR="00D20D00">
        <w:t>F</w:t>
      </w:r>
      <w:r w:rsidR="001826E5">
        <w:t>/10F</w:t>
      </w:r>
      <w:r w:rsidR="001E4EC0">
        <w:t xml:space="preserve">) </w:t>
      </w:r>
      <w:r w:rsidR="00EE73B5">
        <w:t>to any</w:t>
      </w:r>
      <w:r w:rsidR="00457F29">
        <w:t xml:space="preserve"> listed</w:t>
      </w:r>
      <w:r w:rsidR="00EE73B5">
        <w:t xml:space="preserve"> </w:t>
      </w:r>
      <w:r w:rsidR="00C07514">
        <w:t>home-based providers</w:t>
      </w:r>
      <w:r w:rsidR="00EE73B5">
        <w:t xml:space="preserve"> whose eligibility remains unknown. </w:t>
      </w:r>
      <w:r w:rsidR="007B4824">
        <w:t>Identifying eligible sample</w:t>
      </w:r>
      <w:r w:rsidR="0085645E">
        <w:t xml:space="preserve"> will </w:t>
      </w:r>
      <w:r w:rsidR="00EE73B5">
        <w:t>allow us to better focus project resources</w:t>
      </w:r>
      <w:r w:rsidR="00C07514">
        <w:t xml:space="preserve"> at</w:t>
      </w:r>
      <w:r w:rsidR="007B4824">
        <w:t xml:space="preserve"> the end of the </w:t>
      </w:r>
      <w:r w:rsidR="00D20D00">
        <w:t xml:space="preserve">data collection </w:t>
      </w:r>
      <w:r w:rsidR="007B4824">
        <w:t>and facilitate</w:t>
      </w:r>
      <w:r w:rsidR="00084F33">
        <w:t xml:space="preserve"> the final resolution of cases.</w:t>
      </w:r>
    </w:p>
    <w:p w14:paraId="01BE645F" w14:textId="65031AC8" w:rsidR="00A86CD7" w:rsidRDefault="009B76E7" w:rsidP="00C45EF7">
      <w:pPr>
        <w:pStyle w:val="Heading4"/>
      </w:pPr>
      <w:bookmarkStart w:id="20" w:name="_Toc520896114"/>
      <w:r w:rsidRPr="00A86CD7">
        <w:t>Home-</w:t>
      </w:r>
      <w:r w:rsidR="00C34E7C">
        <w:t>b</w:t>
      </w:r>
      <w:r w:rsidR="00C34E7C" w:rsidRPr="00A86CD7">
        <w:t xml:space="preserve">ased </w:t>
      </w:r>
      <w:r w:rsidRPr="00A86CD7">
        <w:t>Provider Questionnaire</w:t>
      </w:r>
      <w:bookmarkEnd w:id="20"/>
    </w:p>
    <w:p w14:paraId="0A7CF218" w14:textId="3A454BEC" w:rsidR="009B76E7" w:rsidRDefault="00476484" w:rsidP="00066E98">
      <w:pPr>
        <w:pStyle w:val="BodyText"/>
      </w:pPr>
      <w:r>
        <w:t>Listed h</w:t>
      </w:r>
      <w:r w:rsidR="009B76E7">
        <w:t>ome-based providers will be fielded in parallel with the center-based providers as described below</w:t>
      </w:r>
      <w:r w:rsidR="00D20D00">
        <w:t>,</w:t>
      </w:r>
      <w:r w:rsidR="009B76E7">
        <w:t xml:space="preserve"> beginning with</w:t>
      </w:r>
      <w:r w:rsidR="00783FE0">
        <w:t xml:space="preserve"> a series of initial contacts by mail</w:t>
      </w:r>
      <w:r w:rsidR="00D20D00">
        <w:t xml:space="preserve"> (Attachments 8A-C</w:t>
      </w:r>
      <w:r w:rsidR="004F5752">
        <w:t xml:space="preserve"> for English or 10A-C for Spanish</w:t>
      </w:r>
      <w:r w:rsidR="00D20D00">
        <w:t>)</w:t>
      </w:r>
      <w:r w:rsidR="00783FE0">
        <w:t>. These include an initial letter explaining the study and encouraging the sampled provider to complete the screening questions (Attachment 8A</w:t>
      </w:r>
      <w:r w:rsidR="004F5752">
        <w:t>/10A</w:t>
      </w:r>
      <w:r w:rsidR="00783FE0">
        <w:t xml:space="preserve">). This initial letter is </w:t>
      </w:r>
      <w:r w:rsidR="0090311B">
        <w:t>followed by two more</w:t>
      </w:r>
      <w:r w:rsidR="00783FE0">
        <w:t xml:space="preserve"> </w:t>
      </w:r>
      <w:r w:rsidR="0090311B">
        <w:t>contact attempts (Attachments 8B-C</w:t>
      </w:r>
      <w:r w:rsidR="004F5752">
        <w:t>/10B-C</w:t>
      </w:r>
      <w:r w:rsidR="0090311B">
        <w:t>)</w:t>
      </w:r>
      <w:r w:rsidR="00783FE0">
        <w:t xml:space="preserve">. After this initial mail contact, </w:t>
      </w:r>
      <w:r w:rsidR="009B76E7">
        <w:t xml:space="preserve">field </w:t>
      </w:r>
      <w:r w:rsidR="00F34844">
        <w:t>interviewer outreach will begin initially by phone and then shift to in-person visits as the field period continues. Interviewers will help to determine eligibility, prompt providers to complete the questionnaire by web, gain cooperation, provide technical support, and complete questionnaires with providers as needed.</w:t>
      </w:r>
    </w:p>
    <w:p w14:paraId="6139C41D" w14:textId="158A24E1" w:rsidR="00476484" w:rsidRDefault="00E92C34" w:rsidP="00066E98">
      <w:pPr>
        <w:pStyle w:val="BodyText"/>
      </w:pPr>
      <w:r>
        <w:t xml:space="preserve">Although unlisted home-based providers are identified through the household screener, the </w:t>
      </w:r>
      <w:r w:rsidR="00892E27">
        <w:t xml:space="preserve">field </w:t>
      </w:r>
      <w:r>
        <w:t xml:space="preserve">approach is similar to that implemented for the listed home-based provider sample. </w:t>
      </w:r>
      <w:r w:rsidR="00476484">
        <w:t>Once identified</w:t>
      </w:r>
      <w:r>
        <w:t xml:space="preserve"> through the household screener</w:t>
      </w:r>
      <w:r w:rsidR="00476484">
        <w:t xml:space="preserve">, these </w:t>
      </w:r>
      <w:r>
        <w:t xml:space="preserve">home-based </w:t>
      </w:r>
      <w:r w:rsidR="00457F29">
        <w:t>providers</w:t>
      </w:r>
      <w:r w:rsidR="00476484">
        <w:t xml:space="preserve"> will receive an initial advance letter (Attachment 12A/</w:t>
      </w:r>
      <w:r w:rsidR="009E6EB9">
        <w:t>13</w:t>
      </w:r>
      <w:r w:rsidR="00476484">
        <w:t>A)</w:t>
      </w:r>
      <w:r>
        <w:t xml:space="preserve"> inviting them to</w:t>
      </w:r>
      <w:r w:rsidR="00476484">
        <w:t xml:space="preserve"> complete the </w:t>
      </w:r>
      <w:r w:rsidR="00457F29">
        <w:t xml:space="preserve">home-based provider questionnaire by </w:t>
      </w:r>
      <w:r w:rsidR="00476484">
        <w:t>web. Approximately two weeks later a follow-up thank you/reminder postcard (Attachment 12B/</w:t>
      </w:r>
      <w:r w:rsidR="009E6EB9">
        <w:t>13</w:t>
      </w:r>
      <w:r w:rsidR="00476484">
        <w:t>B) will be sent to eligible unlisted home-based providers that have not yet completed the web screener. Two weeks later</w:t>
      </w:r>
      <w:r w:rsidR="00457F29">
        <w:t>,</w:t>
      </w:r>
      <w:r w:rsidR="00476484">
        <w:t xml:space="preserve"> sampled providers that have not yet responded will receive a follow-up letter (Attachment 12C/</w:t>
      </w:r>
      <w:r w:rsidR="009E6EB9">
        <w:t>13</w:t>
      </w:r>
      <w:r w:rsidR="00476484">
        <w:t xml:space="preserve">C), alerting them that a field interviewer will be contacting them to complete the </w:t>
      </w:r>
      <w:r w:rsidR="008116FE">
        <w:t>questionnaire</w:t>
      </w:r>
      <w:r w:rsidR="00476484">
        <w:t>. Field interviewers will attempt outreach by phone where available and then shift to in-person visits to reach the sampled providers and complete the questionnaire.</w:t>
      </w:r>
      <w:r>
        <w:t xml:space="preserve"> If a household is screened by phone or in person, the interviewer will be able to provide web access information by email or complete the interview at that time if the </w:t>
      </w:r>
      <w:r w:rsidR="00811360">
        <w:t xml:space="preserve">respondent is willing. </w:t>
      </w:r>
    </w:p>
    <w:p w14:paraId="76602E66" w14:textId="4715DF08" w:rsidR="00FD6E9D" w:rsidRDefault="00FD6E9D" w:rsidP="00C45EF7">
      <w:pPr>
        <w:pStyle w:val="Heading4"/>
      </w:pPr>
      <w:bookmarkStart w:id="21" w:name="_Toc520896115"/>
      <w:r>
        <w:t>Center-</w:t>
      </w:r>
      <w:r w:rsidR="00C34E7C">
        <w:t xml:space="preserve">based </w:t>
      </w:r>
      <w:r w:rsidRPr="00C37CA8">
        <w:t xml:space="preserve">Provider </w:t>
      </w:r>
      <w:r>
        <w:t>Screener</w:t>
      </w:r>
      <w:bookmarkEnd w:id="21"/>
      <w:r>
        <w:t xml:space="preserve"> </w:t>
      </w:r>
    </w:p>
    <w:p w14:paraId="6C14FFA6" w14:textId="595372D7" w:rsidR="00FD6E9D" w:rsidRDefault="00FD6E9D" w:rsidP="00C45EF7">
      <w:pPr>
        <w:pStyle w:val="BodyText"/>
      </w:pPr>
      <w:r>
        <w:t xml:space="preserve">As </w:t>
      </w:r>
      <w:r w:rsidRPr="00836938">
        <w:t xml:space="preserve">mentioned earlier, we propose that a single physical location or “establishment” be the ultimate sampling unit for the </w:t>
      </w:r>
      <w:r w:rsidR="00C34E7C">
        <w:t>center-based provider s</w:t>
      </w:r>
      <w:r w:rsidR="00C34E7C" w:rsidRPr="00836938">
        <w:t>urvey</w:t>
      </w:r>
      <w:r w:rsidR="00237C16">
        <w:t xml:space="preserve"> since a</w:t>
      </w:r>
      <w:r w:rsidRPr="00836938">
        <w:t xml:space="preserve"> given physical location may have one or more </w:t>
      </w:r>
      <w:r w:rsidR="0085645E">
        <w:t xml:space="preserve">organizations operating </w:t>
      </w:r>
      <w:r w:rsidRPr="00836938">
        <w:t>ECE programs within its walls. One ECE</w:t>
      </w:r>
      <w:r w:rsidR="0085645E">
        <w:t>-</w:t>
      </w:r>
      <w:r w:rsidRPr="00836938">
        <w:t>provid</w:t>
      </w:r>
      <w:r w:rsidR="0085645E">
        <w:t>ing organization</w:t>
      </w:r>
      <w:r w:rsidRPr="00836938">
        <w:t xml:space="preserve"> operating at the sampled location will be randomly selected for </w:t>
      </w:r>
      <w:r w:rsidR="00237C16">
        <w:t>the survey</w:t>
      </w:r>
      <w:r w:rsidRPr="00836938">
        <w:t xml:space="preserve">. </w:t>
      </w:r>
      <w:r w:rsidR="00783FE0">
        <w:t>Consequently,</w:t>
      </w:r>
      <w:r w:rsidRPr="00836938">
        <w:t xml:space="preserve"> every location</w:t>
      </w:r>
      <w:r w:rsidR="0085645E">
        <w:t xml:space="preserve"> and </w:t>
      </w:r>
      <w:r w:rsidRPr="00836938">
        <w:t xml:space="preserve">every </w:t>
      </w:r>
      <w:r w:rsidR="0085645E">
        <w:t xml:space="preserve">organization </w:t>
      </w:r>
      <w:r w:rsidRPr="00836938">
        <w:t xml:space="preserve">in the targeted population will have a known probability of selection. For this approach, </w:t>
      </w:r>
      <w:r>
        <w:t xml:space="preserve">a screener will be administered to center-based providers </w:t>
      </w:r>
      <w:r w:rsidR="00D20D00">
        <w:t xml:space="preserve">(Attachment 2) </w:t>
      </w:r>
      <w:r>
        <w:t xml:space="preserve">that will confirm </w:t>
      </w:r>
      <w:r w:rsidRPr="00836938">
        <w:t>the eligibility</w:t>
      </w:r>
      <w:r>
        <w:t xml:space="preserve"> of providers located at</w:t>
      </w:r>
      <w:r w:rsidRPr="00836938">
        <w:t xml:space="preserve"> the sampled addresses as shown on the sampling frame. The questionnaire also screens for the presence of additional eligible providers that are not covered by the sampling frame.</w:t>
      </w:r>
    </w:p>
    <w:p w14:paraId="788DDACC" w14:textId="556AFFF2" w:rsidR="00DD5367" w:rsidRPr="00C37CA8" w:rsidRDefault="00DD5367" w:rsidP="00C45EF7">
      <w:pPr>
        <w:pStyle w:val="BodyText"/>
      </w:pPr>
      <w:r w:rsidRPr="00DD5367">
        <w:t>The 2012 NSECE demonstrated that a multi-tiered approach to screening was an efficient investment of resources and resulted in better data quality. An increase in efficiency planned for 2019 is to screen multi-organization addresses</w:t>
      </w:r>
      <w:r w:rsidR="004E632A" w:rsidRPr="004E632A">
        <w:t xml:space="preserve"> </w:t>
      </w:r>
      <w:r w:rsidR="004E632A" w:rsidRPr="00DD5367">
        <w:t>in advance</w:t>
      </w:r>
      <w:r w:rsidRPr="00DD5367">
        <w:t>, but not addresses associated with multiple programs operated by a single organization. We found in 2012 that these multi-program/single organization centers, which are a significant portion of the sample, do not require advance screening for smooth administration of the web questionnaire.</w:t>
      </w:r>
    </w:p>
    <w:p w14:paraId="509E4574" w14:textId="7A223D25" w:rsidR="00FD6E9D" w:rsidRDefault="00AE54E6" w:rsidP="00C45EF7">
      <w:pPr>
        <w:pStyle w:val="Heading4"/>
      </w:pPr>
      <w:bookmarkStart w:id="22" w:name="_Toc520896116"/>
      <w:r>
        <w:t>Center-</w:t>
      </w:r>
      <w:r w:rsidR="003C23E2">
        <w:t xml:space="preserve">based </w:t>
      </w:r>
      <w:r w:rsidRPr="00C37CA8">
        <w:t xml:space="preserve">Provider </w:t>
      </w:r>
      <w:r>
        <w:t>Questionnaire</w:t>
      </w:r>
      <w:bookmarkEnd w:id="22"/>
      <w:r>
        <w:t xml:space="preserve"> </w:t>
      </w:r>
    </w:p>
    <w:p w14:paraId="3A802034" w14:textId="158A2B7F" w:rsidR="007B7038" w:rsidRPr="007B7038" w:rsidRDefault="007B7038" w:rsidP="00C45EF7">
      <w:pPr>
        <w:pStyle w:val="BodyText"/>
        <w:rPr>
          <w:lang w:val="x-none"/>
        </w:rPr>
      </w:pPr>
      <w:r>
        <w:t>S</w:t>
      </w:r>
      <w:r w:rsidR="004A4155">
        <w:t>ampled locations</w:t>
      </w:r>
      <w:r w:rsidR="00443B6B">
        <w:t xml:space="preserve"> will </w:t>
      </w:r>
      <w:r w:rsidR="00C34E7C">
        <w:t>receive an initial</w:t>
      </w:r>
      <w:r w:rsidR="00443B6B">
        <w:t xml:space="preserve"> mailing containing an advance letter that explains the purpose </w:t>
      </w:r>
      <w:r w:rsidR="001F4374">
        <w:t xml:space="preserve">of </w:t>
      </w:r>
      <w:r w:rsidR="00FC1B10" w:rsidRPr="003A5ACD">
        <w:t xml:space="preserve">the study, the reason for their selection, the </w:t>
      </w:r>
      <w:r w:rsidR="00672834">
        <w:t>w</w:t>
      </w:r>
      <w:r w:rsidR="00FC1B10" w:rsidRPr="003A5ACD">
        <w:t xml:space="preserve">eb </w:t>
      </w:r>
      <w:r w:rsidR="00B324ED">
        <w:t>questionnaire</w:t>
      </w:r>
      <w:r w:rsidR="00B324ED" w:rsidRPr="003A5ACD">
        <w:t xml:space="preserve"> </w:t>
      </w:r>
      <w:r w:rsidR="00FC1B10" w:rsidRPr="003A5ACD">
        <w:t xml:space="preserve">URL, a login ID, and </w:t>
      </w:r>
      <w:r w:rsidR="001603F5">
        <w:t>a</w:t>
      </w:r>
      <w:r w:rsidR="001603F5" w:rsidRPr="003A5ACD">
        <w:t xml:space="preserve"> </w:t>
      </w:r>
      <w:r w:rsidR="00FC1B10" w:rsidRPr="003A5ACD">
        <w:t>password</w:t>
      </w:r>
      <w:r w:rsidR="00E62C26">
        <w:t xml:space="preserve"> (Attachment 7A)</w:t>
      </w:r>
      <w:r w:rsidR="00FC1B10" w:rsidRPr="003A5ACD">
        <w:t xml:space="preserve">. </w:t>
      </w:r>
      <w:r w:rsidR="00801BBC">
        <w:t>Two</w:t>
      </w:r>
      <w:r w:rsidR="00801BBC" w:rsidRPr="003A5ACD">
        <w:t xml:space="preserve"> </w:t>
      </w:r>
      <w:r w:rsidR="00FC1B10" w:rsidRPr="003A5ACD">
        <w:t>week</w:t>
      </w:r>
      <w:r w:rsidR="00801BBC">
        <w:t>s</w:t>
      </w:r>
      <w:r w:rsidR="00FC1B10" w:rsidRPr="003A5ACD">
        <w:t xml:space="preserve"> later a</w:t>
      </w:r>
      <w:r w:rsidR="00C60235">
        <w:t xml:space="preserve"> </w:t>
      </w:r>
      <w:r w:rsidR="007B4824">
        <w:t>t</w:t>
      </w:r>
      <w:r w:rsidR="00C60235">
        <w:t xml:space="preserve">hank </w:t>
      </w:r>
      <w:r w:rsidR="007B4824">
        <w:t>y</w:t>
      </w:r>
      <w:r w:rsidR="00C60235">
        <w:t>ou/</w:t>
      </w:r>
      <w:r w:rsidR="007B4824">
        <w:t>r</w:t>
      </w:r>
      <w:r w:rsidR="00C60235">
        <w:t>eminder postcard</w:t>
      </w:r>
      <w:r w:rsidR="00FC1B10" w:rsidRPr="003A5ACD">
        <w:t xml:space="preserve"> w</w:t>
      </w:r>
      <w:r w:rsidR="00C60235">
        <w:t>ill</w:t>
      </w:r>
      <w:r w:rsidR="00FC1B10" w:rsidRPr="003A5ACD">
        <w:t xml:space="preserve"> be sent</w:t>
      </w:r>
      <w:r w:rsidR="00FC001F">
        <w:t xml:space="preserve"> to sampled prov</w:t>
      </w:r>
      <w:r w:rsidR="0090311B">
        <w:t>iders who have not yet responde</w:t>
      </w:r>
      <w:r w:rsidR="00FC001F">
        <w:t>d</w:t>
      </w:r>
      <w:r w:rsidR="00FC1B10" w:rsidRPr="003A5ACD">
        <w:t>, again requesting their participation</w:t>
      </w:r>
      <w:r w:rsidR="00C60235">
        <w:t xml:space="preserve"> if they have not yet completed the </w:t>
      </w:r>
      <w:r w:rsidR="00B324ED">
        <w:t xml:space="preserve">questionnaire </w:t>
      </w:r>
      <w:r w:rsidR="00E62C26">
        <w:t>(Attachment 7B)</w:t>
      </w:r>
      <w:r w:rsidR="00FC1B10" w:rsidRPr="003A5ACD">
        <w:t>. The third mailing w</w:t>
      </w:r>
      <w:r w:rsidR="00C60235">
        <w:t>ill</w:t>
      </w:r>
      <w:r w:rsidR="00FC1B10" w:rsidRPr="003A5ACD">
        <w:t xml:space="preserve"> follow </w:t>
      </w:r>
      <w:r w:rsidR="009B6642">
        <w:t xml:space="preserve">approximately </w:t>
      </w:r>
      <w:r w:rsidR="00C60235">
        <w:t>two</w:t>
      </w:r>
      <w:r w:rsidR="00FC1B10" w:rsidRPr="003A5ACD">
        <w:t xml:space="preserve"> week</w:t>
      </w:r>
      <w:r w:rsidR="00C60235">
        <w:t>s</w:t>
      </w:r>
      <w:r w:rsidR="00FC1B10" w:rsidRPr="003A5ACD">
        <w:t xml:space="preserve"> later</w:t>
      </w:r>
      <w:r w:rsidR="00FC001F">
        <w:t xml:space="preserve"> to sampled providers who have not yet responded</w:t>
      </w:r>
      <w:r w:rsidR="00FC1B10" w:rsidRPr="003A5ACD">
        <w:t xml:space="preserve">, informing </w:t>
      </w:r>
      <w:r w:rsidR="00FC001F">
        <w:t>them</w:t>
      </w:r>
      <w:r w:rsidR="00FC001F" w:rsidRPr="003A5ACD">
        <w:t xml:space="preserve"> </w:t>
      </w:r>
      <w:r w:rsidR="00FC1B10" w:rsidRPr="003A5ACD">
        <w:t>that a field interviewer will be contacting them in the near future</w:t>
      </w:r>
      <w:r w:rsidR="00E62C26">
        <w:t xml:space="preserve"> (Attachment 7C)</w:t>
      </w:r>
      <w:r>
        <w:t xml:space="preserve">. Interviewers will </w:t>
      </w:r>
      <w:r w:rsidR="00634A72">
        <w:t xml:space="preserve">then </w:t>
      </w:r>
      <w:r w:rsidRPr="007B7038">
        <w:rPr>
          <w:lang w:val="x-none"/>
        </w:rPr>
        <w:t>facilitat</w:t>
      </w:r>
      <w:r>
        <w:rPr>
          <w:lang w:val="x-none"/>
        </w:rPr>
        <w:t>e</w:t>
      </w:r>
      <w:r w:rsidRPr="007B7038">
        <w:rPr>
          <w:lang w:val="x-none"/>
        </w:rPr>
        <w:t xml:space="preserve"> completion of th</w:t>
      </w:r>
      <w:r w:rsidR="001036B7">
        <w:t>e web questionnaire</w:t>
      </w:r>
      <w:r w:rsidRPr="007B7038">
        <w:rPr>
          <w:lang w:val="x-none"/>
        </w:rPr>
        <w:t xml:space="preserve">. The main goals of these contacts are to confirm eligibility, </w:t>
      </w:r>
      <w:r w:rsidR="00F85137">
        <w:t>increase</w:t>
      </w:r>
      <w:r w:rsidRPr="007B7038">
        <w:rPr>
          <w:lang w:val="x-none"/>
        </w:rPr>
        <w:t xml:space="preserve"> awareness of the study, and identify the </w:t>
      </w:r>
      <w:r w:rsidR="00634A72">
        <w:t xml:space="preserve">most knowledgeable </w:t>
      </w:r>
      <w:r w:rsidRPr="007B7038">
        <w:rPr>
          <w:lang w:val="x-none"/>
        </w:rPr>
        <w:t xml:space="preserve">individual to complete the </w:t>
      </w:r>
      <w:r w:rsidR="001036B7">
        <w:t>questionnaire</w:t>
      </w:r>
      <w:r w:rsidRPr="007B7038">
        <w:rPr>
          <w:lang w:val="x-none"/>
        </w:rPr>
        <w:t xml:space="preserve">. Field interviewers will also use this time to collect additional contact information (email, phone) from </w:t>
      </w:r>
      <w:r w:rsidR="00FC001F">
        <w:t>sampled providers</w:t>
      </w:r>
      <w:r w:rsidR="00FC001F" w:rsidRPr="007B7038">
        <w:rPr>
          <w:lang w:val="x-none"/>
        </w:rPr>
        <w:t xml:space="preserve"> </w:t>
      </w:r>
      <w:r w:rsidRPr="007B7038">
        <w:rPr>
          <w:lang w:val="x-none"/>
        </w:rPr>
        <w:t xml:space="preserve">for further follow-up. </w:t>
      </w:r>
      <w:r w:rsidR="004A7528">
        <w:t xml:space="preserve">Interviewers will collect this information using the integrated case management system on their tablets. </w:t>
      </w:r>
      <w:r w:rsidRPr="007B7038">
        <w:rPr>
          <w:lang w:val="x-none"/>
        </w:rPr>
        <w:t xml:space="preserve">Although a majority of center-based providers (approximately 87 percent) completed the 2012 NSECE </w:t>
      </w:r>
      <w:r w:rsidR="001036B7">
        <w:t>questionnaire</w:t>
      </w:r>
      <w:r w:rsidRPr="007B7038">
        <w:rPr>
          <w:lang w:val="x-none"/>
        </w:rPr>
        <w:t xml:space="preserve"> by web, a large portion of these cases (approximately 75 percent) required at least one in-person visit by a field interviewer. If needed, field interviewers will be able to complete the </w:t>
      </w:r>
      <w:r w:rsidR="001036B7">
        <w:t>questionnaire</w:t>
      </w:r>
      <w:r w:rsidRPr="007B7038">
        <w:rPr>
          <w:lang w:val="x-none"/>
        </w:rPr>
        <w:t xml:space="preserve"> in person or over the phone.</w:t>
      </w:r>
    </w:p>
    <w:p w14:paraId="6BBC3D65" w14:textId="23DB819D" w:rsidR="00F05706" w:rsidRDefault="00826852" w:rsidP="00C45EF7">
      <w:pPr>
        <w:pStyle w:val="Heading4"/>
      </w:pPr>
      <w:bookmarkStart w:id="23" w:name="_Toc520896117"/>
      <w:r>
        <w:t>Classroom Staff (</w:t>
      </w:r>
      <w:r w:rsidR="00FC1B10" w:rsidRPr="006D75B8">
        <w:t>Workforce</w:t>
      </w:r>
      <w:r>
        <w:t>)</w:t>
      </w:r>
      <w:r w:rsidR="00FC1B10" w:rsidRPr="006D75B8">
        <w:t xml:space="preserve"> </w:t>
      </w:r>
      <w:r w:rsidR="00432F7B">
        <w:t>Questionnaire</w:t>
      </w:r>
      <w:bookmarkEnd w:id="23"/>
    </w:p>
    <w:p w14:paraId="333A2E19" w14:textId="63C8BDE0" w:rsidR="008760CE" w:rsidRDefault="00432F7B" w:rsidP="00C45EF7">
      <w:pPr>
        <w:pStyle w:val="BodyText"/>
        <w:rPr>
          <w:szCs w:val="24"/>
        </w:rPr>
      </w:pPr>
      <w:r>
        <w:rPr>
          <w:szCs w:val="24"/>
        </w:rPr>
        <w:t xml:space="preserve">The </w:t>
      </w:r>
      <w:r w:rsidR="003C23E2">
        <w:rPr>
          <w:szCs w:val="24"/>
        </w:rPr>
        <w:t xml:space="preserve">classroom staff (workforce) </w:t>
      </w:r>
      <w:r w:rsidR="001036B7">
        <w:rPr>
          <w:szCs w:val="24"/>
        </w:rPr>
        <w:t xml:space="preserve">survey sample will be selected from </w:t>
      </w:r>
      <w:r w:rsidR="00C76284">
        <w:rPr>
          <w:szCs w:val="24"/>
        </w:rPr>
        <w:t xml:space="preserve">a roster of </w:t>
      </w:r>
      <w:r>
        <w:rPr>
          <w:szCs w:val="24"/>
        </w:rPr>
        <w:t xml:space="preserve">classroom </w:t>
      </w:r>
      <w:r w:rsidR="00844D69">
        <w:rPr>
          <w:szCs w:val="24"/>
        </w:rPr>
        <w:t xml:space="preserve">or group </w:t>
      </w:r>
      <w:r w:rsidR="00C76284">
        <w:rPr>
          <w:szCs w:val="24"/>
        </w:rPr>
        <w:t xml:space="preserve">staff </w:t>
      </w:r>
      <w:r>
        <w:rPr>
          <w:szCs w:val="24"/>
        </w:rPr>
        <w:t xml:space="preserve">within a </w:t>
      </w:r>
      <w:r w:rsidR="003C23E2">
        <w:rPr>
          <w:szCs w:val="24"/>
        </w:rPr>
        <w:t xml:space="preserve">center-based </w:t>
      </w:r>
      <w:r w:rsidR="00844D69">
        <w:rPr>
          <w:szCs w:val="24"/>
        </w:rPr>
        <w:t>facility where an administrator, director, or other leader</w:t>
      </w:r>
      <w:r>
        <w:rPr>
          <w:szCs w:val="24"/>
        </w:rPr>
        <w:t xml:space="preserve"> has completed the </w:t>
      </w:r>
      <w:r w:rsidR="003C23E2">
        <w:rPr>
          <w:szCs w:val="24"/>
        </w:rPr>
        <w:t>center-based provider questionnaire</w:t>
      </w:r>
      <w:r>
        <w:rPr>
          <w:szCs w:val="24"/>
        </w:rPr>
        <w:t>.</w:t>
      </w:r>
      <w:r w:rsidR="006D75B8" w:rsidRPr="006D75B8">
        <w:rPr>
          <w:szCs w:val="24"/>
        </w:rPr>
        <w:t xml:space="preserve"> </w:t>
      </w:r>
      <w:r w:rsidR="0098152A">
        <w:rPr>
          <w:szCs w:val="24"/>
        </w:rPr>
        <w:t xml:space="preserve">The classroom staff sample will be selected by first randomly selecting one age group served by the center that includes children age five and under, not yet in kindergarten. We will then enumerate all of the classrooms at the center that serve that age group, and randomly select one of those. </w:t>
      </w:r>
      <w:r w:rsidR="00C84DB5">
        <w:rPr>
          <w:szCs w:val="24"/>
        </w:rPr>
        <w:t>The</w:t>
      </w:r>
      <w:r w:rsidR="00826852">
        <w:rPr>
          <w:szCs w:val="24"/>
        </w:rPr>
        <w:t xml:space="preserve"> </w:t>
      </w:r>
      <w:r w:rsidR="00463D3D">
        <w:rPr>
          <w:szCs w:val="24"/>
        </w:rPr>
        <w:t>c</w:t>
      </w:r>
      <w:r w:rsidR="0046544B">
        <w:rPr>
          <w:szCs w:val="24"/>
        </w:rPr>
        <w:t xml:space="preserve">lassroom staff (workforce) </w:t>
      </w:r>
      <w:r w:rsidR="00826852">
        <w:rPr>
          <w:szCs w:val="24"/>
        </w:rPr>
        <w:t>q</w:t>
      </w:r>
      <w:r>
        <w:rPr>
          <w:szCs w:val="24"/>
        </w:rPr>
        <w:t>uestionnaire</w:t>
      </w:r>
      <w:r w:rsidR="006D75B8" w:rsidRPr="006D75B8">
        <w:rPr>
          <w:szCs w:val="24"/>
        </w:rPr>
        <w:t xml:space="preserve"> will be available for completion by web, hard-copy self-administration, or </w:t>
      </w:r>
      <w:r w:rsidR="003C23E2">
        <w:rPr>
          <w:szCs w:val="24"/>
        </w:rPr>
        <w:t>by phone or in</w:t>
      </w:r>
      <w:r w:rsidR="00FA3752">
        <w:rPr>
          <w:szCs w:val="24"/>
        </w:rPr>
        <w:t xml:space="preserve"> </w:t>
      </w:r>
      <w:r w:rsidR="003C23E2">
        <w:rPr>
          <w:szCs w:val="24"/>
        </w:rPr>
        <w:t>person</w:t>
      </w:r>
      <w:r w:rsidR="006D75B8" w:rsidRPr="006D75B8">
        <w:rPr>
          <w:szCs w:val="24"/>
        </w:rPr>
        <w:t xml:space="preserve"> with a </w:t>
      </w:r>
      <w:r w:rsidR="006D75B8">
        <w:rPr>
          <w:szCs w:val="24"/>
        </w:rPr>
        <w:t>f</w:t>
      </w:r>
      <w:r w:rsidR="006D75B8" w:rsidRPr="006D75B8">
        <w:rPr>
          <w:szCs w:val="24"/>
        </w:rPr>
        <w:t xml:space="preserve">ield </w:t>
      </w:r>
      <w:r w:rsidR="006D75B8">
        <w:rPr>
          <w:szCs w:val="24"/>
        </w:rPr>
        <w:t>i</w:t>
      </w:r>
      <w:r w:rsidR="006D75B8" w:rsidRPr="006D75B8">
        <w:rPr>
          <w:szCs w:val="24"/>
        </w:rPr>
        <w:t xml:space="preserve">nterviewer. Upon completion of a </w:t>
      </w:r>
      <w:r w:rsidR="00FA3752">
        <w:rPr>
          <w:szCs w:val="24"/>
        </w:rPr>
        <w:t>center-based</w:t>
      </w:r>
      <w:r w:rsidR="00FA3752" w:rsidRPr="006D75B8">
        <w:rPr>
          <w:szCs w:val="24"/>
        </w:rPr>
        <w:t xml:space="preserve"> provider </w:t>
      </w:r>
      <w:r w:rsidR="0046544B">
        <w:rPr>
          <w:szCs w:val="24"/>
        </w:rPr>
        <w:t>questionnaire</w:t>
      </w:r>
      <w:r w:rsidR="00FA3752" w:rsidRPr="006D75B8">
        <w:rPr>
          <w:szCs w:val="24"/>
        </w:rPr>
        <w:t>, the</w:t>
      </w:r>
      <w:r w:rsidR="0046544B">
        <w:rPr>
          <w:szCs w:val="24"/>
        </w:rPr>
        <w:t xml:space="preserve"> </w:t>
      </w:r>
      <w:r w:rsidR="004E632A">
        <w:rPr>
          <w:szCs w:val="24"/>
        </w:rPr>
        <w:t>programming</w:t>
      </w:r>
      <w:r w:rsidR="006D75B8" w:rsidRPr="006D75B8">
        <w:rPr>
          <w:szCs w:val="24"/>
        </w:rPr>
        <w:t xml:space="preserve"> will </w:t>
      </w:r>
      <w:r w:rsidR="004E632A">
        <w:rPr>
          <w:szCs w:val="24"/>
        </w:rPr>
        <w:t xml:space="preserve">automatically </w:t>
      </w:r>
      <w:r w:rsidR="006D75B8" w:rsidRPr="006D75B8">
        <w:rPr>
          <w:szCs w:val="24"/>
        </w:rPr>
        <w:t xml:space="preserve">trigger </w:t>
      </w:r>
      <w:r w:rsidR="004E632A">
        <w:rPr>
          <w:szCs w:val="24"/>
        </w:rPr>
        <w:t xml:space="preserve">the </w:t>
      </w:r>
      <w:r w:rsidR="006D75B8" w:rsidRPr="006D75B8">
        <w:rPr>
          <w:szCs w:val="24"/>
        </w:rPr>
        <w:t xml:space="preserve">spawning of a randomly selected </w:t>
      </w:r>
      <w:r w:rsidR="00826852">
        <w:rPr>
          <w:szCs w:val="24"/>
        </w:rPr>
        <w:t xml:space="preserve">classroom/group-assigned </w:t>
      </w:r>
      <w:r w:rsidR="001669D1">
        <w:rPr>
          <w:szCs w:val="24"/>
        </w:rPr>
        <w:t>staff person</w:t>
      </w:r>
      <w:r w:rsidR="006D75B8" w:rsidRPr="006D75B8">
        <w:rPr>
          <w:szCs w:val="24"/>
        </w:rPr>
        <w:t xml:space="preserve"> for the </w:t>
      </w:r>
      <w:r w:rsidR="00826852">
        <w:rPr>
          <w:szCs w:val="24"/>
        </w:rPr>
        <w:t>classroom staff (</w:t>
      </w:r>
      <w:r w:rsidR="006D75B8" w:rsidRPr="006D75B8">
        <w:rPr>
          <w:szCs w:val="24"/>
        </w:rPr>
        <w:t>workforce</w:t>
      </w:r>
      <w:r w:rsidR="00826852">
        <w:rPr>
          <w:szCs w:val="24"/>
        </w:rPr>
        <w:t>)</w:t>
      </w:r>
      <w:r w:rsidR="006D75B8" w:rsidRPr="006D75B8">
        <w:rPr>
          <w:szCs w:val="24"/>
        </w:rPr>
        <w:t xml:space="preserve"> survey. </w:t>
      </w:r>
      <w:r w:rsidR="00A16182" w:rsidRPr="008B2E1B">
        <w:t xml:space="preserve">A pre-selected subset of centers will select two staff members </w:t>
      </w:r>
      <w:r w:rsidR="00991DD5">
        <w:t xml:space="preserve">per classroom/group </w:t>
      </w:r>
      <w:r w:rsidR="00A16182" w:rsidRPr="008B2E1B">
        <w:t xml:space="preserve">in order to increase the total number of </w:t>
      </w:r>
      <w:r w:rsidR="00C76284">
        <w:t>individuals sample</w:t>
      </w:r>
      <w:r w:rsidR="008055BC">
        <w:t>d</w:t>
      </w:r>
      <w:r w:rsidR="00C76284">
        <w:t xml:space="preserve"> for the </w:t>
      </w:r>
      <w:r w:rsidR="00A16182">
        <w:t>classroom staff (</w:t>
      </w:r>
      <w:r w:rsidR="00A16182" w:rsidRPr="008B2E1B">
        <w:t>workforce</w:t>
      </w:r>
      <w:r w:rsidR="00A16182">
        <w:t>)</w:t>
      </w:r>
      <w:r w:rsidR="00A16182" w:rsidRPr="008B2E1B">
        <w:t xml:space="preserve"> survey.</w:t>
      </w:r>
      <w:r w:rsidR="00A16182">
        <w:t xml:space="preserve"> </w:t>
      </w:r>
      <w:r w:rsidR="00295A08" w:rsidRPr="00295A08">
        <w:rPr>
          <w:szCs w:val="24"/>
        </w:rPr>
        <w:t xml:space="preserve">The </w:t>
      </w:r>
      <w:r w:rsidR="004E632A">
        <w:rPr>
          <w:szCs w:val="24"/>
        </w:rPr>
        <w:t>mode</w:t>
      </w:r>
      <w:r w:rsidR="004E632A" w:rsidRPr="00295A08">
        <w:rPr>
          <w:szCs w:val="24"/>
        </w:rPr>
        <w:t xml:space="preserve"> </w:t>
      </w:r>
      <w:r w:rsidR="00C76284">
        <w:rPr>
          <w:szCs w:val="24"/>
        </w:rPr>
        <w:t xml:space="preserve">in which the </w:t>
      </w:r>
      <w:r w:rsidR="00FA3752" w:rsidRPr="00295A08">
        <w:rPr>
          <w:szCs w:val="24"/>
        </w:rPr>
        <w:t xml:space="preserve">center-based provider </w:t>
      </w:r>
      <w:r w:rsidR="0046544B">
        <w:rPr>
          <w:szCs w:val="24"/>
        </w:rPr>
        <w:t>questionnaire</w:t>
      </w:r>
      <w:r w:rsidR="0046544B" w:rsidRPr="00295A08">
        <w:rPr>
          <w:szCs w:val="24"/>
        </w:rPr>
        <w:t xml:space="preserve"> </w:t>
      </w:r>
      <w:r w:rsidR="00C76284">
        <w:rPr>
          <w:szCs w:val="24"/>
        </w:rPr>
        <w:t xml:space="preserve">is completed </w:t>
      </w:r>
      <w:r w:rsidR="00295A08" w:rsidRPr="00295A08">
        <w:rPr>
          <w:szCs w:val="24"/>
        </w:rPr>
        <w:t xml:space="preserve">and the history of prompting contacts between the field interviewer and the original center-based provider respondent will determine the </w:t>
      </w:r>
      <w:r w:rsidR="00772DFB">
        <w:rPr>
          <w:szCs w:val="24"/>
        </w:rPr>
        <w:t>initial</w:t>
      </w:r>
      <w:r w:rsidR="00295A08" w:rsidRPr="00295A08">
        <w:rPr>
          <w:szCs w:val="24"/>
        </w:rPr>
        <w:t xml:space="preserve"> outreach method for newly sampled </w:t>
      </w:r>
      <w:r w:rsidR="00C76284">
        <w:rPr>
          <w:szCs w:val="24"/>
        </w:rPr>
        <w:t xml:space="preserve">individuals for the </w:t>
      </w:r>
      <w:r w:rsidR="007D4CA5">
        <w:rPr>
          <w:szCs w:val="24"/>
        </w:rPr>
        <w:t>classroom staff (</w:t>
      </w:r>
      <w:r w:rsidR="00295A08" w:rsidRPr="00295A08">
        <w:rPr>
          <w:szCs w:val="24"/>
        </w:rPr>
        <w:t>workforce</w:t>
      </w:r>
      <w:r w:rsidR="007D4CA5">
        <w:rPr>
          <w:szCs w:val="24"/>
        </w:rPr>
        <w:t>)</w:t>
      </w:r>
      <w:r w:rsidR="00295A08" w:rsidRPr="00295A08">
        <w:rPr>
          <w:szCs w:val="24"/>
        </w:rPr>
        <w:t xml:space="preserve"> </w:t>
      </w:r>
      <w:r w:rsidR="00C76284">
        <w:rPr>
          <w:szCs w:val="24"/>
        </w:rPr>
        <w:t>questionnaire</w:t>
      </w:r>
      <w:r w:rsidR="00295A08" w:rsidRPr="00295A08">
        <w:rPr>
          <w:szCs w:val="24"/>
        </w:rPr>
        <w:t xml:space="preserve">. </w:t>
      </w:r>
      <w:r w:rsidR="006D75B8" w:rsidRPr="006D75B8">
        <w:rPr>
          <w:szCs w:val="24"/>
        </w:rPr>
        <w:t xml:space="preserve">The </w:t>
      </w:r>
      <w:r w:rsidR="00FA3752">
        <w:rPr>
          <w:szCs w:val="24"/>
        </w:rPr>
        <w:t xml:space="preserve">center-based </w:t>
      </w:r>
      <w:r w:rsidR="00826852">
        <w:rPr>
          <w:szCs w:val="24"/>
        </w:rPr>
        <w:t>questionnaire</w:t>
      </w:r>
      <w:r w:rsidR="00C76284">
        <w:rPr>
          <w:szCs w:val="24"/>
        </w:rPr>
        <w:t xml:space="preserve"> </w:t>
      </w:r>
      <w:r w:rsidR="00FA3752">
        <w:rPr>
          <w:szCs w:val="24"/>
        </w:rPr>
        <w:t>is programmed to randomly select</w:t>
      </w:r>
      <w:r w:rsidR="00826852">
        <w:rPr>
          <w:szCs w:val="24"/>
        </w:rPr>
        <w:t xml:space="preserve"> the </w:t>
      </w:r>
      <w:r w:rsidR="006D75B8" w:rsidRPr="006D75B8">
        <w:rPr>
          <w:szCs w:val="24"/>
        </w:rPr>
        <w:t>s</w:t>
      </w:r>
      <w:r w:rsidR="00BB6B03">
        <w:rPr>
          <w:szCs w:val="24"/>
        </w:rPr>
        <w:t>ampled</w:t>
      </w:r>
      <w:r w:rsidR="006D75B8" w:rsidRPr="006D75B8">
        <w:rPr>
          <w:szCs w:val="24"/>
        </w:rPr>
        <w:t xml:space="preserve"> </w:t>
      </w:r>
      <w:r w:rsidR="00826852">
        <w:rPr>
          <w:szCs w:val="24"/>
        </w:rPr>
        <w:t>staff</w:t>
      </w:r>
      <w:r w:rsidR="00FA3752">
        <w:rPr>
          <w:szCs w:val="24"/>
        </w:rPr>
        <w:t>, who will be</w:t>
      </w:r>
      <w:r w:rsidR="006D75B8" w:rsidRPr="006D75B8">
        <w:rPr>
          <w:szCs w:val="24"/>
        </w:rPr>
        <w:t xml:space="preserve"> </w:t>
      </w:r>
      <w:r w:rsidR="00FA3752">
        <w:rPr>
          <w:szCs w:val="24"/>
        </w:rPr>
        <w:t xml:space="preserve">identified </w:t>
      </w:r>
      <w:r w:rsidR="006D75B8" w:rsidRPr="006D75B8">
        <w:rPr>
          <w:szCs w:val="24"/>
        </w:rPr>
        <w:t xml:space="preserve">to the field interviewer immediately upon completion of the </w:t>
      </w:r>
      <w:r w:rsidR="00C76284">
        <w:rPr>
          <w:szCs w:val="24"/>
        </w:rPr>
        <w:t>questionnaire</w:t>
      </w:r>
      <w:r w:rsidR="006D75B8" w:rsidRPr="006D75B8">
        <w:rPr>
          <w:szCs w:val="24"/>
        </w:rPr>
        <w:t xml:space="preserve"> </w:t>
      </w:r>
      <w:r>
        <w:rPr>
          <w:szCs w:val="24"/>
        </w:rPr>
        <w:t xml:space="preserve">with the </w:t>
      </w:r>
      <w:r w:rsidR="00FA3752">
        <w:rPr>
          <w:szCs w:val="24"/>
        </w:rPr>
        <w:t xml:space="preserve">center-based provider respondent </w:t>
      </w:r>
      <w:r w:rsidR="006D75B8" w:rsidRPr="006D75B8">
        <w:rPr>
          <w:szCs w:val="24"/>
        </w:rPr>
        <w:t xml:space="preserve">so that the </w:t>
      </w:r>
      <w:r w:rsidR="006D75B8">
        <w:rPr>
          <w:szCs w:val="24"/>
        </w:rPr>
        <w:t>field interviewer</w:t>
      </w:r>
      <w:r w:rsidR="006D75B8" w:rsidRPr="006D75B8">
        <w:rPr>
          <w:szCs w:val="24"/>
        </w:rPr>
        <w:t xml:space="preserve"> may alert the </w:t>
      </w:r>
      <w:r w:rsidR="00FA3752">
        <w:rPr>
          <w:szCs w:val="24"/>
        </w:rPr>
        <w:t>respondent</w:t>
      </w:r>
      <w:r w:rsidR="00FA3752" w:rsidRPr="006D75B8">
        <w:rPr>
          <w:szCs w:val="24"/>
        </w:rPr>
        <w:t xml:space="preserve"> </w:t>
      </w:r>
      <w:r w:rsidR="006D75B8" w:rsidRPr="006D75B8">
        <w:rPr>
          <w:szCs w:val="24"/>
        </w:rPr>
        <w:t xml:space="preserve">to the fact that an additional </w:t>
      </w:r>
      <w:r w:rsidR="00237C16">
        <w:rPr>
          <w:szCs w:val="24"/>
        </w:rPr>
        <w:t>survey</w:t>
      </w:r>
      <w:r w:rsidR="00463D3D">
        <w:rPr>
          <w:szCs w:val="24"/>
        </w:rPr>
        <w:t xml:space="preserve"> (or two)</w:t>
      </w:r>
      <w:r w:rsidR="006D75B8" w:rsidRPr="006D75B8">
        <w:rPr>
          <w:szCs w:val="24"/>
        </w:rPr>
        <w:t xml:space="preserve"> is requested. </w:t>
      </w:r>
      <w:r w:rsidR="00A66FF4">
        <w:rPr>
          <w:szCs w:val="24"/>
        </w:rPr>
        <w:t xml:space="preserve">If the </w:t>
      </w:r>
      <w:r w:rsidR="00FA3752">
        <w:rPr>
          <w:szCs w:val="24"/>
        </w:rPr>
        <w:t xml:space="preserve">center-based provider questionnaire is </w:t>
      </w:r>
      <w:r w:rsidR="00A66FF4">
        <w:rPr>
          <w:szCs w:val="24"/>
        </w:rPr>
        <w:t>completed online,</w:t>
      </w:r>
      <w:r w:rsidR="00A66FF4" w:rsidRPr="00A66FF4">
        <w:rPr>
          <w:szCs w:val="24"/>
        </w:rPr>
        <w:t xml:space="preserve"> </w:t>
      </w:r>
      <w:r w:rsidR="00A66FF4">
        <w:rPr>
          <w:szCs w:val="24"/>
        </w:rPr>
        <w:t>t</w:t>
      </w:r>
      <w:r w:rsidR="00A66FF4" w:rsidRPr="006D75B8">
        <w:rPr>
          <w:szCs w:val="24"/>
        </w:rPr>
        <w:t xml:space="preserve">he sampled </w:t>
      </w:r>
      <w:r w:rsidR="00A66FF4">
        <w:rPr>
          <w:szCs w:val="24"/>
        </w:rPr>
        <w:t xml:space="preserve">classroom staff will be contacted by mail </w:t>
      </w:r>
      <w:r w:rsidR="0046544B">
        <w:rPr>
          <w:szCs w:val="24"/>
        </w:rPr>
        <w:t>(Attachment</w:t>
      </w:r>
      <w:r w:rsidR="008055BC">
        <w:rPr>
          <w:szCs w:val="24"/>
        </w:rPr>
        <w:t>s</w:t>
      </w:r>
      <w:r w:rsidR="0046544B">
        <w:rPr>
          <w:szCs w:val="24"/>
        </w:rPr>
        <w:t xml:space="preserve"> 9A</w:t>
      </w:r>
      <w:r w:rsidR="004F5752">
        <w:rPr>
          <w:szCs w:val="24"/>
        </w:rPr>
        <w:t>/</w:t>
      </w:r>
      <w:r w:rsidR="008055BC">
        <w:rPr>
          <w:szCs w:val="24"/>
        </w:rPr>
        <w:t>11A</w:t>
      </w:r>
      <w:r w:rsidR="0046544B">
        <w:rPr>
          <w:szCs w:val="24"/>
        </w:rPr>
        <w:t xml:space="preserve">) </w:t>
      </w:r>
      <w:r w:rsidR="00A66FF4">
        <w:rPr>
          <w:szCs w:val="24"/>
        </w:rPr>
        <w:t xml:space="preserve">and asked to complete the web version of the </w:t>
      </w:r>
      <w:r w:rsidR="00E435E0">
        <w:rPr>
          <w:szCs w:val="24"/>
        </w:rPr>
        <w:t xml:space="preserve">classroom staff (workforce) </w:t>
      </w:r>
      <w:r w:rsidR="00A66FF4">
        <w:rPr>
          <w:szCs w:val="24"/>
        </w:rPr>
        <w:t xml:space="preserve">questionnaire. </w:t>
      </w:r>
      <w:r w:rsidR="00A66FF4" w:rsidRPr="006D75B8">
        <w:rPr>
          <w:szCs w:val="24"/>
        </w:rPr>
        <w:t xml:space="preserve">Following the procedures </w:t>
      </w:r>
      <w:r w:rsidR="00A66FF4">
        <w:rPr>
          <w:szCs w:val="24"/>
        </w:rPr>
        <w:t>for</w:t>
      </w:r>
      <w:r w:rsidR="00A66FF4" w:rsidRPr="006D75B8">
        <w:rPr>
          <w:szCs w:val="24"/>
        </w:rPr>
        <w:t xml:space="preserve"> the </w:t>
      </w:r>
      <w:r w:rsidR="00FA3752">
        <w:rPr>
          <w:szCs w:val="24"/>
        </w:rPr>
        <w:t>center-based</w:t>
      </w:r>
      <w:r w:rsidR="00FA3752" w:rsidRPr="006D75B8">
        <w:rPr>
          <w:szCs w:val="24"/>
        </w:rPr>
        <w:t xml:space="preserve"> </w:t>
      </w:r>
      <w:r w:rsidR="00FA3752">
        <w:rPr>
          <w:szCs w:val="24"/>
        </w:rPr>
        <w:t>p</w:t>
      </w:r>
      <w:r w:rsidR="00FA3752" w:rsidRPr="006D75B8">
        <w:rPr>
          <w:szCs w:val="24"/>
        </w:rPr>
        <w:t xml:space="preserve">rovider </w:t>
      </w:r>
      <w:r w:rsidR="00FA3752">
        <w:rPr>
          <w:szCs w:val="24"/>
        </w:rPr>
        <w:t>questionnaire</w:t>
      </w:r>
      <w:r w:rsidR="00A66FF4" w:rsidRPr="006D75B8">
        <w:rPr>
          <w:szCs w:val="24"/>
        </w:rPr>
        <w:t xml:space="preserve">, members of the </w:t>
      </w:r>
      <w:r w:rsidR="00A66FF4">
        <w:rPr>
          <w:szCs w:val="24"/>
        </w:rPr>
        <w:t>classroom staff (</w:t>
      </w:r>
      <w:r w:rsidR="00A66FF4" w:rsidRPr="006D75B8">
        <w:rPr>
          <w:szCs w:val="24"/>
        </w:rPr>
        <w:t>workforce</w:t>
      </w:r>
      <w:r w:rsidR="00A66FF4">
        <w:rPr>
          <w:szCs w:val="24"/>
        </w:rPr>
        <w:t>)</w:t>
      </w:r>
      <w:r w:rsidR="00A66FF4" w:rsidRPr="006D75B8">
        <w:rPr>
          <w:szCs w:val="24"/>
        </w:rPr>
        <w:t xml:space="preserve"> sample will receive up to three mailings (sent to the address of the provider) to solicit participation</w:t>
      </w:r>
      <w:r w:rsidR="0090311B">
        <w:rPr>
          <w:szCs w:val="24"/>
        </w:rPr>
        <w:t xml:space="preserve"> (Attachments 9A-C</w:t>
      </w:r>
      <w:r w:rsidR="004F5752">
        <w:rPr>
          <w:szCs w:val="24"/>
        </w:rPr>
        <w:t>/</w:t>
      </w:r>
      <w:r w:rsidR="008055BC">
        <w:rPr>
          <w:szCs w:val="24"/>
        </w:rPr>
        <w:t>11A-C</w:t>
      </w:r>
      <w:r w:rsidR="0090311B">
        <w:rPr>
          <w:szCs w:val="24"/>
        </w:rPr>
        <w:t>)</w:t>
      </w:r>
      <w:r w:rsidR="00A66FF4" w:rsidRPr="006D75B8">
        <w:rPr>
          <w:szCs w:val="24"/>
        </w:rPr>
        <w:t xml:space="preserve">. </w:t>
      </w:r>
      <w:r w:rsidR="008116FE">
        <w:rPr>
          <w:szCs w:val="24"/>
        </w:rPr>
        <w:t>A field interviewer will contact s</w:t>
      </w:r>
      <w:r w:rsidR="00A66FF4" w:rsidRPr="006D75B8">
        <w:rPr>
          <w:szCs w:val="24"/>
        </w:rPr>
        <w:t>ample</w:t>
      </w:r>
      <w:r w:rsidR="00811360">
        <w:rPr>
          <w:szCs w:val="24"/>
        </w:rPr>
        <w:t>d providers</w:t>
      </w:r>
      <w:r w:rsidR="00A66FF4" w:rsidRPr="006D75B8">
        <w:rPr>
          <w:szCs w:val="24"/>
        </w:rPr>
        <w:t xml:space="preserve"> who have not completed the survey after the </w:t>
      </w:r>
      <w:r w:rsidR="00731BB1">
        <w:rPr>
          <w:szCs w:val="24"/>
        </w:rPr>
        <w:t xml:space="preserve">initial </w:t>
      </w:r>
      <w:r w:rsidR="00A66FF4" w:rsidRPr="006D75B8">
        <w:rPr>
          <w:szCs w:val="24"/>
        </w:rPr>
        <w:t xml:space="preserve">three </w:t>
      </w:r>
      <w:r w:rsidR="008116FE">
        <w:rPr>
          <w:szCs w:val="24"/>
        </w:rPr>
        <w:t xml:space="preserve">mail </w:t>
      </w:r>
      <w:r w:rsidR="00731BB1">
        <w:rPr>
          <w:szCs w:val="24"/>
        </w:rPr>
        <w:t xml:space="preserve">contacts </w:t>
      </w:r>
      <w:r w:rsidR="00A66FF4" w:rsidRPr="006D75B8">
        <w:rPr>
          <w:szCs w:val="24"/>
        </w:rPr>
        <w:t xml:space="preserve">by telephone </w:t>
      </w:r>
      <w:r w:rsidR="00295A08">
        <w:t>to gain</w:t>
      </w:r>
      <w:r w:rsidR="00295A08" w:rsidRPr="00795751">
        <w:t xml:space="preserve"> cooperation and </w:t>
      </w:r>
      <w:r w:rsidR="00295A08">
        <w:t>prompt</w:t>
      </w:r>
      <w:r w:rsidR="008116FE">
        <w:t xml:space="preserve"> them</w:t>
      </w:r>
      <w:r w:rsidR="00295A08">
        <w:t xml:space="preserve"> to complete the</w:t>
      </w:r>
      <w:r w:rsidR="00C76284">
        <w:t xml:space="preserve"> questionnaire by web</w:t>
      </w:r>
      <w:r w:rsidR="00A66FF4" w:rsidRPr="006D75B8">
        <w:rPr>
          <w:szCs w:val="24"/>
        </w:rPr>
        <w:t xml:space="preserve">. </w:t>
      </w:r>
      <w:r w:rsidR="006D75B8" w:rsidRPr="006D75B8">
        <w:rPr>
          <w:szCs w:val="24"/>
        </w:rPr>
        <w:t xml:space="preserve">If </w:t>
      </w:r>
      <w:r w:rsidR="00A66FF4">
        <w:rPr>
          <w:szCs w:val="24"/>
        </w:rPr>
        <w:t xml:space="preserve">the </w:t>
      </w:r>
      <w:r w:rsidR="00F9551C">
        <w:rPr>
          <w:szCs w:val="24"/>
        </w:rPr>
        <w:t>c</w:t>
      </w:r>
      <w:r w:rsidR="00A66FF4">
        <w:rPr>
          <w:szCs w:val="24"/>
        </w:rPr>
        <w:t>enter-</w:t>
      </w:r>
      <w:r w:rsidR="00F9551C">
        <w:rPr>
          <w:szCs w:val="24"/>
        </w:rPr>
        <w:t>b</w:t>
      </w:r>
      <w:r w:rsidR="00A66FF4">
        <w:rPr>
          <w:szCs w:val="24"/>
        </w:rPr>
        <w:t xml:space="preserve">ased </w:t>
      </w:r>
      <w:r w:rsidR="00F9551C">
        <w:rPr>
          <w:szCs w:val="24"/>
        </w:rPr>
        <w:t>p</w:t>
      </w:r>
      <w:r w:rsidR="00A66FF4">
        <w:rPr>
          <w:szCs w:val="24"/>
        </w:rPr>
        <w:t xml:space="preserve">rovider </w:t>
      </w:r>
      <w:r w:rsidR="00C76284">
        <w:rPr>
          <w:szCs w:val="24"/>
        </w:rPr>
        <w:t>questionnaire</w:t>
      </w:r>
      <w:r w:rsidR="00A66FF4">
        <w:rPr>
          <w:szCs w:val="24"/>
        </w:rPr>
        <w:t xml:space="preserve"> </w:t>
      </w:r>
      <w:r w:rsidR="00FA3752">
        <w:rPr>
          <w:szCs w:val="24"/>
        </w:rPr>
        <w:t xml:space="preserve">is </w:t>
      </w:r>
      <w:r w:rsidR="00A66FF4">
        <w:rPr>
          <w:szCs w:val="24"/>
        </w:rPr>
        <w:t>completed in person</w:t>
      </w:r>
      <w:r w:rsidR="006D75B8" w:rsidRPr="006D75B8">
        <w:rPr>
          <w:szCs w:val="24"/>
        </w:rPr>
        <w:t xml:space="preserve">, the </w:t>
      </w:r>
      <w:r w:rsidR="006D75B8">
        <w:rPr>
          <w:szCs w:val="24"/>
        </w:rPr>
        <w:t>field interviewer</w:t>
      </w:r>
      <w:r w:rsidR="006D75B8" w:rsidRPr="006D75B8">
        <w:rPr>
          <w:szCs w:val="24"/>
        </w:rPr>
        <w:t xml:space="preserve"> will attempt contact with the sampled </w:t>
      </w:r>
      <w:r w:rsidR="00E435E0">
        <w:rPr>
          <w:szCs w:val="24"/>
        </w:rPr>
        <w:t xml:space="preserve">classroom </w:t>
      </w:r>
      <w:r w:rsidR="00826852">
        <w:rPr>
          <w:szCs w:val="24"/>
        </w:rPr>
        <w:t>staff</w:t>
      </w:r>
      <w:r w:rsidR="006D75B8" w:rsidRPr="006D75B8">
        <w:rPr>
          <w:szCs w:val="24"/>
        </w:rPr>
        <w:t xml:space="preserve"> at that time. </w:t>
      </w:r>
      <w:r w:rsidR="00C76284">
        <w:rPr>
          <w:szCs w:val="24"/>
        </w:rPr>
        <w:t>If sampled individuals are</w:t>
      </w:r>
      <w:r w:rsidR="006D75B8" w:rsidRPr="006D75B8">
        <w:rPr>
          <w:szCs w:val="24"/>
        </w:rPr>
        <w:t xml:space="preserve"> not immediately available at the tim</w:t>
      </w:r>
      <w:r w:rsidR="00C76284">
        <w:rPr>
          <w:szCs w:val="24"/>
        </w:rPr>
        <w:t>e</w:t>
      </w:r>
      <w:r w:rsidR="006D75B8" w:rsidRPr="006D75B8">
        <w:rPr>
          <w:szCs w:val="24"/>
        </w:rPr>
        <w:t xml:space="preserve"> the </w:t>
      </w:r>
      <w:r w:rsidR="0027312A">
        <w:rPr>
          <w:szCs w:val="24"/>
        </w:rPr>
        <w:t>center-based provider</w:t>
      </w:r>
      <w:r w:rsidR="0027312A" w:rsidRPr="006D75B8">
        <w:rPr>
          <w:szCs w:val="24"/>
        </w:rPr>
        <w:t xml:space="preserve"> </w:t>
      </w:r>
      <w:r w:rsidR="006D75B8" w:rsidRPr="006D75B8">
        <w:rPr>
          <w:szCs w:val="24"/>
        </w:rPr>
        <w:t>questionnair</w:t>
      </w:r>
      <w:r w:rsidR="00C76284">
        <w:rPr>
          <w:szCs w:val="24"/>
        </w:rPr>
        <w:t xml:space="preserve">e is completed, they </w:t>
      </w:r>
      <w:r w:rsidR="006D75B8" w:rsidRPr="006D75B8">
        <w:rPr>
          <w:szCs w:val="24"/>
        </w:rPr>
        <w:t xml:space="preserve">will </w:t>
      </w:r>
      <w:r w:rsidR="00A66FF4">
        <w:rPr>
          <w:szCs w:val="24"/>
        </w:rPr>
        <w:t xml:space="preserve">be invited to complete the web version of the </w:t>
      </w:r>
      <w:r w:rsidR="0027312A">
        <w:rPr>
          <w:szCs w:val="24"/>
        </w:rPr>
        <w:t>classroom</w:t>
      </w:r>
      <w:r w:rsidR="00CD6F39">
        <w:rPr>
          <w:szCs w:val="24"/>
        </w:rPr>
        <w:t xml:space="preserve"> </w:t>
      </w:r>
      <w:r w:rsidR="0027312A">
        <w:rPr>
          <w:szCs w:val="24"/>
        </w:rPr>
        <w:t xml:space="preserve">staff (workforce) </w:t>
      </w:r>
      <w:r w:rsidR="00A66FF4">
        <w:rPr>
          <w:szCs w:val="24"/>
        </w:rPr>
        <w:t>questionnaire and rece</w:t>
      </w:r>
      <w:r w:rsidR="000C1077">
        <w:rPr>
          <w:szCs w:val="24"/>
        </w:rPr>
        <w:t>i</w:t>
      </w:r>
      <w:r w:rsidR="00A66FF4">
        <w:rPr>
          <w:szCs w:val="24"/>
        </w:rPr>
        <w:t xml:space="preserve">ve the same three mailings described above </w:t>
      </w:r>
      <w:r w:rsidR="0090311B">
        <w:rPr>
          <w:szCs w:val="24"/>
        </w:rPr>
        <w:t>(Attachments 9A-C</w:t>
      </w:r>
      <w:r w:rsidR="004F5752">
        <w:rPr>
          <w:szCs w:val="24"/>
        </w:rPr>
        <w:t>/</w:t>
      </w:r>
      <w:r w:rsidR="008055BC">
        <w:rPr>
          <w:szCs w:val="24"/>
        </w:rPr>
        <w:t>11A-C</w:t>
      </w:r>
      <w:r w:rsidR="0090311B">
        <w:rPr>
          <w:szCs w:val="24"/>
        </w:rPr>
        <w:t xml:space="preserve">) </w:t>
      </w:r>
      <w:r w:rsidR="00A66FF4">
        <w:rPr>
          <w:szCs w:val="24"/>
        </w:rPr>
        <w:t>before the case is assigned to a f</w:t>
      </w:r>
      <w:r w:rsidR="00084F33">
        <w:rPr>
          <w:szCs w:val="24"/>
        </w:rPr>
        <w:t>ield interviewer for prompting.</w:t>
      </w:r>
    </w:p>
    <w:p w14:paraId="765A5BBB" w14:textId="38BB10A8" w:rsidR="00862B62" w:rsidRDefault="00862B62" w:rsidP="00C45EF7">
      <w:pPr>
        <w:pStyle w:val="Heading3"/>
      </w:pPr>
      <w:bookmarkStart w:id="24" w:name="_Toc520896118"/>
      <w:r>
        <w:t>3.</w:t>
      </w:r>
      <w:r w:rsidR="00DB19B4">
        <w:tab/>
      </w:r>
      <w:r>
        <w:t xml:space="preserve">Methods to Maximize Response Rates and </w:t>
      </w:r>
      <w:r w:rsidR="00586193">
        <w:t>Address</w:t>
      </w:r>
      <w:r>
        <w:t xml:space="preserve"> Nonresponse</w:t>
      </w:r>
      <w:bookmarkEnd w:id="24"/>
    </w:p>
    <w:p w14:paraId="613595E7" w14:textId="77777777" w:rsidR="00EC6241" w:rsidRPr="00990E7A" w:rsidRDefault="00EC6241" w:rsidP="00C45EF7">
      <w:pPr>
        <w:pStyle w:val="Heading4"/>
      </w:pPr>
      <w:bookmarkStart w:id="25" w:name="_Toc511036872"/>
      <w:bookmarkStart w:id="26" w:name="_Toc520896119"/>
      <w:r w:rsidRPr="00990E7A">
        <w:t>Maximizing Response Rates</w:t>
      </w:r>
      <w:bookmarkEnd w:id="25"/>
      <w:bookmarkEnd w:id="26"/>
      <w:r w:rsidRPr="00990E7A">
        <w:t xml:space="preserve"> </w:t>
      </w:r>
    </w:p>
    <w:p w14:paraId="5FC4A32C" w14:textId="407382DF" w:rsidR="00692CFC" w:rsidRDefault="00FC1B10" w:rsidP="00C45EF7">
      <w:pPr>
        <w:pStyle w:val="BodyText"/>
      </w:pPr>
      <w:r w:rsidRPr="003A5ACD">
        <w:t xml:space="preserve">Several issues in the </w:t>
      </w:r>
      <w:r w:rsidR="00E435E0">
        <w:t xml:space="preserve">2019 </w:t>
      </w:r>
      <w:r w:rsidRPr="003A5ACD">
        <w:t xml:space="preserve">NSECE data collection make </w:t>
      </w:r>
      <w:r w:rsidR="008760CE">
        <w:t xml:space="preserve">it challenging to </w:t>
      </w:r>
      <w:r w:rsidRPr="003A5ACD">
        <w:t>achiev</w:t>
      </w:r>
      <w:r w:rsidR="00F9551C">
        <w:t>e</w:t>
      </w:r>
      <w:r w:rsidRPr="003A5ACD">
        <w:t xml:space="preserve"> </w:t>
      </w:r>
      <w:r w:rsidR="008760CE">
        <w:t>high</w:t>
      </w:r>
      <w:r w:rsidRPr="003A5ACD">
        <w:t xml:space="preserve"> response rate</w:t>
      </w:r>
      <w:r w:rsidR="008760CE">
        <w:t>s</w:t>
      </w:r>
      <w:r w:rsidRPr="003A5ACD">
        <w:t xml:space="preserve">: the </w:t>
      </w:r>
      <w:r w:rsidR="00E435E0">
        <w:t>limited</w:t>
      </w:r>
      <w:r w:rsidR="00E435E0" w:rsidRPr="003A5ACD">
        <w:t xml:space="preserve"> </w:t>
      </w:r>
      <w:r w:rsidRPr="003A5ACD">
        <w:t>data collection period</w:t>
      </w:r>
      <w:r w:rsidR="00E435E0">
        <w:t>,</w:t>
      </w:r>
      <w:r w:rsidR="00952D6F">
        <w:t xml:space="preserve"> </w:t>
      </w:r>
      <w:r w:rsidRPr="003A5ACD">
        <w:t xml:space="preserve">the </w:t>
      </w:r>
      <w:r w:rsidR="00E435E0">
        <w:t>high in</w:t>
      </w:r>
      <w:r w:rsidR="00E435E0" w:rsidRPr="003A5ACD">
        <w:t>eligib</w:t>
      </w:r>
      <w:r w:rsidR="00E435E0">
        <w:t>ility</w:t>
      </w:r>
      <w:r w:rsidR="00E435E0" w:rsidRPr="003A5ACD">
        <w:t xml:space="preserve"> </w:t>
      </w:r>
      <w:r w:rsidRPr="003A5ACD">
        <w:t xml:space="preserve">rate of </w:t>
      </w:r>
      <w:r w:rsidR="00F01ACE">
        <w:t>household</w:t>
      </w:r>
      <w:r w:rsidR="00056B91">
        <w:t>s</w:t>
      </w:r>
      <w:r w:rsidR="00F01ACE">
        <w:t xml:space="preserve"> and </w:t>
      </w:r>
      <w:r w:rsidR="003C23E2">
        <w:t>home-based provider</w:t>
      </w:r>
      <w:r w:rsidR="00F9551C">
        <w:t>s,</w:t>
      </w:r>
      <w:r w:rsidR="00E435E0">
        <w:t xml:space="preserve"> and the demanding schedules of </w:t>
      </w:r>
      <w:r w:rsidR="00F9551C">
        <w:t xml:space="preserve">all </w:t>
      </w:r>
      <w:r w:rsidR="00241357">
        <w:t xml:space="preserve">four </w:t>
      </w:r>
      <w:r w:rsidR="00F9551C">
        <w:t>sample groups</w:t>
      </w:r>
      <w:r w:rsidRPr="003A5ACD">
        <w:t xml:space="preserve">. </w:t>
      </w:r>
      <w:r w:rsidR="00F85137">
        <w:t>Current</w:t>
      </w:r>
      <w:r w:rsidR="00F85137" w:rsidRPr="003A5ACD">
        <w:t xml:space="preserve"> </w:t>
      </w:r>
      <w:r w:rsidRPr="003A5ACD">
        <w:t xml:space="preserve">phone technologies make reaching potential respondents </w:t>
      </w:r>
      <w:r w:rsidR="00CA5108">
        <w:t>difficult</w:t>
      </w:r>
      <w:r w:rsidRPr="003A5ACD">
        <w:t xml:space="preserve">, and concerns about privacy make them less willing to participate. </w:t>
      </w:r>
      <w:r w:rsidR="00692CFC">
        <w:t>For center-based providers, concerns include reluctance to disclose competitive information such as staff qualifications and prices charged to parents, burden from various regulatory reporting requirements, site visits and inspections, and other government-supported data collections.</w:t>
      </w:r>
    </w:p>
    <w:p w14:paraId="4EF135FF" w14:textId="2250888E" w:rsidR="00BF5E69" w:rsidRDefault="00BF5E69" w:rsidP="00C45EF7">
      <w:pPr>
        <w:pStyle w:val="BodyText"/>
      </w:pPr>
      <w:r>
        <w:t xml:space="preserve">The </w:t>
      </w:r>
      <w:r w:rsidR="00E435E0">
        <w:t xml:space="preserve">2019 </w:t>
      </w:r>
      <w:r>
        <w:t>NSECE project</w:t>
      </w:r>
      <w:r w:rsidR="00C60235">
        <w:t>’s</w:t>
      </w:r>
      <w:r>
        <w:t xml:space="preserve"> approach to maximizing response rates will emphasize reducing the perceived costs of participation to sampled individuals, and increasing the perceived benefits of doing so. The mixed-mode data collection approach offers respondents a range of methods and therefore locations and times for participating in the </w:t>
      </w:r>
      <w:r w:rsidR="00796BA4">
        <w:t xml:space="preserve">2019 </w:t>
      </w:r>
      <w:r>
        <w:t>survey</w:t>
      </w:r>
      <w:r w:rsidR="00796BA4">
        <w:t>s</w:t>
      </w:r>
      <w:r>
        <w:t>. Clear communication o</w:t>
      </w:r>
      <w:r w:rsidR="00772DFB">
        <w:t xml:space="preserve">f </w:t>
      </w:r>
      <w:r>
        <w:t>privacy protections should further reduce the perceived costs of participation.</w:t>
      </w:r>
      <w:r w:rsidR="00753D86">
        <w:t xml:space="preserve"> </w:t>
      </w:r>
      <w:r w:rsidR="009E0C64">
        <w:t xml:space="preserve">We will also closely monitor data collection production </w:t>
      </w:r>
      <w:r w:rsidR="00E673FE">
        <w:t>to understand on-going sample representativeness.</w:t>
      </w:r>
    </w:p>
    <w:p w14:paraId="2BE0035F" w14:textId="0F70CB38" w:rsidR="00FC1B10" w:rsidRDefault="00FC1B10" w:rsidP="00C45EF7">
      <w:pPr>
        <w:pStyle w:val="BodyText"/>
      </w:pPr>
      <w:r w:rsidRPr="003A5ACD">
        <w:t xml:space="preserve">Below are some steps that will be taken prior to the start of </w:t>
      </w:r>
      <w:r w:rsidR="009B4CAE">
        <w:t xml:space="preserve">main </w:t>
      </w:r>
      <w:r w:rsidRPr="003A5ACD">
        <w:t>data collection to fac</w:t>
      </w:r>
      <w:r w:rsidR="00084F33">
        <w:t>ilitate cooperation</w:t>
      </w:r>
      <w:r w:rsidR="008116FE">
        <w:t xml:space="preserve"> across all sample types</w:t>
      </w:r>
      <w:r w:rsidR="00084F33">
        <w:t>.</w:t>
      </w:r>
    </w:p>
    <w:p w14:paraId="4BEE2C9A" w14:textId="7BE20C1A" w:rsidR="00FC1B10" w:rsidRPr="003A5ACD" w:rsidRDefault="00FC1B10" w:rsidP="00C45EF7">
      <w:pPr>
        <w:pStyle w:val="ListBullet"/>
      </w:pPr>
      <w:r w:rsidRPr="003A5ACD">
        <w:rPr>
          <w:i/>
        </w:rPr>
        <w:t>Compelling contact materials</w:t>
      </w:r>
      <w:r w:rsidRPr="003A5ACD">
        <w:t xml:space="preserve">: </w:t>
      </w:r>
      <w:r w:rsidR="00D63631">
        <w:t>C</w:t>
      </w:r>
      <w:r w:rsidRPr="003A5ACD">
        <w:t xml:space="preserve">ontact materials </w:t>
      </w:r>
      <w:r w:rsidR="00D63631">
        <w:t>are designed to</w:t>
      </w:r>
      <w:r w:rsidRPr="003A5ACD">
        <w:t xml:space="preserve"> foster a successful first encounter with </w:t>
      </w:r>
      <w:r w:rsidR="00796BA4">
        <w:t xml:space="preserve">each </w:t>
      </w:r>
      <w:r w:rsidR="0055694E">
        <w:t>individual</w:t>
      </w:r>
      <w:r w:rsidR="0055694E" w:rsidRPr="003A5ACD">
        <w:t xml:space="preserve"> </w:t>
      </w:r>
      <w:r w:rsidRPr="003A5ACD">
        <w:t xml:space="preserve">by communicating the importance of the study for </w:t>
      </w:r>
      <w:r w:rsidR="00796BA4">
        <w:t>the different sample</w:t>
      </w:r>
      <w:r w:rsidRPr="003A5ACD">
        <w:t xml:space="preserve"> group</w:t>
      </w:r>
      <w:r w:rsidR="00796BA4">
        <w:t>s</w:t>
      </w:r>
      <w:r w:rsidRPr="003A5ACD">
        <w:t xml:space="preserve"> and anticipating concerns l</w:t>
      </w:r>
      <w:r w:rsidR="00084F33">
        <w:t>ikely to prevent participation.</w:t>
      </w:r>
    </w:p>
    <w:p w14:paraId="0B31E8AA" w14:textId="5FB43135" w:rsidR="00FC1B10" w:rsidRPr="003A5ACD" w:rsidRDefault="00FC1B10" w:rsidP="00C45EF7">
      <w:pPr>
        <w:pStyle w:val="ListBullet"/>
      </w:pPr>
      <w:r w:rsidRPr="003A5ACD">
        <w:rPr>
          <w:i/>
        </w:rPr>
        <w:t>Strategic interviewer trainings</w:t>
      </w:r>
      <w:r w:rsidRPr="003A5ACD">
        <w:t xml:space="preserve">: </w:t>
      </w:r>
      <w:r w:rsidR="00CD6F39">
        <w:t>B</w:t>
      </w:r>
      <w:r w:rsidRPr="003A5ACD">
        <w:t xml:space="preserve">ecause the first few seconds of each call or in-person visit are crucial, </w:t>
      </w:r>
      <w:r w:rsidR="00284FC0">
        <w:t>the project</w:t>
      </w:r>
      <w:r w:rsidR="00284FC0" w:rsidRPr="003A5ACD">
        <w:t xml:space="preserve"> </w:t>
      </w:r>
      <w:r w:rsidRPr="003A5ACD">
        <w:t>conducts innovative interviewer trainings designed to produce effective interviewers equipped with skills and information to build rapport with potential respondents and avert refusals.</w:t>
      </w:r>
    </w:p>
    <w:p w14:paraId="14B777A2" w14:textId="3C8CB79F" w:rsidR="00FC1B10" w:rsidRDefault="00F85137" w:rsidP="00C45EF7">
      <w:pPr>
        <w:pStyle w:val="ListBullet"/>
      </w:pPr>
      <w:r>
        <w:rPr>
          <w:i/>
        </w:rPr>
        <w:t>Honorarium</w:t>
      </w:r>
      <w:r w:rsidRPr="003A5ACD">
        <w:rPr>
          <w:i/>
        </w:rPr>
        <w:t xml:space="preserve"> </w:t>
      </w:r>
      <w:r w:rsidR="00FC1B10" w:rsidRPr="003A5ACD">
        <w:rPr>
          <w:i/>
        </w:rPr>
        <w:t>plan</w:t>
      </w:r>
      <w:r w:rsidR="00FC1B10" w:rsidRPr="003A5ACD">
        <w:t xml:space="preserve">: </w:t>
      </w:r>
      <w:r w:rsidR="00845174">
        <w:t xml:space="preserve">ACF includes the use of honoraria as a part of the overall data collection strategy based on </w:t>
      </w:r>
      <w:r w:rsidR="00FC1B10" w:rsidRPr="003A5ACD">
        <w:t xml:space="preserve">a number of </w:t>
      </w:r>
      <w:r w:rsidR="00845174">
        <w:t xml:space="preserve">experiments </w:t>
      </w:r>
      <w:r w:rsidR="00F9551C">
        <w:t xml:space="preserve">conducted </w:t>
      </w:r>
      <w:r w:rsidR="0039013C">
        <w:t>d</w:t>
      </w:r>
      <w:r w:rsidR="0039013C" w:rsidRPr="003A5ACD">
        <w:t xml:space="preserve">uring the </w:t>
      </w:r>
      <w:r w:rsidR="0039013C">
        <w:t xml:space="preserve">2012 NSECE </w:t>
      </w:r>
      <w:r w:rsidR="0039013C" w:rsidRPr="003A5ACD">
        <w:t>field test</w:t>
      </w:r>
      <w:r w:rsidR="00284FC0">
        <w:t xml:space="preserve"> and</w:t>
      </w:r>
      <w:r w:rsidR="00845174">
        <w:t xml:space="preserve"> on outcomes of the 2012 NSECE data collection.</w:t>
      </w:r>
      <w:r w:rsidR="0039013C">
        <w:t xml:space="preserve"> </w:t>
      </w:r>
      <w:r w:rsidR="009B4CAE">
        <w:t>The</w:t>
      </w:r>
      <w:r w:rsidR="00C07514">
        <w:t>se</w:t>
      </w:r>
      <w:r w:rsidR="009B4CAE">
        <w:t xml:space="preserve"> strongly suggest </w:t>
      </w:r>
      <w:r w:rsidR="00C07514">
        <w:t>that honoraria are</w:t>
      </w:r>
      <w:r>
        <w:t xml:space="preserve"> </w:t>
      </w:r>
      <w:r w:rsidR="00C07514">
        <w:t xml:space="preserve">an important tool in </w:t>
      </w:r>
      <w:r w:rsidR="009B4CAE">
        <w:t xml:space="preserve">securing cooperation </w:t>
      </w:r>
      <w:r w:rsidR="00BF60ED">
        <w:t>with professional staff</w:t>
      </w:r>
      <w:r w:rsidR="00C07514">
        <w:t>.</w:t>
      </w:r>
      <w:r w:rsidR="00BA7625">
        <w:t xml:space="preserve"> </w:t>
      </w:r>
      <w:r w:rsidR="00284FC0">
        <w:t>Please refer to Supporting Statement A for more details.</w:t>
      </w:r>
    </w:p>
    <w:p w14:paraId="054EF567" w14:textId="6D11704D" w:rsidR="008B2FCA" w:rsidRPr="003A5ACD" w:rsidRDefault="008B2FCA" w:rsidP="006D2207">
      <w:pPr>
        <w:pStyle w:val="ListBullet"/>
        <w:numPr>
          <w:ilvl w:val="0"/>
          <w:numId w:val="21"/>
        </w:numPr>
      </w:pPr>
      <w:r w:rsidRPr="006D2207">
        <w:rPr>
          <w:i/>
        </w:rPr>
        <w:t>Incentive plan</w:t>
      </w:r>
      <w:r w:rsidRPr="006D2207">
        <w:t>:</w:t>
      </w:r>
      <w:r w:rsidRPr="006D2207">
        <w:rPr>
          <w:i/>
        </w:rPr>
        <w:t xml:space="preserve"> </w:t>
      </w:r>
      <w:r>
        <w:t xml:space="preserve">ACF also </w:t>
      </w:r>
      <w:r w:rsidR="008116FE">
        <w:t xml:space="preserve">incorporates </w:t>
      </w:r>
      <w:r>
        <w:t xml:space="preserve">incentives and </w:t>
      </w:r>
      <w:r w:rsidR="006D2207">
        <w:t>i</w:t>
      </w:r>
      <w:r w:rsidR="006D2207" w:rsidRPr="006D2207">
        <w:t xml:space="preserve">n-kind gifts, such as crayons and coloring books, or small gifts like </w:t>
      </w:r>
      <w:r w:rsidR="008116FE">
        <w:t>little</w:t>
      </w:r>
      <w:r w:rsidR="006D2207" w:rsidRPr="006D2207">
        <w:t xml:space="preserve"> plants </w:t>
      </w:r>
      <w:r w:rsidR="006D2207">
        <w:t xml:space="preserve">to </w:t>
      </w:r>
      <w:r w:rsidR="006D2207" w:rsidRPr="006D2207">
        <w:t>help open doors and begin conversations.</w:t>
      </w:r>
      <w:r w:rsidR="006D2207">
        <w:t xml:space="preserve"> These small </w:t>
      </w:r>
      <w:r w:rsidR="006D2207" w:rsidRPr="009965CA">
        <w:t xml:space="preserve">gifts build rapport and gain trust with </w:t>
      </w:r>
      <w:r w:rsidR="008116FE">
        <w:t>respondents</w:t>
      </w:r>
      <w:r w:rsidR="006D2207" w:rsidRPr="009965CA">
        <w:t xml:space="preserve"> who are reluctant to participate</w:t>
      </w:r>
      <w:r w:rsidR="00E673FE">
        <w:t xml:space="preserve">, </w:t>
      </w:r>
      <w:r w:rsidR="006D2207">
        <w:t xml:space="preserve">provide additional contact information </w:t>
      </w:r>
      <w:r w:rsidR="00E921F4">
        <w:t>for additional follow up</w:t>
      </w:r>
      <w:r w:rsidR="00E673FE">
        <w:t>, and give interviewers additional reasons to re</w:t>
      </w:r>
      <w:r w:rsidR="00695C0B">
        <w:t>-</w:t>
      </w:r>
      <w:r w:rsidR="00E673FE">
        <w:t>contact respondents</w:t>
      </w:r>
      <w:r w:rsidR="006D2207" w:rsidRPr="009965CA">
        <w:t>.</w:t>
      </w:r>
      <w:r w:rsidR="006D2207">
        <w:t xml:space="preserve"> Please see Supporting Statement A for more information.</w:t>
      </w:r>
    </w:p>
    <w:p w14:paraId="5D754C54" w14:textId="77777777" w:rsidR="00692CFC" w:rsidRDefault="00692CFC" w:rsidP="00C45EF7">
      <w:pPr>
        <w:pStyle w:val="BodyText-NoSpaceAfter"/>
      </w:pPr>
    </w:p>
    <w:p w14:paraId="77FE217B" w14:textId="46BADF06" w:rsidR="00692CFC" w:rsidRDefault="00FF05AA" w:rsidP="0060659E">
      <w:pPr>
        <w:pStyle w:val="BodyText"/>
      </w:pPr>
      <w:r>
        <w:t>In addition to planning in advance of data collection, we will implement</w:t>
      </w:r>
      <w:r w:rsidR="00C404EF" w:rsidRPr="00692CFC">
        <w:t xml:space="preserve"> </w:t>
      </w:r>
      <w:r w:rsidR="00FF149F">
        <w:t>a systematic production monitoring effort</w:t>
      </w:r>
      <w:r w:rsidR="00FF149F" w:rsidRPr="00692CFC">
        <w:t xml:space="preserve"> </w:t>
      </w:r>
      <w:r>
        <w:t xml:space="preserve">during data collection that </w:t>
      </w:r>
      <w:r w:rsidR="00FC1B10" w:rsidRPr="00692CFC">
        <w:t xml:space="preserve">will </w:t>
      </w:r>
      <w:r w:rsidR="00FF149F">
        <w:t>also contribute to</w:t>
      </w:r>
      <w:r w:rsidR="00FC1B10" w:rsidRPr="00692CFC">
        <w:t xml:space="preserve"> maximiz</w:t>
      </w:r>
      <w:r w:rsidR="00FF149F">
        <w:t>ing</w:t>
      </w:r>
      <w:r w:rsidR="00FC1B10" w:rsidRPr="00692CFC">
        <w:t xml:space="preserve"> response rates. </w:t>
      </w:r>
      <w:r w:rsidR="00284FC0">
        <w:t>Specifically, d</w:t>
      </w:r>
      <w:r w:rsidR="00FC1B10" w:rsidRPr="00692CFC">
        <w:t xml:space="preserve">ata collection progress will be monitored using </w:t>
      </w:r>
      <w:r w:rsidR="00BF5E69">
        <w:t>automated</w:t>
      </w:r>
      <w:r w:rsidR="00FC1B10" w:rsidRPr="00692CFC">
        <w:t xml:space="preserve"> cost and production mechanisms for tracking sample and oversample targets, including monitoring sample progres</w:t>
      </w:r>
      <w:r w:rsidR="00BF5E69">
        <w:t>s</w:t>
      </w:r>
      <w:r w:rsidR="00B82BEC">
        <w:t xml:space="preserve"> and representativeness</w:t>
      </w:r>
      <w:r w:rsidR="00BF5E69">
        <w:t>, and where necessary, diagnosing</w:t>
      </w:r>
      <w:r w:rsidR="00FC1B10" w:rsidRPr="00692CFC">
        <w:t xml:space="preserve"> </w:t>
      </w:r>
      <w:r w:rsidR="00B82BEC">
        <w:t>issues</w:t>
      </w:r>
      <w:r w:rsidR="00FC1B10" w:rsidRPr="00692CFC">
        <w:t xml:space="preserve"> and develop</w:t>
      </w:r>
      <w:r w:rsidR="00BF5E69">
        <w:t>ing</w:t>
      </w:r>
      <w:r w:rsidR="00FC1B10" w:rsidRPr="00692CFC">
        <w:t xml:space="preserve"> plan</w:t>
      </w:r>
      <w:r w:rsidR="00B82BEC">
        <w:t>s</w:t>
      </w:r>
      <w:r w:rsidR="00FC1B10" w:rsidRPr="00692CFC">
        <w:t xml:space="preserve"> to </w:t>
      </w:r>
      <w:r w:rsidR="00B82BEC">
        <w:t>mitigate</w:t>
      </w:r>
      <w:r w:rsidR="00B82BEC" w:rsidRPr="00692CFC">
        <w:t xml:space="preserve"> </w:t>
      </w:r>
      <w:r w:rsidR="00B82BEC">
        <w:t>unwanted</w:t>
      </w:r>
      <w:r w:rsidR="00B82BEC" w:rsidRPr="00692CFC">
        <w:t xml:space="preserve"> </w:t>
      </w:r>
      <w:r w:rsidR="00FC1B10" w:rsidRPr="00692CFC">
        <w:t>trend</w:t>
      </w:r>
      <w:r w:rsidR="00B82BEC">
        <w:t>s</w:t>
      </w:r>
      <w:r w:rsidR="00084F33">
        <w:t>.</w:t>
      </w:r>
      <w:r>
        <w:t xml:space="preserve">  Exhibits 7 and 8 demonstrate for the </w:t>
      </w:r>
      <w:r w:rsidR="004A4408">
        <w:t>h</w:t>
      </w:r>
      <w:r>
        <w:t xml:space="preserve">ousehold </w:t>
      </w:r>
      <w:r w:rsidR="004A4408">
        <w:t>s</w:t>
      </w:r>
      <w:r>
        <w:t>urvey some types of analyses that we will conduct on an on-going basis to understand sample representativeness and how key subgroups are responding to different components of the data collection approach.  We will implement similar monitoring activities for all sample types.</w:t>
      </w:r>
    </w:p>
    <w:p w14:paraId="5502C17F" w14:textId="1DD26CE1" w:rsidR="00FF05AA" w:rsidRDefault="00FF05AA" w:rsidP="0060659E">
      <w:pPr>
        <w:pStyle w:val="BodyText"/>
      </w:pPr>
      <w:r>
        <w:t xml:space="preserve">Our </w:t>
      </w:r>
      <w:r w:rsidR="004A4408">
        <w:t>h</w:t>
      </w:r>
      <w:r>
        <w:t xml:space="preserve">ousehold </w:t>
      </w:r>
      <w:r w:rsidR="004A4408">
        <w:t>s</w:t>
      </w:r>
      <w:r>
        <w:t xml:space="preserve">urvey data collection approach makes use of phone numbers matched to the sampled addresses using commercially available resources.  Because </w:t>
      </w:r>
      <w:r w:rsidR="00EA6AFC">
        <w:t>a matched phone number provides additional opportunities to contact respondents, we wanted to first understand how the availability of matched phone numbers was distributed across racial/ethnic groups. Since Exhibit 7 indicated higher rates of phone match among White Non-Hispanic respondents and lower rates among Hispanic respondents, we then hypothesized that Hispanic respondents might require more effort (such as in-person visits) in order to be recruited.  Exhibit 8 explores and supports this hypothesis.</w:t>
      </w:r>
    </w:p>
    <w:p w14:paraId="6191F155" w14:textId="77777777" w:rsidR="00DA722F" w:rsidRDefault="00DA722F" w:rsidP="00DA722F">
      <w:pPr>
        <w:pStyle w:val="NORCCaption-Exhibit"/>
      </w:pPr>
      <w:bookmarkStart w:id="27" w:name="_Toc520895894"/>
      <w:bookmarkStart w:id="28" w:name="_Toc526933202"/>
      <w:r>
        <w:rPr>
          <w:b/>
        </w:rPr>
        <w:t>Exhibit 7</w:t>
      </w:r>
      <w:r w:rsidRPr="00F95917">
        <w:rPr>
          <w:b/>
        </w:rPr>
        <w:t>.</w:t>
      </w:r>
      <w:r>
        <w:tab/>
        <w:t>2012 NSECE Household Respondents</w:t>
      </w:r>
      <w:bookmarkEnd w:id="27"/>
      <w:bookmarkEnd w:id="28"/>
    </w:p>
    <w:tbl>
      <w:tblPr>
        <w:tblW w:w="9239" w:type="dxa"/>
        <w:tblLook w:val="04A0" w:firstRow="1" w:lastRow="0" w:firstColumn="1" w:lastColumn="0" w:noHBand="0" w:noVBand="1"/>
      </w:tblPr>
      <w:tblGrid>
        <w:gridCol w:w="5449"/>
        <w:gridCol w:w="1432"/>
        <w:gridCol w:w="1342"/>
        <w:gridCol w:w="1353"/>
      </w:tblGrid>
      <w:tr w:rsidR="00DA722F" w:rsidRPr="00466125" w14:paraId="741A538A" w14:textId="77777777" w:rsidTr="00B003BA">
        <w:trPr>
          <w:trHeight w:val="458"/>
        </w:trPr>
        <w:tc>
          <w:tcPr>
            <w:tcW w:w="5485" w:type="dxa"/>
            <w:tcBorders>
              <w:top w:val="single" w:sz="4" w:space="0" w:color="auto"/>
              <w:left w:val="single" w:sz="4" w:space="0" w:color="auto"/>
              <w:bottom w:val="single" w:sz="4" w:space="0" w:color="auto"/>
              <w:right w:val="single" w:sz="4" w:space="0" w:color="auto"/>
            </w:tcBorders>
            <w:shd w:val="clear" w:color="auto" w:fill="BFB6AC"/>
            <w:noWrap/>
            <w:vAlign w:val="bottom"/>
            <w:hideMark/>
          </w:tcPr>
          <w:p w14:paraId="36E429F0" w14:textId="77777777" w:rsidR="00DA722F" w:rsidRPr="00466125" w:rsidRDefault="00DA722F" w:rsidP="00B003BA">
            <w:pPr>
              <w:spacing w:after="0"/>
              <w:ind w:left="0"/>
              <w:jc w:val="center"/>
              <w:rPr>
                <w:rFonts w:ascii="Arial" w:eastAsia="Times New Roman" w:hAnsi="Arial" w:cs="Arial"/>
                <w:b/>
                <w:bCs/>
                <w:color w:val="000000"/>
                <w:sz w:val="20"/>
              </w:rPr>
            </w:pPr>
            <w:r w:rsidRPr="00466125">
              <w:rPr>
                <w:rFonts w:ascii="Arial" w:eastAsia="Times New Roman" w:hAnsi="Arial" w:cs="Arial"/>
                <w:b/>
                <w:bCs/>
                <w:color w:val="000000"/>
                <w:sz w:val="20"/>
              </w:rPr>
              <w:t>Race</w:t>
            </w:r>
          </w:p>
        </w:tc>
        <w:tc>
          <w:tcPr>
            <w:tcW w:w="1440" w:type="dxa"/>
            <w:tcBorders>
              <w:top w:val="single" w:sz="4" w:space="0" w:color="auto"/>
              <w:left w:val="nil"/>
              <w:bottom w:val="single" w:sz="4" w:space="0" w:color="auto"/>
              <w:right w:val="single" w:sz="4" w:space="0" w:color="auto"/>
            </w:tcBorders>
            <w:shd w:val="clear" w:color="auto" w:fill="BFB6AC"/>
            <w:noWrap/>
            <w:vAlign w:val="bottom"/>
            <w:hideMark/>
          </w:tcPr>
          <w:p w14:paraId="6A29B0C7" w14:textId="7A79D954" w:rsidR="00DA722F" w:rsidRPr="00466125" w:rsidRDefault="00FF05AA" w:rsidP="008D51A2">
            <w:pPr>
              <w:spacing w:after="0"/>
              <w:ind w:left="0"/>
              <w:jc w:val="center"/>
              <w:rPr>
                <w:rFonts w:ascii="Arial" w:eastAsia="Times New Roman" w:hAnsi="Arial" w:cs="Arial"/>
                <w:b/>
                <w:bCs/>
                <w:color w:val="000000"/>
                <w:sz w:val="20"/>
              </w:rPr>
            </w:pPr>
            <w:r>
              <w:rPr>
                <w:rFonts w:ascii="Arial" w:eastAsia="Times New Roman" w:hAnsi="Arial" w:cs="Arial"/>
                <w:b/>
                <w:bCs/>
                <w:color w:val="000000"/>
                <w:sz w:val="20"/>
              </w:rPr>
              <w:t xml:space="preserve">% of </w:t>
            </w:r>
            <w:r w:rsidR="00DA722F" w:rsidRPr="00466125">
              <w:rPr>
                <w:rFonts w:ascii="Arial" w:eastAsia="Times New Roman" w:hAnsi="Arial" w:cs="Arial"/>
                <w:b/>
                <w:bCs/>
                <w:color w:val="000000"/>
                <w:sz w:val="20"/>
              </w:rPr>
              <w:t>Phone Match</w:t>
            </w:r>
            <w:r>
              <w:rPr>
                <w:rFonts w:ascii="Arial" w:eastAsia="Times New Roman" w:hAnsi="Arial" w:cs="Arial"/>
                <w:b/>
                <w:bCs/>
                <w:color w:val="000000"/>
                <w:sz w:val="20"/>
              </w:rPr>
              <w:t>ed HHs</w:t>
            </w:r>
          </w:p>
        </w:tc>
        <w:tc>
          <w:tcPr>
            <w:tcW w:w="1350" w:type="dxa"/>
            <w:tcBorders>
              <w:top w:val="single" w:sz="4" w:space="0" w:color="auto"/>
              <w:left w:val="nil"/>
              <w:bottom w:val="single" w:sz="4" w:space="0" w:color="auto"/>
              <w:right w:val="single" w:sz="4" w:space="0" w:color="auto"/>
            </w:tcBorders>
            <w:shd w:val="clear" w:color="auto" w:fill="BFB6AC"/>
            <w:noWrap/>
            <w:vAlign w:val="bottom"/>
            <w:hideMark/>
          </w:tcPr>
          <w:p w14:paraId="5C6FC544" w14:textId="2321E792" w:rsidR="00DA722F" w:rsidRPr="00466125" w:rsidRDefault="00FF05AA" w:rsidP="008D51A2">
            <w:pPr>
              <w:spacing w:after="0"/>
              <w:ind w:left="0"/>
              <w:jc w:val="center"/>
              <w:rPr>
                <w:rFonts w:ascii="Arial" w:eastAsia="Times New Roman" w:hAnsi="Arial" w:cs="Arial"/>
                <w:b/>
                <w:bCs/>
                <w:color w:val="000000"/>
                <w:sz w:val="20"/>
              </w:rPr>
            </w:pPr>
            <w:r>
              <w:rPr>
                <w:rFonts w:ascii="Arial" w:eastAsia="Times New Roman" w:hAnsi="Arial" w:cs="Arial"/>
                <w:b/>
                <w:bCs/>
                <w:color w:val="000000"/>
                <w:sz w:val="20"/>
              </w:rPr>
              <w:t xml:space="preserve">% of HHs with </w:t>
            </w:r>
            <w:r w:rsidR="00DA722F" w:rsidRPr="00466125">
              <w:rPr>
                <w:rFonts w:ascii="Arial" w:eastAsia="Times New Roman" w:hAnsi="Arial" w:cs="Arial"/>
                <w:b/>
                <w:bCs/>
                <w:color w:val="000000"/>
                <w:sz w:val="20"/>
              </w:rPr>
              <w:t xml:space="preserve">No </w:t>
            </w:r>
            <w:r>
              <w:rPr>
                <w:rFonts w:ascii="Arial" w:eastAsia="Times New Roman" w:hAnsi="Arial" w:cs="Arial"/>
                <w:b/>
                <w:bCs/>
                <w:color w:val="000000"/>
                <w:sz w:val="20"/>
              </w:rPr>
              <w:t xml:space="preserve">Phone </w:t>
            </w:r>
            <w:r w:rsidR="00DA722F" w:rsidRPr="00466125">
              <w:rPr>
                <w:rFonts w:ascii="Arial" w:eastAsia="Times New Roman" w:hAnsi="Arial" w:cs="Arial"/>
                <w:b/>
                <w:bCs/>
                <w:color w:val="000000"/>
                <w:sz w:val="20"/>
              </w:rPr>
              <w:t>Match</w:t>
            </w:r>
          </w:p>
        </w:tc>
        <w:tc>
          <w:tcPr>
            <w:tcW w:w="964" w:type="dxa"/>
            <w:tcBorders>
              <w:top w:val="single" w:sz="4" w:space="0" w:color="auto"/>
              <w:left w:val="nil"/>
              <w:bottom w:val="single" w:sz="4" w:space="0" w:color="auto"/>
              <w:right w:val="single" w:sz="4" w:space="0" w:color="auto"/>
            </w:tcBorders>
            <w:shd w:val="clear" w:color="auto" w:fill="BFB6AC"/>
            <w:noWrap/>
            <w:vAlign w:val="bottom"/>
            <w:hideMark/>
          </w:tcPr>
          <w:p w14:paraId="46EFAF06" w14:textId="0A0ABF80" w:rsidR="00DA722F" w:rsidRPr="00466125" w:rsidRDefault="00FF05AA" w:rsidP="008D51A2">
            <w:pPr>
              <w:spacing w:after="0"/>
              <w:ind w:left="0"/>
              <w:jc w:val="center"/>
              <w:rPr>
                <w:rFonts w:ascii="Arial" w:eastAsia="Times New Roman" w:hAnsi="Arial" w:cs="Arial"/>
                <w:b/>
                <w:bCs/>
                <w:color w:val="000000"/>
                <w:sz w:val="20"/>
              </w:rPr>
            </w:pPr>
            <w:r>
              <w:rPr>
                <w:rFonts w:ascii="Arial" w:eastAsia="Times New Roman" w:hAnsi="Arial" w:cs="Arial"/>
                <w:b/>
                <w:bCs/>
                <w:color w:val="000000"/>
                <w:sz w:val="20"/>
              </w:rPr>
              <w:t>% of all Households</w:t>
            </w:r>
          </w:p>
        </w:tc>
      </w:tr>
      <w:tr w:rsidR="00DA722F" w:rsidRPr="00466125" w14:paraId="5F30A141"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3103D796"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White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7B72521B"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60%</w:t>
            </w:r>
          </w:p>
        </w:tc>
        <w:tc>
          <w:tcPr>
            <w:tcW w:w="1350" w:type="dxa"/>
            <w:tcBorders>
              <w:top w:val="nil"/>
              <w:left w:val="nil"/>
              <w:bottom w:val="single" w:sz="4" w:space="0" w:color="auto"/>
              <w:right w:val="single" w:sz="4" w:space="0" w:color="auto"/>
            </w:tcBorders>
            <w:shd w:val="clear" w:color="auto" w:fill="auto"/>
            <w:noWrap/>
            <w:vAlign w:val="bottom"/>
            <w:hideMark/>
          </w:tcPr>
          <w:p w14:paraId="6BC4D3FC"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48%</w:t>
            </w:r>
          </w:p>
        </w:tc>
        <w:tc>
          <w:tcPr>
            <w:tcW w:w="964" w:type="dxa"/>
            <w:tcBorders>
              <w:top w:val="nil"/>
              <w:left w:val="nil"/>
              <w:bottom w:val="single" w:sz="4" w:space="0" w:color="auto"/>
              <w:right w:val="single" w:sz="4" w:space="0" w:color="auto"/>
            </w:tcBorders>
            <w:shd w:val="clear" w:color="auto" w:fill="auto"/>
            <w:noWrap/>
            <w:vAlign w:val="bottom"/>
            <w:hideMark/>
          </w:tcPr>
          <w:p w14:paraId="79056640"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54%</w:t>
            </w:r>
          </w:p>
        </w:tc>
      </w:tr>
      <w:tr w:rsidR="00DA722F" w:rsidRPr="00466125" w14:paraId="50008601"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67A72C21"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Black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1354CEF3"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15%</w:t>
            </w:r>
          </w:p>
        </w:tc>
        <w:tc>
          <w:tcPr>
            <w:tcW w:w="1350" w:type="dxa"/>
            <w:tcBorders>
              <w:top w:val="nil"/>
              <w:left w:val="nil"/>
              <w:bottom w:val="single" w:sz="4" w:space="0" w:color="auto"/>
              <w:right w:val="single" w:sz="4" w:space="0" w:color="auto"/>
            </w:tcBorders>
            <w:shd w:val="clear" w:color="auto" w:fill="auto"/>
            <w:noWrap/>
            <w:vAlign w:val="bottom"/>
            <w:hideMark/>
          </w:tcPr>
          <w:p w14:paraId="3793F567"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17%</w:t>
            </w:r>
          </w:p>
        </w:tc>
        <w:tc>
          <w:tcPr>
            <w:tcW w:w="964" w:type="dxa"/>
            <w:tcBorders>
              <w:top w:val="nil"/>
              <w:left w:val="nil"/>
              <w:bottom w:val="single" w:sz="4" w:space="0" w:color="auto"/>
              <w:right w:val="single" w:sz="4" w:space="0" w:color="auto"/>
            </w:tcBorders>
            <w:shd w:val="clear" w:color="auto" w:fill="auto"/>
            <w:noWrap/>
            <w:vAlign w:val="bottom"/>
            <w:hideMark/>
          </w:tcPr>
          <w:p w14:paraId="423A41F1"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16%</w:t>
            </w:r>
          </w:p>
        </w:tc>
      </w:tr>
      <w:tr w:rsidR="00DA722F" w:rsidRPr="00466125" w14:paraId="4E24978C"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3F21AAD5"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Asian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09A37863"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4%</w:t>
            </w:r>
          </w:p>
        </w:tc>
        <w:tc>
          <w:tcPr>
            <w:tcW w:w="1350" w:type="dxa"/>
            <w:tcBorders>
              <w:top w:val="nil"/>
              <w:left w:val="nil"/>
              <w:bottom w:val="single" w:sz="4" w:space="0" w:color="auto"/>
              <w:right w:val="single" w:sz="4" w:space="0" w:color="auto"/>
            </w:tcBorders>
            <w:shd w:val="clear" w:color="auto" w:fill="auto"/>
            <w:noWrap/>
            <w:vAlign w:val="bottom"/>
            <w:hideMark/>
          </w:tcPr>
          <w:p w14:paraId="5F4E1A9F"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5%</w:t>
            </w:r>
          </w:p>
        </w:tc>
        <w:tc>
          <w:tcPr>
            <w:tcW w:w="964" w:type="dxa"/>
            <w:tcBorders>
              <w:top w:val="nil"/>
              <w:left w:val="nil"/>
              <w:bottom w:val="single" w:sz="4" w:space="0" w:color="auto"/>
              <w:right w:val="single" w:sz="4" w:space="0" w:color="auto"/>
            </w:tcBorders>
            <w:shd w:val="clear" w:color="auto" w:fill="auto"/>
            <w:noWrap/>
            <w:vAlign w:val="bottom"/>
            <w:hideMark/>
          </w:tcPr>
          <w:p w14:paraId="5260297E"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4%</w:t>
            </w:r>
          </w:p>
        </w:tc>
      </w:tr>
      <w:tr w:rsidR="00DA722F" w:rsidRPr="00466125" w14:paraId="6A9869AC"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6CD6A85A"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Native Hawaiian or Other Pacific Islander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02058461"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28B41E22"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0%</w:t>
            </w:r>
          </w:p>
        </w:tc>
        <w:tc>
          <w:tcPr>
            <w:tcW w:w="964" w:type="dxa"/>
            <w:tcBorders>
              <w:top w:val="nil"/>
              <w:left w:val="nil"/>
              <w:bottom w:val="single" w:sz="4" w:space="0" w:color="auto"/>
              <w:right w:val="single" w:sz="4" w:space="0" w:color="auto"/>
            </w:tcBorders>
            <w:shd w:val="clear" w:color="auto" w:fill="auto"/>
            <w:noWrap/>
            <w:vAlign w:val="bottom"/>
            <w:hideMark/>
          </w:tcPr>
          <w:p w14:paraId="20F4CE3B"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0%</w:t>
            </w:r>
          </w:p>
        </w:tc>
      </w:tr>
      <w:tr w:rsidR="00DA722F" w:rsidRPr="00466125" w14:paraId="6E40308B"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741AED2F"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American Indian or Alaska Native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480A0E06"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0%</w:t>
            </w:r>
          </w:p>
        </w:tc>
        <w:tc>
          <w:tcPr>
            <w:tcW w:w="1350" w:type="dxa"/>
            <w:tcBorders>
              <w:top w:val="nil"/>
              <w:left w:val="nil"/>
              <w:bottom w:val="single" w:sz="4" w:space="0" w:color="auto"/>
              <w:right w:val="single" w:sz="4" w:space="0" w:color="auto"/>
            </w:tcBorders>
            <w:shd w:val="clear" w:color="auto" w:fill="auto"/>
            <w:noWrap/>
            <w:vAlign w:val="bottom"/>
            <w:hideMark/>
          </w:tcPr>
          <w:p w14:paraId="44C8D006"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0%</w:t>
            </w:r>
          </w:p>
        </w:tc>
        <w:tc>
          <w:tcPr>
            <w:tcW w:w="964" w:type="dxa"/>
            <w:tcBorders>
              <w:top w:val="nil"/>
              <w:left w:val="nil"/>
              <w:bottom w:val="single" w:sz="4" w:space="0" w:color="auto"/>
              <w:right w:val="single" w:sz="4" w:space="0" w:color="auto"/>
            </w:tcBorders>
            <w:shd w:val="clear" w:color="auto" w:fill="auto"/>
            <w:noWrap/>
            <w:vAlign w:val="bottom"/>
            <w:hideMark/>
          </w:tcPr>
          <w:p w14:paraId="66E159D5"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0%</w:t>
            </w:r>
          </w:p>
        </w:tc>
      </w:tr>
      <w:tr w:rsidR="00DA722F" w:rsidRPr="00466125" w14:paraId="530F3CF8"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2F93417A"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Other race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3F43BE43"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24E6DB1F"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w:t>
            </w:r>
          </w:p>
        </w:tc>
        <w:tc>
          <w:tcPr>
            <w:tcW w:w="964" w:type="dxa"/>
            <w:tcBorders>
              <w:top w:val="nil"/>
              <w:left w:val="nil"/>
              <w:bottom w:val="single" w:sz="4" w:space="0" w:color="auto"/>
              <w:right w:val="single" w:sz="4" w:space="0" w:color="auto"/>
            </w:tcBorders>
            <w:shd w:val="clear" w:color="auto" w:fill="auto"/>
            <w:noWrap/>
            <w:vAlign w:val="bottom"/>
            <w:hideMark/>
          </w:tcPr>
          <w:p w14:paraId="4770F261"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w:t>
            </w:r>
          </w:p>
        </w:tc>
      </w:tr>
      <w:tr w:rsidR="00DA722F" w:rsidRPr="00466125" w14:paraId="28D6CFA3"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0AA2C5BF"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Two or more races Non-Hispanic</w:t>
            </w:r>
          </w:p>
        </w:tc>
        <w:tc>
          <w:tcPr>
            <w:tcW w:w="1440" w:type="dxa"/>
            <w:tcBorders>
              <w:top w:val="nil"/>
              <w:left w:val="nil"/>
              <w:bottom w:val="single" w:sz="4" w:space="0" w:color="auto"/>
              <w:right w:val="single" w:sz="4" w:space="0" w:color="auto"/>
            </w:tcBorders>
            <w:shd w:val="clear" w:color="auto" w:fill="auto"/>
            <w:noWrap/>
            <w:vAlign w:val="bottom"/>
            <w:hideMark/>
          </w:tcPr>
          <w:p w14:paraId="2188E716"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w:t>
            </w:r>
          </w:p>
        </w:tc>
        <w:tc>
          <w:tcPr>
            <w:tcW w:w="1350" w:type="dxa"/>
            <w:tcBorders>
              <w:top w:val="nil"/>
              <w:left w:val="nil"/>
              <w:bottom w:val="single" w:sz="4" w:space="0" w:color="auto"/>
              <w:right w:val="single" w:sz="4" w:space="0" w:color="auto"/>
            </w:tcBorders>
            <w:shd w:val="clear" w:color="auto" w:fill="auto"/>
            <w:noWrap/>
            <w:vAlign w:val="bottom"/>
            <w:hideMark/>
          </w:tcPr>
          <w:p w14:paraId="1C160166"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2%</w:t>
            </w:r>
          </w:p>
        </w:tc>
        <w:tc>
          <w:tcPr>
            <w:tcW w:w="964" w:type="dxa"/>
            <w:tcBorders>
              <w:top w:val="nil"/>
              <w:left w:val="nil"/>
              <w:bottom w:val="single" w:sz="4" w:space="0" w:color="auto"/>
              <w:right w:val="single" w:sz="4" w:space="0" w:color="auto"/>
            </w:tcBorders>
            <w:shd w:val="clear" w:color="auto" w:fill="auto"/>
            <w:noWrap/>
            <w:vAlign w:val="bottom"/>
            <w:hideMark/>
          </w:tcPr>
          <w:p w14:paraId="134067B2"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2%</w:t>
            </w:r>
          </w:p>
        </w:tc>
      </w:tr>
      <w:tr w:rsidR="00DA722F" w:rsidRPr="00466125" w14:paraId="17D423B9"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53E86DFD"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Hispanic or Latino</w:t>
            </w:r>
          </w:p>
        </w:tc>
        <w:tc>
          <w:tcPr>
            <w:tcW w:w="1440" w:type="dxa"/>
            <w:tcBorders>
              <w:top w:val="nil"/>
              <w:left w:val="nil"/>
              <w:bottom w:val="single" w:sz="4" w:space="0" w:color="auto"/>
              <w:right w:val="single" w:sz="4" w:space="0" w:color="auto"/>
            </w:tcBorders>
            <w:shd w:val="clear" w:color="auto" w:fill="auto"/>
            <w:noWrap/>
            <w:vAlign w:val="bottom"/>
            <w:hideMark/>
          </w:tcPr>
          <w:p w14:paraId="16D07195"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18%</w:t>
            </w:r>
          </w:p>
        </w:tc>
        <w:tc>
          <w:tcPr>
            <w:tcW w:w="1350" w:type="dxa"/>
            <w:tcBorders>
              <w:top w:val="nil"/>
              <w:left w:val="nil"/>
              <w:bottom w:val="single" w:sz="4" w:space="0" w:color="auto"/>
              <w:right w:val="single" w:sz="4" w:space="0" w:color="auto"/>
            </w:tcBorders>
            <w:shd w:val="clear" w:color="auto" w:fill="auto"/>
            <w:noWrap/>
            <w:vAlign w:val="bottom"/>
            <w:hideMark/>
          </w:tcPr>
          <w:p w14:paraId="55A21F78"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26%</w:t>
            </w:r>
          </w:p>
        </w:tc>
        <w:tc>
          <w:tcPr>
            <w:tcW w:w="964" w:type="dxa"/>
            <w:tcBorders>
              <w:top w:val="nil"/>
              <w:left w:val="nil"/>
              <w:bottom w:val="single" w:sz="4" w:space="0" w:color="auto"/>
              <w:right w:val="single" w:sz="4" w:space="0" w:color="auto"/>
            </w:tcBorders>
            <w:shd w:val="clear" w:color="auto" w:fill="auto"/>
            <w:noWrap/>
            <w:vAlign w:val="bottom"/>
            <w:hideMark/>
          </w:tcPr>
          <w:p w14:paraId="479E1D3A"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22%</w:t>
            </w:r>
          </w:p>
        </w:tc>
      </w:tr>
      <w:tr w:rsidR="00DA722F" w:rsidRPr="00466125" w14:paraId="08F8A4F9" w14:textId="77777777" w:rsidTr="00B003BA">
        <w:trPr>
          <w:trHeight w:val="288"/>
        </w:trPr>
        <w:tc>
          <w:tcPr>
            <w:tcW w:w="5485" w:type="dxa"/>
            <w:tcBorders>
              <w:top w:val="nil"/>
              <w:left w:val="single" w:sz="4" w:space="0" w:color="auto"/>
              <w:bottom w:val="single" w:sz="4" w:space="0" w:color="auto"/>
              <w:right w:val="single" w:sz="4" w:space="0" w:color="auto"/>
            </w:tcBorders>
            <w:shd w:val="clear" w:color="auto" w:fill="auto"/>
            <w:noWrap/>
            <w:vAlign w:val="bottom"/>
            <w:hideMark/>
          </w:tcPr>
          <w:p w14:paraId="406B2807" w14:textId="77777777" w:rsidR="00DA722F" w:rsidRPr="00466125" w:rsidRDefault="00DA722F" w:rsidP="00B003BA">
            <w:pPr>
              <w:spacing w:after="0"/>
              <w:ind w:left="0"/>
              <w:rPr>
                <w:rFonts w:ascii="Arial" w:eastAsia="Times New Roman" w:hAnsi="Arial" w:cs="Arial"/>
                <w:b/>
                <w:bCs/>
                <w:color w:val="000000"/>
                <w:sz w:val="20"/>
              </w:rPr>
            </w:pPr>
            <w:r w:rsidRPr="00466125">
              <w:rPr>
                <w:rFonts w:ascii="Arial" w:eastAsia="Times New Roman" w:hAnsi="Arial" w:cs="Arial"/>
                <w:b/>
                <w:bCs/>
                <w:color w:val="000000"/>
                <w:sz w:val="20"/>
              </w:rPr>
              <w:t>Total</w:t>
            </w:r>
          </w:p>
        </w:tc>
        <w:tc>
          <w:tcPr>
            <w:tcW w:w="1440" w:type="dxa"/>
            <w:tcBorders>
              <w:top w:val="nil"/>
              <w:left w:val="nil"/>
              <w:bottom w:val="single" w:sz="4" w:space="0" w:color="auto"/>
              <w:right w:val="single" w:sz="4" w:space="0" w:color="auto"/>
            </w:tcBorders>
            <w:shd w:val="clear" w:color="auto" w:fill="auto"/>
            <w:noWrap/>
            <w:vAlign w:val="bottom"/>
            <w:hideMark/>
          </w:tcPr>
          <w:p w14:paraId="69EB7ABE"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100%</w:t>
            </w:r>
          </w:p>
        </w:tc>
        <w:tc>
          <w:tcPr>
            <w:tcW w:w="1350" w:type="dxa"/>
            <w:tcBorders>
              <w:top w:val="nil"/>
              <w:left w:val="nil"/>
              <w:bottom w:val="single" w:sz="4" w:space="0" w:color="auto"/>
              <w:right w:val="single" w:sz="4" w:space="0" w:color="auto"/>
            </w:tcBorders>
            <w:shd w:val="clear" w:color="auto" w:fill="auto"/>
            <w:noWrap/>
            <w:vAlign w:val="bottom"/>
            <w:hideMark/>
          </w:tcPr>
          <w:p w14:paraId="09D0C1F0"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100%</w:t>
            </w:r>
          </w:p>
        </w:tc>
        <w:tc>
          <w:tcPr>
            <w:tcW w:w="964" w:type="dxa"/>
            <w:tcBorders>
              <w:top w:val="nil"/>
              <w:left w:val="nil"/>
              <w:bottom w:val="single" w:sz="4" w:space="0" w:color="auto"/>
              <w:right w:val="single" w:sz="4" w:space="0" w:color="auto"/>
            </w:tcBorders>
            <w:shd w:val="clear" w:color="auto" w:fill="auto"/>
            <w:noWrap/>
            <w:vAlign w:val="bottom"/>
            <w:hideMark/>
          </w:tcPr>
          <w:p w14:paraId="28ACD1C8" w14:textId="77777777" w:rsidR="00DA722F" w:rsidRPr="00466125" w:rsidRDefault="00DA722F" w:rsidP="00B003BA">
            <w:pPr>
              <w:spacing w:after="0"/>
              <w:ind w:left="0"/>
              <w:jc w:val="center"/>
              <w:rPr>
                <w:rFonts w:ascii="Arial" w:eastAsia="Times New Roman" w:hAnsi="Arial" w:cs="Arial"/>
                <w:color w:val="000000"/>
                <w:sz w:val="20"/>
              </w:rPr>
            </w:pPr>
            <w:r w:rsidRPr="00466125">
              <w:rPr>
                <w:rFonts w:ascii="Arial" w:eastAsia="Times New Roman" w:hAnsi="Arial" w:cs="Arial"/>
                <w:color w:val="000000"/>
                <w:sz w:val="20"/>
              </w:rPr>
              <w:t>100%</w:t>
            </w:r>
          </w:p>
        </w:tc>
      </w:tr>
    </w:tbl>
    <w:p w14:paraId="45DDAA97" w14:textId="77777777" w:rsidR="00DA722F" w:rsidRDefault="00DA722F" w:rsidP="00DA722F">
      <w:pPr>
        <w:spacing w:after="160" w:line="259" w:lineRule="auto"/>
        <w:ind w:left="0"/>
      </w:pPr>
    </w:p>
    <w:p w14:paraId="63E63D4B" w14:textId="062BA9D3" w:rsidR="00DA722F" w:rsidRDefault="00E673FE" w:rsidP="00DA722F">
      <w:pPr>
        <w:spacing w:after="160" w:line="259" w:lineRule="auto"/>
        <w:ind w:left="0"/>
      </w:pPr>
      <w:r>
        <w:t>Exhibit 8 shows the racial ethnic composition of low-income households requiring different levels of effort.  White non-Hispanic cases were 32 percent of the overall sample of low-income households</w:t>
      </w:r>
      <w:r w:rsidR="00FF05AA">
        <w:t xml:space="preserve">, and 32 percent of </w:t>
      </w:r>
      <w:r>
        <w:t xml:space="preserve">those requiring low, medium and high effort.  African-American non-Hispanic households were over-represented among low-effort cases and under-represented among high-effort cases (29 and 21 percent, respectively, compared to their 25 percent overall prevalence among low-income households).  </w:t>
      </w:r>
      <w:r w:rsidR="00DA722F">
        <w:t xml:space="preserve"> </w:t>
      </w:r>
      <w:r>
        <w:t xml:space="preserve">In contrast, </w:t>
      </w:r>
      <w:r w:rsidR="00DA722F">
        <w:t xml:space="preserve">low-income Hispanic respondents were more likely to need a higher level of effort, as measured by contact attempts and length of time between screener and survey completion, than other racial groups. </w:t>
      </w:r>
      <w:r w:rsidR="00FF05AA">
        <w:t xml:space="preserve">(We see that 42 percent of high-effort low-income households were Hispanic, compared to 38 percent of all low-income households.) </w:t>
      </w:r>
      <w:r w:rsidR="00DA722F">
        <w:t xml:space="preserve">Association of demographic characteristics with level of effort among completed interviews may also suggest patterns among non-interviews, on whom demographic data are not available. </w:t>
      </w:r>
    </w:p>
    <w:p w14:paraId="756AEDC1" w14:textId="77777777" w:rsidR="00DA722F" w:rsidRPr="00CE3E35" w:rsidRDefault="00DA722F" w:rsidP="00DA722F">
      <w:pPr>
        <w:pStyle w:val="NORCCaption-Exhibit"/>
        <w:spacing w:before="0"/>
        <w:contextualSpacing/>
      </w:pPr>
      <w:bookmarkStart w:id="29" w:name="_Toc520895895"/>
      <w:bookmarkStart w:id="30" w:name="_Toc526933203"/>
      <w:r>
        <w:rPr>
          <w:b/>
        </w:rPr>
        <w:t>Exhibit 8</w:t>
      </w:r>
      <w:r w:rsidRPr="00F95917">
        <w:rPr>
          <w:b/>
        </w:rPr>
        <w:t>.</w:t>
      </w:r>
      <w:r>
        <w:tab/>
      </w:r>
      <w:r w:rsidRPr="00AE61D8">
        <w:t xml:space="preserve">Level of </w:t>
      </w:r>
      <w:r>
        <w:t>E</w:t>
      </w:r>
      <w:r w:rsidRPr="00AE61D8">
        <w:t xml:space="preserve">ffort for Household Survey </w:t>
      </w:r>
      <w:r>
        <w:t>C</w:t>
      </w:r>
      <w:r w:rsidRPr="00AE61D8">
        <w:t xml:space="preserve">ompletion by </w:t>
      </w:r>
      <w:r>
        <w:t>R</w:t>
      </w:r>
      <w:r w:rsidRPr="00AE61D8">
        <w:t xml:space="preserve">ace for </w:t>
      </w:r>
      <w:r>
        <w:t>R</w:t>
      </w:r>
      <w:r w:rsidRPr="00AE61D8">
        <w:t xml:space="preserve">espondents below the </w:t>
      </w:r>
      <w:r>
        <w:t>P</w:t>
      </w:r>
      <w:r w:rsidRPr="00AE61D8">
        <w:t xml:space="preserve">overty </w:t>
      </w:r>
      <w:r>
        <w:t>L</w:t>
      </w:r>
      <w:r w:rsidRPr="00AE61D8">
        <w:t>ine</w:t>
      </w:r>
      <w:bookmarkEnd w:id="29"/>
      <w:bookmarkEnd w:id="30"/>
    </w:p>
    <w:tbl>
      <w:tblPr>
        <w:tblW w:w="9350" w:type="dxa"/>
        <w:tblLook w:val="04A0" w:firstRow="1" w:lastRow="0" w:firstColumn="1" w:lastColumn="0" w:noHBand="0" w:noVBand="1"/>
      </w:tblPr>
      <w:tblGrid>
        <w:gridCol w:w="4374"/>
        <w:gridCol w:w="1086"/>
        <w:gridCol w:w="1052"/>
        <w:gridCol w:w="1043"/>
        <w:gridCol w:w="1795"/>
      </w:tblGrid>
      <w:tr w:rsidR="00DA722F" w:rsidRPr="00466125" w14:paraId="6FD64EC0" w14:textId="77777777" w:rsidTr="00695C0B">
        <w:trPr>
          <w:trHeight w:val="413"/>
        </w:trPr>
        <w:tc>
          <w:tcPr>
            <w:tcW w:w="4374" w:type="dxa"/>
            <w:tcBorders>
              <w:top w:val="single" w:sz="4" w:space="0" w:color="auto"/>
              <w:left w:val="single" w:sz="4" w:space="0" w:color="auto"/>
              <w:bottom w:val="single" w:sz="4" w:space="0" w:color="auto"/>
              <w:right w:val="single" w:sz="4" w:space="0" w:color="auto"/>
            </w:tcBorders>
            <w:shd w:val="clear" w:color="auto" w:fill="BFB6AC"/>
            <w:noWrap/>
            <w:vAlign w:val="bottom"/>
            <w:hideMark/>
          </w:tcPr>
          <w:p w14:paraId="222FFCB3" w14:textId="77777777" w:rsidR="00DA722F" w:rsidRPr="00466125" w:rsidRDefault="00DA722F" w:rsidP="00B003BA">
            <w:pPr>
              <w:spacing w:after="0"/>
              <w:ind w:left="0"/>
              <w:jc w:val="center"/>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Race</w:t>
            </w:r>
          </w:p>
        </w:tc>
        <w:tc>
          <w:tcPr>
            <w:tcW w:w="1086" w:type="dxa"/>
            <w:tcBorders>
              <w:top w:val="single" w:sz="4" w:space="0" w:color="auto"/>
              <w:left w:val="nil"/>
              <w:bottom w:val="single" w:sz="4" w:space="0" w:color="auto"/>
              <w:right w:val="single" w:sz="4" w:space="0" w:color="auto"/>
            </w:tcBorders>
            <w:shd w:val="clear" w:color="auto" w:fill="BFB6AC"/>
            <w:noWrap/>
            <w:vAlign w:val="bottom"/>
            <w:hideMark/>
          </w:tcPr>
          <w:p w14:paraId="25FE34F9" w14:textId="791856E7" w:rsidR="00DA722F" w:rsidRPr="00466125" w:rsidRDefault="00DA722F" w:rsidP="00B003BA">
            <w:pPr>
              <w:spacing w:after="0"/>
              <w:ind w:left="0"/>
              <w:jc w:val="center"/>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Low</w:t>
            </w:r>
            <w:r>
              <w:rPr>
                <w:rFonts w:ascii="Arial" w:eastAsia="Times New Roman" w:hAnsi="Arial" w:cs="Arial"/>
                <w:b/>
                <w:bCs/>
                <w:color w:val="000000"/>
                <w:sz w:val="20"/>
                <w:szCs w:val="20"/>
              </w:rPr>
              <w:t xml:space="preserve"> Effort </w:t>
            </w:r>
            <w:r w:rsidRPr="00466125">
              <w:rPr>
                <w:rFonts w:ascii="Arial" w:eastAsia="Times New Roman" w:hAnsi="Arial" w:cs="Arial"/>
                <w:b/>
                <w:bCs/>
                <w:color w:val="000000"/>
                <w:sz w:val="20"/>
                <w:szCs w:val="20"/>
              </w:rPr>
              <w:t>*</w:t>
            </w:r>
          </w:p>
        </w:tc>
        <w:tc>
          <w:tcPr>
            <w:tcW w:w="1052" w:type="dxa"/>
            <w:tcBorders>
              <w:top w:val="single" w:sz="4" w:space="0" w:color="auto"/>
              <w:left w:val="nil"/>
              <w:bottom w:val="single" w:sz="4" w:space="0" w:color="auto"/>
              <w:right w:val="single" w:sz="4" w:space="0" w:color="auto"/>
            </w:tcBorders>
            <w:shd w:val="clear" w:color="auto" w:fill="BFB6AC"/>
            <w:noWrap/>
            <w:vAlign w:val="bottom"/>
            <w:hideMark/>
          </w:tcPr>
          <w:p w14:paraId="2442F50C" w14:textId="35CAC21F" w:rsidR="00DA722F" w:rsidRPr="00466125" w:rsidRDefault="00DA722F" w:rsidP="00B003BA">
            <w:pPr>
              <w:spacing w:after="0"/>
              <w:ind w:left="0"/>
              <w:jc w:val="center"/>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Medium</w:t>
            </w:r>
            <w:r>
              <w:rPr>
                <w:rFonts w:ascii="Arial" w:eastAsia="Times New Roman" w:hAnsi="Arial" w:cs="Arial"/>
                <w:b/>
                <w:bCs/>
                <w:color w:val="000000"/>
                <w:sz w:val="20"/>
                <w:szCs w:val="20"/>
              </w:rPr>
              <w:t xml:space="preserve"> Effort</w:t>
            </w:r>
            <w:r w:rsidRPr="00466125">
              <w:rPr>
                <w:rFonts w:ascii="Arial" w:eastAsia="Times New Roman" w:hAnsi="Arial" w:cs="Arial"/>
                <w:b/>
                <w:bCs/>
                <w:color w:val="000000"/>
                <w:sz w:val="20"/>
                <w:szCs w:val="20"/>
              </w:rPr>
              <w:t>*</w:t>
            </w:r>
            <w:r>
              <w:rPr>
                <w:rFonts w:ascii="Arial" w:eastAsia="Times New Roman" w:hAnsi="Arial" w:cs="Arial"/>
                <w:b/>
                <w:bCs/>
                <w:color w:val="000000"/>
                <w:sz w:val="20"/>
                <w:szCs w:val="20"/>
              </w:rPr>
              <w:t>*</w:t>
            </w:r>
          </w:p>
        </w:tc>
        <w:tc>
          <w:tcPr>
            <w:tcW w:w="1043" w:type="dxa"/>
            <w:tcBorders>
              <w:top w:val="single" w:sz="4" w:space="0" w:color="auto"/>
              <w:left w:val="nil"/>
              <w:bottom w:val="single" w:sz="4" w:space="0" w:color="auto"/>
              <w:right w:val="single" w:sz="4" w:space="0" w:color="auto"/>
            </w:tcBorders>
            <w:shd w:val="clear" w:color="auto" w:fill="BFB6AC"/>
            <w:noWrap/>
            <w:vAlign w:val="bottom"/>
            <w:hideMark/>
          </w:tcPr>
          <w:p w14:paraId="37BF96DD" w14:textId="3E85EFCF" w:rsidR="00DA722F" w:rsidRPr="00466125" w:rsidRDefault="00DA722F" w:rsidP="00B003BA">
            <w:pPr>
              <w:spacing w:after="0"/>
              <w:ind w:left="0"/>
              <w:jc w:val="center"/>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High</w:t>
            </w:r>
            <w:r>
              <w:rPr>
                <w:rFonts w:ascii="Arial" w:eastAsia="Times New Roman" w:hAnsi="Arial" w:cs="Arial"/>
                <w:b/>
                <w:bCs/>
                <w:color w:val="000000"/>
                <w:sz w:val="20"/>
                <w:szCs w:val="20"/>
              </w:rPr>
              <w:t xml:space="preserve"> Effort</w:t>
            </w:r>
            <w:r w:rsidRPr="00466125">
              <w:rPr>
                <w:rFonts w:ascii="Arial" w:eastAsia="Times New Roman" w:hAnsi="Arial" w:cs="Arial"/>
                <w:b/>
                <w:bCs/>
                <w:color w:val="000000"/>
                <w:sz w:val="20"/>
                <w:szCs w:val="20"/>
              </w:rPr>
              <w:t>*</w:t>
            </w:r>
            <w:r>
              <w:rPr>
                <w:rFonts w:ascii="Arial" w:eastAsia="Times New Roman" w:hAnsi="Arial" w:cs="Arial"/>
                <w:b/>
                <w:bCs/>
                <w:color w:val="000000"/>
                <w:sz w:val="20"/>
                <w:szCs w:val="20"/>
              </w:rPr>
              <w:t>**</w:t>
            </w:r>
          </w:p>
        </w:tc>
        <w:tc>
          <w:tcPr>
            <w:tcW w:w="1795" w:type="dxa"/>
            <w:tcBorders>
              <w:top w:val="single" w:sz="4" w:space="0" w:color="auto"/>
              <w:left w:val="nil"/>
              <w:bottom w:val="single" w:sz="4" w:space="0" w:color="auto"/>
              <w:right w:val="single" w:sz="4" w:space="0" w:color="auto"/>
            </w:tcBorders>
            <w:shd w:val="clear" w:color="auto" w:fill="BFB6AC"/>
            <w:noWrap/>
            <w:vAlign w:val="bottom"/>
            <w:hideMark/>
          </w:tcPr>
          <w:p w14:paraId="4C0B7D64" w14:textId="25C0124D" w:rsidR="00DA722F" w:rsidRPr="00466125" w:rsidRDefault="00DA722F">
            <w:pPr>
              <w:spacing w:after="0"/>
              <w:ind w:left="0"/>
              <w:jc w:val="center"/>
              <w:rPr>
                <w:rFonts w:ascii="Arial" w:eastAsia="Times New Roman" w:hAnsi="Arial" w:cs="Arial"/>
                <w:b/>
                <w:bCs/>
                <w:color w:val="000000"/>
                <w:sz w:val="20"/>
                <w:szCs w:val="20"/>
              </w:rPr>
            </w:pPr>
            <w:r>
              <w:rPr>
                <w:rFonts w:ascii="Arial" w:eastAsia="Times New Roman" w:hAnsi="Arial" w:cs="Arial"/>
                <w:b/>
                <w:bCs/>
                <w:color w:val="000000"/>
                <w:sz w:val="20"/>
                <w:szCs w:val="20"/>
              </w:rPr>
              <w:t>All Effort Levels Combined</w:t>
            </w:r>
          </w:p>
        </w:tc>
      </w:tr>
      <w:tr w:rsidR="00DA722F" w:rsidRPr="00466125" w14:paraId="4E86F24F" w14:textId="77777777" w:rsidTr="00695C0B">
        <w:trPr>
          <w:trHeight w:val="288"/>
        </w:trPr>
        <w:tc>
          <w:tcPr>
            <w:tcW w:w="4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80B66"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White Non-Hispanic</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62F9EE0B"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32%</w:t>
            </w:r>
          </w:p>
        </w:tc>
        <w:tc>
          <w:tcPr>
            <w:tcW w:w="1052" w:type="dxa"/>
            <w:tcBorders>
              <w:top w:val="single" w:sz="4" w:space="0" w:color="auto"/>
              <w:left w:val="nil"/>
              <w:bottom w:val="single" w:sz="4" w:space="0" w:color="auto"/>
              <w:right w:val="single" w:sz="4" w:space="0" w:color="auto"/>
            </w:tcBorders>
            <w:shd w:val="clear" w:color="auto" w:fill="auto"/>
            <w:noWrap/>
            <w:vAlign w:val="bottom"/>
            <w:hideMark/>
          </w:tcPr>
          <w:p w14:paraId="292DF95C"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32%</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14:paraId="63C3FE55"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32%</w:t>
            </w:r>
          </w:p>
        </w:tc>
        <w:tc>
          <w:tcPr>
            <w:tcW w:w="1795" w:type="dxa"/>
            <w:tcBorders>
              <w:top w:val="single" w:sz="4" w:space="0" w:color="auto"/>
              <w:left w:val="nil"/>
              <w:bottom w:val="single" w:sz="4" w:space="0" w:color="auto"/>
              <w:right w:val="single" w:sz="4" w:space="0" w:color="auto"/>
            </w:tcBorders>
            <w:shd w:val="clear" w:color="auto" w:fill="auto"/>
            <w:noWrap/>
            <w:vAlign w:val="bottom"/>
            <w:hideMark/>
          </w:tcPr>
          <w:p w14:paraId="710100C1"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32%</w:t>
            </w:r>
          </w:p>
        </w:tc>
      </w:tr>
      <w:tr w:rsidR="00DA722F" w:rsidRPr="00466125" w14:paraId="763FA54E"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2A0AA6D4"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Black Non-Hispanic</w:t>
            </w:r>
          </w:p>
        </w:tc>
        <w:tc>
          <w:tcPr>
            <w:tcW w:w="1086" w:type="dxa"/>
            <w:tcBorders>
              <w:top w:val="nil"/>
              <w:left w:val="nil"/>
              <w:bottom w:val="single" w:sz="4" w:space="0" w:color="auto"/>
              <w:right w:val="single" w:sz="4" w:space="0" w:color="auto"/>
            </w:tcBorders>
            <w:shd w:val="clear" w:color="auto" w:fill="auto"/>
            <w:noWrap/>
            <w:vAlign w:val="bottom"/>
            <w:hideMark/>
          </w:tcPr>
          <w:p w14:paraId="75AEDC98"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29%</w:t>
            </w:r>
          </w:p>
        </w:tc>
        <w:tc>
          <w:tcPr>
            <w:tcW w:w="1052" w:type="dxa"/>
            <w:tcBorders>
              <w:top w:val="nil"/>
              <w:left w:val="nil"/>
              <w:bottom w:val="single" w:sz="4" w:space="0" w:color="auto"/>
              <w:right w:val="single" w:sz="4" w:space="0" w:color="auto"/>
            </w:tcBorders>
            <w:shd w:val="clear" w:color="auto" w:fill="auto"/>
            <w:noWrap/>
            <w:vAlign w:val="bottom"/>
            <w:hideMark/>
          </w:tcPr>
          <w:p w14:paraId="50519B4B"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24%</w:t>
            </w:r>
          </w:p>
        </w:tc>
        <w:tc>
          <w:tcPr>
            <w:tcW w:w="1043" w:type="dxa"/>
            <w:tcBorders>
              <w:top w:val="nil"/>
              <w:left w:val="nil"/>
              <w:bottom w:val="single" w:sz="4" w:space="0" w:color="auto"/>
              <w:right w:val="single" w:sz="4" w:space="0" w:color="auto"/>
            </w:tcBorders>
            <w:shd w:val="clear" w:color="auto" w:fill="auto"/>
            <w:noWrap/>
            <w:vAlign w:val="bottom"/>
            <w:hideMark/>
          </w:tcPr>
          <w:p w14:paraId="65BF719F"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21%</w:t>
            </w:r>
          </w:p>
        </w:tc>
        <w:tc>
          <w:tcPr>
            <w:tcW w:w="1795" w:type="dxa"/>
            <w:tcBorders>
              <w:top w:val="nil"/>
              <w:left w:val="nil"/>
              <w:bottom w:val="single" w:sz="4" w:space="0" w:color="auto"/>
              <w:right w:val="single" w:sz="4" w:space="0" w:color="auto"/>
            </w:tcBorders>
            <w:shd w:val="clear" w:color="auto" w:fill="auto"/>
            <w:noWrap/>
            <w:vAlign w:val="bottom"/>
            <w:hideMark/>
          </w:tcPr>
          <w:p w14:paraId="7C76D7BF"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25%</w:t>
            </w:r>
          </w:p>
        </w:tc>
      </w:tr>
      <w:tr w:rsidR="00DA722F" w:rsidRPr="00466125" w14:paraId="468CDBD6"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02B5A956"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Asian Non-Hispanic</w:t>
            </w:r>
          </w:p>
        </w:tc>
        <w:tc>
          <w:tcPr>
            <w:tcW w:w="1086" w:type="dxa"/>
            <w:tcBorders>
              <w:top w:val="nil"/>
              <w:left w:val="nil"/>
              <w:bottom w:val="single" w:sz="4" w:space="0" w:color="auto"/>
              <w:right w:val="single" w:sz="4" w:space="0" w:color="auto"/>
            </w:tcBorders>
            <w:shd w:val="clear" w:color="auto" w:fill="auto"/>
            <w:noWrap/>
            <w:vAlign w:val="bottom"/>
            <w:hideMark/>
          </w:tcPr>
          <w:p w14:paraId="0E2DEF6F"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c>
          <w:tcPr>
            <w:tcW w:w="1052" w:type="dxa"/>
            <w:tcBorders>
              <w:top w:val="nil"/>
              <w:left w:val="nil"/>
              <w:bottom w:val="single" w:sz="4" w:space="0" w:color="auto"/>
              <w:right w:val="single" w:sz="4" w:space="0" w:color="auto"/>
            </w:tcBorders>
            <w:shd w:val="clear" w:color="auto" w:fill="auto"/>
            <w:noWrap/>
            <w:vAlign w:val="bottom"/>
            <w:hideMark/>
          </w:tcPr>
          <w:p w14:paraId="134728BB"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w:t>
            </w:r>
          </w:p>
        </w:tc>
        <w:tc>
          <w:tcPr>
            <w:tcW w:w="1043" w:type="dxa"/>
            <w:tcBorders>
              <w:top w:val="nil"/>
              <w:left w:val="nil"/>
              <w:bottom w:val="single" w:sz="4" w:space="0" w:color="auto"/>
              <w:right w:val="single" w:sz="4" w:space="0" w:color="auto"/>
            </w:tcBorders>
            <w:shd w:val="clear" w:color="auto" w:fill="auto"/>
            <w:noWrap/>
            <w:vAlign w:val="bottom"/>
            <w:hideMark/>
          </w:tcPr>
          <w:p w14:paraId="2BF24947"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795" w:type="dxa"/>
            <w:tcBorders>
              <w:top w:val="nil"/>
              <w:left w:val="nil"/>
              <w:bottom w:val="single" w:sz="4" w:space="0" w:color="auto"/>
              <w:right w:val="single" w:sz="4" w:space="0" w:color="auto"/>
            </w:tcBorders>
            <w:shd w:val="clear" w:color="auto" w:fill="auto"/>
            <w:noWrap/>
            <w:vAlign w:val="bottom"/>
            <w:hideMark/>
          </w:tcPr>
          <w:p w14:paraId="08F1FD3E"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r>
      <w:tr w:rsidR="00DA722F" w:rsidRPr="00466125" w14:paraId="59782A45"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24DA6FF2"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Native Hawaiian or Other Pacific Islander Non-Hispanic</w:t>
            </w:r>
          </w:p>
        </w:tc>
        <w:tc>
          <w:tcPr>
            <w:tcW w:w="1086" w:type="dxa"/>
            <w:tcBorders>
              <w:top w:val="nil"/>
              <w:left w:val="nil"/>
              <w:bottom w:val="single" w:sz="4" w:space="0" w:color="auto"/>
              <w:right w:val="single" w:sz="4" w:space="0" w:color="auto"/>
            </w:tcBorders>
            <w:shd w:val="clear" w:color="auto" w:fill="auto"/>
            <w:noWrap/>
            <w:vAlign w:val="bottom"/>
            <w:hideMark/>
          </w:tcPr>
          <w:p w14:paraId="6B054A2A"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c>
          <w:tcPr>
            <w:tcW w:w="1052" w:type="dxa"/>
            <w:tcBorders>
              <w:top w:val="nil"/>
              <w:left w:val="nil"/>
              <w:bottom w:val="single" w:sz="4" w:space="0" w:color="auto"/>
              <w:right w:val="single" w:sz="4" w:space="0" w:color="auto"/>
            </w:tcBorders>
            <w:shd w:val="clear" w:color="auto" w:fill="auto"/>
            <w:noWrap/>
            <w:vAlign w:val="bottom"/>
            <w:hideMark/>
          </w:tcPr>
          <w:p w14:paraId="44FB1063"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c>
          <w:tcPr>
            <w:tcW w:w="1043" w:type="dxa"/>
            <w:tcBorders>
              <w:top w:val="nil"/>
              <w:left w:val="nil"/>
              <w:bottom w:val="single" w:sz="4" w:space="0" w:color="auto"/>
              <w:right w:val="single" w:sz="4" w:space="0" w:color="auto"/>
            </w:tcBorders>
            <w:shd w:val="clear" w:color="auto" w:fill="auto"/>
            <w:noWrap/>
            <w:vAlign w:val="bottom"/>
            <w:hideMark/>
          </w:tcPr>
          <w:p w14:paraId="6EB08BCA"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c>
          <w:tcPr>
            <w:tcW w:w="1795" w:type="dxa"/>
            <w:tcBorders>
              <w:top w:val="nil"/>
              <w:left w:val="nil"/>
              <w:bottom w:val="single" w:sz="4" w:space="0" w:color="auto"/>
              <w:right w:val="single" w:sz="4" w:space="0" w:color="auto"/>
            </w:tcBorders>
            <w:shd w:val="clear" w:color="auto" w:fill="auto"/>
            <w:noWrap/>
            <w:vAlign w:val="bottom"/>
            <w:hideMark/>
          </w:tcPr>
          <w:p w14:paraId="05EFBED2"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r>
      <w:tr w:rsidR="00DA722F" w:rsidRPr="00466125" w14:paraId="0B046539"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71FA8ACE"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American Indian or Alaska Native Non-Hispanic</w:t>
            </w:r>
          </w:p>
        </w:tc>
        <w:tc>
          <w:tcPr>
            <w:tcW w:w="1086" w:type="dxa"/>
            <w:tcBorders>
              <w:top w:val="nil"/>
              <w:left w:val="nil"/>
              <w:bottom w:val="single" w:sz="4" w:space="0" w:color="auto"/>
              <w:right w:val="single" w:sz="4" w:space="0" w:color="auto"/>
            </w:tcBorders>
            <w:shd w:val="clear" w:color="auto" w:fill="auto"/>
            <w:noWrap/>
            <w:vAlign w:val="bottom"/>
            <w:hideMark/>
          </w:tcPr>
          <w:p w14:paraId="33ABF6B3"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052" w:type="dxa"/>
            <w:tcBorders>
              <w:top w:val="nil"/>
              <w:left w:val="nil"/>
              <w:bottom w:val="single" w:sz="4" w:space="0" w:color="auto"/>
              <w:right w:val="single" w:sz="4" w:space="0" w:color="auto"/>
            </w:tcBorders>
            <w:shd w:val="clear" w:color="auto" w:fill="auto"/>
            <w:noWrap/>
            <w:vAlign w:val="bottom"/>
            <w:hideMark/>
          </w:tcPr>
          <w:p w14:paraId="67240039"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14:paraId="6B298AAF"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795" w:type="dxa"/>
            <w:tcBorders>
              <w:top w:val="nil"/>
              <w:left w:val="nil"/>
              <w:bottom w:val="single" w:sz="4" w:space="0" w:color="auto"/>
              <w:right w:val="single" w:sz="4" w:space="0" w:color="auto"/>
            </w:tcBorders>
            <w:shd w:val="clear" w:color="auto" w:fill="auto"/>
            <w:noWrap/>
            <w:vAlign w:val="bottom"/>
            <w:hideMark/>
          </w:tcPr>
          <w:p w14:paraId="33BA3EB5"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r>
      <w:tr w:rsidR="00DA722F" w:rsidRPr="00466125" w14:paraId="145EC7B9"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42ABE96A"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Other race Non-Hispanic</w:t>
            </w:r>
          </w:p>
        </w:tc>
        <w:tc>
          <w:tcPr>
            <w:tcW w:w="1086" w:type="dxa"/>
            <w:tcBorders>
              <w:top w:val="nil"/>
              <w:left w:val="nil"/>
              <w:bottom w:val="single" w:sz="4" w:space="0" w:color="auto"/>
              <w:right w:val="single" w:sz="4" w:space="0" w:color="auto"/>
            </w:tcBorders>
            <w:shd w:val="clear" w:color="auto" w:fill="auto"/>
            <w:noWrap/>
            <w:vAlign w:val="bottom"/>
            <w:hideMark/>
          </w:tcPr>
          <w:p w14:paraId="582659B4"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052" w:type="dxa"/>
            <w:tcBorders>
              <w:top w:val="nil"/>
              <w:left w:val="nil"/>
              <w:bottom w:val="single" w:sz="4" w:space="0" w:color="auto"/>
              <w:right w:val="single" w:sz="4" w:space="0" w:color="auto"/>
            </w:tcBorders>
            <w:shd w:val="clear" w:color="auto" w:fill="auto"/>
            <w:noWrap/>
            <w:vAlign w:val="bottom"/>
            <w:hideMark/>
          </w:tcPr>
          <w:p w14:paraId="524C3232"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14:paraId="502E7FE8"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795" w:type="dxa"/>
            <w:tcBorders>
              <w:top w:val="nil"/>
              <w:left w:val="nil"/>
              <w:bottom w:val="single" w:sz="4" w:space="0" w:color="auto"/>
              <w:right w:val="single" w:sz="4" w:space="0" w:color="auto"/>
            </w:tcBorders>
            <w:shd w:val="clear" w:color="auto" w:fill="auto"/>
            <w:noWrap/>
            <w:vAlign w:val="bottom"/>
            <w:hideMark/>
          </w:tcPr>
          <w:p w14:paraId="22EDB5A9"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r>
      <w:tr w:rsidR="00DA722F" w:rsidRPr="00466125" w14:paraId="1CBAF05E"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1320C7F2"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Two or more races Non-Hispanic</w:t>
            </w:r>
          </w:p>
        </w:tc>
        <w:tc>
          <w:tcPr>
            <w:tcW w:w="1086" w:type="dxa"/>
            <w:tcBorders>
              <w:top w:val="nil"/>
              <w:left w:val="nil"/>
              <w:bottom w:val="single" w:sz="4" w:space="0" w:color="auto"/>
              <w:right w:val="single" w:sz="4" w:space="0" w:color="auto"/>
            </w:tcBorders>
            <w:shd w:val="clear" w:color="auto" w:fill="auto"/>
            <w:noWrap/>
            <w:vAlign w:val="bottom"/>
            <w:hideMark/>
          </w:tcPr>
          <w:p w14:paraId="6BA34A2E"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w:t>
            </w:r>
          </w:p>
        </w:tc>
        <w:tc>
          <w:tcPr>
            <w:tcW w:w="1052" w:type="dxa"/>
            <w:tcBorders>
              <w:top w:val="nil"/>
              <w:left w:val="nil"/>
              <w:bottom w:val="single" w:sz="4" w:space="0" w:color="auto"/>
              <w:right w:val="single" w:sz="4" w:space="0" w:color="auto"/>
            </w:tcBorders>
            <w:shd w:val="clear" w:color="auto" w:fill="auto"/>
            <w:noWrap/>
            <w:vAlign w:val="bottom"/>
            <w:hideMark/>
          </w:tcPr>
          <w:p w14:paraId="7261BA8C"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14:paraId="2A3E862C"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w:t>
            </w:r>
          </w:p>
        </w:tc>
        <w:tc>
          <w:tcPr>
            <w:tcW w:w="1795" w:type="dxa"/>
            <w:tcBorders>
              <w:top w:val="nil"/>
              <w:left w:val="nil"/>
              <w:bottom w:val="single" w:sz="4" w:space="0" w:color="auto"/>
              <w:right w:val="single" w:sz="4" w:space="0" w:color="auto"/>
            </w:tcBorders>
            <w:shd w:val="clear" w:color="auto" w:fill="auto"/>
            <w:noWrap/>
            <w:vAlign w:val="bottom"/>
            <w:hideMark/>
          </w:tcPr>
          <w:p w14:paraId="3BADFC75"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2%</w:t>
            </w:r>
          </w:p>
        </w:tc>
      </w:tr>
      <w:tr w:rsidR="00DA722F" w:rsidRPr="00466125" w14:paraId="4AA41302"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4AA41426"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Hispanic or Latino</w:t>
            </w:r>
          </w:p>
        </w:tc>
        <w:tc>
          <w:tcPr>
            <w:tcW w:w="1086" w:type="dxa"/>
            <w:tcBorders>
              <w:top w:val="nil"/>
              <w:left w:val="nil"/>
              <w:bottom w:val="single" w:sz="4" w:space="0" w:color="auto"/>
              <w:right w:val="single" w:sz="4" w:space="0" w:color="auto"/>
            </w:tcBorders>
            <w:shd w:val="clear" w:color="000000" w:fill="F4B084"/>
            <w:noWrap/>
            <w:vAlign w:val="bottom"/>
            <w:hideMark/>
          </w:tcPr>
          <w:p w14:paraId="13A5D305"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35%</w:t>
            </w:r>
          </w:p>
        </w:tc>
        <w:tc>
          <w:tcPr>
            <w:tcW w:w="1052" w:type="dxa"/>
            <w:tcBorders>
              <w:top w:val="nil"/>
              <w:left w:val="nil"/>
              <w:bottom w:val="single" w:sz="4" w:space="0" w:color="auto"/>
              <w:right w:val="single" w:sz="4" w:space="0" w:color="auto"/>
            </w:tcBorders>
            <w:shd w:val="clear" w:color="000000" w:fill="F4B084"/>
            <w:noWrap/>
            <w:vAlign w:val="bottom"/>
            <w:hideMark/>
          </w:tcPr>
          <w:p w14:paraId="5B9D18CB"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37%</w:t>
            </w:r>
          </w:p>
        </w:tc>
        <w:tc>
          <w:tcPr>
            <w:tcW w:w="1043" w:type="dxa"/>
            <w:tcBorders>
              <w:top w:val="nil"/>
              <w:left w:val="nil"/>
              <w:bottom w:val="single" w:sz="4" w:space="0" w:color="auto"/>
              <w:right w:val="single" w:sz="4" w:space="0" w:color="auto"/>
            </w:tcBorders>
            <w:shd w:val="clear" w:color="000000" w:fill="F4B084"/>
            <w:noWrap/>
            <w:vAlign w:val="bottom"/>
            <w:hideMark/>
          </w:tcPr>
          <w:p w14:paraId="34CD0381"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42%</w:t>
            </w:r>
          </w:p>
        </w:tc>
        <w:tc>
          <w:tcPr>
            <w:tcW w:w="1795" w:type="dxa"/>
            <w:tcBorders>
              <w:top w:val="nil"/>
              <w:left w:val="nil"/>
              <w:bottom w:val="single" w:sz="4" w:space="0" w:color="auto"/>
              <w:right w:val="single" w:sz="4" w:space="0" w:color="auto"/>
            </w:tcBorders>
            <w:shd w:val="clear" w:color="auto" w:fill="auto"/>
            <w:noWrap/>
            <w:vAlign w:val="bottom"/>
            <w:hideMark/>
          </w:tcPr>
          <w:p w14:paraId="380C4AF3"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38%</w:t>
            </w:r>
          </w:p>
        </w:tc>
      </w:tr>
      <w:tr w:rsidR="00DA722F" w:rsidRPr="00466125" w14:paraId="70BDB9C9" w14:textId="77777777" w:rsidTr="00695C0B">
        <w:trPr>
          <w:trHeight w:val="288"/>
        </w:trPr>
        <w:tc>
          <w:tcPr>
            <w:tcW w:w="4374" w:type="dxa"/>
            <w:tcBorders>
              <w:top w:val="nil"/>
              <w:left w:val="single" w:sz="4" w:space="0" w:color="auto"/>
              <w:bottom w:val="single" w:sz="4" w:space="0" w:color="auto"/>
              <w:right w:val="single" w:sz="4" w:space="0" w:color="auto"/>
            </w:tcBorders>
            <w:shd w:val="clear" w:color="auto" w:fill="auto"/>
            <w:noWrap/>
            <w:vAlign w:val="bottom"/>
            <w:hideMark/>
          </w:tcPr>
          <w:p w14:paraId="137A1F8D" w14:textId="77777777" w:rsidR="00DA722F" w:rsidRPr="00466125" w:rsidRDefault="00DA722F" w:rsidP="00B003BA">
            <w:pPr>
              <w:spacing w:after="0"/>
              <w:ind w:left="0"/>
              <w:rPr>
                <w:rFonts w:ascii="Arial" w:eastAsia="Times New Roman" w:hAnsi="Arial" w:cs="Arial"/>
                <w:b/>
                <w:bCs/>
                <w:color w:val="000000"/>
                <w:sz w:val="20"/>
                <w:szCs w:val="20"/>
              </w:rPr>
            </w:pPr>
            <w:r w:rsidRPr="00466125">
              <w:rPr>
                <w:rFonts w:ascii="Arial" w:eastAsia="Times New Roman" w:hAnsi="Arial" w:cs="Arial"/>
                <w:b/>
                <w:bCs/>
                <w:color w:val="000000"/>
                <w:sz w:val="20"/>
                <w:szCs w:val="20"/>
              </w:rPr>
              <w:t>Missing</w:t>
            </w:r>
          </w:p>
        </w:tc>
        <w:tc>
          <w:tcPr>
            <w:tcW w:w="1086" w:type="dxa"/>
            <w:tcBorders>
              <w:top w:val="nil"/>
              <w:left w:val="nil"/>
              <w:bottom w:val="single" w:sz="4" w:space="0" w:color="auto"/>
              <w:right w:val="single" w:sz="4" w:space="0" w:color="auto"/>
            </w:tcBorders>
            <w:shd w:val="clear" w:color="auto" w:fill="auto"/>
            <w:noWrap/>
            <w:vAlign w:val="bottom"/>
            <w:hideMark/>
          </w:tcPr>
          <w:p w14:paraId="4F19264F"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c>
          <w:tcPr>
            <w:tcW w:w="1052" w:type="dxa"/>
            <w:tcBorders>
              <w:top w:val="nil"/>
              <w:left w:val="nil"/>
              <w:bottom w:val="single" w:sz="4" w:space="0" w:color="auto"/>
              <w:right w:val="single" w:sz="4" w:space="0" w:color="auto"/>
            </w:tcBorders>
            <w:shd w:val="clear" w:color="auto" w:fill="auto"/>
            <w:noWrap/>
            <w:vAlign w:val="bottom"/>
            <w:hideMark/>
          </w:tcPr>
          <w:p w14:paraId="12DF867C"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1%</w:t>
            </w:r>
          </w:p>
        </w:tc>
        <w:tc>
          <w:tcPr>
            <w:tcW w:w="1043" w:type="dxa"/>
            <w:tcBorders>
              <w:top w:val="nil"/>
              <w:left w:val="nil"/>
              <w:bottom w:val="single" w:sz="4" w:space="0" w:color="auto"/>
              <w:right w:val="single" w:sz="4" w:space="0" w:color="auto"/>
            </w:tcBorders>
            <w:shd w:val="clear" w:color="auto" w:fill="auto"/>
            <w:noWrap/>
            <w:vAlign w:val="bottom"/>
            <w:hideMark/>
          </w:tcPr>
          <w:p w14:paraId="2436F819"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c>
          <w:tcPr>
            <w:tcW w:w="1795" w:type="dxa"/>
            <w:tcBorders>
              <w:top w:val="nil"/>
              <w:left w:val="nil"/>
              <w:bottom w:val="single" w:sz="4" w:space="0" w:color="auto"/>
              <w:right w:val="single" w:sz="4" w:space="0" w:color="auto"/>
            </w:tcBorders>
            <w:shd w:val="clear" w:color="auto" w:fill="auto"/>
            <w:noWrap/>
            <w:vAlign w:val="bottom"/>
            <w:hideMark/>
          </w:tcPr>
          <w:p w14:paraId="6BD8A1A2" w14:textId="77777777" w:rsidR="00DA722F" w:rsidRPr="00466125" w:rsidRDefault="00DA722F" w:rsidP="00B003BA">
            <w:pPr>
              <w:spacing w:after="0"/>
              <w:ind w:left="0"/>
              <w:jc w:val="center"/>
              <w:rPr>
                <w:rFonts w:ascii="Arial" w:eastAsia="Times New Roman" w:hAnsi="Arial" w:cs="Arial"/>
                <w:color w:val="000000"/>
                <w:sz w:val="20"/>
                <w:szCs w:val="20"/>
              </w:rPr>
            </w:pPr>
            <w:r w:rsidRPr="00466125">
              <w:rPr>
                <w:rFonts w:ascii="Arial" w:eastAsia="Times New Roman" w:hAnsi="Arial" w:cs="Arial"/>
                <w:color w:val="000000"/>
                <w:sz w:val="20"/>
                <w:szCs w:val="20"/>
              </w:rPr>
              <w:t>0%</w:t>
            </w:r>
          </w:p>
        </w:tc>
      </w:tr>
    </w:tbl>
    <w:p w14:paraId="07C66DB7" w14:textId="77777777" w:rsidR="00DA722F" w:rsidRDefault="00DA722F" w:rsidP="00DA722F">
      <w:pPr>
        <w:spacing w:after="160"/>
        <w:ind w:left="0"/>
        <w:contextualSpacing/>
      </w:pPr>
      <w:r w:rsidRPr="004A4408">
        <w:t>*Low effort: one contact and less than two days between screener and household survey</w:t>
      </w:r>
      <w:r>
        <w:t xml:space="preserve"> completion</w:t>
      </w:r>
    </w:p>
    <w:p w14:paraId="626BAFAA" w14:textId="77777777" w:rsidR="00DA722F" w:rsidRDefault="00DA722F" w:rsidP="00DA722F">
      <w:pPr>
        <w:spacing w:after="160"/>
        <w:ind w:left="0"/>
        <w:contextualSpacing/>
      </w:pPr>
      <w:r>
        <w:t>**Medium effort: 2-7 contacts and 2 and 7 days between screener and household survey completion</w:t>
      </w:r>
    </w:p>
    <w:p w14:paraId="583EF0B6" w14:textId="77777777" w:rsidR="00DA722F" w:rsidRDefault="00DA722F" w:rsidP="00DA722F">
      <w:pPr>
        <w:spacing w:after="160"/>
        <w:ind w:left="0"/>
        <w:contextualSpacing/>
      </w:pPr>
      <w:r>
        <w:t>***High effort: four or more contacts and eight or more days between screener and household survey completion</w:t>
      </w:r>
      <w:r w:rsidDel="00517074">
        <w:t xml:space="preserve"> </w:t>
      </w:r>
    </w:p>
    <w:p w14:paraId="536EED49" w14:textId="77777777" w:rsidR="00DA722F" w:rsidRDefault="00DA722F" w:rsidP="0060659E">
      <w:pPr>
        <w:pStyle w:val="BodyText"/>
      </w:pPr>
    </w:p>
    <w:p w14:paraId="68EC6DBC" w14:textId="6E06592E" w:rsidR="00586193" w:rsidRPr="00CC3A70" w:rsidRDefault="00586193" w:rsidP="0060659E">
      <w:pPr>
        <w:pStyle w:val="Heading4"/>
      </w:pPr>
      <w:bookmarkStart w:id="31" w:name="_Toc520896120"/>
      <w:r w:rsidRPr="00CC3A70">
        <w:t>Addressing Nonresponse</w:t>
      </w:r>
      <w:bookmarkEnd w:id="31"/>
    </w:p>
    <w:p w14:paraId="13E1147E" w14:textId="26751CD3" w:rsidR="00692CFC" w:rsidRDefault="00692CFC" w:rsidP="0060659E">
      <w:pPr>
        <w:pStyle w:val="BodyText"/>
      </w:pPr>
      <w:r>
        <w:t>ACF</w:t>
      </w:r>
      <w:r w:rsidR="00FC1B10" w:rsidRPr="00692CFC">
        <w:t xml:space="preserve"> understands the broad impact that </w:t>
      </w:r>
      <w:r w:rsidR="00BF60ED">
        <w:t>nonresponse</w:t>
      </w:r>
      <w:r w:rsidR="00FC1B10" w:rsidRPr="00692CFC">
        <w:t xml:space="preserve"> can have on a data collection effort, including the potential for lengthening a field period, lowering response rates, and introducing possible bias in the resulting data</w:t>
      </w:r>
      <w:r w:rsidR="00B82BEC">
        <w:t xml:space="preserve"> and estimates</w:t>
      </w:r>
      <w:r w:rsidR="00FC1B10" w:rsidRPr="00692CFC">
        <w:t xml:space="preserve">. The first line of defense against nonresponse is refusal </w:t>
      </w:r>
      <w:r w:rsidR="00FC1B10" w:rsidRPr="00692CFC">
        <w:rPr>
          <w:iCs/>
        </w:rPr>
        <w:t>aversion</w:t>
      </w:r>
      <w:r w:rsidR="00FC1B10" w:rsidRPr="00692CFC">
        <w:t xml:space="preserve">. </w:t>
      </w:r>
      <w:r w:rsidR="00C07514">
        <w:t xml:space="preserve">Throughout the field period, the </w:t>
      </w:r>
      <w:r w:rsidR="00AB4067">
        <w:t xml:space="preserve">2019 NSECE will </w:t>
      </w:r>
      <w:r w:rsidR="00C07514">
        <w:t>make the most of compelling contact materials and online study information to inform the NSECE sample groups about the surveys and motivate participation. These materials will include</w:t>
      </w:r>
      <w:r w:rsidR="00AB4067">
        <w:t xml:space="preserve"> a </w:t>
      </w:r>
      <w:r w:rsidR="00C07514">
        <w:t xml:space="preserve">detailed </w:t>
      </w:r>
      <w:r w:rsidR="00AB4067">
        <w:t>project description</w:t>
      </w:r>
      <w:r w:rsidR="00C07514">
        <w:t xml:space="preserve"> and purpose, tailored to appeal to the interests of the different groups where possible. They will also</w:t>
      </w:r>
      <w:r w:rsidR="00AB4067">
        <w:t xml:space="preserve"> </w:t>
      </w:r>
      <w:r w:rsidR="00EA7602">
        <w:t xml:space="preserve">contain </w:t>
      </w:r>
      <w:r w:rsidR="00AB4067">
        <w:t>a toll-free telephone number and project email address should respondents have any questions and wish to contact project staff. Th</w:t>
      </w:r>
      <w:r w:rsidR="00C07514">
        <w:t>e</w:t>
      </w:r>
      <w:r w:rsidR="00AB4067">
        <w:t xml:space="preserve"> online p</w:t>
      </w:r>
      <w:r w:rsidR="00C07514">
        <w:t>resence</w:t>
      </w:r>
      <w:r w:rsidR="00AB4067">
        <w:t xml:space="preserve"> reinforces the study’s legitimacy and provides an easily accessible venue to learn more about the project. </w:t>
      </w:r>
      <w:r w:rsidR="00EA7602">
        <w:t>In addition, d</w:t>
      </w:r>
      <w:r w:rsidR="00FC1B10" w:rsidRPr="00692CFC">
        <w:t>uring interviewer training much effort is made to prepare interviewers with both general and project-specific techniques to successfully address respondent concern</w:t>
      </w:r>
      <w:r w:rsidR="00C404EF">
        <w:t>s.</w:t>
      </w:r>
    </w:p>
    <w:p w14:paraId="5BC51FEB" w14:textId="25331D3C" w:rsidR="00FC1B10" w:rsidRDefault="00FC1B10" w:rsidP="0060659E">
      <w:pPr>
        <w:pStyle w:val="BodyText"/>
      </w:pPr>
      <w:r w:rsidRPr="00692CFC">
        <w:t xml:space="preserve">Refusal aversion and conversion techniques are initially introduced and practiced in training sessions so that interviewers are well-versed in NSECE-related facts and in the sample frame methodology by the time they start interviewing and can successfully address </w:t>
      </w:r>
      <w:r w:rsidR="0039785C">
        <w:t>respondent</w:t>
      </w:r>
      <w:r w:rsidR="00C404EF" w:rsidRPr="00692CFC">
        <w:t xml:space="preserve"> </w:t>
      </w:r>
      <w:r w:rsidRPr="00692CFC">
        <w:t xml:space="preserve">concerns. Throughout the training process, interviewers are educated as to the relatively short time period they have to gain </w:t>
      </w:r>
      <w:r w:rsidR="00C404EF">
        <w:t>an individual’s</w:t>
      </w:r>
      <w:r w:rsidRPr="00692CFC">
        <w:t xml:space="preserve"> cooperation and that the process of averting refusals begins as soon as contact is made with a potential respondent. Although the</w:t>
      </w:r>
      <w:r w:rsidR="00E435E0">
        <w:t xml:space="preserve"> initial contact with an</w:t>
      </w:r>
      <w:r w:rsidRPr="00692CFC">
        <w:t xml:space="preserve"> individual </w:t>
      </w:r>
      <w:r w:rsidR="00E435E0">
        <w:t xml:space="preserve">at the sampled </w:t>
      </w:r>
      <w:r w:rsidR="0039785C">
        <w:t xml:space="preserve">household or </w:t>
      </w:r>
      <w:r w:rsidR="00FF149F">
        <w:t>provider location</w:t>
      </w:r>
      <w:r w:rsidR="00FF149F" w:rsidRPr="00692CFC">
        <w:t xml:space="preserve"> </w:t>
      </w:r>
      <w:r w:rsidRPr="00692CFC">
        <w:t xml:space="preserve">may not be the person who ultimately completes the screener or detailed </w:t>
      </w:r>
      <w:r w:rsidR="00E87374">
        <w:t>questionnaire</w:t>
      </w:r>
      <w:r w:rsidRPr="00692CFC">
        <w:t>, the way he or she is treated can directly impact the willingness of other</w:t>
      </w:r>
      <w:r w:rsidR="0039785C">
        <w:t>s</w:t>
      </w:r>
      <w:r w:rsidRPr="00692CFC">
        <w:t xml:space="preserve"> to partic</w:t>
      </w:r>
      <w:r w:rsidR="00084F33">
        <w:t>ipate and provide quality data.</w:t>
      </w:r>
    </w:p>
    <w:p w14:paraId="0F6E915B" w14:textId="30438F89" w:rsidR="00FF149F" w:rsidRDefault="00FF149F" w:rsidP="0060659E">
      <w:pPr>
        <w:pStyle w:val="Heading4"/>
      </w:pPr>
      <w:bookmarkStart w:id="32" w:name="_Toc520896121"/>
      <w:r w:rsidRPr="00FC47D2">
        <w:t>Analysis of Nonresponse Bias</w:t>
      </w:r>
      <w:bookmarkEnd w:id="32"/>
      <w:r w:rsidRPr="002B02CB">
        <w:t xml:space="preserve"> </w:t>
      </w:r>
    </w:p>
    <w:p w14:paraId="1FCB1226" w14:textId="5374618C" w:rsidR="00FF149F" w:rsidRDefault="00FF149F" w:rsidP="0060659E">
      <w:pPr>
        <w:pStyle w:val="BodyText"/>
        <w:rPr>
          <w:color w:val="000000"/>
        </w:rPr>
      </w:pPr>
      <w:r>
        <w:rPr>
          <w:color w:val="000000"/>
        </w:rPr>
        <w:t>As part of the final 2019 NSECE data preparation and analysis, the project will conduct a nonresponse bias analysis to further evaluate the impact of nonresponse across the sample</w:t>
      </w:r>
      <w:r w:rsidR="00056B91">
        <w:rPr>
          <w:color w:val="000000"/>
        </w:rPr>
        <w:t>s</w:t>
      </w:r>
      <w:r>
        <w:rPr>
          <w:color w:val="000000"/>
        </w:rPr>
        <w:t xml:space="preserve"> and responses to the different </w:t>
      </w:r>
      <w:r w:rsidR="00E87374">
        <w:rPr>
          <w:color w:val="000000"/>
        </w:rPr>
        <w:t>surveys</w:t>
      </w:r>
      <w:r>
        <w:rPr>
          <w:color w:val="000000"/>
        </w:rPr>
        <w:t xml:space="preserve"> across modes. The nonresponse bias analysis will observe unit nonresponse across the different surveys by mode, address nonresponse bias overall, and describe the weights constructed for estimation. Finally, the analysis will include an assessment of nonresponse bias in the 2019 NSECE,</w:t>
      </w:r>
      <w:r>
        <w:rPr>
          <w:color w:val="00FF00"/>
        </w:rPr>
        <w:t xml:space="preserve"> </w:t>
      </w:r>
      <w:r w:rsidRPr="009C3FB0">
        <w:t>including specific types of analyses, if any, that might be affected by nonresponse.</w:t>
      </w:r>
      <w:r w:rsidR="00DA722F">
        <w:t xml:space="preserve"> We will submit this analysis to OMB as a non-substantive change when completed in 2020. </w:t>
      </w:r>
    </w:p>
    <w:p w14:paraId="73FA8FFD" w14:textId="79B18AC8" w:rsidR="006B58E9" w:rsidRDefault="006B58E9" w:rsidP="00066E98">
      <w:pPr>
        <w:pStyle w:val="Heading3"/>
      </w:pPr>
      <w:bookmarkStart w:id="33" w:name="_Toc520896122"/>
      <w:r>
        <w:t>4.</w:t>
      </w:r>
      <w:r w:rsidR="00DB19B4">
        <w:tab/>
      </w:r>
      <w:r>
        <w:t>Tests of Procedures or Methods to be Undertaken</w:t>
      </w:r>
      <w:bookmarkEnd w:id="33"/>
    </w:p>
    <w:p w14:paraId="2E9BB78D" w14:textId="0D1CD009" w:rsidR="00A474B6" w:rsidRPr="006B58E9" w:rsidRDefault="00FC1B10" w:rsidP="00066E98">
      <w:pPr>
        <w:pStyle w:val="Heading4"/>
      </w:pPr>
      <w:bookmarkStart w:id="34" w:name="_Toc511036873"/>
      <w:bookmarkStart w:id="35" w:name="_Toc520896123"/>
      <w:r w:rsidRPr="006B58E9">
        <w:t>Testing of Questionnaire Items</w:t>
      </w:r>
      <w:bookmarkEnd w:id="34"/>
      <w:bookmarkEnd w:id="35"/>
      <w:r w:rsidR="00303B59" w:rsidRPr="006B58E9">
        <w:t xml:space="preserve"> </w:t>
      </w:r>
    </w:p>
    <w:p w14:paraId="447FA8E2" w14:textId="3B70C539" w:rsidR="003B24C9" w:rsidRDefault="003B24C9" w:rsidP="00066E98">
      <w:pPr>
        <w:pStyle w:val="BodyText"/>
      </w:pPr>
      <w:bookmarkStart w:id="36" w:name="_Toc186885091"/>
      <w:bookmarkStart w:id="37" w:name="_Toc193185192"/>
      <w:r>
        <w:t>Questionnaire items for the 2019 NSECE will include (1) intact version</w:t>
      </w:r>
      <w:r w:rsidR="0054340D">
        <w:t>s</w:t>
      </w:r>
      <w:r>
        <w:t xml:space="preserve"> of items from the 2012 </w:t>
      </w:r>
      <w:r w:rsidR="0090311B">
        <w:t>questionnaires</w:t>
      </w:r>
      <w:r>
        <w:t>; (2) revis</w:t>
      </w:r>
      <w:r w:rsidR="0054340D">
        <w:t>ed</w:t>
      </w:r>
      <w:r>
        <w:t xml:space="preserve"> items fielded in the 2012 NSECE, and (3) new items developed to support research questi</w:t>
      </w:r>
      <w:r w:rsidR="00084F33">
        <w:t>ons specific to the 2019 NSECE.</w:t>
      </w:r>
      <w:r w:rsidR="00C404EF">
        <w:t xml:space="preserve"> </w:t>
      </w:r>
      <w:r w:rsidR="0039785C">
        <w:t xml:space="preserve">All questionnaire documentation, including </w:t>
      </w:r>
      <w:r w:rsidR="0039785C" w:rsidRPr="00C404EF">
        <w:t xml:space="preserve">a high-level summary of </w:t>
      </w:r>
      <w:r w:rsidR="0039785C">
        <w:t>each</w:t>
      </w:r>
      <w:r w:rsidR="0039785C" w:rsidRPr="00C404EF">
        <w:t xml:space="preserve"> 2019 questionnaire</w:t>
      </w:r>
      <w:r w:rsidR="0039785C">
        <w:t>,</w:t>
      </w:r>
      <w:r w:rsidR="0039785C" w:rsidRPr="00C404EF">
        <w:t xml:space="preserve"> an item-level table comparing the 2012 and 2019 NSECE questionnaire items</w:t>
      </w:r>
      <w:r w:rsidR="0039785C">
        <w:t>, and the individual questionnaires can be found in</w:t>
      </w:r>
      <w:r w:rsidR="00C404EF">
        <w:t xml:space="preserve"> Attachments 1</w:t>
      </w:r>
      <w:r w:rsidR="006C65E1">
        <w:t>-</w:t>
      </w:r>
      <w:r w:rsidR="00B324ED">
        <w:t>6</w:t>
      </w:r>
      <w:r w:rsidR="00C404EF">
        <w:t>b</w:t>
      </w:r>
      <w:r w:rsidR="00241357">
        <w:t xml:space="preserve"> </w:t>
      </w:r>
      <w:r w:rsidR="0054340D">
        <w:t xml:space="preserve">and </w:t>
      </w:r>
      <w:r w:rsidR="00241357">
        <w:t>14</w:t>
      </w:r>
      <w:r w:rsidR="0054340D">
        <w:t>-15b</w:t>
      </w:r>
      <w:r w:rsidR="006C65E1">
        <w:t>. Please refer to the table of attachments to locate each respective questionnaire by sample type and language.</w:t>
      </w:r>
    </w:p>
    <w:p w14:paraId="707EC1BC" w14:textId="54450758" w:rsidR="003B24C9" w:rsidRDefault="00F75EAC" w:rsidP="00066E98">
      <w:pPr>
        <w:pStyle w:val="BodyText"/>
      </w:pPr>
      <w:r>
        <w:rPr>
          <w:b/>
        </w:rPr>
        <w:t xml:space="preserve">Items from the 2012 Questionnaires. </w:t>
      </w:r>
      <w:r w:rsidR="003B24C9">
        <w:t xml:space="preserve">Since it is an agency priority to maximize comparability of estimates between the 2012 and 2019 NSECE, the majority of </w:t>
      </w:r>
      <w:r w:rsidR="00E87374">
        <w:t xml:space="preserve">questionnaire </w:t>
      </w:r>
      <w:r w:rsidR="003B24C9">
        <w:t xml:space="preserve">items for the 2019 NSECE correspond to items from the 2012 NSECE. Items from the 2012 NSECE questionnaires </w:t>
      </w:r>
      <w:r w:rsidR="00B230EE">
        <w:t>were reviewed and</w:t>
      </w:r>
      <w:r w:rsidR="003B24C9">
        <w:t xml:space="preserve"> approved by OMB</w:t>
      </w:r>
      <w:r w:rsidR="00B230EE">
        <w:t xml:space="preserve"> for the 2012 NSECE, which was fielded </w:t>
      </w:r>
      <w:r w:rsidR="00775C49">
        <w:t xml:space="preserve">from </w:t>
      </w:r>
      <w:r w:rsidR="00775C49" w:rsidRPr="00786F1A">
        <w:t>November 2011 through June 2012</w:t>
      </w:r>
      <w:r w:rsidR="003B24C9">
        <w:t>.</w:t>
      </w:r>
      <w:r w:rsidR="00BA7625">
        <w:t xml:space="preserve"> </w:t>
      </w:r>
      <w:r w:rsidR="0090311B">
        <w:t>T</w:t>
      </w:r>
      <w:r w:rsidR="003B24C9">
        <w:t xml:space="preserve">he 2012 NSECE </w:t>
      </w:r>
      <w:r w:rsidR="0090311B">
        <w:t xml:space="preserve">questionnaires </w:t>
      </w:r>
      <w:r w:rsidR="003B24C9">
        <w:t>were developed during the Design Phase preceding the project’s implementation. The twenty-eight month Design Phase included a substantial review of the literature, an extensive compendium of measures from ECE-related surveys, multiple rounds of cognitive interviews per respondent type, and a feasibility test in which all questionnaires were administered with eligible samples using the modes and technolog</w:t>
      </w:r>
      <w:r w:rsidR="00084F33">
        <w:t>ies planned for the main study.</w:t>
      </w:r>
      <w:r w:rsidR="005C5624">
        <w:t xml:space="preserve"> (The Design Phase cognitive interviews were conducted under a generic OMB clearance package; the Design Phase feasibility test was conducted under OMB # 0970-0363.)</w:t>
      </w:r>
    </w:p>
    <w:p w14:paraId="26CA6AC4" w14:textId="3E6EB486" w:rsidR="00FF05AA" w:rsidRPr="004A4408" w:rsidRDefault="003B24C9" w:rsidP="004A4408">
      <w:pPr>
        <w:pStyle w:val="CommentText"/>
        <w:ind w:left="0"/>
        <w:rPr>
          <w:sz w:val="24"/>
          <w:szCs w:val="24"/>
          <w:lang w:val="en-US"/>
        </w:rPr>
      </w:pPr>
      <w:r w:rsidRPr="004A4408">
        <w:rPr>
          <w:b/>
          <w:sz w:val="24"/>
          <w:szCs w:val="24"/>
          <w:u w:val="single"/>
        </w:rPr>
        <w:t xml:space="preserve">Revised and </w:t>
      </w:r>
      <w:r w:rsidR="00F75EAC" w:rsidRPr="004A4408">
        <w:rPr>
          <w:b/>
          <w:sz w:val="24"/>
          <w:szCs w:val="24"/>
          <w:u w:val="single"/>
        </w:rPr>
        <w:t>New Items</w:t>
      </w:r>
      <w:r w:rsidR="00F75EAC" w:rsidRPr="004A4408">
        <w:rPr>
          <w:b/>
          <w:sz w:val="24"/>
          <w:szCs w:val="24"/>
        </w:rPr>
        <w:t>.</w:t>
      </w:r>
      <w:r w:rsidR="00F75EAC" w:rsidRPr="004A4408">
        <w:rPr>
          <w:sz w:val="24"/>
          <w:szCs w:val="24"/>
        </w:rPr>
        <w:t xml:space="preserve"> Revised and new items </w:t>
      </w:r>
      <w:r w:rsidRPr="004A4408">
        <w:rPr>
          <w:sz w:val="24"/>
          <w:szCs w:val="24"/>
        </w:rPr>
        <w:t>have been proposed by the contract team, OPRE, Content Advisory Team (CAT)</w:t>
      </w:r>
      <w:r w:rsidR="0054340D" w:rsidRPr="004A4408">
        <w:rPr>
          <w:sz w:val="24"/>
          <w:szCs w:val="24"/>
        </w:rPr>
        <w:t>,</w:t>
      </w:r>
      <w:r w:rsidRPr="004A4408">
        <w:rPr>
          <w:sz w:val="24"/>
          <w:szCs w:val="24"/>
        </w:rPr>
        <w:t xml:space="preserve"> </w:t>
      </w:r>
      <w:r w:rsidR="00B82BEC" w:rsidRPr="004A4408">
        <w:rPr>
          <w:sz w:val="24"/>
          <w:szCs w:val="24"/>
        </w:rPr>
        <w:t>consultants to the contract team</w:t>
      </w:r>
      <w:r w:rsidRPr="004A4408">
        <w:rPr>
          <w:sz w:val="24"/>
          <w:szCs w:val="24"/>
        </w:rPr>
        <w:t xml:space="preserve">, the Technical Expert Panel (TEP), and other federal agencies. </w:t>
      </w:r>
      <w:r w:rsidR="00B82BEC" w:rsidRPr="004A4408">
        <w:rPr>
          <w:sz w:val="24"/>
          <w:szCs w:val="24"/>
        </w:rPr>
        <w:t>Some</w:t>
      </w:r>
      <w:r w:rsidRPr="004A4408">
        <w:rPr>
          <w:sz w:val="24"/>
          <w:szCs w:val="24"/>
        </w:rPr>
        <w:t xml:space="preserve"> revisions </w:t>
      </w:r>
      <w:r w:rsidR="00B82BEC" w:rsidRPr="004A4408">
        <w:rPr>
          <w:sz w:val="24"/>
          <w:szCs w:val="24"/>
        </w:rPr>
        <w:t xml:space="preserve">to items </w:t>
      </w:r>
      <w:r w:rsidRPr="004A4408">
        <w:rPr>
          <w:sz w:val="24"/>
          <w:szCs w:val="24"/>
        </w:rPr>
        <w:t>are non-substantive, such as updates to the definition of last year (from 2011 to 2018).</w:t>
      </w:r>
      <w:r w:rsidR="00BA7625" w:rsidRPr="004A4408">
        <w:rPr>
          <w:sz w:val="24"/>
          <w:szCs w:val="24"/>
        </w:rPr>
        <w:t xml:space="preserve"> </w:t>
      </w:r>
      <w:r w:rsidR="00B82BEC" w:rsidRPr="004A4408">
        <w:rPr>
          <w:sz w:val="24"/>
          <w:szCs w:val="24"/>
        </w:rPr>
        <w:t>Many of the newly adopted items</w:t>
      </w:r>
      <w:r w:rsidRPr="004A4408">
        <w:rPr>
          <w:sz w:val="24"/>
          <w:szCs w:val="24"/>
        </w:rPr>
        <w:t xml:space="preserve"> are new to the NSECE but have been included in other surveys and cognitively tested elsewhere, such as self-rated health or the CES-D depression scale.</w:t>
      </w:r>
      <w:r w:rsidR="00B82BEC" w:rsidRPr="004A4408">
        <w:rPr>
          <w:sz w:val="24"/>
          <w:szCs w:val="24"/>
        </w:rPr>
        <w:t xml:space="preserve"> Some additional new items </w:t>
      </w:r>
      <w:r w:rsidR="00B230EE" w:rsidRPr="004A4408">
        <w:rPr>
          <w:sz w:val="24"/>
          <w:szCs w:val="24"/>
        </w:rPr>
        <w:t xml:space="preserve">for 2019 </w:t>
      </w:r>
      <w:r w:rsidR="00B82BEC" w:rsidRPr="004A4408">
        <w:rPr>
          <w:sz w:val="24"/>
          <w:szCs w:val="24"/>
        </w:rPr>
        <w:t>were developed and tested for the 2012 NSECE but not included that year due t</w:t>
      </w:r>
      <w:r w:rsidR="00E87374" w:rsidRPr="004A4408">
        <w:rPr>
          <w:sz w:val="24"/>
          <w:szCs w:val="24"/>
        </w:rPr>
        <w:t>o</w:t>
      </w:r>
      <w:r w:rsidR="00B82BEC" w:rsidRPr="004A4408">
        <w:rPr>
          <w:sz w:val="24"/>
          <w:szCs w:val="24"/>
        </w:rPr>
        <w:t xml:space="preserve"> administration time constraints.</w:t>
      </w:r>
      <w:r w:rsidR="00BA7625" w:rsidRPr="004A4408">
        <w:rPr>
          <w:sz w:val="24"/>
          <w:szCs w:val="24"/>
        </w:rPr>
        <w:t xml:space="preserve"> </w:t>
      </w:r>
      <w:r w:rsidR="00B82BEC" w:rsidRPr="004A4408">
        <w:rPr>
          <w:sz w:val="24"/>
          <w:szCs w:val="24"/>
        </w:rPr>
        <w:t xml:space="preserve">New or revised items that have not exhibited adequate item functioning through one of these mechanisms have undergone cognitive testing </w:t>
      </w:r>
      <w:r w:rsidR="0054340D" w:rsidRPr="004A4408">
        <w:rPr>
          <w:sz w:val="24"/>
          <w:szCs w:val="24"/>
        </w:rPr>
        <w:t xml:space="preserve">with fewer than 10 people </w:t>
      </w:r>
      <w:r w:rsidR="00B82BEC" w:rsidRPr="004A4408">
        <w:rPr>
          <w:sz w:val="24"/>
          <w:szCs w:val="24"/>
        </w:rPr>
        <w:t>a</w:t>
      </w:r>
      <w:r w:rsidR="00084F33" w:rsidRPr="004A4408">
        <w:rPr>
          <w:sz w:val="24"/>
          <w:szCs w:val="24"/>
        </w:rPr>
        <w:t>s part of the current contract.</w:t>
      </w:r>
      <w:r w:rsidR="00FF05AA" w:rsidRPr="004A4408">
        <w:rPr>
          <w:sz w:val="24"/>
          <w:szCs w:val="24"/>
        </w:rPr>
        <w:t xml:space="preserve"> </w:t>
      </w:r>
      <w:r w:rsidR="00FF05AA" w:rsidRPr="004A4408">
        <w:rPr>
          <w:sz w:val="24"/>
          <w:szCs w:val="24"/>
          <w:lang w:val="en-US"/>
        </w:rPr>
        <w:t>The 2012 NSECE measured ECE staff well-being using the Kessler Distress Scale (K6). The CES-D is equivalent to the Kessler scale in its content, potential sensitivity level, and burden for respondents. The key advantage of the CES-D is its wide use across multiple subpopulations, providing relevant baseline comparisons to ECE staff included in the NSECE. We do not expect any impacts on response rates due to differential sensitivity or burden of the CES-D in 2019 relative to the Kessler in 2012.</w:t>
      </w:r>
    </w:p>
    <w:p w14:paraId="49DB4F1E" w14:textId="028A10E6" w:rsidR="003B24C9" w:rsidRDefault="003B24C9" w:rsidP="00066E98">
      <w:pPr>
        <w:pStyle w:val="BodyText"/>
      </w:pPr>
    </w:p>
    <w:p w14:paraId="67C3F0CB" w14:textId="704AFCE3" w:rsidR="00A6590E" w:rsidRPr="00A6590E" w:rsidRDefault="008116FE" w:rsidP="00A6590E">
      <w:pPr>
        <w:pStyle w:val="BodyText"/>
      </w:pPr>
      <w:r>
        <w:t xml:space="preserve">The project team conducted cognitive </w:t>
      </w:r>
      <w:r w:rsidR="003B24C9">
        <w:t xml:space="preserve">testing of items </w:t>
      </w:r>
      <w:r w:rsidR="0074336E">
        <w:t>for the provider</w:t>
      </w:r>
      <w:r w:rsidR="00243FBE">
        <w:t xml:space="preserve"> and classroom staff</w:t>
      </w:r>
      <w:r w:rsidR="0074336E">
        <w:t xml:space="preserve"> surveys </w:t>
      </w:r>
      <w:r w:rsidR="003B24C9">
        <w:t>in February</w:t>
      </w:r>
      <w:r w:rsidR="0040312F">
        <w:t xml:space="preserve"> and March</w:t>
      </w:r>
      <w:r w:rsidR="003B24C9">
        <w:t xml:space="preserve"> 2018</w:t>
      </w:r>
      <w:r w:rsidR="0074336E">
        <w:t>.</w:t>
      </w:r>
      <w:r w:rsidR="003B24C9">
        <w:t xml:space="preserve"> </w:t>
      </w:r>
      <w:r>
        <w:t>(</w:t>
      </w:r>
      <w:r w:rsidR="00243FBE" w:rsidRPr="00811360">
        <w:t>The 2019 household survey contains very limited revisions, compared to the 2012 household survey, and most revisions involve changes in skip patters, so no additional cognitive testing was completed.)  </w:t>
      </w:r>
      <w:r w:rsidRPr="00243FBE">
        <w:t xml:space="preserve"> </w:t>
      </w:r>
      <w:r>
        <w:t>For the provider surveys we recruited t</w:t>
      </w:r>
      <w:r w:rsidR="0074336E">
        <w:t xml:space="preserve">hree center-based providers, four home-based providers, and five classroom/group staff (workforce) participants </w:t>
      </w:r>
      <w:r w:rsidR="003B24C9">
        <w:t>via word of mouth, advertisement, and outreach to local child care networks</w:t>
      </w:r>
      <w:r w:rsidR="00B82BEC">
        <w:t xml:space="preserve"> in the Chicago and San Francisco Bay </w:t>
      </w:r>
      <w:r w:rsidR="009C3F23">
        <w:t>areas</w:t>
      </w:r>
      <w:r w:rsidR="003B24C9">
        <w:t xml:space="preserve">. </w:t>
      </w:r>
      <w:r w:rsidR="0074336E">
        <w:t xml:space="preserve">The same question was not asked of more than nine people. </w:t>
      </w:r>
      <w:r w:rsidR="00F22A3F">
        <w:t>The project team</w:t>
      </w:r>
      <w:r w:rsidR="003B24C9">
        <w:t xml:space="preserve"> screened for eligible provider and </w:t>
      </w:r>
      <w:r w:rsidR="003B4F23">
        <w:t>classroom staff (</w:t>
      </w:r>
      <w:r w:rsidR="003B24C9">
        <w:t>workforce</w:t>
      </w:r>
      <w:r w:rsidR="003B4F23">
        <w:t>)</w:t>
      </w:r>
      <w:r w:rsidR="003B24C9">
        <w:t xml:space="preserve"> participants, aiming for a diverse pool</w:t>
      </w:r>
      <w:r>
        <w:t>, and</w:t>
      </w:r>
      <w:r w:rsidR="00A6590E">
        <w:t xml:space="preserve"> </w:t>
      </w:r>
      <w:r w:rsidRPr="00A6590E">
        <w:t xml:space="preserve">used </w:t>
      </w:r>
      <w:r>
        <w:t>f</w:t>
      </w:r>
      <w:r w:rsidR="00A6590E" w:rsidRPr="00A6590E">
        <w:t xml:space="preserve">indings from cognitive interviews to further revise the wording of new and </w:t>
      </w:r>
      <w:r w:rsidR="00E87374">
        <w:t>updated</w:t>
      </w:r>
      <w:r w:rsidR="00A6590E" w:rsidRPr="00A6590E">
        <w:t xml:space="preserve"> </w:t>
      </w:r>
      <w:r w:rsidR="0090311B">
        <w:t>questionnaire</w:t>
      </w:r>
      <w:r w:rsidR="00A6590E" w:rsidRPr="00A6590E">
        <w:t xml:space="preserve"> items.</w:t>
      </w:r>
      <w:r w:rsidR="00A6590E">
        <w:t xml:space="preserve"> </w:t>
      </w:r>
      <w:r w:rsidR="0074336E">
        <w:t>For more details, p</w:t>
      </w:r>
      <w:r w:rsidR="00A6590E">
        <w:t xml:space="preserve">lease refer to </w:t>
      </w:r>
      <w:r w:rsidR="0074336E">
        <w:t xml:space="preserve">the questionnaire documentation. </w:t>
      </w:r>
      <w:r w:rsidR="00EA1797">
        <w:t>I</w:t>
      </w:r>
      <w:r w:rsidR="0074336E" w:rsidRPr="00C404EF">
        <w:t>tem-level table</w:t>
      </w:r>
      <w:r w:rsidR="00EA1797">
        <w:t>s</w:t>
      </w:r>
      <w:r w:rsidR="0074336E" w:rsidRPr="00C404EF">
        <w:t xml:space="preserve"> comparing the 2012 and 2019 NSECE questionnaire items</w:t>
      </w:r>
      <w:r w:rsidR="0074336E">
        <w:t xml:space="preserve"> can be found in Attachments 1</w:t>
      </w:r>
      <w:r w:rsidR="00EA1797">
        <w:t>, 3, 5, and 14</w:t>
      </w:r>
      <w:r w:rsidR="0074336E">
        <w:t xml:space="preserve">. Please refer to the table of attachments to locate questionnaire </w:t>
      </w:r>
      <w:r w:rsidR="006106A5">
        <w:t xml:space="preserve">documentation </w:t>
      </w:r>
      <w:r w:rsidR="0074336E">
        <w:t xml:space="preserve">by </w:t>
      </w:r>
      <w:r w:rsidR="00F364D8">
        <w:t xml:space="preserve">each </w:t>
      </w:r>
      <w:r w:rsidR="0074336E">
        <w:t>sample type.</w:t>
      </w:r>
    </w:p>
    <w:p w14:paraId="163875D2" w14:textId="0CAAAEA5" w:rsidR="006E6F11" w:rsidRDefault="006E6F11" w:rsidP="00066E98">
      <w:pPr>
        <w:pStyle w:val="BodyText"/>
      </w:pPr>
    </w:p>
    <w:p w14:paraId="4796A19C" w14:textId="1EA7D18B" w:rsidR="00C150EB" w:rsidRDefault="00C150EB" w:rsidP="00066E98">
      <w:pPr>
        <w:pStyle w:val="Heading3"/>
      </w:pPr>
      <w:bookmarkStart w:id="38" w:name="_Toc520896124"/>
      <w:r>
        <w:t>5.</w:t>
      </w:r>
      <w:r w:rsidR="00DB19B4">
        <w:tab/>
      </w:r>
      <w:r>
        <w:t>Individual(s) Consulted on Statistical Aspects and Individuals Collecting and/or Analyzing Data</w:t>
      </w:r>
      <w:bookmarkEnd w:id="38"/>
    </w:p>
    <w:bookmarkEnd w:id="36"/>
    <w:bookmarkEnd w:id="37"/>
    <w:p w14:paraId="468FCF83" w14:textId="77777777" w:rsidR="00FC1B10" w:rsidRDefault="00FC1B10" w:rsidP="00FC1B10">
      <w:pPr>
        <w:ind w:left="720"/>
        <w:contextualSpacing/>
        <w:rPr>
          <w:szCs w:val="24"/>
        </w:rPr>
      </w:pPr>
      <w:r w:rsidRPr="003A5ACD">
        <w:rPr>
          <w:szCs w:val="24"/>
        </w:rPr>
        <w:t>Dr. Kirk Wolter</w:t>
      </w:r>
    </w:p>
    <w:p w14:paraId="1618AB49" w14:textId="77777777" w:rsidR="00E17D93" w:rsidRPr="003A5ACD" w:rsidRDefault="00E17D93" w:rsidP="00FC1B10">
      <w:pPr>
        <w:ind w:left="720"/>
        <w:contextualSpacing/>
        <w:rPr>
          <w:szCs w:val="24"/>
        </w:rPr>
      </w:pPr>
      <w:r>
        <w:rPr>
          <w:szCs w:val="24"/>
        </w:rPr>
        <w:t xml:space="preserve">Executive Vice President, </w:t>
      </w:r>
    </w:p>
    <w:p w14:paraId="4B6FC910" w14:textId="77777777" w:rsidR="00FC1B10" w:rsidRPr="003A5ACD" w:rsidRDefault="00FC1B10" w:rsidP="00FC1B10">
      <w:pPr>
        <w:ind w:left="720"/>
        <w:contextualSpacing/>
        <w:rPr>
          <w:szCs w:val="24"/>
        </w:rPr>
      </w:pPr>
      <w:r w:rsidRPr="003A5ACD">
        <w:rPr>
          <w:szCs w:val="24"/>
        </w:rPr>
        <w:t>NORC</w:t>
      </w:r>
      <w:r w:rsidR="00E17D93">
        <w:rPr>
          <w:szCs w:val="24"/>
        </w:rPr>
        <w:t xml:space="preserve"> at the University of Chicago</w:t>
      </w:r>
    </w:p>
    <w:p w14:paraId="1A8157D6" w14:textId="77777777" w:rsidR="00FC1B10" w:rsidRPr="003A5ACD" w:rsidRDefault="00FC1B10" w:rsidP="00FC1B10">
      <w:pPr>
        <w:ind w:left="720"/>
        <w:contextualSpacing/>
        <w:rPr>
          <w:szCs w:val="24"/>
        </w:rPr>
      </w:pPr>
      <w:r w:rsidRPr="003A5ACD">
        <w:rPr>
          <w:szCs w:val="24"/>
        </w:rPr>
        <w:t>55 East Monroe Street</w:t>
      </w:r>
    </w:p>
    <w:p w14:paraId="6F136B3B" w14:textId="603651A2" w:rsidR="00FC1B10" w:rsidRPr="003A5ACD" w:rsidRDefault="00FC1B10" w:rsidP="00FC1B10">
      <w:pPr>
        <w:ind w:left="720"/>
        <w:contextualSpacing/>
        <w:rPr>
          <w:szCs w:val="24"/>
        </w:rPr>
      </w:pPr>
      <w:r w:rsidRPr="003A5ACD">
        <w:rPr>
          <w:szCs w:val="24"/>
        </w:rPr>
        <w:t>Chicago, IL</w:t>
      </w:r>
      <w:r w:rsidR="00BA7625">
        <w:rPr>
          <w:szCs w:val="24"/>
        </w:rPr>
        <w:t xml:space="preserve"> </w:t>
      </w:r>
      <w:r w:rsidRPr="003A5ACD">
        <w:rPr>
          <w:szCs w:val="24"/>
        </w:rPr>
        <w:t>60603</w:t>
      </w:r>
    </w:p>
    <w:p w14:paraId="5705A301" w14:textId="77777777" w:rsidR="00FC1B10" w:rsidRDefault="00FC1B10" w:rsidP="00FC1B10">
      <w:pPr>
        <w:ind w:left="720"/>
        <w:contextualSpacing/>
        <w:rPr>
          <w:szCs w:val="24"/>
        </w:rPr>
      </w:pPr>
      <w:smartTag w:uri="urn:schemas-microsoft-com:office:smarttags" w:element="phone">
        <w:smartTagPr>
          <w:attr w:uri="urn:schemas-microsoft-com:office:office" w:name="ls" w:val="trans"/>
          <w:attr w:name="phonenumber" w:val="3127594000"/>
        </w:smartTagPr>
        <w:r w:rsidRPr="003A5ACD">
          <w:rPr>
            <w:szCs w:val="24"/>
          </w:rPr>
          <w:t>(312) 759-4000</w:t>
        </w:r>
      </w:smartTag>
    </w:p>
    <w:p w14:paraId="4BA6A9AF" w14:textId="61713BB5" w:rsidR="00E8254B" w:rsidRDefault="008116FE" w:rsidP="00066E98">
      <w:pPr>
        <w:pStyle w:val="BodyText"/>
      </w:pPr>
      <w:r w:rsidRPr="003A5ACD">
        <w:t>NORC</w:t>
      </w:r>
      <w:r>
        <w:t xml:space="preserve"> at the University of Chicago</w:t>
      </w:r>
      <w:r w:rsidRPr="003A5ACD">
        <w:t xml:space="preserve"> conducted </w:t>
      </w:r>
      <w:r>
        <w:t>t</w:t>
      </w:r>
      <w:r w:rsidR="00FC1B10" w:rsidRPr="003A5ACD">
        <w:t xml:space="preserve">he sample design, </w:t>
      </w:r>
      <w:r>
        <w:t>and</w:t>
      </w:r>
      <w:r w:rsidRPr="003A5ACD">
        <w:t xml:space="preserve"> </w:t>
      </w:r>
      <w:r w:rsidR="00FC1B10" w:rsidRPr="003A5ACD">
        <w:t xml:space="preserve">will also conduct the data collection for the </w:t>
      </w:r>
      <w:r w:rsidR="00E17D93">
        <w:t xml:space="preserve">proposed </w:t>
      </w:r>
      <w:r w:rsidR="009C3F23">
        <w:t xml:space="preserve">2019 </w:t>
      </w:r>
      <w:r>
        <w:t>surveys</w:t>
      </w:r>
      <w:r w:rsidR="00FC1B10" w:rsidRPr="003A5ACD">
        <w:t>.</w:t>
      </w:r>
      <w:r w:rsidR="00E8254B">
        <w:br w:type="page"/>
      </w:r>
    </w:p>
    <w:p w14:paraId="24579D92" w14:textId="77777777" w:rsidR="0033148D" w:rsidRPr="00E32E6A" w:rsidRDefault="0033148D" w:rsidP="0033148D">
      <w:pPr>
        <w:pStyle w:val="Heading3"/>
      </w:pPr>
      <w:bookmarkStart w:id="39" w:name="_Toc505963718"/>
      <w:bookmarkStart w:id="40" w:name="_Toc509501879"/>
      <w:bookmarkStart w:id="41" w:name="_Toc516240143"/>
      <w:bookmarkStart w:id="42" w:name="_Toc520896125"/>
      <w:r w:rsidRPr="00E32E6A">
        <w:t>Reference List</w:t>
      </w:r>
      <w:bookmarkEnd w:id="39"/>
      <w:bookmarkEnd w:id="40"/>
      <w:bookmarkEnd w:id="41"/>
      <w:bookmarkEnd w:id="42"/>
    </w:p>
    <w:p w14:paraId="039D854B" w14:textId="65369C96" w:rsidR="004B4AA5" w:rsidRDefault="004B4AA5" w:rsidP="00B77C85">
      <w:pPr>
        <w:pStyle w:val="BodyText"/>
        <w:ind w:left="720" w:hanging="720"/>
      </w:pPr>
      <w:r w:rsidRPr="00F90626">
        <w:t xml:space="preserve">AAPOR Task Force on </w:t>
      </w:r>
      <w:r w:rsidR="00A31C8E">
        <w:t>t</w:t>
      </w:r>
      <w:r w:rsidRPr="00F90626">
        <w:t>he Future of U.S. General Population Telephone Survey Research</w:t>
      </w:r>
      <w:r w:rsidR="00B55761">
        <w:t>.</w:t>
      </w:r>
      <w:r w:rsidRPr="00F90626">
        <w:t xml:space="preserve"> (2017)</w:t>
      </w:r>
      <w:r w:rsidR="00B55761">
        <w:t>.</w:t>
      </w:r>
      <w:r w:rsidRPr="00F90626">
        <w:t xml:space="preserve"> </w:t>
      </w:r>
      <w:r w:rsidRPr="00526E20">
        <w:rPr>
          <w:i/>
        </w:rPr>
        <w:t xml:space="preserve">The </w:t>
      </w:r>
      <w:r w:rsidR="00B77C85" w:rsidRPr="00526E20">
        <w:rPr>
          <w:i/>
        </w:rPr>
        <w:t>f</w:t>
      </w:r>
      <w:r w:rsidRPr="00526E20">
        <w:rPr>
          <w:i/>
        </w:rPr>
        <w:t xml:space="preserve">uture of U.S. </w:t>
      </w:r>
      <w:r w:rsidR="00B77C85" w:rsidRPr="00526E20">
        <w:rPr>
          <w:i/>
        </w:rPr>
        <w:t>g</w:t>
      </w:r>
      <w:r w:rsidRPr="00526E20">
        <w:rPr>
          <w:i/>
        </w:rPr>
        <w:t xml:space="preserve">eneral </w:t>
      </w:r>
      <w:r w:rsidR="00B77C85" w:rsidRPr="00526E20">
        <w:rPr>
          <w:i/>
        </w:rPr>
        <w:t>p</w:t>
      </w:r>
      <w:r w:rsidRPr="00526E20">
        <w:rPr>
          <w:i/>
        </w:rPr>
        <w:t xml:space="preserve">opulation </w:t>
      </w:r>
      <w:r w:rsidR="00B77C85" w:rsidRPr="00526E20">
        <w:rPr>
          <w:i/>
        </w:rPr>
        <w:t>t</w:t>
      </w:r>
      <w:r w:rsidRPr="00526E20">
        <w:rPr>
          <w:i/>
        </w:rPr>
        <w:t xml:space="preserve">elephone </w:t>
      </w:r>
      <w:r w:rsidR="00B77C85" w:rsidRPr="00526E20">
        <w:rPr>
          <w:i/>
        </w:rPr>
        <w:t>s</w:t>
      </w:r>
      <w:r w:rsidRPr="00526E20">
        <w:rPr>
          <w:i/>
        </w:rPr>
        <w:t xml:space="preserve">urvey </w:t>
      </w:r>
      <w:r w:rsidR="00B77C85" w:rsidRPr="00526E20">
        <w:rPr>
          <w:i/>
        </w:rPr>
        <w:t>r</w:t>
      </w:r>
      <w:r w:rsidRPr="00526E20">
        <w:rPr>
          <w:i/>
        </w:rPr>
        <w:t xml:space="preserve">esearch, prepared for the AAPOR </w:t>
      </w:r>
      <w:r w:rsidR="00B77C85" w:rsidRPr="00526E20">
        <w:rPr>
          <w:i/>
        </w:rPr>
        <w:t>c</w:t>
      </w:r>
      <w:r w:rsidRPr="00526E20">
        <w:rPr>
          <w:i/>
        </w:rPr>
        <w:t xml:space="preserve">ouncil under the auspices of the AAPOR </w:t>
      </w:r>
      <w:r w:rsidR="00B77C85" w:rsidRPr="00526E20">
        <w:rPr>
          <w:i/>
        </w:rPr>
        <w:t>s</w:t>
      </w:r>
      <w:r w:rsidRPr="00526E20">
        <w:rPr>
          <w:i/>
        </w:rPr>
        <w:t xml:space="preserve">tandards </w:t>
      </w:r>
      <w:r w:rsidR="00B77C85" w:rsidRPr="00526E20">
        <w:rPr>
          <w:i/>
        </w:rPr>
        <w:t>c</w:t>
      </w:r>
      <w:r w:rsidRPr="00526E20">
        <w:rPr>
          <w:i/>
        </w:rPr>
        <w:t>ommittee</w:t>
      </w:r>
      <w:r w:rsidRPr="00F90626">
        <w:t>.</w:t>
      </w:r>
      <w:r w:rsidR="00B71B9E">
        <w:t xml:space="preserve"> </w:t>
      </w:r>
      <w:r w:rsidR="00B77C85">
        <w:t>Retrieved</w:t>
      </w:r>
      <w:r w:rsidR="00B71B9E">
        <w:t xml:space="preserve"> at </w:t>
      </w:r>
      <w:hyperlink r:id="rId18" w:history="1">
        <w:r w:rsidR="00B55761" w:rsidRPr="00205356">
          <w:rPr>
            <w:rStyle w:val="Hyperlink"/>
          </w:rPr>
          <w:t>https://www.aapor.org/getattachment/Education-Resources/Reports/Future-of-Telephone-Survey-Research-Report.pdf.aspx</w:t>
        </w:r>
      </w:hyperlink>
      <w:r w:rsidR="00B55761">
        <w:t xml:space="preserve"> </w:t>
      </w:r>
    </w:p>
    <w:p w14:paraId="04C0D717" w14:textId="7FE50286" w:rsidR="00E8254B" w:rsidRDefault="00C85E54" w:rsidP="00B77C85">
      <w:pPr>
        <w:pStyle w:val="BodyText"/>
        <w:ind w:left="720" w:hanging="720"/>
      </w:pPr>
      <w:r>
        <w:t xml:space="preserve">O'Muircheartaigh, C., English, E., &amp; Eckman, S. (2007). </w:t>
      </w:r>
      <w:r w:rsidR="0033148D" w:rsidRPr="00526E20">
        <w:rPr>
          <w:i/>
        </w:rPr>
        <w:t xml:space="preserve">Predicting the </w:t>
      </w:r>
      <w:r w:rsidR="00B77C85" w:rsidRPr="00526E20">
        <w:rPr>
          <w:i/>
        </w:rPr>
        <w:t>r</w:t>
      </w:r>
      <w:r w:rsidR="0033148D" w:rsidRPr="00526E20">
        <w:rPr>
          <w:i/>
        </w:rPr>
        <w:t xml:space="preserve">elative </w:t>
      </w:r>
      <w:r w:rsidR="00B77C85" w:rsidRPr="00526E20">
        <w:rPr>
          <w:i/>
        </w:rPr>
        <w:t>q</w:t>
      </w:r>
      <w:r w:rsidR="0033148D" w:rsidRPr="00526E20">
        <w:rPr>
          <w:i/>
        </w:rPr>
        <w:t>uality</w:t>
      </w:r>
      <w:r w:rsidRPr="00526E20">
        <w:rPr>
          <w:i/>
        </w:rPr>
        <w:t xml:space="preserve"> of </w:t>
      </w:r>
      <w:r w:rsidR="00B77C85" w:rsidRPr="00526E20">
        <w:rPr>
          <w:i/>
        </w:rPr>
        <w:t>a</w:t>
      </w:r>
      <w:r w:rsidRPr="00526E20">
        <w:rPr>
          <w:i/>
        </w:rPr>
        <w:t xml:space="preserve">lternative </w:t>
      </w:r>
      <w:r w:rsidR="00B77C85" w:rsidRPr="00526E20">
        <w:rPr>
          <w:i/>
        </w:rPr>
        <w:t>s</w:t>
      </w:r>
      <w:r w:rsidRPr="00526E20">
        <w:rPr>
          <w:i/>
        </w:rPr>
        <w:t xml:space="preserve">ampling </w:t>
      </w:r>
      <w:r w:rsidR="00B77C85" w:rsidRPr="00526E20">
        <w:rPr>
          <w:i/>
        </w:rPr>
        <w:t>f</w:t>
      </w:r>
      <w:r w:rsidRPr="00526E20">
        <w:rPr>
          <w:i/>
        </w:rPr>
        <w:t>rames</w:t>
      </w:r>
      <w:r>
        <w:t xml:space="preserve">. </w:t>
      </w:r>
      <w:r w:rsidR="00B77C85">
        <w:t xml:space="preserve">Chicago, IL: National Opinion Research Center at the University of Chicago. Retrieved </w:t>
      </w:r>
      <w:r>
        <w:t xml:space="preserve">at </w:t>
      </w:r>
      <w:hyperlink r:id="rId19" w:history="1">
        <w:r w:rsidR="00B55761" w:rsidRPr="00205356">
          <w:rPr>
            <w:rStyle w:val="Hyperlink"/>
          </w:rPr>
          <w:t>http://ww2.amstat.org/sections/srms/proceedings/y2007/Files/JSM2007-000575.pdf</w:t>
        </w:r>
      </w:hyperlink>
      <w:r w:rsidR="00B55761">
        <w:t xml:space="preserve"> </w:t>
      </w:r>
    </w:p>
    <w:p w14:paraId="5A7B4A9C" w14:textId="77777777" w:rsidR="00E8254B" w:rsidRPr="00E8254B" w:rsidRDefault="00E8254B" w:rsidP="00E8254B"/>
    <w:p w14:paraId="1FDE6D8C" w14:textId="77777777" w:rsidR="00E8254B" w:rsidRPr="00E8254B" w:rsidRDefault="00E8254B" w:rsidP="00E8254B"/>
    <w:p w14:paraId="06D60DF1" w14:textId="77777777" w:rsidR="00E8254B" w:rsidRPr="00E8254B" w:rsidRDefault="00E8254B" w:rsidP="00E8254B"/>
    <w:p w14:paraId="53CC5C77" w14:textId="77777777" w:rsidR="00E8254B" w:rsidRPr="00E8254B" w:rsidRDefault="00E8254B" w:rsidP="00E8254B"/>
    <w:p w14:paraId="46E49EA3" w14:textId="77777777" w:rsidR="00E8254B" w:rsidRPr="00E8254B" w:rsidRDefault="00E8254B" w:rsidP="00E8254B"/>
    <w:p w14:paraId="245E58B9" w14:textId="202BAEFB" w:rsidR="00066E98" w:rsidRPr="00E8254B" w:rsidRDefault="00066E98" w:rsidP="00E8254B"/>
    <w:sectPr w:rsidR="00066E98" w:rsidRPr="00E8254B" w:rsidSect="00D80757">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54F2" w14:textId="77777777" w:rsidR="004A4408" w:rsidRDefault="004A4408" w:rsidP="007B0757">
      <w:pPr>
        <w:spacing w:after="0"/>
      </w:pPr>
      <w:r>
        <w:separator/>
      </w:r>
    </w:p>
  </w:endnote>
  <w:endnote w:type="continuationSeparator" w:id="0">
    <w:p w14:paraId="3D288258" w14:textId="77777777" w:rsidR="004A4408" w:rsidRDefault="004A4408" w:rsidP="007B0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5E06" w14:textId="77777777" w:rsidR="004A4408" w:rsidRDefault="004A4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9BAE8" w14:textId="77777777" w:rsidR="004A4408" w:rsidRDefault="004A44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92B8B" w14:textId="77777777" w:rsidR="004A4408" w:rsidRDefault="004A44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D0A62" w14:textId="014003A8" w:rsidR="004A4408" w:rsidRPr="00393279" w:rsidRDefault="004A4408" w:rsidP="00393279">
    <w:pPr>
      <w:pStyle w:val="Footer"/>
    </w:pPr>
    <w:r w:rsidRPr="00393279">
      <w:t xml:space="preserve">Supporting Statement B  |  Page </w:t>
    </w:r>
    <w:r w:rsidRPr="00393279">
      <w:fldChar w:fldCharType="begin"/>
    </w:r>
    <w:r w:rsidRPr="00C063E0">
      <w:instrText xml:space="preserve"> PAGE   \* MERGEFORMAT </w:instrText>
    </w:r>
    <w:r w:rsidRPr="00393279">
      <w:fldChar w:fldCharType="separate"/>
    </w:r>
    <w:r w:rsidR="000E7169">
      <w:rPr>
        <w:noProof/>
      </w:rPr>
      <w:t>i</w:t>
    </w:r>
    <w:r w:rsidRPr="0039327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E9FF" w14:textId="5EA71923" w:rsidR="004A4408" w:rsidRPr="00393279" w:rsidRDefault="004A4408" w:rsidP="00393279">
    <w:pPr>
      <w:pStyle w:val="Footer"/>
    </w:pPr>
    <w:r w:rsidRPr="00393279">
      <w:t xml:space="preserve">Supporting Statement B  |  Page </w:t>
    </w:r>
    <w:r w:rsidRPr="00393279">
      <w:fldChar w:fldCharType="begin"/>
    </w:r>
    <w:r w:rsidRPr="00C063E0">
      <w:instrText xml:space="preserve"> PAGE   \* MERGEFORMAT </w:instrText>
    </w:r>
    <w:r w:rsidRPr="00393279">
      <w:fldChar w:fldCharType="separate"/>
    </w:r>
    <w:r w:rsidR="00695C0B">
      <w:rPr>
        <w:noProof/>
      </w:rPr>
      <w:t>19</w:t>
    </w:r>
    <w:r w:rsidRPr="0039327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76C7B" w14:textId="77777777" w:rsidR="004A4408" w:rsidRDefault="004A4408" w:rsidP="007B0757">
      <w:pPr>
        <w:spacing w:after="0"/>
      </w:pPr>
      <w:r>
        <w:separator/>
      </w:r>
    </w:p>
  </w:footnote>
  <w:footnote w:type="continuationSeparator" w:id="0">
    <w:p w14:paraId="71C64E73" w14:textId="77777777" w:rsidR="004A4408" w:rsidRDefault="004A4408" w:rsidP="007B07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6F7A5" w14:textId="77777777" w:rsidR="004A4408" w:rsidRDefault="004A4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563A2" w14:textId="77777777" w:rsidR="004A4408" w:rsidRDefault="004A4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836B5" w14:textId="77777777" w:rsidR="004A4408" w:rsidRDefault="004A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1E91D6"/>
    <w:lvl w:ilvl="0">
      <w:start w:val="1"/>
      <w:numFmt w:val="decimal"/>
      <w:lvlText w:val="%1."/>
      <w:lvlJc w:val="left"/>
      <w:pPr>
        <w:tabs>
          <w:tab w:val="num" w:pos="1800"/>
        </w:tabs>
        <w:ind w:left="1800" w:hanging="360"/>
      </w:pPr>
    </w:lvl>
  </w:abstractNum>
  <w:abstractNum w:abstractNumId="1">
    <w:nsid w:val="FFFFFF7D"/>
    <w:multiLevelType w:val="singleLevel"/>
    <w:tmpl w:val="1396E0DE"/>
    <w:lvl w:ilvl="0">
      <w:start w:val="1"/>
      <w:numFmt w:val="decimal"/>
      <w:lvlText w:val="%1."/>
      <w:lvlJc w:val="left"/>
      <w:pPr>
        <w:tabs>
          <w:tab w:val="num" w:pos="1440"/>
        </w:tabs>
        <w:ind w:left="1440" w:hanging="360"/>
      </w:pPr>
    </w:lvl>
  </w:abstractNum>
  <w:abstractNum w:abstractNumId="2">
    <w:nsid w:val="FFFFFF7E"/>
    <w:multiLevelType w:val="singleLevel"/>
    <w:tmpl w:val="DDCEB570"/>
    <w:lvl w:ilvl="0">
      <w:start w:val="1"/>
      <w:numFmt w:val="decimal"/>
      <w:lvlText w:val="%1."/>
      <w:lvlJc w:val="left"/>
      <w:pPr>
        <w:tabs>
          <w:tab w:val="num" w:pos="1080"/>
        </w:tabs>
        <w:ind w:left="1080" w:hanging="360"/>
      </w:pPr>
    </w:lvl>
  </w:abstractNum>
  <w:abstractNum w:abstractNumId="3">
    <w:nsid w:val="FFFFFF7F"/>
    <w:multiLevelType w:val="singleLevel"/>
    <w:tmpl w:val="0E9A98C2"/>
    <w:lvl w:ilvl="0">
      <w:start w:val="1"/>
      <w:numFmt w:val="decimal"/>
      <w:lvlText w:val="%1."/>
      <w:lvlJc w:val="left"/>
      <w:pPr>
        <w:tabs>
          <w:tab w:val="num" w:pos="720"/>
        </w:tabs>
        <w:ind w:left="720" w:hanging="360"/>
      </w:pPr>
    </w:lvl>
  </w:abstractNum>
  <w:abstractNum w:abstractNumId="4">
    <w:nsid w:val="FFFFFF80"/>
    <w:multiLevelType w:val="singleLevel"/>
    <w:tmpl w:val="D3004E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29A51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2A20F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7CB6E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CA53EC"/>
    <w:lvl w:ilvl="0">
      <w:start w:val="1"/>
      <w:numFmt w:val="decimal"/>
      <w:lvlText w:val="%1."/>
      <w:lvlJc w:val="left"/>
      <w:pPr>
        <w:tabs>
          <w:tab w:val="num" w:pos="360"/>
        </w:tabs>
        <w:ind w:left="360" w:hanging="360"/>
      </w:pPr>
    </w:lvl>
  </w:abstractNum>
  <w:abstractNum w:abstractNumId="9">
    <w:nsid w:val="FFFFFF89"/>
    <w:multiLevelType w:val="singleLevel"/>
    <w:tmpl w:val="F296183A"/>
    <w:lvl w:ilvl="0">
      <w:start w:val="1"/>
      <w:numFmt w:val="bullet"/>
      <w:lvlText w:val=""/>
      <w:lvlJc w:val="left"/>
      <w:pPr>
        <w:tabs>
          <w:tab w:val="num" w:pos="360"/>
        </w:tabs>
        <w:ind w:left="360" w:hanging="360"/>
      </w:pPr>
      <w:rPr>
        <w:rFonts w:ascii="Symbol" w:hAnsi="Symbol" w:hint="default"/>
      </w:rPr>
    </w:lvl>
  </w:abstractNum>
  <w:abstractNum w:abstractNumId="10">
    <w:nsid w:val="025D6862"/>
    <w:multiLevelType w:val="hybridMultilevel"/>
    <w:tmpl w:val="A9606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171B47"/>
    <w:multiLevelType w:val="hybridMultilevel"/>
    <w:tmpl w:val="4A8EA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AC30B80"/>
    <w:multiLevelType w:val="hybridMultilevel"/>
    <w:tmpl w:val="54FA4F9C"/>
    <w:lvl w:ilvl="0" w:tplc="96A0F52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4A7278"/>
    <w:multiLevelType w:val="hybridMultilevel"/>
    <w:tmpl w:val="8976F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A7428A"/>
    <w:multiLevelType w:val="hybridMultilevel"/>
    <w:tmpl w:val="E796262C"/>
    <w:lvl w:ilvl="0" w:tplc="259EA34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2469AF"/>
    <w:multiLevelType w:val="hybridMultilevel"/>
    <w:tmpl w:val="94586EEC"/>
    <w:lvl w:ilvl="0" w:tplc="C66E20CA">
      <w:start w:val="2"/>
      <w:numFmt w:val="upperLetter"/>
      <w:pStyle w:val="Heading2"/>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0DC4A34"/>
    <w:multiLevelType w:val="hybridMultilevel"/>
    <w:tmpl w:val="46FEE388"/>
    <w:lvl w:ilvl="0" w:tplc="6DCE0CC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4078B"/>
    <w:multiLevelType w:val="hybridMultilevel"/>
    <w:tmpl w:val="B42CA838"/>
    <w:lvl w:ilvl="0" w:tplc="F156F534">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3854111"/>
    <w:multiLevelType w:val="hybridMultilevel"/>
    <w:tmpl w:val="92207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220BBF"/>
    <w:multiLevelType w:val="hybridMultilevel"/>
    <w:tmpl w:val="A076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41FCC"/>
    <w:multiLevelType w:val="hybridMultilevel"/>
    <w:tmpl w:val="41467C90"/>
    <w:lvl w:ilvl="0" w:tplc="3C2A7C7C">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12"/>
  </w:num>
  <w:num w:numId="4">
    <w:abstractNumId w:val="16"/>
  </w:num>
  <w:num w:numId="5">
    <w:abstractNumId w:val="18"/>
  </w:num>
  <w:num w:numId="6">
    <w:abstractNumId w:val="10"/>
  </w:num>
  <w:num w:numId="7">
    <w:abstractNumId w:val="11"/>
  </w:num>
  <w:num w:numId="8">
    <w:abstractNumId w:val="17"/>
  </w:num>
  <w:num w:numId="9">
    <w:abstractNumId w:val="20"/>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0NDIxMDUwNDQ2NjBX0lEKTi0uzszPAykwrAUApS1LRiwAAAA="/>
  </w:docVars>
  <w:rsids>
    <w:rsidRoot w:val="00FC1B10"/>
    <w:rsid w:val="00001504"/>
    <w:rsid w:val="00001F07"/>
    <w:rsid w:val="00004AD3"/>
    <w:rsid w:val="00006811"/>
    <w:rsid w:val="00010485"/>
    <w:rsid w:val="00015AC8"/>
    <w:rsid w:val="00016E7A"/>
    <w:rsid w:val="0002118A"/>
    <w:rsid w:val="00024C35"/>
    <w:rsid w:val="00032B51"/>
    <w:rsid w:val="00034B5A"/>
    <w:rsid w:val="000358AD"/>
    <w:rsid w:val="000365BE"/>
    <w:rsid w:val="00036B48"/>
    <w:rsid w:val="000406E2"/>
    <w:rsid w:val="00041EC1"/>
    <w:rsid w:val="00046085"/>
    <w:rsid w:val="0005289F"/>
    <w:rsid w:val="00056B91"/>
    <w:rsid w:val="000662CD"/>
    <w:rsid w:val="00066E98"/>
    <w:rsid w:val="00070F50"/>
    <w:rsid w:val="00074839"/>
    <w:rsid w:val="00075BC0"/>
    <w:rsid w:val="00076810"/>
    <w:rsid w:val="00080F87"/>
    <w:rsid w:val="0008304E"/>
    <w:rsid w:val="00084488"/>
    <w:rsid w:val="00084F33"/>
    <w:rsid w:val="00090D80"/>
    <w:rsid w:val="00091568"/>
    <w:rsid w:val="000915AC"/>
    <w:rsid w:val="000934F3"/>
    <w:rsid w:val="0009582F"/>
    <w:rsid w:val="000A0675"/>
    <w:rsid w:val="000A50E7"/>
    <w:rsid w:val="000B2975"/>
    <w:rsid w:val="000B4EE8"/>
    <w:rsid w:val="000C1077"/>
    <w:rsid w:val="000C2EDD"/>
    <w:rsid w:val="000C5B27"/>
    <w:rsid w:val="000D684B"/>
    <w:rsid w:val="000D7FD9"/>
    <w:rsid w:val="000E07AF"/>
    <w:rsid w:val="000E21A9"/>
    <w:rsid w:val="000E6F1C"/>
    <w:rsid w:val="000E7169"/>
    <w:rsid w:val="000F10BE"/>
    <w:rsid w:val="000F189B"/>
    <w:rsid w:val="000F4BB1"/>
    <w:rsid w:val="001003BA"/>
    <w:rsid w:val="001012FC"/>
    <w:rsid w:val="001036B7"/>
    <w:rsid w:val="00103B6C"/>
    <w:rsid w:val="0012463D"/>
    <w:rsid w:val="00124898"/>
    <w:rsid w:val="00125009"/>
    <w:rsid w:val="001278C8"/>
    <w:rsid w:val="001345F3"/>
    <w:rsid w:val="001373B5"/>
    <w:rsid w:val="0014026A"/>
    <w:rsid w:val="00143643"/>
    <w:rsid w:val="00143656"/>
    <w:rsid w:val="001443AA"/>
    <w:rsid w:val="001500C9"/>
    <w:rsid w:val="001540EE"/>
    <w:rsid w:val="001601E1"/>
    <w:rsid w:val="001603F5"/>
    <w:rsid w:val="00162D3A"/>
    <w:rsid w:val="001669D1"/>
    <w:rsid w:val="00170349"/>
    <w:rsid w:val="00171879"/>
    <w:rsid w:val="00173AD1"/>
    <w:rsid w:val="0017503E"/>
    <w:rsid w:val="00181A34"/>
    <w:rsid w:val="001826E5"/>
    <w:rsid w:val="00190DDD"/>
    <w:rsid w:val="001949E5"/>
    <w:rsid w:val="001A0C1C"/>
    <w:rsid w:val="001A5CE4"/>
    <w:rsid w:val="001B51AB"/>
    <w:rsid w:val="001B7E8F"/>
    <w:rsid w:val="001C546C"/>
    <w:rsid w:val="001C78EB"/>
    <w:rsid w:val="001C7ECA"/>
    <w:rsid w:val="001D129B"/>
    <w:rsid w:val="001D12BB"/>
    <w:rsid w:val="001D2380"/>
    <w:rsid w:val="001E2829"/>
    <w:rsid w:val="001E4EC0"/>
    <w:rsid w:val="001F0B9E"/>
    <w:rsid w:val="001F2763"/>
    <w:rsid w:val="001F4374"/>
    <w:rsid w:val="001F740B"/>
    <w:rsid w:val="00205C88"/>
    <w:rsid w:val="0020680E"/>
    <w:rsid w:val="00215695"/>
    <w:rsid w:val="0022069B"/>
    <w:rsid w:val="00223058"/>
    <w:rsid w:val="00230231"/>
    <w:rsid w:val="002317AC"/>
    <w:rsid w:val="0023202B"/>
    <w:rsid w:val="0023623D"/>
    <w:rsid w:val="00237988"/>
    <w:rsid w:val="00237C16"/>
    <w:rsid w:val="00241357"/>
    <w:rsid w:val="00243FBE"/>
    <w:rsid w:val="00252C47"/>
    <w:rsid w:val="00252F42"/>
    <w:rsid w:val="00254CDB"/>
    <w:rsid w:val="002551A2"/>
    <w:rsid w:val="0025688F"/>
    <w:rsid w:val="00261C95"/>
    <w:rsid w:val="00263B6C"/>
    <w:rsid w:val="002715C8"/>
    <w:rsid w:val="002721E9"/>
    <w:rsid w:val="0027312A"/>
    <w:rsid w:val="002826C5"/>
    <w:rsid w:val="00282BFC"/>
    <w:rsid w:val="0028463C"/>
    <w:rsid w:val="002846E5"/>
    <w:rsid w:val="00284FC0"/>
    <w:rsid w:val="00292073"/>
    <w:rsid w:val="00293DA6"/>
    <w:rsid w:val="00294E71"/>
    <w:rsid w:val="002957AF"/>
    <w:rsid w:val="00295A08"/>
    <w:rsid w:val="002A7B3B"/>
    <w:rsid w:val="002B02CB"/>
    <w:rsid w:val="002B2D70"/>
    <w:rsid w:val="002B34F2"/>
    <w:rsid w:val="002B4000"/>
    <w:rsid w:val="002B65D1"/>
    <w:rsid w:val="002C0259"/>
    <w:rsid w:val="002C35AA"/>
    <w:rsid w:val="002D074B"/>
    <w:rsid w:val="002D6EB1"/>
    <w:rsid w:val="002E30DA"/>
    <w:rsid w:val="002E45E6"/>
    <w:rsid w:val="002E5F86"/>
    <w:rsid w:val="002F3B5C"/>
    <w:rsid w:val="00303B59"/>
    <w:rsid w:val="00304AC7"/>
    <w:rsid w:val="00305DC9"/>
    <w:rsid w:val="00310656"/>
    <w:rsid w:val="00310AC2"/>
    <w:rsid w:val="00311558"/>
    <w:rsid w:val="003152AE"/>
    <w:rsid w:val="003202B4"/>
    <w:rsid w:val="00321404"/>
    <w:rsid w:val="00322355"/>
    <w:rsid w:val="0033148D"/>
    <w:rsid w:val="00331CB2"/>
    <w:rsid w:val="003347CD"/>
    <w:rsid w:val="00334C7B"/>
    <w:rsid w:val="003356BF"/>
    <w:rsid w:val="00342BA5"/>
    <w:rsid w:val="00345C69"/>
    <w:rsid w:val="00350315"/>
    <w:rsid w:val="00355B64"/>
    <w:rsid w:val="00356649"/>
    <w:rsid w:val="003702DB"/>
    <w:rsid w:val="0037058D"/>
    <w:rsid w:val="00373820"/>
    <w:rsid w:val="00376565"/>
    <w:rsid w:val="0039013C"/>
    <w:rsid w:val="00391DA4"/>
    <w:rsid w:val="00393279"/>
    <w:rsid w:val="0039341F"/>
    <w:rsid w:val="0039785C"/>
    <w:rsid w:val="003A205A"/>
    <w:rsid w:val="003A240D"/>
    <w:rsid w:val="003A26AB"/>
    <w:rsid w:val="003A382A"/>
    <w:rsid w:val="003A428C"/>
    <w:rsid w:val="003A6AF7"/>
    <w:rsid w:val="003B0640"/>
    <w:rsid w:val="003B24C9"/>
    <w:rsid w:val="003B4F23"/>
    <w:rsid w:val="003B6152"/>
    <w:rsid w:val="003B78C2"/>
    <w:rsid w:val="003C23E2"/>
    <w:rsid w:val="003C4793"/>
    <w:rsid w:val="003C742E"/>
    <w:rsid w:val="003D20D5"/>
    <w:rsid w:val="003E7C3D"/>
    <w:rsid w:val="003F1734"/>
    <w:rsid w:val="003F407A"/>
    <w:rsid w:val="003F472D"/>
    <w:rsid w:val="003F4B9C"/>
    <w:rsid w:val="003F52A0"/>
    <w:rsid w:val="003F5EF3"/>
    <w:rsid w:val="003F7BF2"/>
    <w:rsid w:val="0040312F"/>
    <w:rsid w:val="00416171"/>
    <w:rsid w:val="00417F52"/>
    <w:rsid w:val="00422E94"/>
    <w:rsid w:val="004233A8"/>
    <w:rsid w:val="0042359E"/>
    <w:rsid w:val="00423F12"/>
    <w:rsid w:val="004258A6"/>
    <w:rsid w:val="00425F2B"/>
    <w:rsid w:val="00426720"/>
    <w:rsid w:val="00427242"/>
    <w:rsid w:val="0042741D"/>
    <w:rsid w:val="0043226F"/>
    <w:rsid w:val="00432CF9"/>
    <w:rsid w:val="00432F7B"/>
    <w:rsid w:val="00434A8E"/>
    <w:rsid w:val="0044031E"/>
    <w:rsid w:val="00443B6B"/>
    <w:rsid w:val="00444383"/>
    <w:rsid w:val="00445F1A"/>
    <w:rsid w:val="00450087"/>
    <w:rsid w:val="004509B1"/>
    <w:rsid w:val="00454D20"/>
    <w:rsid w:val="00457F29"/>
    <w:rsid w:val="00457FCF"/>
    <w:rsid w:val="00460D8F"/>
    <w:rsid w:val="00463D3D"/>
    <w:rsid w:val="00464E48"/>
    <w:rsid w:val="0046544B"/>
    <w:rsid w:val="00476484"/>
    <w:rsid w:val="00480293"/>
    <w:rsid w:val="00480C32"/>
    <w:rsid w:val="004826A8"/>
    <w:rsid w:val="00484FF3"/>
    <w:rsid w:val="00485316"/>
    <w:rsid w:val="004936E4"/>
    <w:rsid w:val="00497E3A"/>
    <w:rsid w:val="004A1B8F"/>
    <w:rsid w:val="004A3B2F"/>
    <w:rsid w:val="004A4155"/>
    <w:rsid w:val="004A4408"/>
    <w:rsid w:val="004A4F49"/>
    <w:rsid w:val="004A5074"/>
    <w:rsid w:val="004A7528"/>
    <w:rsid w:val="004B06BF"/>
    <w:rsid w:val="004B0DC0"/>
    <w:rsid w:val="004B4AA5"/>
    <w:rsid w:val="004B5561"/>
    <w:rsid w:val="004C26ED"/>
    <w:rsid w:val="004C69C7"/>
    <w:rsid w:val="004C7585"/>
    <w:rsid w:val="004E3CA8"/>
    <w:rsid w:val="004E632A"/>
    <w:rsid w:val="004F536B"/>
    <w:rsid w:val="004F5752"/>
    <w:rsid w:val="0050245F"/>
    <w:rsid w:val="00504D81"/>
    <w:rsid w:val="00506CD6"/>
    <w:rsid w:val="00512594"/>
    <w:rsid w:val="005128E2"/>
    <w:rsid w:val="00513A4B"/>
    <w:rsid w:val="005200B5"/>
    <w:rsid w:val="00520ED7"/>
    <w:rsid w:val="00522826"/>
    <w:rsid w:val="00526DAB"/>
    <w:rsid w:val="00526E20"/>
    <w:rsid w:val="00531510"/>
    <w:rsid w:val="00534778"/>
    <w:rsid w:val="00540A8D"/>
    <w:rsid w:val="00541F93"/>
    <w:rsid w:val="0054340D"/>
    <w:rsid w:val="005453EB"/>
    <w:rsid w:val="0055003D"/>
    <w:rsid w:val="005516FA"/>
    <w:rsid w:val="00554F14"/>
    <w:rsid w:val="005561D8"/>
    <w:rsid w:val="0055694E"/>
    <w:rsid w:val="00562803"/>
    <w:rsid w:val="005655D2"/>
    <w:rsid w:val="005662F2"/>
    <w:rsid w:val="005719C7"/>
    <w:rsid w:val="00575DFA"/>
    <w:rsid w:val="00584425"/>
    <w:rsid w:val="00585001"/>
    <w:rsid w:val="00585524"/>
    <w:rsid w:val="00586193"/>
    <w:rsid w:val="005927F6"/>
    <w:rsid w:val="00592BAC"/>
    <w:rsid w:val="00593941"/>
    <w:rsid w:val="0059406F"/>
    <w:rsid w:val="00596DDA"/>
    <w:rsid w:val="00596F18"/>
    <w:rsid w:val="005A1066"/>
    <w:rsid w:val="005A27F0"/>
    <w:rsid w:val="005A32DF"/>
    <w:rsid w:val="005A4603"/>
    <w:rsid w:val="005A6F44"/>
    <w:rsid w:val="005B215A"/>
    <w:rsid w:val="005B3E68"/>
    <w:rsid w:val="005B696C"/>
    <w:rsid w:val="005C016F"/>
    <w:rsid w:val="005C0D4A"/>
    <w:rsid w:val="005C5624"/>
    <w:rsid w:val="005C6798"/>
    <w:rsid w:val="005D1A42"/>
    <w:rsid w:val="005D4008"/>
    <w:rsid w:val="005D55B5"/>
    <w:rsid w:val="005E4B71"/>
    <w:rsid w:val="005E6251"/>
    <w:rsid w:val="005F285A"/>
    <w:rsid w:val="005F4597"/>
    <w:rsid w:val="005F7254"/>
    <w:rsid w:val="006034BF"/>
    <w:rsid w:val="0060659E"/>
    <w:rsid w:val="00606A4A"/>
    <w:rsid w:val="0060791B"/>
    <w:rsid w:val="006106A5"/>
    <w:rsid w:val="00610E5B"/>
    <w:rsid w:val="0061129E"/>
    <w:rsid w:val="006123CF"/>
    <w:rsid w:val="00612650"/>
    <w:rsid w:val="006145D9"/>
    <w:rsid w:val="00621CA1"/>
    <w:rsid w:val="00625B5B"/>
    <w:rsid w:val="00631D17"/>
    <w:rsid w:val="006335D1"/>
    <w:rsid w:val="00634A72"/>
    <w:rsid w:val="00634B8E"/>
    <w:rsid w:val="00635301"/>
    <w:rsid w:val="006371A7"/>
    <w:rsid w:val="006376D8"/>
    <w:rsid w:val="00643E56"/>
    <w:rsid w:val="00644C88"/>
    <w:rsid w:val="006569D4"/>
    <w:rsid w:val="0066081D"/>
    <w:rsid w:val="00672834"/>
    <w:rsid w:val="00674E3F"/>
    <w:rsid w:val="00686870"/>
    <w:rsid w:val="00691199"/>
    <w:rsid w:val="00692CFC"/>
    <w:rsid w:val="00695C0B"/>
    <w:rsid w:val="006A286E"/>
    <w:rsid w:val="006A55BE"/>
    <w:rsid w:val="006B546E"/>
    <w:rsid w:val="006B58E9"/>
    <w:rsid w:val="006B5A8D"/>
    <w:rsid w:val="006B690C"/>
    <w:rsid w:val="006C1F4C"/>
    <w:rsid w:val="006C3325"/>
    <w:rsid w:val="006C65E1"/>
    <w:rsid w:val="006C7F6D"/>
    <w:rsid w:val="006D2207"/>
    <w:rsid w:val="006D30E2"/>
    <w:rsid w:val="006D75B8"/>
    <w:rsid w:val="006E61D6"/>
    <w:rsid w:val="006E6F11"/>
    <w:rsid w:val="006E7EEE"/>
    <w:rsid w:val="006F3109"/>
    <w:rsid w:val="006F33C2"/>
    <w:rsid w:val="006F47F8"/>
    <w:rsid w:val="006F4B60"/>
    <w:rsid w:val="006F4CD6"/>
    <w:rsid w:val="006F5234"/>
    <w:rsid w:val="006F599A"/>
    <w:rsid w:val="006F5AA7"/>
    <w:rsid w:val="007018B4"/>
    <w:rsid w:val="00711D2A"/>
    <w:rsid w:val="00714755"/>
    <w:rsid w:val="0071505D"/>
    <w:rsid w:val="00715C6A"/>
    <w:rsid w:val="0072151B"/>
    <w:rsid w:val="00721B6C"/>
    <w:rsid w:val="00727C34"/>
    <w:rsid w:val="00730434"/>
    <w:rsid w:val="00730931"/>
    <w:rsid w:val="00731BB1"/>
    <w:rsid w:val="00740A88"/>
    <w:rsid w:val="007418E8"/>
    <w:rsid w:val="0074336E"/>
    <w:rsid w:val="007468D0"/>
    <w:rsid w:val="0074766D"/>
    <w:rsid w:val="00753D86"/>
    <w:rsid w:val="007540CD"/>
    <w:rsid w:val="00756EF9"/>
    <w:rsid w:val="00757FAF"/>
    <w:rsid w:val="00766848"/>
    <w:rsid w:val="00771342"/>
    <w:rsid w:val="00771A10"/>
    <w:rsid w:val="00772DFB"/>
    <w:rsid w:val="0077377D"/>
    <w:rsid w:val="00775C49"/>
    <w:rsid w:val="0077767D"/>
    <w:rsid w:val="00781A75"/>
    <w:rsid w:val="00783FE0"/>
    <w:rsid w:val="007849D2"/>
    <w:rsid w:val="0079385F"/>
    <w:rsid w:val="00796BA4"/>
    <w:rsid w:val="00796F4F"/>
    <w:rsid w:val="007A1ACF"/>
    <w:rsid w:val="007A21F8"/>
    <w:rsid w:val="007A3260"/>
    <w:rsid w:val="007A7F93"/>
    <w:rsid w:val="007B03FD"/>
    <w:rsid w:val="007B0757"/>
    <w:rsid w:val="007B27BD"/>
    <w:rsid w:val="007B2B2E"/>
    <w:rsid w:val="007B45B4"/>
    <w:rsid w:val="007B4824"/>
    <w:rsid w:val="007B526D"/>
    <w:rsid w:val="007B614B"/>
    <w:rsid w:val="007B7038"/>
    <w:rsid w:val="007C3B1D"/>
    <w:rsid w:val="007C5D95"/>
    <w:rsid w:val="007D3557"/>
    <w:rsid w:val="007D4CA5"/>
    <w:rsid w:val="007E43A1"/>
    <w:rsid w:val="007E613A"/>
    <w:rsid w:val="007F00B2"/>
    <w:rsid w:val="007F08DC"/>
    <w:rsid w:val="007F4549"/>
    <w:rsid w:val="007F61F9"/>
    <w:rsid w:val="00801306"/>
    <w:rsid w:val="00801BBC"/>
    <w:rsid w:val="00804F45"/>
    <w:rsid w:val="008055BC"/>
    <w:rsid w:val="00807730"/>
    <w:rsid w:val="00807DE6"/>
    <w:rsid w:val="00811031"/>
    <w:rsid w:val="00811360"/>
    <w:rsid w:val="008116FE"/>
    <w:rsid w:val="008152B3"/>
    <w:rsid w:val="00821042"/>
    <w:rsid w:val="00826202"/>
    <w:rsid w:val="00826852"/>
    <w:rsid w:val="00830A62"/>
    <w:rsid w:val="00832309"/>
    <w:rsid w:val="00836938"/>
    <w:rsid w:val="008376F9"/>
    <w:rsid w:val="00840291"/>
    <w:rsid w:val="00844D69"/>
    <w:rsid w:val="00845174"/>
    <w:rsid w:val="00846A92"/>
    <w:rsid w:val="00850842"/>
    <w:rsid w:val="00853735"/>
    <w:rsid w:val="00855A1C"/>
    <w:rsid w:val="0085645E"/>
    <w:rsid w:val="008610C7"/>
    <w:rsid w:val="00862B62"/>
    <w:rsid w:val="00863DB4"/>
    <w:rsid w:val="00865CFB"/>
    <w:rsid w:val="00870A26"/>
    <w:rsid w:val="00871DF3"/>
    <w:rsid w:val="00873311"/>
    <w:rsid w:val="008760CE"/>
    <w:rsid w:val="00877BE6"/>
    <w:rsid w:val="008804AF"/>
    <w:rsid w:val="00892E27"/>
    <w:rsid w:val="00893235"/>
    <w:rsid w:val="008A69EF"/>
    <w:rsid w:val="008B1C93"/>
    <w:rsid w:val="008B2FCA"/>
    <w:rsid w:val="008B4605"/>
    <w:rsid w:val="008B6EE0"/>
    <w:rsid w:val="008C2B35"/>
    <w:rsid w:val="008C7C33"/>
    <w:rsid w:val="008D0552"/>
    <w:rsid w:val="008D1ADD"/>
    <w:rsid w:val="008D51A2"/>
    <w:rsid w:val="008D5AE5"/>
    <w:rsid w:val="008E5746"/>
    <w:rsid w:val="008F4D4E"/>
    <w:rsid w:val="008F62CD"/>
    <w:rsid w:val="008F6FC9"/>
    <w:rsid w:val="00900842"/>
    <w:rsid w:val="009020D2"/>
    <w:rsid w:val="00902B7B"/>
    <w:rsid w:val="0090311B"/>
    <w:rsid w:val="009032B8"/>
    <w:rsid w:val="00910515"/>
    <w:rsid w:val="009226E0"/>
    <w:rsid w:val="009229EA"/>
    <w:rsid w:val="00926073"/>
    <w:rsid w:val="00926C70"/>
    <w:rsid w:val="009304E7"/>
    <w:rsid w:val="00930917"/>
    <w:rsid w:val="00935294"/>
    <w:rsid w:val="00940D50"/>
    <w:rsid w:val="00952D6F"/>
    <w:rsid w:val="00960707"/>
    <w:rsid w:val="00965FF7"/>
    <w:rsid w:val="009668F0"/>
    <w:rsid w:val="0097725D"/>
    <w:rsid w:val="009775C5"/>
    <w:rsid w:val="0098152A"/>
    <w:rsid w:val="0098203D"/>
    <w:rsid w:val="00990E7A"/>
    <w:rsid w:val="00991DD5"/>
    <w:rsid w:val="009926A7"/>
    <w:rsid w:val="009A031D"/>
    <w:rsid w:val="009A693E"/>
    <w:rsid w:val="009B30E6"/>
    <w:rsid w:val="009B4CAE"/>
    <w:rsid w:val="009B6642"/>
    <w:rsid w:val="009B76E7"/>
    <w:rsid w:val="009C37E1"/>
    <w:rsid w:val="009C3F23"/>
    <w:rsid w:val="009C3FB0"/>
    <w:rsid w:val="009C4AF6"/>
    <w:rsid w:val="009C5768"/>
    <w:rsid w:val="009D10B4"/>
    <w:rsid w:val="009D2DB2"/>
    <w:rsid w:val="009D3317"/>
    <w:rsid w:val="009D3E5A"/>
    <w:rsid w:val="009E0C64"/>
    <w:rsid w:val="009E1383"/>
    <w:rsid w:val="009E395B"/>
    <w:rsid w:val="009E4621"/>
    <w:rsid w:val="009E64C1"/>
    <w:rsid w:val="009E6EB9"/>
    <w:rsid w:val="009F1275"/>
    <w:rsid w:val="009F3954"/>
    <w:rsid w:val="009F49F9"/>
    <w:rsid w:val="00A0405A"/>
    <w:rsid w:val="00A07AD5"/>
    <w:rsid w:val="00A110CC"/>
    <w:rsid w:val="00A13BD7"/>
    <w:rsid w:val="00A15663"/>
    <w:rsid w:val="00A16182"/>
    <w:rsid w:val="00A23C7F"/>
    <w:rsid w:val="00A30A35"/>
    <w:rsid w:val="00A31C8E"/>
    <w:rsid w:val="00A443C6"/>
    <w:rsid w:val="00A44804"/>
    <w:rsid w:val="00A45765"/>
    <w:rsid w:val="00A474B6"/>
    <w:rsid w:val="00A622D6"/>
    <w:rsid w:val="00A63B04"/>
    <w:rsid w:val="00A6590E"/>
    <w:rsid w:val="00A66FF4"/>
    <w:rsid w:val="00A71618"/>
    <w:rsid w:val="00A73D97"/>
    <w:rsid w:val="00A74D6F"/>
    <w:rsid w:val="00A80044"/>
    <w:rsid w:val="00A86220"/>
    <w:rsid w:val="00A866C4"/>
    <w:rsid w:val="00A86CD7"/>
    <w:rsid w:val="00A86D1C"/>
    <w:rsid w:val="00A87A3B"/>
    <w:rsid w:val="00A87FF1"/>
    <w:rsid w:val="00A94226"/>
    <w:rsid w:val="00A94F24"/>
    <w:rsid w:val="00A9574B"/>
    <w:rsid w:val="00AA0FA6"/>
    <w:rsid w:val="00AB0BB8"/>
    <w:rsid w:val="00AB4067"/>
    <w:rsid w:val="00AB616B"/>
    <w:rsid w:val="00AB732F"/>
    <w:rsid w:val="00AB7FC5"/>
    <w:rsid w:val="00AC3136"/>
    <w:rsid w:val="00AC49B3"/>
    <w:rsid w:val="00AC781C"/>
    <w:rsid w:val="00AD4C92"/>
    <w:rsid w:val="00AE2B99"/>
    <w:rsid w:val="00AE54E6"/>
    <w:rsid w:val="00AE5D99"/>
    <w:rsid w:val="00AF0EE5"/>
    <w:rsid w:val="00AF440D"/>
    <w:rsid w:val="00B003BA"/>
    <w:rsid w:val="00B100E6"/>
    <w:rsid w:val="00B1036B"/>
    <w:rsid w:val="00B230EE"/>
    <w:rsid w:val="00B267FC"/>
    <w:rsid w:val="00B324ED"/>
    <w:rsid w:val="00B336A2"/>
    <w:rsid w:val="00B3620C"/>
    <w:rsid w:val="00B379BA"/>
    <w:rsid w:val="00B4375A"/>
    <w:rsid w:val="00B4478F"/>
    <w:rsid w:val="00B5379A"/>
    <w:rsid w:val="00B55761"/>
    <w:rsid w:val="00B62996"/>
    <w:rsid w:val="00B67BBA"/>
    <w:rsid w:val="00B71B9E"/>
    <w:rsid w:val="00B721FC"/>
    <w:rsid w:val="00B769FE"/>
    <w:rsid w:val="00B77C85"/>
    <w:rsid w:val="00B82BEC"/>
    <w:rsid w:val="00B85007"/>
    <w:rsid w:val="00B91AF6"/>
    <w:rsid w:val="00B9204F"/>
    <w:rsid w:val="00B922BD"/>
    <w:rsid w:val="00B960D0"/>
    <w:rsid w:val="00BA19AD"/>
    <w:rsid w:val="00BA2F21"/>
    <w:rsid w:val="00BA68D4"/>
    <w:rsid w:val="00BA7625"/>
    <w:rsid w:val="00BB0A86"/>
    <w:rsid w:val="00BB0C33"/>
    <w:rsid w:val="00BB5EF0"/>
    <w:rsid w:val="00BB6B03"/>
    <w:rsid w:val="00BC5EF2"/>
    <w:rsid w:val="00BC6E6D"/>
    <w:rsid w:val="00BD2649"/>
    <w:rsid w:val="00BD2A2F"/>
    <w:rsid w:val="00BD3106"/>
    <w:rsid w:val="00BD4848"/>
    <w:rsid w:val="00BD56AA"/>
    <w:rsid w:val="00BD6C32"/>
    <w:rsid w:val="00BD7932"/>
    <w:rsid w:val="00BE0E67"/>
    <w:rsid w:val="00BE78B8"/>
    <w:rsid w:val="00BF0E62"/>
    <w:rsid w:val="00BF5E69"/>
    <w:rsid w:val="00BF60ED"/>
    <w:rsid w:val="00BF67BE"/>
    <w:rsid w:val="00BF6BCC"/>
    <w:rsid w:val="00C063E0"/>
    <w:rsid w:val="00C06AF9"/>
    <w:rsid w:val="00C07514"/>
    <w:rsid w:val="00C07B0C"/>
    <w:rsid w:val="00C109E4"/>
    <w:rsid w:val="00C12BB8"/>
    <w:rsid w:val="00C150EB"/>
    <w:rsid w:val="00C1712F"/>
    <w:rsid w:val="00C23904"/>
    <w:rsid w:val="00C242AE"/>
    <w:rsid w:val="00C2441D"/>
    <w:rsid w:val="00C30947"/>
    <w:rsid w:val="00C30C68"/>
    <w:rsid w:val="00C310DD"/>
    <w:rsid w:val="00C33336"/>
    <w:rsid w:val="00C33DF3"/>
    <w:rsid w:val="00C34E7C"/>
    <w:rsid w:val="00C367C9"/>
    <w:rsid w:val="00C36AB1"/>
    <w:rsid w:val="00C37585"/>
    <w:rsid w:val="00C3772D"/>
    <w:rsid w:val="00C3781E"/>
    <w:rsid w:val="00C37C2A"/>
    <w:rsid w:val="00C404EF"/>
    <w:rsid w:val="00C42DB7"/>
    <w:rsid w:val="00C440C3"/>
    <w:rsid w:val="00C45EF7"/>
    <w:rsid w:val="00C466BC"/>
    <w:rsid w:val="00C52BEE"/>
    <w:rsid w:val="00C545EB"/>
    <w:rsid w:val="00C60235"/>
    <w:rsid w:val="00C6144D"/>
    <w:rsid w:val="00C63A42"/>
    <w:rsid w:val="00C733B4"/>
    <w:rsid w:val="00C75FA6"/>
    <w:rsid w:val="00C76284"/>
    <w:rsid w:val="00C76782"/>
    <w:rsid w:val="00C84DB5"/>
    <w:rsid w:val="00C8527B"/>
    <w:rsid w:val="00C85E54"/>
    <w:rsid w:val="00C90000"/>
    <w:rsid w:val="00C9708E"/>
    <w:rsid w:val="00CA5108"/>
    <w:rsid w:val="00CB79B5"/>
    <w:rsid w:val="00CC150C"/>
    <w:rsid w:val="00CC2695"/>
    <w:rsid w:val="00CC3A70"/>
    <w:rsid w:val="00CD0D06"/>
    <w:rsid w:val="00CD3590"/>
    <w:rsid w:val="00CD6F39"/>
    <w:rsid w:val="00CD78E5"/>
    <w:rsid w:val="00CE1E34"/>
    <w:rsid w:val="00CE5DD5"/>
    <w:rsid w:val="00CF266B"/>
    <w:rsid w:val="00CF2C96"/>
    <w:rsid w:val="00CF4CDD"/>
    <w:rsid w:val="00CF6D2A"/>
    <w:rsid w:val="00D01FC7"/>
    <w:rsid w:val="00D037E0"/>
    <w:rsid w:val="00D05079"/>
    <w:rsid w:val="00D05585"/>
    <w:rsid w:val="00D06A1F"/>
    <w:rsid w:val="00D10396"/>
    <w:rsid w:val="00D106F0"/>
    <w:rsid w:val="00D20D00"/>
    <w:rsid w:val="00D25AC8"/>
    <w:rsid w:val="00D26491"/>
    <w:rsid w:val="00D324D2"/>
    <w:rsid w:val="00D32921"/>
    <w:rsid w:val="00D33B70"/>
    <w:rsid w:val="00D362B4"/>
    <w:rsid w:val="00D40295"/>
    <w:rsid w:val="00D4194F"/>
    <w:rsid w:val="00D45474"/>
    <w:rsid w:val="00D47213"/>
    <w:rsid w:val="00D502BC"/>
    <w:rsid w:val="00D516CD"/>
    <w:rsid w:val="00D51A4D"/>
    <w:rsid w:val="00D5227D"/>
    <w:rsid w:val="00D5363E"/>
    <w:rsid w:val="00D63631"/>
    <w:rsid w:val="00D80757"/>
    <w:rsid w:val="00D8668D"/>
    <w:rsid w:val="00D91F02"/>
    <w:rsid w:val="00D97106"/>
    <w:rsid w:val="00DA168C"/>
    <w:rsid w:val="00DA6495"/>
    <w:rsid w:val="00DA722F"/>
    <w:rsid w:val="00DB19B4"/>
    <w:rsid w:val="00DB26E8"/>
    <w:rsid w:val="00DB5CA9"/>
    <w:rsid w:val="00DC0342"/>
    <w:rsid w:val="00DC0739"/>
    <w:rsid w:val="00DC081C"/>
    <w:rsid w:val="00DD1EFD"/>
    <w:rsid w:val="00DD21D5"/>
    <w:rsid w:val="00DD3E82"/>
    <w:rsid w:val="00DD5367"/>
    <w:rsid w:val="00DE07D3"/>
    <w:rsid w:val="00DE1A91"/>
    <w:rsid w:val="00DE208A"/>
    <w:rsid w:val="00DE315B"/>
    <w:rsid w:val="00DE5573"/>
    <w:rsid w:val="00DF0698"/>
    <w:rsid w:val="00DF3B87"/>
    <w:rsid w:val="00E01F01"/>
    <w:rsid w:val="00E05D88"/>
    <w:rsid w:val="00E1500A"/>
    <w:rsid w:val="00E17D93"/>
    <w:rsid w:val="00E21476"/>
    <w:rsid w:val="00E277E1"/>
    <w:rsid w:val="00E34C64"/>
    <w:rsid w:val="00E351A7"/>
    <w:rsid w:val="00E435E0"/>
    <w:rsid w:val="00E447C6"/>
    <w:rsid w:val="00E466A6"/>
    <w:rsid w:val="00E46872"/>
    <w:rsid w:val="00E47A3F"/>
    <w:rsid w:val="00E47B5D"/>
    <w:rsid w:val="00E50FCB"/>
    <w:rsid w:val="00E5255A"/>
    <w:rsid w:val="00E52B88"/>
    <w:rsid w:val="00E543F8"/>
    <w:rsid w:val="00E57F40"/>
    <w:rsid w:val="00E60998"/>
    <w:rsid w:val="00E62BDB"/>
    <w:rsid w:val="00E62C26"/>
    <w:rsid w:val="00E666CB"/>
    <w:rsid w:val="00E673FE"/>
    <w:rsid w:val="00E706B8"/>
    <w:rsid w:val="00E8254B"/>
    <w:rsid w:val="00E84A07"/>
    <w:rsid w:val="00E857C6"/>
    <w:rsid w:val="00E85917"/>
    <w:rsid w:val="00E87114"/>
    <w:rsid w:val="00E87180"/>
    <w:rsid w:val="00E87374"/>
    <w:rsid w:val="00E916C5"/>
    <w:rsid w:val="00E921F4"/>
    <w:rsid w:val="00E92C34"/>
    <w:rsid w:val="00E935A4"/>
    <w:rsid w:val="00EA0B57"/>
    <w:rsid w:val="00EA1797"/>
    <w:rsid w:val="00EA32C8"/>
    <w:rsid w:val="00EA62D9"/>
    <w:rsid w:val="00EA6AFC"/>
    <w:rsid w:val="00EA7602"/>
    <w:rsid w:val="00EB0C25"/>
    <w:rsid w:val="00EB1C0E"/>
    <w:rsid w:val="00EB2CCE"/>
    <w:rsid w:val="00EB325B"/>
    <w:rsid w:val="00EB597F"/>
    <w:rsid w:val="00EB6994"/>
    <w:rsid w:val="00EC4381"/>
    <w:rsid w:val="00EC6241"/>
    <w:rsid w:val="00ED01A4"/>
    <w:rsid w:val="00ED414C"/>
    <w:rsid w:val="00EE1D18"/>
    <w:rsid w:val="00EE49A7"/>
    <w:rsid w:val="00EE73B5"/>
    <w:rsid w:val="00EE7B1E"/>
    <w:rsid w:val="00EF0C85"/>
    <w:rsid w:val="00EF2A6F"/>
    <w:rsid w:val="00EF5A3E"/>
    <w:rsid w:val="00EF6E06"/>
    <w:rsid w:val="00EF7A09"/>
    <w:rsid w:val="00F01ACE"/>
    <w:rsid w:val="00F05706"/>
    <w:rsid w:val="00F14382"/>
    <w:rsid w:val="00F16067"/>
    <w:rsid w:val="00F1617C"/>
    <w:rsid w:val="00F22A3F"/>
    <w:rsid w:val="00F34751"/>
    <w:rsid w:val="00F34844"/>
    <w:rsid w:val="00F35208"/>
    <w:rsid w:val="00F364D8"/>
    <w:rsid w:val="00F369B8"/>
    <w:rsid w:val="00F377BD"/>
    <w:rsid w:val="00F453B7"/>
    <w:rsid w:val="00F51ED8"/>
    <w:rsid w:val="00F56C1B"/>
    <w:rsid w:val="00F609C3"/>
    <w:rsid w:val="00F62EF4"/>
    <w:rsid w:val="00F66192"/>
    <w:rsid w:val="00F7153B"/>
    <w:rsid w:val="00F75EAC"/>
    <w:rsid w:val="00F7610D"/>
    <w:rsid w:val="00F8172C"/>
    <w:rsid w:val="00F85137"/>
    <w:rsid w:val="00F86EFD"/>
    <w:rsid w:val="00F914C6"/>
    <w:rsid w:val="00F916BC"/>
    <w:rsid w:val="00F9551C"/>
    <w:rsid w:val="00F959E3"/>
    <w:rsid w:val="00F97877"/>
    <w:rsid w:val="00FA0A28"/>
    <w:rsid w:val="00FA1A2E"/>
    <w:rsid w:val="00FA2CA6"/>
    <w:rsid w:val="00FA3752"/>
    <w:rsid w:val="00FB672E"/>
    <w:rsid w:val="00FB737A"/>
    <w:rsid w:val="00FC001F"/>
    <w:rsid w:val="00FC1B10"/>
    <w:rsid w:val="00FC35D5"/>
    <w:rsid w:val="00FC47D2"/>
    <w:rsid w:val="00FC5315"/>
    <w:rsid w:val="00FD51E6"/>
    <w:rsid w:val="00FD69FB"/>
    <w:rsid w:val="00FD6E9D"/>
    <w:rsid w:val="00FE78EB"/>
    <w:rsid w:val="00FF05AA"/>
    <w:rsid w:val="00FF0658"/>
    <w:rsid w:val="00FF149F"/>
    <w:rsid w:val="00FF3F4C"/>
    <w:rsid w:val="00FF4D45"/>
    <w:rsid w:val="00FF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28673"/>
    <o:shapelayout v:ext="edit">
      <o:idmap v:ext="edit" data="1"/>
    </o:shapelayout>
  </w:shapeDefaults>
  <w:decimalSymbol w:val="."/>
  <w:listSeparator w:val=","/>
  <w14:docId w14:val="1B35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44"/>
    <w:pPr>
      <w:spacing w:after="200"/>
      <w:ind w:left="360"/>
    </w:pPr>
    <w:rPr>
      <w:rFonts w:ascii="Times New Roman" w:hAnsi="Times New Roman"/>
      <w:sz w:val="24"/>
      <w:szCs w:val="22"/>
    </w:rPr>
  </w:style>
  <w:style w:type="paragraph" w:styleId="Heading1">
    <w:name w:val="heading 1"/>
    <w:basedOn w:val="Normal"/>
    <w:next w:val="Normal"/>
    <w:link w:val="Heading1Char"/>
    <w:qFormat/>
    <w:rsid w:val="00A80044"/>
    <w:pPr>
      <w:keepNext/>
      <w:spacing w:before="240" w:after="60" w:line="276" w:lineRule="auto"/>
      <w:ind w:left="0"/>
      <w:outlineLvl w:val="0"/>
    </w:pPr>
    <w:rPr>
      <w:rFonts w:ascii="Cambria" w:hAnsi="Cambria"/>
      <w:b/>
      <w:bCs/>
      <w:kern w:val="32"/>
      <w:sz w:val="32"/>
      <w:szCs w:val="32"/>
    </w:rPr>
  </w:style>
  <w:style w:type="paragraph" w:styleId="Heading2">
    <w:name w:val="heading 2"/>
    <w:basedOn w:val="Normal"/>
    <w:next w:val="Normal"/>
    <w:link w:val="Heading2Char"/>
    <w:qFormat/>
    <w:rsid w:val="00865CFB"/>
    <w:pPr>
      <w:keepNext/>
      <w:numPr>
        <w:numId w:val="1"/>
      </w:numPr>
      <w:tabs>
        <w:tab w:val="clear" w:pos="360"/>
      </w:tabs>
      <w:spacing w:before="240" w:after="240"/>
      <w:ind w:left="0" w:firstLine="0"/>
      <w:outlineLvl w:val="1"/>
    </w:pPr>
    <w:rPr>
      <w:rFonts w:ascii="Arial" w:eastAsia="Times New Roman" w:hAnsi="Arial" w:cs="Arial"/>
      <w:b/>
      <w:bCs/>
      <w:i/>
      <w:iCs/>
      <w:sz w:val="28"/>
      <w:szCs w:val="28"/>
      <w:lang w:val="x-none" w:eastAsia="x-none"/>
    </w:rPr>
  </w:style>
  <w:style w:type="paragraph" w:styleId="Heading3">
    <w:name w:val="heading 3"/>
    <w:basedOn w:val="Normal"/>
    <w:next w:val="Normal"/>
    <w:link w:val="Heading3Char"/>
    <w:qFormat/>
    <w:rsid w:val="00DB19B4"/>
    <w:pPr>
      <w:keepNext/>
      <w:spacing w:before="240" w:after="240"/>
      <w:ind w:left="720" w:hanging="720"/>
      <w:outlineLvl w:val="2"/>
    </w:pPr>
    <w:rPr>
      <w:rFonts w:ascii="Arial" w:eastAsia="Times New Roman" w:hAnsi="Arial" w:cs="Arial"/>
      <w:b/>
      <w:bCs/>
      <w:szCs w:val="24"/>
      <w:lang w:val="x-none" w:eastAsia="x-none"/>
    </w:rPr>
  </w:style>
  <w:style w:type="paragraph" w:styleId="Heading4">
    <w:name w:val="heading 4"/>
    <w:basedOn w:val="Normal"/>
    <w:next w:val="Normal"/>
    <w:link w:val="Heading4Char"/>
    <w:uiPriority w:val="9"/>
    <w:unhideWhenUsed/>
    <w:qFormat/>
    <w:rsid w:val="00865CFB"/>
    <w:pPr>
      <w:keepNext/>
      <w:keepLines/>
      <w:spacing w:before="40" w:after="240"/>
      <w:ind w:left="0"/>
      <w:outlineLvl w:val="3"/>
    </w:pPr>
    <w:rPr>
      <w:rFonts w:ascii="Arial" w:eastAsiaTheme="majorEastAsia" w:hAnsi="Arial" w:cs="Arial"/>
      <w:b/>
      <w:i/>
      <w:iCs/>
      <w:sz w:val="22"/>
      <w:szCs w:val="24"/>
    </w:rPr>
  </w:style>
  <w:style w:type="paragraph" w:styleId="Heading5">
    <w:name w:val="heading 5"/>
    <w:basedOn w:val="Normal"/>
    <w:next w:val="Normal"/>
    <w:link w:val="Heading5Char"/>
    <w:uiPriority w:val="9"/>
    <w:unhideWhenUsed/>
    <w:qFormat/>
    <w:rsid w:val="00E84A0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5CFB"/>
    <w:rPr>
      <w:rFonts w:ascii="Arial" w:eastAsia="Times New Roman" w:hAnsi="Arial" w:cs="Arial"/>
      <w:b/>
      <w:bCs/>
      <w:i/>
      <w:iCs/>
      <w:sz w:val="28"/>
      <w:szCs w:val="28"/>
      <w:lang w:val="x-none" w:eastAsia="x-none"/>
    </w:rPr>
  </w:style>
  <w:style w:type="character" w:customStyle="1" w:styleId="Heading3Char">
    <w:name w:val="Heading 3 Char"/>
    <w:link w:val="Heading3"/>
    <w:rsid w:val="00DB19B4"/>
    <w:rPr>
      <w:rFonts w:ascii="Arial" w:eastAsia="Times New Roman" w:hAnsi="Arial" w:cs="Arial"/>
      <w:b/>
      <w:bCs/>
      <w:sz w:val="24"/>
      <w:szCs w:val="24"/>
      <w:lang w:val="x-none" w:eastAsia="x-none"/>
    </w:rPr>
  </w:style>
  <w:style w:type="paragraph" w:customStyle="1" w:styleId="NORC-Answer">
    <w:name w:val="NORC-Answer"/>
    <w:basedOn w:val="Normal"/>
    <w:qFormat/>
    <w:rsid w:val="00FC1B10"/>
    <w:pPr>
      <w:spacing w:after="240"/>
      <w:ind w:left="576"/>
    </w:pPr>
    <w:rPr>
      <w:rFonts w:ascii="Garamond" w:eastAsia="Times New Roman" w:hAnsi="Garamond"/>
      <w:szCs w:val="24"/>
    </w:rPr>
  </w:style>
  <w:style w:type="paragraph" w:customStyle="1" w:styleId="NORC-BodySingleSpaced1stLineIndent12ptGaramond">
    <w:name w:val="NORC-Body Single Spaced 1st Line Indent (12pt Garamond)"/>
    <w:qFormat/>
    <w:rsid w:val="00FC1B10"/>
    <w:pPr>
      <w:ind w:firstLine="360"/>
    </w:pPr>
    <w:rPr>
      <w:rFonts w:ascii="Garamond" w:eastAsia="Times New Roman" w:hAnsi="Garamond"/>
      <w:sz w:val="24"/>
      <w:szCs w:val="24"/>
    </w:rPr>
  </w:style>
  <w:style w:type="character" w:customStyle="1" w:styleId="NORC-InlineL1ArialNarroBoldBlue">
    <w:name w:val="NORC-Inline L1 (Arial Narro Bold Blue)"/>
    <w:uiPriority w:val="1"/>
    <w:qFormat/>
    <w:rsid w:val="00FC1B10"/>
    <w:rPr>
      <w:rFonts w:ascii="Arial Narrow" w:hAnsi="Arial Narrow"/>
      <w:b/>
      <w:color w:val="336699"/>
      <w:u w:val="single"/>
    </w:rPr>
  </w:style>
  <w:style w:type="paragraph" w:customStyle="1" w:styleId="NORC-Head3Garamond">
    <w:name w:val="NORC-Head 3 (Garamond)"/>
    <w:qFormat/>
    <w:rsid w:val="00FC1B10"/>
    <w:pPr>
      <w:keepNext/>
      <w:tabs>
        <w:tab w:val="left" w:pos="504"/>
      </w:tabs>
      <w:spacing w:before="180"/>
      <w:ind w:left="576"/>
    </w:pPr>
    <w:rPr>
      <w:rFonts w:ascii="Garamond" w:eastAsia="Times New Roman" w:hAnsi="Garamond" w:cs="Arial"/>
      <w:b/>
      <w:bCs/>
      <w:i/>
      <w:color w:val="336699"/>
      <w:sz w:val="24"/>
      <w:szCs w:val="23"/>
    </w:rPr>
  </w:style>
  <w:style w:type="paragraph" w:customStyle="1" w:styleId="NORC-Bullet1Garamond">
    <w:name w:val="NORC-Bullet 1 (Garamond)"/>
    <w:rsid w:val="00FC1B10"/>
    <w:rPr>
      <w:rFonts w:ascii="Garamond" w:eastAsia="Times New Roman" w:hAnsi="Garamond"/>
      <w:sz w:val="24"/>
      <w:szCs w:val="24"/>
    </w:rPr>
  </w:style>
  <w:style w:type="character" w:styleId="CommentReference">
    <w:name w:val="annotation reference"/>
    <w:uiPriority w:val="99"/>
    <w:semiHidden/>
    <w:unhideWhenUsed/>
    <w:rsid w:val="00FC1B10"/>
    <w:rPr>
      <w:sz w:val="16"/>
      <w:szCs w:val="16"/>
    </w:rPr>
  </w:style>
  <w:style w:type="paragraph" w:styleId="CommentText">
    <w:name w:val="annotation text"/>
    <w:basedOn w:val="Normal"/>
    <w:link w:val="CommentTextChar"/>
    <w:uiPriority w:val="99"/>
    <w:unhideWhenUsed/>
    <w:rsid w:val="00FC1B10"/>
    <w:rPr>
      <w:sz w:val="20"/>
      <w:szCs w:val="20"/>
      <w:lang w:val="x-none" w:eastAsia="x-none"/>
    </w:rPr>
  </w:style>
  <w:style w:type="character" w:customStyle="1" w:styleId="CommentTextChar">
    <w:name w:val="Comment Text Char"/>
    <w:link w:val="CommentText"/>
    <w:uiPriority w:val="99"/>
    <w:rsid w:val="00FC1B1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C1B10"/>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C1B10"/>
    <w:rPr>
      <w:rFonts w:ascii="Tahoma" w:eastAsia="Calibri" w:hAnsi="Tahoma" w:cs="Tahoma"/>
      <w:sz w:val="16"/>
      <w:szCs w:val="16"/>
    </w:rPr>
  </w:style>
  <w:style w:type="paragraph" w:styleId="BodyText">
    <w:name w:val="Body Text"/>
    <w:basedOn w:val="Normal"/>
    <w:link w:val="BodyTextChar"/>
    <w:uiPriority w:val="99"/>
    <w:rsid w:val="00865CFB"/>
    <w:pPr>
      <w:spacing w:after="240"/>
      <w:ind w:left="0"/>
    </w:pPr>
  </w:style>
  <w:style w:type="character" w:customStyle="1" w:styleId="BodyTextChar">
    <w:name w:val="Body Text Char"/>
    <w:link w:val="BodyText"/>
    <w:uiPriority w:val="99"/>
    <w:rsid w:val="00865CFB"/>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7A7F93"/>
    <w:rPr>
      <w:b/>
      <w:bCs/>
    </w:rPr>
  </w:style>
  <w:style w:type="character" w:customStyle="1" w:styleId="CommentSubjectChar">
    <w:name w:val="Comment Subject Char"/>
    <w:link w:val="CommentSubject"/>
    <w:uiPriority w:val="99"/>
    <w:semiHidden/>
    <w:rsid w:val="007A7F93"/>
    <w:rPr>
      <w:rFonts w:ascii="Times New Roman" w:eastAsia="Calibri" w:hAnsi="Times New Roman" w:cs="Times New Roman"/>
      <w:b/>
      <w:bCs/>
      <w:sz w:val="20"/>
      <w:szCs w:val="20"/>
    </w:rPr>
  </w:style>
  <w:style w:type="paragraph" w:customStyle="1" w:styleId="Default">
    <w:name w:val="Default"/>
    <w:rsid w:val="00303B59"/>
    <w:pPr>
      <w:autoSpaceDE w:val="0"/>
      <w:autoSpaceDN w:val="0"/>
      <w:adjustRightInd w:val="0"/>
    </w:pPr>
    <w:rPr>
      <w:rFonts w:ascii="Cambria" w:eastAsia="Times New Roman" w:hAnsi="Cambria" w:cs="Cambria"/>
      <w:color w:val="000000"/>
      <w:sz w:val="24"/>
      <w:szCs w:val="24"/>
    </w:rPr>
  </w:style>
  <w:style w:type="paragraph" w:styleId="FootnoteText">
    <w:name w:val="footnote text"/>
    <w:basedOn w:val="Normal"/>
    <w:semiHidden/>
    <w:rsid w:val="00AC781C"/>
    <w:rPr>
      <w:sz w:val="20"/>
      <w:szCs w:val="20"/>
    </w:rPr>
  </w:style>
  <w:style w:type="character" w:styleId="FootnoteReference">
    <w:name w:val="footnote reference"/>
    <w:semiHidden/>
    <w:rsid w:val="00AC781C"/>
    <w:rPr>
      <w:vertAlign w:val="superscript"/>
    </w:rPr>
  </w:style>
  <w:style w:type="character" w:customStyle="1" w:styleId="Heading1Char">
    <w:name w:val="Heading 1 Char"/>
    <w:link w:val="Heading1"/>
    <w:rsid w:val="00A80044"/>
    <w:rPr>
      <w:rFonts w:ascii="Cambria" w:hAnsi="Cambria"/>
      <w:b/>
      <w:bCs/>
      <w:kern w:val="32"/>
      <w:sz w:val="32"/>
      <w:szCs w:val="32"/>
      <w:lang w:val="en-US" w:eastAsia="en-US" w:bidi="ar-SA"/>
    </w:rPr>
  </w:style>
  <w:style w:type="paragraph" w:styleId="Revision">
    <w:name w:val="Revision"/>
    <w:hidden/>
    <w:uiPriority w:val="99"/>
    <w:semiHidden/>
    <w:rsid w:val="00E17D93"/>
    <w:rPr>
      <w:rFonts w:ascii="Times New Roman" w:hAnsi="Times New Roman"/>
      <w:sz w:val="24"/>
      <w:szCs w:val="22"/>
    </w:rPr>
  </w:style>
  <w:style w:type="paragraph" w:styleId="Header">
    <w:name w:val="header"/>
    <w:basedOn w:val="Normal"/>
    <w:link w:val="HeaderChar"/>
    <w:uiPriority w:val="99"/>
    <w:unhideWhenUsed/>
    <w:rsid w:val="005A6F44"/>
    <w:pPr>
      <w:tabs>
        <w:tab w:val="center" w:pos="4320"/>
        <w:tab w:val="right" w:pos="8640"/>
      </w:tabs>
      <w:spacing w:after="0"/>
      <w:ind w:left="0"/>
    </w:pPr>
    <w:rPr>
      <w:rFonts w:ascii="Arial" w:eastAsia="Times New Roman" w:hAnsi="Arial"/>
      <w:sz w:val="18"/>
      <w:szCs w:val="20"/>
      <w:lang w:val="x-none" w:eastAsia="x-none"/>
    </w:rPr>
  </w:style>
  <w:style w:type="character" w:customStyle="1" w:styleId="HeaderChar">
    <w:name w:val="Header Char"/>
    <w:link w:val="Header"/>
    <w:uiPriority w:val="99"/>
    <w:rsid w:val="005A6F44"/>
    <w:rPr>
      <w:rFonts w:ascii="Arial" w:eastAsia="Times New Roman" w:hAnsi="Arial"/>
      <w:sz w:val="18"/>
      <w:lang w:val="x-none" w:eastAsia="x-none"/>
    </w:rPr>
  </w:style>
  <w:style w:type="paragraph" w:styleId="Footer">
    <w:name w:val="footer"/>
    <w:basedOn w:val="Normal"/>
    <w:link w:val="FooterChar"/>
    <w:uiPriority w:val="99"/>
    <w:unhideWhenUsed/>
    <w:rsid w:val="005A6F44"/>
    <w:pPr>
      <w:tabs>
        <w:tab w:val="left" w:pos="888"/>
        <w:tab w:val="center" w:pos="4680"/>
        <w:tab w:val="right" w:pos="9360"/>
      </w:tabs>
      <w:spacing w:after="0"/>
      <w:ind w:left="0"/>
      <w:jc w:val="right"/>
    </w:pPr>
    <w:rPr>
      <w:rFonts w:ascii="Arial" w:hAnsi="Arial"/>
      <w:sz w:val="18"/>
      <w:szCs w:val="18"/>
      <w:lang w:eastAsia="x-none"/>
    </w:rPr>
  </w:style>
  <w:style w:type="character" w:customStyle="1" w:styleId="FooterChar">
    <w:name w:val="Footer Char"/>
    <w:link w:val="Footer"/>
    <w:uiPriority w:val="99"/>
    <w:rsid w:val="005A6F44"/>
    <w:rPr>
      <w:rFonts w:ascii="Arial" w:hAnsi="Arial"/>
      <w:sz w:val="18"/>
      <w:szCs w:val="18"/>
      <w:lang w:eastAsia="x-none"/>
    </w:rPr>
  </w:style>
  <w:style w:type="paragraph" w:styleId="Caption">
    <w:name w:val="caption"/>
    <w:basedOn w:val="Normal"/>
    <w:next w:val="Normal"/>
    <w:uiPriority w:val="35"/>
    <w:unhideWhenUsed/>
    <w:qFormat/>
    <w:rsid w:val="006E6F11"/>
    <w:rPr>
      <w:b/>
      <w:bCs/>
      <w:sz w:val="20"/>
      <w:szCs w:val="20"/>
    </w:rPr>
  </w:style>
  <w:style w:type="paragraph" w:styleId="TOCHeading">
    <w:name w:val="TOC Heading"/>
    <w:basedOn w:val="Heading1"/>
    <w:next w:val="Normal"/>
    <w:uiPriority w:val="39"/>
    <w:unhideWhenUsed/>
    <w:qFormat/>
    <w:rsid w:val="00EC6241"/>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444383"/>
    <w:pPr>
      <w:tabs>
        <w:tab w:val="left" w:pos="720"/>
        <w:tab w:val="right" w:leader="dot" w:pos="9350"/>
      </w:tabs>
      <w:spacing w:before="200" w:after="60"/>
      <w:ind w:left="0"/>
    </w:pPr>
    <w:rPr>
      <w:b/>
      <w:noProof/>
    </w:rPr>
  </w:style>
  <w:style w:type="paragraph" w:styleId="TOC3">
    <w:name w:val="toc 3"/>
    <w:basedOn w:val="Normal"/>
    <w:next w:val="Normal"/>
    <w:autoRedefine/>
    <w:uiPriority w:val="39"/>
    <w:unhideWhenUsed/>
    <w:rsid w:val="00444383"/>
    <w:pPr>
      <w:tabs>
        <w:tab w:val="left" w:pos="1440"/>
        <w:tab w:val="right" w:leader="dot" w:pos="9350"/>
      </w:tabs>
      <w:spacing w:after="120"/>
      <w:ind w:left="1440" w:hanging="720"/>
    </w:pPr>
    <w:rPr>
      <w:b/>
      <w:noProof/>
    </w:rPr>
  </w:style>
  <w:style w:type="character" w:styleId="Hyperlink">
    <w:name w:val="Hyperlink"/>
    <w:basedOn w:val="DefaultParagraphFont"/>
    <w:uiPriority w:val="99"/>
    <w:unhideWhenUsed/>
    <w:rsid w:val="00EC6241"/>
    <w:rPr>
      <w:color w:val="0563C1" w:themeColor="hyperlink"/>
      <w:u w:val="single"/>
    </w:rPr>
  </w:style>
  <w:style w:type="paragraph" w:customStyle="1" w:styleId="Julie2">
    <w:name w:val="Julie2"/>
    <w:basedOn w:val="Normal"/>
    <w:link w:val="Julie2Char"/>
    <w:qFormat/>
    <w:rsid w:val="000E21A9"/>
    <w:pPr>
      <w:autoSpaceDE w:val="0"/>
      <w:autoSpaceDN w:val="0"/>
      <w:adjustRightInd w:val="0"/>
      <w:spacing w:after="0"/>
      <w:ind w:left="0"/>
    </w:pPr>
    <w:rPr>
      <w:b/>
      <w:bCs/>
      <w:i/>
      <w:iCs/>
      <w:szCs w:val="24"/>
    </w:rPr>
  </w:style>
  <w:style w:type="character" w:customStyle="1" w:styleId="Heading4Char">
    <w:name w:val="Heading 4 Char"/>
    <w:basedOn w:val="DefaultParagraphFont"/>
    <w:link w:val="Heading4"/>
    <w:uiPriority w:val="9"/>
    <w:rsid w:val="00865CFB"/>
    <w:rPr>
      <w:rFonts w:ascii="Arial" w:eastAsiaTheme="majorEastAsia" w:hAnsi="Arial" w:cs="Arial"/>
      <w:b/>
      <w:i/>
      <w:iCs/>
      <w:sz w:val="22"/>
      <w:szCs w:val="24"/>
    </w:rPr>
  </w:style>
  <w:style w:type="character" w:customStyle="1" w:styleId="Julie2Char">
    <w:name w:val="Julie2 Char"/>
    <w:basedOn w:val="DefaultParagraphFont"/>
    <w:link w:val="Julie2"/>
    <w:rsid w:val="000E21A9"/>
    <w:rPr>
      <w:rFonts w:ascii="Times New Roman" w:hAnsi="Times New Roman"/>
      <w:b/>
      <w:bCs/>
      <w:i/>
      <w:iCs/>
      <w:sz w:val="24"/>
      <w:szCs w:val="24"/>
    </w:rPr>
  </w:style>
  <w:style w:type="character" w:customStyle="1" w:styleId="Heading5Char">
    <w:name w:val="Heading 5 Char"/>
    <w:basedOn w:val="DefaultParagraphFont"/>
    <w:link w:val="Heading5"/>
    <w:uiPriority w:val="9"/>
    <w:rsid w:val="00E84A07"/>
    <w:rPr>
      <w:rFonts w:asciiTheme="majorHAnsi" w:eastAsiaTheme="majorEastAsia" w:hAnsiTheme="majorHAnsi" w:cstheme="majorBidi"/>
      <w:color w:val="2E74B5" w:themeColor="accent1" w:themeShade="BF"/>
      <w:sz w:val="24"/>
      <w:szCs w:val="22"/>
    </w:rPr>
  </w:style>
  <w:style w:type="paragraph" w:customStyle="1" w:styleId="TableParagraph">
    <w:name w:val="Table Paragraph"/>
    <w:basedOn w:val="Normal"/>
    <w:uiPriority w:val="1"/>
    <w:qFormat/>
    <w:rsid w:val="004B0DC0"/>
    <w:pPr>
      <w:widowControl w:val="0"/>
      <w:spacing w:after="0"/>
      <w:ind w:left="0"/>
    </w:pPr>
    <w:rPr>
      <w:rFonts w:asciiTheme="minorHAnsi" w:eastAsiaTheme="minorHAnsi" w:hAnsiTheme="minorHAnsi" w:cstheme="minorBidi"/>
      <w:sz w:val="22"/>
    </w:rPr>
  </w:style>
  <w:style w:type="paragraph" w:styleId="ListParagraph">
    <w:name w:val="List Paragraph"/>
    <w:basedOn w:val="Normal"/>
    <w:uiPriority w:val="34"/>
    <w:qFormat/>
    <w:rsid w:val="005F7254"/>
    <w:pPr>
      <w:numPr>
        <w:numId w:val="9"/>
      </w:numPr>
      <w:spacing w:before="60" w:after="120"/>
    </w:pPr>
  </w:style>
  <w:style w:type="paragraph" w:customStyle="1" w:styleId="NORCCaption-Exhibit">
    <w:name w:val="NORC Caption - Exhibit"/>
    <w:basedOn w:val="Normal"/>
    <w:qFormat/>
    <w:rsid w:val="00B9204F"/>
    <w:pPr>
      <w:keepNext/>
      <w:keepLines/>
      <w:pBdr>
        <w:top w:val="single" w:sz="4" w:space="5" w:color="BFB6AC"/>
        <w:bottom w:val="single" w:sz="4" w:space="3" w:color="BFB6AC"/>
      </w:pBdr>
      <w:tabs>
        <w:tab w:val="left" w:pos="1440"/>
      </w:tabs>
      <w:spacing w:before="320" w:after="120"/>
      <w:ind w:left="1440" w:hanging="1440"/>
    </w:pPr>
    <w:rPr>
      <w:rFonts w:ascii="Arial" w:eastAsia="Times New Roman" w:hAnsi="Arial" w:cs="Arial"/>
      <w:color w:val="000000" w:themeColor="text1"/>
      <w:sz w:val="22"/>
      <w:szCs w:val="24"/>
    </w:rPr>
  </w:style>
  <w:style w:type="paragraph" w:customStyle="1" w:styleId="Caption-Tables">
    <w:name w:val="Caption - Tables"/>
    <w:basedOn w:val="Caption"/>
    <w:qFormat/>
    <w:rsid w:val="00D45474"/>
    <w:pPr>
      <w:keepNext/>
      <w:keepLines/>
      <w:spacing w:before="420" w:after="60"/>
      <w:ind w:left="0"/>
    </w:pPr>
    <w:rPr>
      <w:rFonts w:ascii="Arial" w:eastAsiaTheme="minorHAnsi" w:hAnsi="Arial" w:cstheme="minorBidi"/>
      <w:color w:val="264A64"/>
      <w:sz w:val="18"/>
      <w:szCs w:val="18"/>
    </w:rPr>
  </w:style>
  <w:style w:type="table" w:styleId="TableGrid">
    <w:name w:val="Table Grid"/>
    <w:basedOn w:val="TableNormal"/>
    <w:uiPriority w:val="39"/>
    <w:rsid w:val="00E543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over-TimesNewRoman">
    <w:name w:val="NORC Cover - Times New Roman"/>
    <w:basedOn w:val="Normal"/>
    <w:qFormat/>
    <w:rsid w:val="00FF4D45"/>
    <w:pPr>
      <w:ind w:left="0"/>
      <w:jc w:val="center"/>
    </w:pPr>
    <w:rPr>
      <w:sz w:val="28"/>
      <w:szCs w:val="28"/>
    </w:rPr>
  </w:style>
  <w:style w:type="paragraph" w:customStyle="1" w:styleId="NORCCover-Arial">
    <w:name w:val="NORC Cover - Arial"/>
    <w:basedOn w:val="Normal"/>
    <w:qFormat/>
    <w:rsid w:val="005A6F44"/>
    <w:pPr>
      <w:spacing w:after="0"/>
      <w:ind w:left="0"/>
      <w:jc w:val="center"/>
    </w:pPr>
    <w:rPr>
      <w:rFonts w:ascii="Arial" w:hAnsi="Arial" w:cs="Arial"/>
    </w:rPr>
  </w:style>
  <w:style w:type="paragraph" w:customStyle="1" w:styleId="NORCCoer-TimesNewRomanBold">
    <w:name w:val="NORC Coer - Times New Roman Bold"/>
    <w:basedOn w:val="NORCCover-TimesNewRoman"/>
    <w:qFormat/>
    <w:rsid w:val="005A6F44"/>
    <w:rPr>
      <w:b/>
    </w:rPr>
  </w:style>
  <w:style w:type="paragraph" w:styleId="Title">
    <w:name w:val="Title"/>
    <w:basedOn w:val="Normal"/>
    <w:next w:val="Normal"/>
    <w:link w:val="TitleChar"/>
    <w:uiPriority w:val="10"/>
    <w:qFormat/>
    <w:rsid w:val="00865CFB"/>
    <w:pPr>
      <w:spacing w:after="480"/>
      <w:ind w:left="0"/>
      <w:jc w:val="center"/>
    </w:pPr>
    <w:rPr>
      <w:rFonts w:ascii="Arial" w:eastAsiaTheme="majorEastAsia" w:hAnsi="Arial" w:cs="Arial"/>
      <w:b/>
      <w:spacing w:val="-10"/>
      <w:kern w:val="28"/>
      <w:sz w:val="30"/>
      <w:szCs w:val="30"/>
    </w:rPr>
  </w:style>
  <w:style w:type="character" w:customStyle="1" w:styleId="TitleChar">
    <w:name w:val="Title Char"/>
    <w:basedOn w:val="DefaultParagraphFont"/>
    <w:link w:val="Title"/>
    <w:uiPriority w:val="10"/>
    <w:rsid w:val="00865CFB"/>
    <w:rPr>
      <w:rFonts w:ascii="Arial" w:eastAsiaTheme="majorEastAsia" w:hAnsi="Arial" w:cs="Arial"/>
      <w:b/>
      <w:spacing w:val="-10"/>
      <w:kern w:val="28"/>
      <w:sz w:val="30"/>
      <w:szCs w:val="30"/>
    </w:rPr>
  </w:style>
  <w:style w:type="paragraph" w:styleId="ListBullet">
    <w:name w:val="List Bullet"/>
    <w:basedOn w:val="Normal"/>
    <w:uiPriority w:val="99"/>
    <w:unhideWhenUsed/>
    <w:rsid w:val="00721B6C"/>
    <w:pPr>
      <w:numPr>
        <w:numId w:val="4"/>
      </w:numPr>
      <w:spacing w:after="120"/>
    </w:pPr>
  </w:style>
  <w:style w:type="paragraph" w:customStyle="1" w:styleId="BodyText-NoSpaceAfter">
    <w:name w:val="Body Text - No Space After"/>
    <w:basedOn w:val="BodyText"/>
    <w:qFormat/>
    <w:rsid w:val="005F7254"/>
    <w:pPr>
      <w:spacing w:after="0"/>
    </w:pPr>
  </w:style>
  <w:style w:type="paragraph" w:styleId="BodyTextFirstIndent">
    <w:name w:val="Body Text First Indent"/>
    <w:basedOn w:val="BodyText"/>
    <w:link w:val="BodyTextFirstIndentChar"/>
    <w:uiPriority w:val="99"/>
    <w:semiHidden/>
    <w:unhideWhenUsed/>
    <w:rsid w:val="00F609C3"/>
    <w:pPr>
      <w:ind w:left="360" w:firstLine="360"/>
      <w:contextualSpacing/>
    </w:pPr>
  </w:style>
  <w:style w:type="character" w:customStyle="1" w:styleId="BodyTextFirstIndentChar">
    <w:name w:val="Body Text First Indent Char"/>
    <w:basedOn w:val="BodyTextChar"/>
    <w:link w:val="BodyTextFirstIndent"/>
    <w:uiPriority w:val="99"/>
    <w:semiHidden/>
    <w:rsid w:val="00F609C3"/>
    <w:rPr>
      <w:rFonts w:ascii="Times New Roman" w:hAnsi="Times New Roman"/>
      <w:sz w:val="24"/>
      <w:szCs w:val="22"/>
    </w:rPr>
  </w:style>
  <w:style w:type="paragraph" w:customStyle="1" w:styleId="NORCTableHeader1">
    <w:name w:val="NORC Table Header 1"/>
    <w:basedOn w:val="Normal"/>
    <w:qFormat/>
    <w:rsid w:val="005927F6"/>
    <w:pPr>
      <w:keepNext/>
      <w:keepLines/>
      <w:spacing w:before="120" w:after="120"/>
      <w:ind w:left="0"/>
      <w:jc w:val="center"/>
    </w:pPr>
    <w:rPr>
      <w:rFonts w:ascii="Arial" w:hAnsi="Arial" w:cs="Arial"/>
      <w:b/>
      <w:sz w:val="20"/>
      <w:szCs w:val="20"/>
    </w:rPr>
  </w:style>
  <w:style w:type="paragraph" w:customStyle="1" w:styleId="NORCTableBodyLeft">
    <w:name w:val="NORC Table Body Left"/>
    <w:basedOn w:val="Normal"/>
    <w:qFormat/>
    <w:rsid w:val="005927F6"/>
    <w:pPr>
      <w:spacing w:before="40" w:after="40"/>
      <w:ind w:left="0"/>
    </w:pPr>
    <w:rPr>
      <w:rFonts w:ascii="Arial" w:hAnsi="Arial"/>
      <w:spacing w:val="-1"/>
      <w:sz w:val="20"/>
    </w:rPr>
  </w:style>
  <w:style w:type="paragraph" w:customStyle="1" w:styleId="NORCTableBodyCenter">
    <w:name w:val="NORC Table Body Center"/>
    <w:basedOn w:val="Normal"/>
    <w:qFormat/>
    <w:rsid w:val="005927F6"/>
    <w:pPr>
      <w:spacing w:before="40" w:after="40"/>
      <w:ind w:left="0"/>
      <w:jc w:val="center"/>
    </w:pPr>
    <w:rPr>
      <w:rFonts w:ascii="Arial" w:hAnsi="Arial"/>
      <w:spacing w:val="-1"/>
      <w:sz w:val="20"/>
    </w:rPr>
  </w:style>
  <w:style w:type="paragraph" w:customStyle="1" w:styleId="NORCTableBodyRight">
    <w:name w:val="NORC Table Body Right"/>
    <w:basedOn w:val="NORCTableBodyLeft"/>
    <w:qFormat/>
    <w:rsid w:val="00A15663"/>
    <w:pPr>
      <w:jc w:val="right"/>
    </w:pPr>
  </w:style>
  <w:style w:type="paragraph" w:customStyle="1" w:styleId="NORCTableBodyLeftBold">
    <w:name w:val="NORC Table Body Left Bold"/>
    <w:basedOn w:val="NORCTableBodyLeft"/>
    <w:qFormat/>
    <w:rsid w:val="00393279"/>
    <w:rPr>
      <w:b/>
    </w:rPr>
  </w:style>
  <w:style w:type="paragraph" w:customStyle="1" w:styleId="NORCTableHeader2">
    <w:name w:val="NORC Table Header 2"/>
    <w:basedOn w:val="Normal"/>
    <w:qFormat/>
    <w:rsid w:val="00310AC2"/>
    <w:pPr>
      <w:spacing w:before="60" w:after="60"/>
      <w:ind w:left="0"/>
      <w:jc w:val="center"/>
    </w:pPr>
    <w:rPr>
      <w:rFonts w:ascii="Arial" w:hAnsi="Arial" w:cs="Arial"/>
      <w:b/>
      <w:sz w:val="20"/>
      <w:szCs w:val="20"/>
    </w:rPr>
  </w:style>
  <w:style w:type="paragraph" w:styleId="TOC4">
    <w:name w:val="toc 4"/>
    <w:basedOn w:val="Normal"/>
    <w:next w:val="Normal"/>
    <w:autoRedefine/>
    <w:uiPriority w:val="39"/>
    <w:unhideWhenUsed/>
    <w:rsid w:val="00444383"/>
    <w:pPr>
      <w:spacing w:after="100"/>
      <w:ind w:left="1440"/>
    </w:pPr>
    <w:rPr>
      <w:sz w:val="22"/>
    </w:rPr>
  </w:style>
  <w:style w:type="paragraph" w:customStyle="1" w:styleId="Title2">
    <w:name w:val="Title 2"/>
    <w:basedOn w:val="BodyText"/>
    <w:qFormat/>
    <w:rsid w:val="007F4549"/>
    <w:pPr>
      <w:spacing w:after="360"/>
    </w:pPr>
    <w:rPr>
      <w:rFonts w:ascii="Arial" w:hAnsi="Arial" w:cs="Arial"/>
      <w:b/>
      <w:sz w:val="28"/>
      <w:szCs w:val="28"/>
    </w:rPr>
  </w:style>
  <w:style w:type="paragraph" w:styleId="TableofFigures">
    <w:name w:val="table of figures"/>
    <w:basedOn w:val="Normal"/>
    <w:next w:val="Normal"/>
    <w:uiPriority w:val="99"/>
    <w:unhideWhenUsed/>
    <w:rsid w:val="00840291"/>
    <w:pPr>
      <w:tabs>
        <w:tab w:val="left" w:pos="1440"/>
        <w:tab w:val="right" w:leader="dot" w:pos="9350"/>
      </w:tabs>
      <w:spacing w:after="120"/>
      <w:ind w:left="1440" w:hanging="1440"/>
    </w:pPr>
    <w:rPr>
      <w:noProof/>
    </w:rPr>
  </w:style>
  <w:style w:type="paragraph" w:styleId="NormalWeb">
    <w:name w:val="Normal (Web)"/>
    <w:basedOn w:val="Normal"/>
    <w:uiPriority w:val="99"/>
    <w:semiHidden/>
    <w:unhideWhenUsed/>
    <w:rsid w:val="00513A4B"/>
    <w:pPr>
      <w:spacing w:after="0"/>
      <w:ind w:left="0"/>
    </w:pPr>
    <w:rPr>
      <w:rFonts w:eastAsia="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Calibri"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44"/>
    <w:pPr>
      <w:spacing w:after="200"/>
      <w:ind w:left="360"/>
    </w:pPr>
    <w:rPr>
      <w:rFonts w:ascii="Times New Roman" w:hAnsi="Times New Roman"/>
      <w:sz w:val="24"/>
      <w:szCs w:val="22"/>
    </w:rPr>
  </w:style>
  <w:style w:type="paragraph" w:styleId="Heading1">
    <w:name w:val="heading 1"/>
    <w:basedOn w:val="Normal"/>
    <w:next w:val="Normal"/>
    <w:link w:val="Heading1Char"/>
    <w:qFormat/>
    <w:rsid w:val="00A80044"/>
    <w:pPr>
      <w:keepNext/>
      <w:spacing w:before="240" w:after="60" w:line="276" w:lineRule="auto"/>
      <w:ind w:left="0"/>
      <w:outlineLvl w:val="0"/>
    </w:pPr>
    <w:rPr>
      <w:rFonts w:ascii="Cambria" w:hAnsi="Cambria"/>
      <w:b/>
      <w:bCs/>
      <w:kern w:val="32"/>
      <w:sz w:val="32"/>
      <w:szCs w:val="32"/>
    </w:rPr>
  </w:style>
  <w:style w:type="paragraph" w:styleId="Heading2">
    <w:name w:val="heading 2"/>
    <w:basedOn w:val="Normal"/>
    <w:next w:val="Normal"/>
    <w:link w:val="Heading2Char"/>
    <w:qFormat/>
    <w:rsid w:val="00865CFB"/>
    <w:pPr>
      <w:keepNext/>
      <w:numPr>
        <w:numId w:val="1"/>
      </w:numPr>
      <w:tabs>
        <w:tab w:val="clear" w:pos="360"/>
      </w:tabs>
      <w:spacing w:before="240" w:after="240"/>
      <w:ind w:left="0" w:firstLine="0"/>
      <w:outlineLvl w:val="1"/>
    </w:pPr>
    <w:rPr>
      <w:rFonts w:ascii="Arial" w:eastAsia="Times New Roman" w:hAnsi="Arial" w:cs="Arial"/>
      <w:b/>
      <w:bCs/>
      <w:i/>
      <w:iCs/>
      <w:sz w:val="28"/>
      <w:szCs w:val="28"/>
      <w:lang w:val="x-none" w:eastAsia="x-none"/>
    </w:rPr>
  </w:style>
  <w:style w:type="paragraph" w:styleId="Heading3">
    <w:name w:val="heading 3"/>
    <w:basedOn w:val="Normal"/>
    <w:next w:val="Normal"/>
    <w:link w:val="Heading3Char"/>
    <w:qFormat/>
    <w:rsid w:val="00DB19B4"/>
    <w:pPr>
      <w:keepNext/>
      <w:spacing w:before="240" w:after="240"/>
      <w:ind w:left="720" w:hanging="720"/>
      <w:outlineLvl w:val="2"/>
    </w:pPr>
    <w:rPr>
      <w:rFonts w:ascii="Arial" w:eastAsia="Times New Roman" w:hAnsi="Arial" w:cs="Arial"/>
      <w:b/>
      <w:bCs/>
      <w:szCs w:val="24"/>
      <w:lang w:val="x-none" w:eastAsia="x-none"/>
    </w:rPr>
  </w:style>
  <w:style w:type="paragraph" w:styleId="Heading4">
    <w:name w:val="heading 4"/>
    <w:basedOn w:val="Normal"/>
    <w:next w:val="Normal"/>
    <w:link w:val="Heading4Char"/>
    <w:uiPriority w:val="9"/>
    <w:unhideWhenUsed/>
    <w:qFormat/>
    <w:rsid w:val="00865CFB"/>
    <w:pPr>
      <w:keepNext/>
      <w:keepLines/>
      <w:spacing w:before="40" w:after="240"/>
      <w:ind w:left="0"/>
      <w:outlineLvl w:val="3"/>
    </w:pPr>
    <w:rPr>
      <w:rFonts w:ascii="Arial" w:eastAsiaTheme="majorEastAsia" w:hAnsi="Arial" w:cs="Arial"/>
      <w:b/>
      <w:i/>
      <w:iCs/>
      <w:sz w:val="22"/>
      <w:szCs w:val="24"/>
    </w:rPr>
  </w:style>
  <w:style w:type="paragraph" w:styleId="Heading5">
    <w:name w:val="heading 5"/>
    <w:basedOn w:val="Normal"/>
    <w:next w:val="Normal"/>
    <w:link w:val="Heading5Char"/>
    <w:uiPriority w:val="9"/>
    <w:unhideWhenUsed/>
    <w:qFormat/>
    <w:rsid w:val="00E84A0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65CFB"/>
    <w:rPr>
      <w:rFonts w:ascii="Arial" w:eastAsia="Times New Roman" w:hAnsi="Arial" w:cs="Arial"/>
      <w:b/>
      <w:bCs/>
      <w:i/>
      <w:iCs/>
      <w:sz w:val="28"/>
      <w:szCs w:val="28"/>
      <w:lang w:val="x-none" w:eastAsia="x-none"/>
    </w:rPr>
  </w:style>
  <w:style w:type="character" w:customStyle="1" w:styleId="Heading3Char">
    <w:name w:val="Heading 3 Char"/>
    <w:link w:val="Heading3"/>
    <w:rsid w:val="00DB19B4"/>
    <w:rPr>
      <w:rFonts w:ascii="Arial" w:eastAsia="Times New Roman" w:hAnsi="Arial" w:cs="Arial"/>
      <w:b/>
      <w:bCs/>
      <w:sz w:val="24"/>
      <w:szCs w:val="24"/>
      <w:lang w:val="x-none" w:eastAsia="x-none"/>
    </w:rPr>
  </w:style>
  <w:style w:type="paragraph" w:customStyle="1" w:styleId="NORC-Answer">
    <w:name w:val="NORC-Answer"/>
    <w:basedOn w:val="Normal"/>
    <w:qFormat/>
    <w:rsid w:val="00FC1B10"/>
    <w:pPr>
      <w:spacing w:after="240"/>
      <w:ind w:left="576"/>
    </w:pPr>
    <w:rPr>
      <w:rFonts w:ascii="Garamond" w:eastAsia="Times New Roman" w:hAnsi="Garamond"/>
      <w:szCs w:val="24"/>
    </w:rPr>
  </w:style>
  <w:style w:type="paragraph" w:customStyle="1" w:styleId="NORC-BodySingleSpaced1stLineIndent12ptGaramond">
    <w:name w:val="NORC-Body Single Spaced 1st Line Indent (12pt Garamond)"/>
    <w:qFormat/>
    <w:rsid w:val="00FC1B10"/>
    <w:pPr>
      <w:ind w:firstLine="360"/>
    </w:pPr>
    <w:rPr>
      <w:rFonts w:ascii="Garamond" w:eastAsia="Times New Roman" w:hAnsi="Garamond"/>
      <w:sz w:val="24"/>
      <w:szCs w:val="24"/>
    </w:rPr>
  </w:style>
  <w:style w:type="character" w:customStyle="1" w:styleId="NORC-InlineL1ArialNarroBoldBlue">
    <w:name w:val="NORC-Inline L1 (Arial Narro Bold Blue)"/>
    <w:uiPriority w:val="1"/>
    <w:qFormat/>
    <w:rsid w:val="00FC1B10"/>
    <w:rPr>
      <w:rFonts w:ascii="Arial Narrow" w:hAnsi="Arial Narrow"/>
      <w:b/>
      <w:color w:val="336699"/>
      <w:u w:val="single"/>
    </w:rPr>
  </w:style>
  <w:style w:type="paragraph" w:customStyle="1" w:styleId="NORC-Head3Garamond">
    <w:name w:val="NORC-Head 3 (Garamond)"/>
    <w:qFormat/>
    <w:rsid w:val="00FC1B10"/>
    <w:pPr>
      <w:keepNext/>
      <w:tabs>
        <w:tab w:val="left" w:pos="504"/>
      </w:tabs>
      <w:spacing w:before="180"/>
      <w:ind w:left="576"/>
    </w:pPr>
    <w:rPr>
      <w:rFonts w:ascii="Garamond" w:eastAsia="Times New Roman" w:hAnsi="Garamond" w:cs="Arial"/>
      <w:b/>
      <w:bCs/>
      <w:i/>
      <w:color w:val="336699"/>
      <w:sz w:val="24"/>
      <w:szCs w:val="23"/>
    </w:rPr>
  </w:style>
  <w:style w:type="paragraph" w:customStyle="1" w:styleId="NORC-Bullet1Garamond">
    <w:name w:val="NORC-Bullet 1 (Garamond)"/>
    <w:rsid w:val="00FC1B10"/>
    <w:rPr>
      <w:rFonts w:ascii="Garamond" w:eastAsia="Times New Roman" w:hAnsi="Garamond"/>
      <w:sz w:val="24"/>
      <w:szCs w:val="24"/>
    </w:rPr>
  </w:style>
  <w:style w:type="character" w:styleId="CommentReference">
    <w:name w:val="annotation reference"/>
    <w:uiPriority w:val="99"/>
    <w:semiHidden/>
    <w:unhideWhenUsed/>
    <w:rsid w:val="00FC1B10"/>
    <w:rPr>
      <w:sz w:val="16"/>
      <w:szCs w:val="16"/>
    </w:rPr>
  </w:style>
  <w:style w:type="paragraph" w:styleId="CommentText">
    <w:name w:val="annotation text"/>
    <w:basedOn w:val="Normal"/>
    <w:link w:val="CommentTextChar"/>
    <w:uiPriority w:val="99"/>
    <w:unhideWhenUsed/>
    <w:rsid w:val="00FC1B10"/>
    <w:rPr>
      <w:sz w:val="20"/>
      <w:szCs w:val="20"/>
      <w:lang w:val="x-none" w:eastAsia="x-none"/>
    </w:rPr>
  </w:style>
  <w:style w:type="character" w:customStyle="1" w:styleId="CommentTextChar">
    <w:name w:val="Comment Text Char"/>
    <w:link w:val="CommentText"/>
    <w:uiPriority w:val="99"/>
    <w:rsid w:val="00FC1B10"/>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C1B10"/>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C1B10"/>
    <w:rPr>
      <w:rFonts w:ascii="Tahoma" w:eastAsia="Calibri" w:hAnsi="Tahoma" w:cs="Tahoma"/>
      <w:sz w:val="16"/>
      <w:szCs w:val="16"/>
    </w:rPr>
  </w:style>
  <w:style w:type="paragraph" w:styleId="BodyText">
    <w:name w:val="Body Text"/>
    <w:basedOn w:val="Normal"/>
    <w:link w:val="BodyTextChar"/>
    <w:uiPriority w:val="99"/>
    <w:rsid w:val="00865CFB"/>
    <w:pPr>
      <w:spacing w:after="240"/>
      <w:ind w:left="0"/>
    </w:pPr>
  </w:style>
  <w:style w:type="character" w:customStyle="1" w:styleId="BodyTextChar">
    <w:name w:val="Body Text Char"/>
    <w:link w:val="BodyText"/>
    <w:uiPriority w:val="99"/>
    <w:rsid w:val="00865CFB"/>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7A7F93"/>
    <w:rPr>
      <w:b/>
      <w:bCs/>
    </w:rPr>
  </w:style>
  <w:style w:type="character" w:customStyle="1" w:styleId="CommentSubjectChar">
    <w:name w:val="Comment Subject Char"/>
    <w:link w:val="CommentSubject"/>
    <w:uiPriority w:val="99"/>
    <w:semiHidden/>
    <w:rsid w:val="007A7F93"/>
    <w:rPr>
      <w:rFonts w:ascii="Times New Roman" w:eastAsia="Calibri" w:hAnsi="Times New Roman" w:cs="Times New Roman"/>
      <w:b/>
      <w:bCs/>
      <w:sz w:val="20"/>
      <w:szCs w:val="20"/>
    </w:rPr>
  </w:style>
  <w:style w:type="paragraph" w:customStyle="1" w:styleId="Default">
    <w:name w:val="Default"/>
    <w:rsid w:val="00303B59"/>
    <w:pPr>
      <w:autoSpaceDE w:val="0"/>
      <w:autoSpaceDN w:val="0"/>
      <w:adjustRightInd w:val="0"/>
    </w:pPr>
    <w:rPr>
      <w:rFonts w:ascii="Cambria" w:eastAsia="Times New Roman" w:hAnsi="Cambria" w:cs="Cambria"/>
      <w:color w:val="000000"/>
      <w:sz w:val="24"/>
      <w:szCs w:val="24"/>
    </w:rPr>
  </w:style>
  <w:style w:type="paragraph" w:styleId="FootnoteText">
    <w:name w:val="footnote text"/>
    <w:basedOn w:val="Normal"/>
    <w:semiHidden/>
    <w:rsid w:val="00AC781C"/>
    <w:rPr>
      <w:sz w:val="20"/>
      <w:szCs w:val="20"/>
    </w:rPr>
  </w:style>
  <w:style w:type="character" w:styleId="FootnoteReference">
    <w:name w:val="footnote reference"/>
    <w:semiHidden/>
    <w:rsid w:val="00AC781C"/>
    <w:rPr>
      <w:vertAlign w:val="superscript"/>
    </w:rPr>
  </w:style>
  <w:style w:type="character" w:customStyle="1" w:styleId="Heading1Char">
    <w:name w:val="Heading 1 Char"/>
    <w:link w:val="Heading1"/>
    <w:rsid w:val="00A80044"/>
    <w:rPr>
      <w:rFonts w:ascii="Cambria" w:hAnsi="Cambria"/>
      <w:b/>
      <w:bCs/>
      <w:kern w:val="32"/>
      <w:sz w:val="32"/>
      <w:szCs w:val="32"/>
      <w:lang w:val="en-US" w:eastAsia="en-US" w:bidi="ar-SA"/>
    </w:rPr>
  </w:style>
  <w:style w:type="paragraph" w:styleId="Revision">
    <w:name w:val="Revision"/>
    <w:hidden/>
    <w:uiPriority w:val="99"/>
    <w:semiHidden/>
    <w:rsid w:val="00E17D93"/>
    <w:rPr>
      <w:rFonts w:ascii="Times New Roman" w:hAnsi="Times New Roman"/>
      <w:sz w:val="24"/>
      <w:szCs w:val="22"/>
    </w:rPr>
  </w:style>
  <w:style w:type="paragraph" w:styleId="Header">
    <w:name w:val="header"/>
    <w:basedOn w:val="Normal"/>
    <w:link w:val="HeaderChar"/>
    <w:uiPriority w:val="99"/>
    <w:unhideWhenUsed/>
    <w:rsid w:val="005A6F44"/>
    <w:pPr>
      <w:tabs>
        <w:tab w:val="center" w:pos="4320"/>
        <w:tab w:val="right" w:pos="8640"/>
      </w:tabs>
      <w:spacing w:after="0"/>
      <w:ind w:left="0"/>
    </w:pPr>
    <w:rPr>
      <w:rFonts w:ascii="Arial" w:eastAsia="Times New Roman" w:hAnsi="Arial"/>
      <w:sz w:val="18"/>
      <w:szCs w:val="20"/>
      <w:lang w:val="x-none" w:eastAsia="x-none"/>
    </w:rPr>
  </w:style>
  <w:style w:type="character" w:customStyle="1" w:styleId="HeaderChar">
    <w:name w:val="Header Char"/>
    <w:link w:val="Header"/>
    <w:uiPriority w:val="99"/>
    <w:rsid w:val="005A6F44"/>
    <w:rPr>
      <w:rFonts w:ascii="Arial" w:eastAsia="Times New Roman" w:hAnsi="Arial"/>
      <w:sz w:val="18"/>
      <w:lang w:val="x-none" w:eastAsia="x-none"/>
    </w:rPr>
  </w:style>
  <w:style w:type="paragraph" w:styleId="Footer">
    <w:name w:val="footer"/>
    <w:basedOn w:val="Normal"/>
    <w:link w:val="FooterChar"/>
    <w:uiPriority w:val="99"/>
    <w:unhideWhenUsed/>
    <w:rsid w:val="005A6F44"/>
    <w:pPr>
      <w:tabs>
        <w:tab w:val="left" w:pos="888"/>
        <w:tab w:val="center" w:pos="4680"/>
        <w:tab w:val="right" w:pos="9360"/>
      </w:tabs>
      <w:spacing w:after="0"/>
      <w:ind w:left="0"/>
      <w:jc w:val="right"/>
    </w:pPr>
    <w:rPr>
      <w:rFonts w:ascii="Arial" w:hAnsi="Arial"/>
      <w:sz w:val="18"/>
      <w:szCs w:val="18"/>
      <w:lang w:eastAsia="x-none"/>
    </w:rPr>
  </w:style>
  <w:style w:type="character" w:customStyle="1" w:styleId="FooterChar">
    <w:name w:val="Footer Char"/>
    <w:link w:val="Footer"/>
    <w:uiPriority w:val="99"/>
    <w:rsid w:val="005A6F44"/>
    <w:rPr>
      <w:rFonts w:ascii="Arial" w:hAnsi="Arial"/>
      <w:sz w:val="18"/>
      <w:szCs w:val="18"/>
      <w:lang w:eastAsia="x-none"/>
    </w:rPr>
  </w:style>
  <w:style w:type="paragraph" w:styleId="Caption">
    <w:name w:val="caption"/>
    <w:basedOn w:val="Normal"/>
    <w:next w:val="Normal"/>
    <w:uiPriority w:val="35"/>
    <w:unhideWhenUsed/>
    <w:qFormat/>
    <w:rsid w:val="006E6F11"/>
    <w:rPr>
      <w:b/>
      <w:bCs/>
      <w:sz w:val="20"/>
      <w:szCs w:val="20"/>
    </w:rPr>
  </w:style>
  <w:style w:type="paragraph" w:styleId="TOCHeading">
    <w:name w:val="TOC Heading"/>
    <w:basedOn w:val="Heading1"/>
    <w:next w:val="Normal"/>
    <w:uiPriority w:val="39"/>
    <w:unhideWhenUsed/>
    <w:qFormat/>
    <w:rsid w:val="00EC6241"/>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444383"/>
    <w:pPr>
      <w:tabs>
        <w:tab w:val="left" w:pos="720"/>
        <w:tab w:val="right" w:leader="dot" w:pos="9350"/>
      </w:tabs>
      <w:spacing w:before="200" w:after="60"/>
      <w:ind w:left="0"/>
    </w:pPr>
    <w:rPr>
      <w:b/>
      <w:noProof/>
    </w:rPr>
  </w:style>
  <w:style w:type="paragraph" w:styleId="TOC3">
    <w:name w:val="toc 3"/>
    <w:basedOn w:val="Normal"/>
    <w:next w:val="Normal"/>
    <w:autoRedefine/>
    <w:uiPriority w:val="39"/>
    <w:unhideWhenUsed/>
    <w:rsid w:val="00444383"/>
    <w:pPr>
      <w:tabs>
        <w:tab w:val="left" w:pos="1440"/>
        <w:tab w:val="right" w:leader="dot" w:pos="9350"/>
      </w:tabs>
      <w:spacing w:after="120"/>
      <w:ind w:left="1440" w:hanging="720"/>
    </w:pPr>
    <w:rPr>
      <w:b/>
      <w:noProof/>
    </w:rPr>
  </w:style>
  <w:style w:type="character" w:styleId="Hyperlink">
    <w:name w:val="Hyperlink"/>
    <w:basedOn w:val="DefaultParagraphFont"/>
    <w:uiPriority w:val="99"/>
    <w:unhideWhenUsed/>
    <w:rsid w:val="00EC6241"/>
    <w:rPr>
      <w:color w:val="0563C1" w:themeColor="hyperlink"/>
      <w:u w:val="single"/>
    </w:rPr>
  </w:style>
  <w:style w:type="paragraph" w:customStyle="1" w:styleId="Julie2">
    <w:name w:val="Julie2"/>
    <w:basedOn w:val="Normal"/>
    <w:link w:val="Julie2Char"/>
    <w:qFormat/>
    <w:rsid w:val="000E21A9"/>
    <w:pPr>
      <w:autoSpaceDE w:val="0"/>
      <w:autoSpaceDN w:val="0"/>
      <w:adjustRightInd w:val="0"/>
      <w:spacing w:after="0"/>
      <w:ind w:left="0"/>
    </w:pPr>
    <w:rPr>
      <w:b/>
      <w:bCs/>
      <w:i/>
      <w:iCs/>
      <w:szCs w:val="24"/>
    </w:rPr>
  </w:style>
  <w:style w:type="character" w:customStyle="1" w:styleId="Heading4Char">
    <w:name w:val="Heading 4 Char"/>
    <w:basedOn w:val="DefaultParagraphFont"/>
    <w:link w:val="Heading4"/>
    <w:uiPriority w:val="9"/>
    <w:rsid w:val="00865CFB"/>
    <w:rPr>
      <w:rFonts w:ascii="Arial" w:eastAsiaTheme="majorEastAsia" w:hAnsi="Arial" w:cs="Arial"/>
      <w:b/>
      <w:i/>
      <w:iCs/>
      <w:sz w:val="22"/>
      <w:szCs w:val="24"/>
    </w:rPr>
  </w:style>
  <w:style w:type="character" w:customStyle="1" w:styleId="Julie2Char">
    <w:name w:val="Julie2 Char"/>
    <w:basedOn w:val="DefaultParagraphFont"/>
    <w:link w:val="Julie2"/>
    <w:rsid w:val="000E21A9"/>
    <w:rPr>
      <w:rFonts w:ascii="Times New Roman" w:hAnsi="Times New Roman"/>
      <w:b/>
      <w:bCs/>
      <w:i/>
      <w:iCs/>
      <w:sz w:val="24"/>
      <w:szCs w:val="24"/>
    </w:rPr>
  </w:style>
  <w:style w:type="character" w:customStyle="1" w:styleId="Heading5Char">
    <w:name w:val="Heading 5 Char"/>
    <w:basedOn w:val="DefaultParagraphFont"/>
    <w:link w:val="Heading5"/>
    <w:uiPriority w:val="9"/>
    <w:rsid w:val="00E84A07"/>
    <w:rPr>
      <w:rFonts w:asciiTheme="majorHAnsi" w:eastAsiaTheme="majorEastAsia" w:hAnsiTheme="majorHAnsi" w:cstheme="majorBidi"/>
      <w:color w:val="2E74B5" w:themeColor="accent1" w:themeShade="BF"/>
      <w:sz w:val="24"/>
      <w:szCs w:val="22"/>
    </w:rPr>
  </w:style>
  <w:style w:type="paragraph" w:customStyle="1" w:styleId="TableParagraph">
    <w:name w:val="Table Paragraph"/>
    <w:basedOn w:val="Normal"/>
    <w:uiPriority w:val="1"/>
    <w:qFormat/>
    <w:rsid w:val="004B0DC0"/>
    <w:pPr>
      <w:widowControl w:val="0"/>
      <w:spacing w:after="0"/>
      <w:ind w:left="0"/>
    </w:pPr>
    <w:rPr>
      <w:rFonts w:asciiTheme="minorHAnsi" w:eastAsiaTheme="minorHAnsi" w:hAnsiTheme="minorHAnsi" w:cstheme="minorBidi"/>
      <w:sz w:val="22"/>
    </w:rPr>
  </w:style>
  <w:style w:type="paragraph" w:styleId="ListParagraph">
    <w:name w:val="List Paragraph"/>
    <w:basedOn w:val="Normal"/>
    <w:uiPriority w:val="34"/>
    <w:qFormat/>
    <w:rsid w:val="005F7254"/>
    <w:pPr>
      <w:numPr>
        <w:numId w:val="9"/>
      </w:numPr>
      <w:spacing w:before="60" w:after="120"/>
    </w:pPr>
  </w:style>
  <w:style w:type="paragraph" w:customStyle="1" w:styleId="NORCCaption-Exhibit">
    <w:name w:val="NORC Caption - Exhibit"/>
    <w:basedOn w:val="Normal"/>
    <w:qFormat/>
    <w:rsid w:val="00B9204F"/>
    <w:pPr>
      <w:keepNext/>
      <w:keepLines/>
      <w:pBdr>
        <w:top w:val="single" w:sz="4" w:space="5" w:color="BFB6AC"/>
        <w:bottom w:val="single" w:sz="4" w:space="3" w:color="BFB6AC"/>
      </w:pBdr>
      <w:tabs>
        <w:tab w:val="left" w:pos="1440"/>
      </w:tabs>
      <w:spacing w:before="320" w:after="120"/>
      <w:ind w:left="1440" w:hanging="1440"/>
    </w:pPr>
    <w:rPr>
      <w:rFonts w:ascii="Arial" w:eastAsia="Times New Roman" w:hAnsi="Arial" w:cs="Arial"/>
      <w:color w:val="000000" w:themeColor="text1"/>
      <w:sz w:val="22"/>
      <w:szCs w:val="24"/>
    </w:rPr>
  </w:style>
  <w:style w:type="paragraph" w:customStyle="1" w:styleId="Caption-Tables">
    <w:name w:val="Caption - Tables"/>
    <w:basedOn w:val="Caption"/>
    <w:qFormat/>
    <w:rsid w:val="00D45474"/>
    <w:pPr>
      <w:keepNext/>
      <w:keepLines/>
      <w:spacing w:before="420" w:after="60"/>
      <w:ind w:left="0"/>
    </w:pPr>
    <w:rPr>
      <w:rFonts w:ascii="Arial" w:eastAsiaTheme="minorHAnsi" w:hAnsi="Arial" w:cstheme="minorBidi"/>
      <w:color w:val="264A64"/>
      <w:sz w:val="18"/>
      <w:szCs w:val="18"/>
    </w:rPr>
  </w:style>
  <w:style w:type="table" w:styleId="TableGrid">
    <w:name w:val="Table Grid"/>
    <w:basedOn w:val="TableNormal"/>
    <w:uiPriority w:val="39"/>
    <w:rsid w:val="00E543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over-TimesNewRoman">
    <w:name w:val="NORC Cover - Times New Roman"/>
    <w:basedOn w:val="Normal"/>
    <w:qFormat/>
    <w:rsid w:val="00FF4D45"/>
    <w:pPr>
      <w:ind w:left="0"/>
      <w:jc w:val="center"/>
    </w:pPr>
    <w:rPr>
      <w:sz w:val="28"/>
      <w:szCs w:val="28"/>
    </w:rPr>
  </w:style>
  <w:style w:type="paragraph" w:customStyle="1" w:styleId="NORCCover-Arial">
    <w:name w:val="NORC Cover - Arial"/>
    <w:basedOn w:val="Normal"/>
    <w:qFormat/>
    <w:rsid w:val="005A6F44"/>
    <w:pPr>
      <w:spacing w:after="0"/>
      <w:ind w:left="0"/>
      <w:jc w:val="center"/>
    </w:pPr>
    <w:rPr>
      <w:rFonts w:ascii="Arial" w:hAnsi="Arial" w:cs="Arial"/>
    </w:rPr>
  </w:style>
  <w:style w:type="paragraph" w:customStyle="1" w:styleId="NORCCoer-TimesNewRomanBold">
    <w:name w:val="NORC Coer - Times New Roman Bold"/>
    <w:basedOn w:val="NORCCover-TimesNewRoman"/>
    <w:qFormat/>
    <w:rsid w:val="005A6F44"/>
    <w:rPr>
      <w:b/>
    </w:rPr>
  </w:style>
  <w:style w:type="paragraph" w:styleId="Title">
    <w:name w:val="Title"/>
    <w:basedOn w:val="Normal"/>
    <w:next w:val="Normal"/>
    <w:link w:val="TitleChar"/>
    <w:uiPriority w:val="10"/>
    <w:qFormat/>
    <w:rsid w:val="00865CFB"/>
    <w:pPr>
      <w:spacing w:after="480"/>
      <w:ind w:left="0"/>
      <w:jc w:val="center"/>
    </w:pPr>
    <w:rPr>
      <w:rFonts w:ascii="Arial" w:eastAsiaTheme="majorEastAsia" w:hAnsi="Arial" w:cs="Arial"/>
      <w:b/>
      <w:spacing w:val="-10"/>
      <w:kern w:val="28"/>
      <w:sz w:val="30"/>
      <w:szCs w:val="30"/>
    </w:rPr>
  </w:style>
  <w:style w:type="character" w:customStyle="1" w:styleId="TitleChar">
    <w:name w:val="Title Char"/>
    <w:basedOn w:val="DefaultParagraphFont"/>
    <w:link w:val="Title"/>
    <w:uiPriority w:val="10"/>
    <w:rsid w:val="00865CFB"/>
    <w:rPr>
      <w:rFonts w:ascii="Arial" w:eastAsiaTheme="majorEastAsia" w:hAnsi="Arial" w:cs="Arial"/>
      <w:b/>
      <w:spacing w:val="-10"/>
      <w:kern w:val="28"/>
      <w:sz w:val="30"/>
      <w:szCs w:val="30"/>
    </w:rPr>
  </w:style>
  <w:style w:type="paragraph" w:styleId="ListBullet">
    <w:name w:val="List Bullet"/>
    <w:basedOn w:val="Normal"/>
    <w:uiPriority w:val="99"/>
    <w:unhideWhenUsed/>
    <w:rsid w:val="00721B6C"/>
    <w:pPr>
      <w:numPr>
        <w:numId w:val="4"/>
      </w:numPr>
      <w:spacing w:after="120"/>
    </w:pPr>
  </w:style>
  <w:style w:type="paragraph" w:customStyle="1" w:styleId="BodyText-NoSpaceAfter">
    <w:name w:val="Body Text - No Space After"/>
    <w:basedOn w:val="BodyText"/>
    <w:qFormat/>
    <w:rsid w:val="005F7254"/>
    <w:pPr>
      <w:spacing w:after="0"/>
    </w:pPr>
  </w:style>
  <w:style w:type="paragraph" w:styleId="BodyTextFirstIndent">
    <w:name w:val="Body Text First Indent"/>
    <w:basedOn w:val="BodyText"/>
    <w:link w:val="BodyTextFirstIndentChar"/>
    <w:uiPriority w:val="99"/>
    <w:semiHidden/>
    <w:unhideWhenUsed/>
    <w:rsid w:val="00F609C3"/>
    <w:pPr>
      <w:ind w:left="360" w:firstLine="360"/>
      <w:contextualSpacing/>
    </w:pPr>
  </w:style>
  <w:style w:type="character" w:customStyle="1" w:styleId="BodyTextFirstIndentChar">
    <w:name w:val="Body Text First Indent Char"/>
    <w:basedOn w:val="BodyTextChar"/>
    <w:link w:val="BodyTextFirstIndent"/>
    <w:uiPriority w:val="99"/>
    <w:semiHidden/>
    <w:rsid w:val="00F609C3"/>
    <w:rPr>
      <w:rFonts w:ascii="Times New Roman" w:hAnsi="Times New Roman"/>
      <w:sz w:val="24"/>
      <w:szCs w:val="22"/>
    </w:rPr>
  </w:style>
  <w:style w:type="paragraph" w:customStyle="1" w:styleId="NORCTableHeader1">
    <w:name w:val="NORC Table Header 1"/>
    <w:basedOn w:val="Normal"/>
    <w:qFormat/>
    <w:rsid w:val="005927F6"/>
    <w:pPr>
      <w:keepNext/>
      <w:keepLines/>
      <w:spacing w:before="120" w:after="120"/>
      <w:ind w:left="0"/>
      <w:jc w:val="center"/>
    </w:pPr>
    <w:rPr>
      <w:rFonts w:ascii="Arial" w:hAnsi="Arial" w:cs="Arial"/>
      <w:b/>
      <w:sz w:val="20"/>
      <w:szCs w:val="20"/>
    </w:rPr>
  </w:style>
  <w:style w:type="paragraph" w:customStyle="1" w:styleId="NORCTableBodyLeft">
    <w:name w:val="NORC Table Body Left"/>
    <w:basedOn w:val="Normal"/>
    <w:qFormat/>
    <w:rsid w:val="005927F6"/>
    <w:pPr>
      <w:spacing w:before="40" w:after="40"/>
      <w:ind w:left="0"/>
    </w:pPr>
    <w:rPr>
      <w:rFonts w:ascii="Arial" w:hAnsi="Arial"/>
      <w:spacing w:val="-1"/>
      <w:sz w:val="20"/>
    </w:rPr>
  </w:style>
  <w:style w:type="paragraph" w:customStyle="1" w:styleId="NORCTableBodyCenter">
    <w:name w:val="NORC Table Body Center"/>
    <w:basedOn w:val="Normal"/>
    <w:qFormat/>
    <w:rsid w:val="005927F6"/>
    <w:pPr>
      <w:spacing w:before="40" w:after="40"/>
      <w:ind w:left="0"/>
      <w:jc w:val="center"/>
    </w:pPr>
    <w:rPr>
      <w:rFonts w:ascii="Arial" w:hAnsi="Arial"/>
      <w:spacing w:val="-1"/>
      <w:sz w:val="20"/>
    </w:rPr>
  </w:style>
  <w:style w:type="paragraph" w:customStyle="1" w:styleId="NORCTableBodyRight">
    <w:name w:val="NORC Table Body Right"/>
    <w:basedOn w:val="NORCTableBodyLeft"/>
    <w:qFormat/>
    <w:rsid w:val="00A15663"/>
    <w:pPr>
      <w:jc w:val="right"/>
    </w:pPr>
  </w:style>
  <w:style w:type="paragraph" w:customStyle="1" w:styleId="NORCTableBodyLeftBold">
    <w:name w:val="NORC Table Body Left Bold"/>
    <w:basedOn w:val="NORCTableBodyLeft"/>
    <w:qFormat/>
    <w:rsid w:val="00393279"/>
    <w:rPr>
      <w:b/>
    </w:rPr>
  </w:style>
  <w:style w:type="paragraph" w:customStyle="1" w:styleId="NORCTableHeader2">
    <w:name w:val="NORC Table Header 2"/>
    <w:basedOn w:val="Normal"/>
    <w:qFormat/>
    <w:rsid w:val="00310AC2"/>
    <w:pPr>
      <w:spacing w:before="60" w:after="60"/>
      <w:ind w:left="0"/>
      <w:jc w:val="center"/>
    </w:pPr>
    <w:rPr>
      <w:rFonts w:ascii="Arial" w:hAnsi="Arial" w:cs="Arial"/>
      <w:b/>
      <w:sz w:val="20"/>
      <w:szCs w:val="20"/>
    </w:rPr>
  </w:style>
  <w:style w:type="paragraph" w:styleId="TOC4">
    <w:name w:val="toc 4"/>
    <w:basedOn w:val="Normal"/>
    <w:next w:val="Normal"/>
    <w:autoRedefine/>
    <w:uiPriority w:val="39"/>
    <w:unhideWhenUsed/>
    <w:rsid w:val="00444383"/>
    <w:pPr>
      <w:spacing w:after="100"/>
      <w:ind w:left="1440"/>
    </w:pPr>
    <w:rPr>
      <w:sz w:val="22"/>
    </w:rPr>
  </w:style>
  <w:style w:type="paragraph" w:customStyle="1" w:styleId="Title2">
    <w:name w:val="Title 2"/>
    <w:basedOn w:val="BodyText"/>
    <w:qFormat/>
    <w:rsid w:val="007F4549"/>
    <w:pPr>
      <w:spacing w:after="360"/>
    </w:pPr>
    <w:rPr>
      <w:rFonts w:ascii="Arial" w:hAnsi="Arial" w:cs="Arial"/>
      <w:b/>
      <w:sz w:val="28"/>
      <w:szCs w:val="28"/>
    </w:rPr>
  </w:style>
  <w:style w:type="paragraph" w:styleId="TableofFigures">
    <w:name w:val="table of figures"/>
    <w:basedOn w:val="Normal"/>
    <w:next w:val="Normal"/>
    <w:uiPriority w:val="99"/>
    <w:unhideWhenUsed/>
    <w:rsid w:val="00840291"/>
    <w:pPr>
      <w:tabs>
        <w:tab w:val="left" w:pos="1440"/>
        <w:tab w:val="right" w:leader="dot" w:pos="9350"/>
      </w:tabs>
      <w:spacing w:after="120"/>
      <w:ind w:left="1440" w:hanging="1440"/>
    </w:pPr>
    <w:rPr>
      <w:noProof/>
    </w:rPr>
  </w:style>
  <w:style w:type="paragraph" w:styleId="NormalWeb">
    <w:name w:val="Normal (Web)"/>
    <w:basedOn w:val="Normal"/>
    <w:uiPriority w:val="99"/>
    <w:semiHidden/>
    <w:unhideWhenUsed/>
    <w:rsid w:val="00513A4B"/>
    <w:pPr>
      <w:spacing w:after="0"/>
      <w:ind w:left="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5457">
      <w:bodyDiv w:val="1"/>
      <w:marLeft w:val="0"/>
      <w:marRight w:val="0"/>
      <w:marTop w:val="0"/>
      <w:marBottom w:val="0"/>
      <w:divBdr>
        <w:top w:val="none" w:sz="0" w:space="0" w:color="auto"/>
        <w:left w:val="none" w:sz="0" w:space="0" w:color="auto"/>
        <w:bottom w:val="none" w:sz="0" w:space="0" w:color="auto"/>
        <w:right w:val="none" w:sz="0" w:space="0" w:color="auto"/>
      </w:divBdr>
    </w:div>
    <w:div w:id="275872432">
      <w:bodyDiv w:val="1"/>
      <w:marLeft w:val="0"/>
      <w:marRight w:val="0"/>
      <w:marTop w:val="0"/>
      <w:marBottom w:val="0"/>
      <w:divBdr>
        <w:top w:val="none" w:sz="0" w:space="0" w:color="auto"/>
        <w:left w:val="none" w:sz="0" w:space="0" w:color="auto"/>
        <w:bottom w:val="none" w:sz="0" w:space="0" w:color="auto"/>
        <w:right w:val="none" w:sz="0" w:space="0" w:color="auto"/>
      </w:divBdr>
    </w:div>
    <w:div w:id="285501326">
      <w:bodyDiv w:val="1"/>
      <w:marLeft w:val="0"/>
      <w:marRight w:val="0"/>
      <w:marTop w:val="0"/>
      <w:marBottom w:val="0"/>
      <w:divBdr>
        <w:top w:val="none" w:sz="0" w:space="0" w:color="auto"/>
        <w:left w:val="none" w:sz="0" w:space="0" w:color="auto"/>
        <w:bottom w:val="none" w:sz="0" w:space="0" w:color="auto"/>
        <w:right w:val="none" w:sz="0" w:space="0" w:color="auto"/>
      </w:divBdr>
    </w:div>
    <w:div w:id="391076236">
      <w:bodyDiv w:val="1"/>
      <w:marLeft w:val="0"/>
      <w:marRight w:val="0"/>
      <w:marTop w:val="0"/>
      <w:marBottom w:val="0"/>
      <w:divBdr>
        <w:top w:val="none" w:sz="0" w:space="0" w:color="auto"/>
        <w:left w:val="none" w:sz="0" w:space="0" w:color="auto"/>
        <w:bottom w:val="none" w:sz="0" w:space="0" w:color="auto"/>
        <w:right w:val="none" w:sz="0" w:space="0" w:color="auto"/>
      </w:divBdr>
    </w:div>
    <w:div w:id="401604889">
      <w:bodyDiv w:val="1"/>
      <w:marLeft w:val="0"/>
      <w:marRight w:val="0"/>
      <w:marTop w:val="0"/>
      <w:marBottom w:val="0"/>
      <w:divBdr>
        <w:top w:val="none" w:sz="0" w:space="0" w:color="auto"/>
        <w:left w:val="none" w:sz="0" w:space="0" w:color="auto"/>
        <w:bottom w:val="none" w:sz="0" w:space="0" w:color="auto"/>
        <w:right w:val="none" w:sz="0" w:space="0" w:color="auto"/>
      </w:divBdr>
    </w:div>
    <w:div w:id="445194030">
      <w:bodyDiv w:val="1"/>
      <w:marLeft w:val="0"/>
      <w:marRight w:val="0"/>
      <w:marTop w:val="0"/>
      <w:marBottom w:val="0"/>
      <w:divBdr>
        <w:top w:val="none" w:sz="0" w:space="0" w:color="auto"/>
        <w:left w:val="none" w:sz="0" w:space="0" w:color="auto"/>
        <w:bottom w:val="none" w:sz="0" w:space="0" w:color="auto"/>
        <w:right w:val="none" w:sz="0" w:space="0" w:color="auto"/>
      </w:divBdr>
    </w:div>
    <w:div w:id="753668198">
      <w:bodyDiv w:val="1"/>
      <w:marLeft w:val="0"/>
      <w:marRight w:val="0"/>
      <w:marTop w:val="0"/>
      <w:marBottom w:val="0"/>
      <w:divBdr>
        <w:top w:val="none" w:sz="0" w:space="0" w:color="auto"/>
        <w:left w:val="none" w:sz="0" w:space="0" w:color="auto"/>
        <w:bottom w:val="none" w:sz="0" w:space="0" w:color="auto"/>
        <w:right w:val="none" w:sz="0" w:space="0" w:color="auto"/>
      </w:divBdr>
    </w:div>
    <w:div w:id="800418302">
      <w:bodyDiv w:val="1"/>
      <w:marLeft w:val="0"/>
      <w:marRight w:val="0"/>
      <w:marTop w:val="0"/>
      <w:marBottom w:val="0"/>
      <w:divBdr>
        <w:top w:val="none" w:sz="0" w:space="0" w:color="auto"/>
        <w:left w:val="none" w:sz="0" w:space="0" w:color="auto"/>
        <w:bottom w:val="none" w:sz="0" w:space="0" w:color="auto"/>
        <w:right w:val="none" w:sz="0" w:space="0" w:color="auto"/>
      </w:divBdr>
    </w:div>
    <w:div w:id="925840149">
      <w:bodyDiv w:val="1"/>
      <w:marLeft w:val="0"/>
      <w:marRight w:val="0"/>
      <w:marTop w:val="0"/>
      <w:marBottom w:val="0"/>
      <w:divBdr>
        <w:top w:val="none" w:sz="0" w:space="0" w:color="auto"/>
        <w:left w:val="none" w:sz="0" w:space="0" w:color="auto"/>
        <w:bottom w:val="none" w:sz="0" w:space="0" w:color="auto"/>
        <w:right w:val="none" w:sz="0" w:space="0" w:color="auto"/>
      </w:divBdr>
    </w:div>
    <w:div w:id="1126653968">
      <w:bodyDiv w:val="1"/>
      <w:marLeft w:val="0"/>
      <w:marRight w:val="0"/>
      <w:marTop w:val="0"/>
      <w:marBottom w:val="0"/>
      <w:divBdr>
        <w:top w:val="none" w:sz="0" w:space="0" w:color="auto"/>
        <w:left w:val="none" w:sz="0" w:space="0" w:color="auto"/>
        <w:bottom w:val="none" w:sz="0" w:space="0" w:color="auto"/>
        <w:right w:val="none" w:sz="0" w:space="0" w:color="auto"/>
      </w:divBdr>
      <w:divsChild>
        <w:div w:id="71631150">
          <w:marLeft w:val="0"/>
          <w:marRight w:val="0"/>
          <w:marTop w:val="0"/>
          <w:marBottom w:val="0"/>
          <w:divBdr>
            <w:top w:val="none" w:sz="0" w:space="0" w:color="auto"/>
            <w:left w:val="none" w:sz="0" w:space="0" w:color="auto"/>
            <w:bottom w:val="none" w:sz="0" w:space="0" w:color="auto"/>
            <w:right w:val="none" w:sz="0" w:space="0" w:color="auto"/>
          </w:divBdr>
        </w:div>
      </w:divsChild>
    </w:div>
    <w:div w:id="1229535503">
      <w:bodyDiv w:val="1"/>
      <w:marLeft w:val="0"/>
      <w:marRight w:val="0"/>
      <w:marTop w:val="0"/>
      <w:marBottom w:val="0"/>
      <w:divBdr>
        <w:top w:val="none" w:sz="0" w:space="0" w:color="auto"/>
        <w:left w:val="none" w:sz="0" w:space="0" w:color="auto"/>
        <w:bottom w:val="none" w:sz="0" w:space="0" w:color="auto"/>
        <w:right w:val="none" w:sz="0" w:space="0" w:color="auto"/>
      </w:divBdr>
    </w:div>
    <w:div w:id="1311863948">
      <w:bodyDiv w:val="1"/>
      <w:marLeft w:val="0"/>
      <w:marRight w:val="0"/>
      <w:marTop w:val="0"/>
      <w:marBottom w:val="0"/>
      <w:divBdr>
        <w:top w:val="none" w:sz="0" w:space="0" w:color="auto"/>
        <w:left w:val="none" w:sz="0" w:space="0" w:color="auto"/>
        <w:bottom w:val="none" w:sz="0" w:space="0" w:color="auto"/>
        <w:right w:val="none" w:sz="0" w:space="0" w:color="auto"/>
      </w:divBdr>
    </w:div>
    <w:div w:id="1476293551">
      <w:bodyDiv w:val="1"/>
      <w:marLeft w:val="0"/>
      <w:marRight w:val="0"/>
      <w:marTop w:val="0"/>
      <w:marBottom w:val="0"/>
      <w:divBdr>
        <w:top w:val="none" w:sz="0" w:space="0" w:color="auto"/>
        <w:left w:val="none" w:sz="0" w:space="0" w:color="auto"/>
        <w:bottom w:val="none" w:sz="0" w:space="0" w:color="auto"/>
        <w:right w:val="none" w:sz="0" w:space="0" w:color="auto"/>
      </w:divBdr>
    </w:div>
    <w:div w:id="1702436798">
      <w:bodyDiv w:val="1"/>
      <w:marLeft w:val="0"/>
      <w:marRight w:val="0"/>
      <w:marTop w:val="0"/>
      <w:marBottom w:val="0"/>
      <w:divBdr>
        <w:top w:val="none" w:sz="0" w:space="0" w:color="auto"/>
        <w:left w:val="none" w:sz="0" w:space="0" w:color="auto"/>
        <w:bottom w:val="none" w:sz="0" w:space="0" w:color="auto"/>
        <w:right w:val="none" w:sz="0" w:space="0" w:color="auto"/>
      </w:divBdr>
    </w:div>
    <w:div w:id="17214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aapor.org/getattachment/Education-Resources/Reports/Future-of-Telephone-Survey-Research-Report.pdf.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2.amstat.org/sections/srms/proceedings/y2007/Files/JSM2007-000575.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oleObject" Target="file:///C:\Users\koch-cameron\Desktop\Copy%20of%20NSECE%202012%20RR%20tables%20by%20month%20&amp;%20phase.xlsx"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bg1"/>
                </a:solidFill>
                <a:latin typeface="+mn-lt"/>
                <a:ea typeface="+mn-ea"/>
                <a:cs typeface="+mn-cs"/>
              </a:defRPr>
            </a:pPr>
            <a:r>
              <a:rPr lang="en-US">
                <a:solidFill>
                  <a:schemeClr val="bg1"/>
                </a:solidFill>
              </a:rPr>
              <a:t>Home-based</a:t>
            </a:r>
            <a:r>
              <a:rPr lang="en-US" baseline="0">
                <a:solidFill>
                  <a:schemeClr val="bg1"/>
                </a:solidFill>
              </a:rPr>
              <a:t> Provider</a:t>
            </a:r>
            <a:endParaRPr lang="en-US">
              <a:solidFill>
                <a:schemeClr val="bg1"/>
              </a:solidFill>
            </a:endParaRPr>
          </a:p>
        </c:rich>
      </c:tx>
      <c:layout>
        <c:manualLayout>
          <c:xMode val="edge"/>
          <c:yMode val="edge"/>
          <c:x val="0.28678455818022747"/>
          <c:y val="4.1666666666666664E-2"/>
        </c:manualLayout>
      </c:layout>
      <c:overlay val="0"/>
      <c:spPr>
        <a:noFill/>
        <a:ln>
          <a:noFill/>
        </a:ln>
        <a:effectLst/>
      </c:spPr>
    </c:title>
    <c:autoTitleDeleted val="0"/>
    <c:plotArea>
      <c:layout/>
      <c:lineChart>
        <c:grouping val="standard"/>
        <c:varyColors val="0"/>
        <c:ser>
          <c:idx val="0"/>
          <c:order val="0"/>
          <c:tx>
            <c:strRef>
              <c:f>' HB Line Graph upd'!$D$4</c:f>
              <c:strCache>
                <c:ptCount val="1"/>
                <c:pt idx="0">
                  <c:v>Cumulative RR by Month</c:v>
                </c:pt>
              </c:strCache>
            </c:strRef>
          </c:tx>
          <c:spPr>
            <a:ln w="28575" cap="rnd">
              <a:solidFill>
                <a:schemeClr val="accent2">
                  <a:lumMod val="75000"/>
                </a:schemeClr>
              </a:solidFill>
              <a:round/>
            </a:ln>
            <a:effectLst/>
          </c:spPr>
          <c:marker>
            <c:symbol val="none"/>
          </c:marker>
          <c:cat>
            <c:strRef>
              <c:f>' HB Line Graph upd'!$C$5:$C$12</c:f>
              <c:strCache>
                <c:ptCount val="8"/>
                <c:pt idx="0">
                  <c:v>November</c:v>
                </c:pt>
                <c:pt idx="1">
                  <c:v>December</c:v>
                </c:pt>
                <c:pt idx="2">
                  <c:v>January </c:v>
                </c:pt>
                <c:pt idx="3">
                  <c:v>February</c:v>
                </c:pt>
                <c:pt idx="4">
                  <c:v>March</c:v>
                </c:pt>
                <c:pt idx="5">
                  <c:v>April</c:v>
                </c:pt>
                <c:pt idx="6">
                  <c:v>May</c:v>
                </c:pt>
                <c:pt idx="7">
                  <c:v>June</c:v>
                </c:pt>
              </c:strCache>
            </c:strRef>
          </c:cat>
          <c:val>
            <c:numRef>
              <c:f>' HB Line Graph upd'!$D$5:$D$12</c:f>
              <c:numCache>
                <c:formatCode>0.0%</c:formatCode>
                <c:ptCount val="8"/>
                <c:pt idx="0">
                  <c:v>8.9621400000000004E-2</c:v>
                </c:pt>
                <c:pt idx="1">
                  <c:v>0.13645060000000001</c:v>
                </c:pt>
                <c:pt idx="2">
                  <c:v>0.21799800000000003</c:v>
                </c:pt>
                <c:pt idx="3">
                  <c:v>0.37059660000000005</c:v>
                </c:pt>
                <c:pt idx="4">
                  <c:v>0.52884700000000007</c:v>
                </c:pt>
                <c:pt idx="5">
                  <c:v>0.67337160000000007</c:v>
                </c:pt>
                <c:pt idx="6">
                  <c:v>0.78560020000000008</c:v>
                </c:pt>
                <c:pt idx="7">
                  <c:v>0.8065926000000001</c:v>
                </c:pt>
              </c:numCache>
            </c:numRef>
          </c:val>
          <c:smooth val="0"/>
        </c:ser>
        <c:dLbls>
          <c:showLegendKey val="0"/>
          <c:showVal val="0"/>
          <c:showCatName val="0"/>
          <c:showSerName val="0"/>
          <c:showPercent val="0"/>
          <c:showBubbleSize val="0"/>
        </c:dLbls>
        <c:marker val="1"/>
        <c:smooth val="0"/>
        <c:axId val="41405056"/>
        <c:axId val="42578688"/>
      </c:lineChart>
      <c:catAx>
        <c:axId val="4140505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Arial Narrow" panose="020B0606020202030204" pitchFamily="34" charset="0"/>
                    <a:ea typeface="+mn-ea"/>
                    <a:cs typeface="+mn-cs"/>
                  </a:defRPr>
                </a:pPr>
                <a:r>
                  <a:rPr lang="en-US" sz="1100">
                    <a:solidFill>
                      <a:schemeClr val="tx1"/>
                    </a:solidFill>
                    <a:latin typeface="Arial Narrow" panose="020B0606020202030204" pitchFamily="34" charset="0"/>
                  </a:rPr>
                  <a:t>Month</a:t>
                </a:r>
                <a:r>
                  <a:rPr lang="en-US" sz="1100" baseline="0">
                    <a:solidFill>
                      <a:schemeClr val="tx1"/>
                    </a:solidFill>
                    <a:latin typeface="Arial Narrow" panose="020B0606020202030204" pitchFamily="34" charset="0"/>
                  </a:rPr>
                  <a:t> of Data Collection</a:t>
                </a:r>
                <a:endParaRPr lang="en-US" sz="1100">
                  <a:solidFill>
                    <a:schemeClr val="tx1"/>
                  </a:solidFill>
                  <a:latin typeface="Arial Narrow" panose="020B0606020202030204" pitchFamily="34" charset="0"/>
                </a:endParaRPr>
              </a:p>
            </c:rich>
          </c:tx>
          <c:layout>
            <c:manualLayout>
              <c:xMode val="edge"/>
              <c:yMode val="edge"/>
              <c:x val="0.42646407792181873"/>
              <c:y val="0.9230588235294117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endParaRPr lang="en-US"/>
          </a:p>
        </c:txPr>
        <c:crossAx val="42578688"/>
        <c:crosses val="autoZero"/>
        <c:auto val="1"/>
        <c:lblAlgn val="ctr"/>
        <c:lblOffset val="100"/>
        <c:noMultiLvlLbl val="0"/>
      </c:catAx>
      <c:valAx>
        <c:axId val="42578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Narrow" panose="020B0606020202030204" pitchFamily="34" charset="0"/>
                    <a:ea typeface="+mn-ea"/>
                    <a:cs typeface="+mn-cs"/>
                  </a:defRPr>
                </a:pPr>
                <a:r>
                  <a:rPr lang="en-US">
                    <a:solidFill>
                      <a:schemeClr val="tx1"/>
                    </a:solidFill>
                    <a:latin typeface="Arial Narrow" panose="020B0606020202030204" pitchFamily="34" charset="0"/>
                  </a:rPr>
                  <a:t>Weighted</a:t>
                </a:r>
                <a:r>
                  <a:rPr lang="en-US" baseline="0">
                    <a:solidFill>
                      <a:schemeClr val="tx1"/>
                    </a:solidFill>
                    <a:latin typeface="Arial Narrow" panose="020B0606020202030204" pitchFamily="34" charset="0"/>
                  </a:rPr>
                  <a:t> Response Rate</a:t>
                </a:r>
                <a:r>
                  <a:rPr lang="en-US">
                    <a:solidFill>
                      <a:schemeClr val="tx1"/>
                    </a:solidFill>
                    <a:latin typeface="Arial Narrow" panose="020B0606020202030204" pitchFamily="34" charset="0"/>
                  </a:rPr>
                  <a:t>e</a:t>
                </a:r>
              </a:p>
            </c:rich>
          </c:tx>
          <c:layout>
            <c:manualLayout>
              <c:xMode val="edge"/>
              <c:yMode val="edge"/>
              <c:x val="1.5209125475285171E-2"/>
              <c:y val="0.2794083680716381"/>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Narrow" panose="020B0606020202030204" pitchFamily="34" charset="0"/>
                <a:ea typeface="+mn-ea"/>
                <a:cs typeface="+mn-cs"/>
              </a:defRPr>
            </a:pPr>
            <a:endParaRPr lang="en-US"/>
          </a:p>
        </c:txPr>
        <c:crossAx val="4140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0.39792</cdr:x>
      <cdr:y>0.14236</cdr:y>
    </cdr:from>
    <cdr:to>
      <cdr:x>0.40213</cdr:x>
      <cdr:y>0.72941</cdr:y>
    </cdr:to>
    <cdr:cxnSp macro="">
      <cdr:nvCxnSpPr>
        <cdr:cNvPr id="3" name="Straight Connector 2"/>
        <cdr:cNvCxnSpPr/>
      </cdr:nvCxnSpPr>
      <cdr:spPr>
        <a:xfrm xmlns:a="http://schemas.openxmlformats.org/drawingml/2006/main">
          <a:off x="1781373" y="461036"/>
          <a:ext cx="18851" cy="1901164"/>
        </a:xfrm>
        <a:prstGeom xmlns:a="http://schemas.openxmlformats.org/drawingml/2006/main" prst="line">
          <a:avLst/>
        </a:prstGeom>
        <a:ln xmlns:a="http://schemas.openxmlformats.org/drawingml/2006/main">
          <a:solidFill>
            <a:schemeClr val="bg2">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0.60625</cdr:x>
      <cdr:y>0.14236</cdr:y>
    </cdr:from>
    <cdr:to>
      <cdr:x>0.60851</cdr:x>
      <cdr:y>0.72059</cdr:y>
    </cdr:to>
    <cdr:cxnSp macro="">
      <cdr:nvCxnSpPr>
        <cdr:cNvPr id="8" name="Straight Connector 7"/>
        <cdr:cNvCxnSpPr/>
      </cdr:nvCxnSpPr>
      <cdr:spPr>
        <a:xfrm xmlns:a="http://schemas.openxmlformats.org/drawingml/2006/main">
          <a:off x="2714030" y="461036"/>
          <a:ext cx="10119" cy="1872589"/>
        </a:xfrm>
        <a:prstGeom xmlns:a="http://schemas.openxmlformats.org/drawingml/2006/main" prst="line">
          <a:avLst/>
        </a:prstGeom>
        <a:ln xmlns:a="http://schemas.openxmlformats.org/drawingml/2006/main">
          <a:solidFill>
            <a:schemeClr val="bg2">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0.20486</cdr:x>
      <cdr:y>0.04977</cdr:y>
    </cdr:from>
    <cdr:to>
      <cdr:x>0.38653</cdr:x>
      <cdr:y>0.16088</cdr:y>
    </cdr:to>
    <cdr:sp macro="" textlink="">
      <cdr:nvSpPr>
        <cdr:cNvPr id="21" name="TextBox 1"/>
        <cdr:cNvSpPr txBox="1"/>
      </cdr:nvSpPr>
      <cdr:spPr>
        <a:xfrm xmlns:a="http://schemas.openxmlformats.org/drawingml/2006/main">
          <a:off x="936625" y="136525"/>
          <a:ext cx="830580" cy="3048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chemeClr val="accent1">
                  <a:lumMod val="50000"/>
                </a:schemeClr>
              </a:solidFill>
              <a:latin typeface="Arial Narrow" panose="020B0606020202030204" pitchFamily="34" charset="0"/>
            </a:rPr>
            <a:t>Mail</a:t>
          </a:r>
          <a:r>
            <a:rPr lang="en-US" sz="1100" baseline="0">
              <a:solidFill>
                <a:schemeClr val="accent2">
                  <a:lumMod val="75000"/>
                </a:schemeClr>
              </a:solidFill>
              <a:latin typeface="Arial Narrow" panose="020B0606020202030204" pitchFamily="34" charset="0"/>
            </a:rPr>
            <a:t> </a:t>
          </a:r>
          <a:r>
            <a:rPr lang="en-US" sz="1100" baseline="0">
              <a:solidFill>
                <a:schemeClr val="accent1">
                  <a:lumMod val="50000"/>
                </a:schemeClr>
              </a:solidFill>
              <a:latin typeface="Arial Narrow" panose="020B0606020202030204" pitchFamily="34" charset="0"/>
            </a:rPr>
            <a:t>only</a:t>
          </a:r>
          <a:endParaRPr lang="en-US" sz="1100">
            <a:solidFill>
              <a:schemeClr val="accent1">
                <a:lumMod val="50000"/>
              </a:schemeClr>
            </a:solidFill>
            <a:latin typeface="Arial Narrow" panose="020B0606020202030204" pitchFamily="34" charset="0"/>
          </a:endParaRPr>
        </a:p>
      </cdr:txBody>
    </cdr:sp>
  </cdr:relSizeAnchor>
  <cdr:relSizeAnchor xmlns:cdr="http://schemas.openxmlformats.org/drawingml/2006/chartDrawing">
    <cdr:from>
      <cdr:x>0.43403</cdr:x>
      <cdr:y>0.03241</cdr:y>
    </cdr:from>
    <cdr:to>
      <cdr:x>0.59569</cdr:x>
      <cdr:y>0.28519</cdr:y>
    </cdr:to>
    <cdr:sp macro="" textlink="">
      <cdr:nvSpPr>
        <cdr:cNvPr id="22" name="TextBox 1"/>
        <cdr:cNvSpPr txBox="1"/>
      </cdr:nvSpPr>
      <cdr:spPr>
        <a:xfrm xmlns:a="http://schemas.openxmlformats.org/drawingml/2006/main">
          <a:off x="1984375" y="88900"/>
          <a:ext cx="739140" cy="69342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aseline="0">
              <a:ln>
                <a:noFill/>
              </a:ln>
              <a:solidFill>
                <a:schemeClr val="accent1">
                  <a:lumMod val="50000"/>
                </a:schemeClr>
              </a:solidFill>
              <a:latin typeface="Arial Narrow" panose="020B0606020202030204" pitchFamily="34" charset="0"/>
            </a:rPr>
            <a:t>Phone contact </a:t>
          </a:r>
          <a:endParaRPr lang="en-US" sz="1100">
            <a:ln>
              <a:noFill/>
            </a:ln>
            <a:solidFill>
              <a:schemeClr val="accent1">
                <a:lumMod val="50000"/>
              </a:schemeClr>
            </a:solidFill>
            <a:latin typeface="Arial Narrow" panose="020B0606020202030204" pitchFamily="34" charset="0"/>
          </a:endParaRPr>
        </a:p>
      </cdr:txBody>
    </cdr:sp>
  </cdr:relSizeAnchor>
  <cdr:relSizeAnchor xmlns:cdr="http://schemas.openxmlformats.org/drawingml/2006/chartDrawing">
    <cdr:from>
      <cdr:x>0.62986</cdr:x>
      <cdr:y>0.03241</cdr:y>
    </cdr:from>
    <cdr:to>
      <cdr:x>0.97021</cdr:x>
      <cdr:y>0.18796</cdr:y>
    </cdr:to>
    <cdr:sp macro="" textlink="">
      <cdr:nvSpPr>
        <cdr:cNvPr id="23" name="TextBox 1"/>
        <cdr:cNvSpPr txBox="1"/>
      </cdr:nvSpPr>
      <cdr:spPr>
        <a:xfrm xmlns:a="http://schemas.openxmlformats.org/drawingml/2006/main">
          <a:off x="2819726" y="104960"/>
          <a:ext cx="1523673" cy="50374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aseline="0">
              <a:solidFill>
                <a:schemeClr val="accent1">
                  <a:lumMod val="50000"/>
                </a:schemeClr>
              </a:solidFill>
              <a:latin typeface="Arial Narrow" panose="020B0606020202030204" pitchFamily="34" charset="0"/>
            </a:rPr>
            <a:t>In-person visits with Informational gifts/tokens</a:t>
          </a:r>
          <a:endParaRPr lang="en-US" sz="1100">
            <a:solidFill>
              <a:schemeClr val="accent1">
                <a:lumMod val="50000"/>
              </a:schemeClr>
            </a:solidFill>
            <a:latin typeface="Arial Narrow" panose="020B060602020203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711F0-6F77-44BB-BDD7-3A8AAECE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8928</Words>
  <Characters>50891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2018-10-25T20:08:00Z</dcterms:created>
  <dcterms:modified xsi:type="dcterms:W3CDTF">2018-10-25T20:08:00Z</dcterms:modified>
</cp:coreProperties>
</file>