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4357A" w:rsidRPr="00B97F3D" w14:paraId="5D300DD6" w14:textId="77777777">
      <w:pPr>
        <w:tabs>
          <w:tab w:val="center" w:pos="4860"/>
        </w:tabs>
        <w:suppressAutoHyphens/>
        <w:jc w:val="center"/>
        <w:rPr>
          <w:b/>
          <w:sz w:val="24"/>
          <w:szCs w:val="24"/>
        </w:rPr>
      </w:pPr>
      <w:r w:rsidRPr="00B97F3D">
        <w:rPr>
          <w:b/>
          <w:sz w:val="24"/>
          <w:szCs w:val="24"/>
        </w:rPr>
        <w:t>Supporting Statement for Forms SSA-7161-OCR-SM and SSA-7162-OCR-SM</w:t>
      </w:r>
    </w:p>
    <w:p w:rsidR="00A62FA1" w:rsidRPr="00B97F3D" w:rsidP="00A62FA1" w14:paraId="178FAACE" w14:textId="77777777">
      <w:pPr>
        <w:tabs>
          <w:tab w:val="center" w:pos="4860"/>
        </w:tabs>
        <w:suppressAutoHyphens/>
        <w:jc w:val="center"/>
        <w:rPr>
          <w:b/>
          <w:sz w:val="24"/>
          <w:szCs w:val="24"/>
        </w:rPr>
      </w:pPr>
      <w:r w:rsidRPr="00B97F3D">
        <w:rPr>
          <w:b/>
          <w:sz w:val="24"/>
          <w:szCs w:val="24"/>
        </w:rPr>
        <w:t xml:space="preserve">Report to </w:t>
      </w:r>
      <w:smartTag w:uri="urn:schemas-microsoft-com:office:smarttags" w:element="place">
        <w:smartTag w:uri="urn:schemas-microsoft-com:office:smarttags" w:element="country-region">
          <w:r w:rsidRPr="00B97F3D">
            <w:rPr>
              <w:b/>
              <w:sz w:val="24"/>
              <w:szCs w:val="24"/>
            </w:rPr>
            <w:t>United States</w:t>
          </w:r>
        </w:smartTag>
      </w:smartTag>
      <w:r w:rsidRPr="00B97F3D">
        <w:rPr>
          <w:b/>
          <w:sz w:val="24"/>
          <w:szCs w:val="24"/>
        </w:rPr>
        <w:t xml:space="preserve"> Social Security Administration by</w:t>
      </w:r>
      <w:r w:rsidRPr="00B97F3D" w:rsidR="003B65EE">
        <w:rPr>
          <w:b/>
          <w:sz w:val="24"/>
          <w:szCs w:val="24"/>
        </w:rPr>
        <w:t xml:space="preserve"> </w:t>
      </w:r>
      <w:r w:rsidRPr="00B97F3D">
        <w:rPr>
          <w:b/>
          <w:sz w:val="24"/>
          <w:szCs w:val="24"/>
        </w:rPr>
        <w:t xml:space="preserve">Person </w:t>
      </w:r>
    </w:p>
    <w:p w:rsidR="00A62FA1" w:rsidRPr="00B97F3D" w:rsidP="00A62FA1" w14:paraId="7D984F10" w14:textId="77777777">
      <w:pPr>
        <w:tabs>
          <w:tab w:val="center" w:pos="4860"/>
        </w:tabs>
        <w:suppressAutoHyphens/>
        <w:jc w:val="center"/>
        <w:rPr>
          <w:b/>
          <w:sz w:val="24"/>
          <w:szCs w:val="24"/>
        </w:rPr>
      </w:pPr>
      <w:r w:rsidRPr="00B97F3D">
        <w:rPr>
          <w:b/>
          <w:sz w:val="24"/>
          <w:szCs w:val="24"/>
        </w:rPr>
        <w:t>Receiving Benefits for a Child or for</w:t>
      </w:r>
      <w:r w:rsidRPr="00B97F3D" w:rsidR="003B65EE">
        <w:rPr>
          <w:b/>
          <w:sz w:val="24"/>
          <w:szCs w:val="24"/>
        </w:rPr>
        <w:t xml:space="preserve"> </w:t>
      </w:r>
      <w:r w:rsidRPr="00B97F3D">
        <w:rPr>
          <w:b/>
          <w:sz w:val="24"/>
          <w:szCs w:val="24"/>
        </w:rPr>
        <w:t>an Adult Unable to Handle Funds;</w:t>
      </w:r>
      <w:r w:rsidRPr="00B97F3D" w:rsidR="003B65EE">
        <w:rPr>
          <w:b/>
          <w:sz w:val="24"/>
          <w:szCs w:val="24"/>
        </w:rPr>
        <w:t xml:space="preserve"> </w:t>
      </w:r>
    </w:p>
    <w:p w:rsidR="00CA1F1B" w:rsidRPr="00B97F3D" w:rsidP="003B65EE" w14:paraId="571E1BC9" w14:textId="77777777">
      <w:pPr>
        <w:tabs>
          <w:tab w:val="center" w:pos="4860"/>
        </w:tabs>
        <w:suppressAutoHyphens/>
        <w:jc w:val="center"/>
        <w:rPr>
          <w:b/>
          <w:sz w:val="24"/>
          <w:szCs w:val="24"/>
        </w:rPr>
      </w:pPr>
      <w:r w:rsidRPr="00B97F3D">
        <w:rPr>
          <w:b/>
          <w:sz w:val="24"/>
          <w:szCs w:val="24"/>
        </w:rPr>
        <w:t xml:space="preserve">Report to </w:t>
      </w:r>
      <w:smartTag w:uri="urn:schemas-microsoft-com:office:smarttags" w:element="place">
        <w:smartTag w:uri="urn:schemas-microsoft-com:office:smarttags" w:element="country-region">
          <w:r w:rsidRPr="00B97F3D">
            <w:rPr>
              <w:b/>
              <w:sz w:val="24"/>
              <w:szCs w:val="24"/>
            </w:rPr>
            <w:t>United States</w:t>
          </w:r>
        </w:smartTag>
      </w:smartTag>
      <w:r w:rsidRPr="00B97F3D">
        <w:rPr>
          <w:b/>
          <w:sz w:val="24"/>
          <w:szCs w:val="24"/>
        </w:rPr>
        <w:t xml:space="preserve"> Social Security Administration</w:t>
      </w:r>
    </w:p>
    <w:p w:rsidR="00487E40" w:rsidP="00487E40" w14:paraId="391CDB57" w14:textId="77777777">
      <w:pPr>
        <w:tabs>
          <w:tab w:val="left" w:pos="-720"/>
        </w:tabs>
        <w:suppressAutoHyphens/>
        <w:jc w:val="center"/>
        <w:rPr>
          <w:b/>
          <w:sz w:val="24"/>
          <w:szCs w:val="24"/>
        </w:rPr>
      </w:pPr>
      <w:r w:rsidRPr="00B97F3D">
        <w:rPr>
          <w:b/>
          <w:sz w:val="24"/>
          <w:szCs w:val="24"/>
        </w:rPr>
        <w:t>OMB No. 0960-0049</w:t>
      </w:r>
    </w:p>
    <w:p w:rsidR="00696ED7" w:rsidP="00487E40" w14:paraId="231772F9" w14:textId="77777777">
      <w:pPr>
        <w:tabs>
          <w:tab w:val="left" w:pos="-720"/>
        </w:tabs>
        <w:suppressAutoHyphens/>
        <w:jc w:val="center"/>
        <w:rPr>
          <w:b/>
          <w:sz w:val="24"/>
          <w:szCs w:val="24"/>
        </w:rPr>
      </w:pPr>
    </w:p>
    <w:p w:rsidR="00487E40" w:rsidP="00487E40" w14:paraId="55A2702E" w14:textId="77777777">
      <w:pPr>
        <w:pStyle w:val="ListParagraph"/>
        <w:numPr>
          <w:ilvl w:val="0"/>
          <w:numId w:val="20"/>
        </w:numPr>
        <w:tabs>
          <w:tab w:val="left" w:pos="-720"/>
        </w:tabs>
        <w:suppressAutoHyphens/>
        <w:rPr>
          <w:b/>
          <w:sz w:val="24"/>
          <w:szCs w:val="24"/>
        </w:rPr>
      </w:pPr>
      <w:r w:rsidRPr="00487E40">
        <w:rPr>
          <w:b/>
          <w:sz w:val="24"/>
          <w:szCs w:val="24"/>
        </w:rPr>
        <w:t>Justification</w:t>
      </w:r>
    </w:p>
    <w:p w:rsidR="00487E40" w:rsidP="00487E40" w14:paraId="53B6779E" w14:textId="77777777">
      <w:pPr>
        <w:tabs>
          <w:tab w:val="left" w:pos="-720"/>
        </w:tabs>
        <w:suppressAutoHyphens/>
        <w:ind w:left="720"/>
        <w:rPr>
          <w:b/>
          <w:sz w:val="24"/>
          <w:szCs w:val="24"/>
        </w:rPr>
      </w:pPr>
    </w:p>
    <w:p w:rsidR="008E0947" w:rsidRPr="008E0947" w:rsidP="00DA5859" w14:paraId="1A17B940" w14:textId="77777777">
      <w:pPr>
        <w:pStyle w:val="ListParagraph"/>
        <w:numPr>
          <w:ilvl w:val="0"/>
          <w:numId w:val="21"/>
        </w:numPr>
        <w:tabs>
          <w:tab w:val="left" w:pos="-720"/>
        </w:tabs>
        <w:suppressAutoHyphens/>
        <w:rPr>
          <w:b/>
          <w:sz w:val="24"/>
          <w:szCs w:val="24"/>
        </w:rPr>
      </w:pPr>
      <w:r w:rsidRPr="008E0947">
        <w:rPr>
          <w:b/>
          <w:sz w:val="24"/>
          <w:szCs w:val="24"/>
        </w:rPr>
        <w:t>Introduction/Authoring Laws and Regulations</w:t>
      </w:r>
      <w:r w:rsidRPr="008E0947">
        <w:rPr>
          <w:sz w:val="24"/>
          <w:szCs w:val="24"/>
        </w:rPr>
        <w:t xml:space="preserve"> </w:t>
      </w:r>
    </w:p>
    <w:p w:rsidR="00DA5859" w:rsidRPr="00DA5859" w:rsidP="008E0947" w14:paraId="1B2A7F5B" w14:textId="77777777">
      <w:pPr>
        <w:pStyle w:val="ListParagraph"/>
        <w:tabs>
          <w:tab w:val="left" w:pos="-720"/>
        </w:tabs>
        <w:suppressAutoHyphens/>
        <w:ind w:left="1080"/>
        <w:rPr>
          <w:b/>
          <w:sz w:val="24"/>
          <w:szCs w:val="24"/>
        </w:rPr>
      </w:pPr>
      <w:r w:rsidRPr="00DA5859">
        <w:rPr>
          <w:sz w:val="24"/>
          <w:szCs w:val="24"/>
        </w:rPr>
        <w:t>Section</w:t>
      </w:r>
      <w:r w:rsidR="00CC3300">
        <w:rPr>
          <w:sz w:val="24"/>
          <w:szCs w:val="24"/>
        </w:rPr>
        <w:t>s</w:t>
      </w:r>
      <w:r w:rsidRPr="00DA5859">
        <w:rPr>
          <w:i/>
          <w:sz w:val="24"/>
          <w:szCs w:val="24"/>
        </w:rPr>
        <w:t xml:space="preserve"> 203(c)</w:t>
      </w:r>
      <w:r w:rsidR="00605E26">
        <w:rPr>
          <w:i/>
          <w:sz w:val="24"/>
          <w:szCs w:val="24"/>
        </w:rPr>
        <w:t xml:space="preserve"> and 203(g)</w:t>
      </w:r>
      <w:r w:rsidRPr="00DA5859">
        <w:rPr>
          <w:i/>
          <w:sz w:val="24"/>
          <w:szCs w:val="24"/>
        </w:rPr>
        <w:t xml:space="preserve"> </w:t>
      </w:r>
      <w:r w:rsidRPr="00DA5859">
        <w:rPr>
          <w:sz w:val="24"/>
          <w:szCs w:val="24"/>
        </w:rPr>
        <w:t>of the</w:t>
      </w:r>
      <w:r w:rsidRPr="00DA5859">
        <w:rPr>
          <w:i/>
          <w:sz w:val="24"/>
          <w:szCs w:val="24"/>
        </w:rPr>
        <w:t xml:space="preserve"> Social Security Act (Act)</w:t>
      </w:r>
      <w:r w:rsidR="00CC3300">
        <w:rPr>
          <w:sz w:val="24"/>
          <w:szCs w:val="24"/>
        </w:rPr>
        <w:t xml:space="preserve"> require</w:t>
      </w:r>
      <w:r w:rsidRPr="00DA5859">
        <w:rPr>
          <w:sz w:val="24"/>
          <w:szCs w:val="24"/>
        </w:rPr>
        <w:t xml:space="preserve"> the Commissioner of Social Security </w:t>
      </w:r>
      <w:r w:rsidRPr="00970306" w:rsidR="00970306">
        <w:rPr>
          <w:sz w:val="24"/>
          <w:szCs w:val="24"/>
          <w:lang w:eastAsia="en-US"/>
        </w:rPr>
        <w:t>to make benefit</w:t>
      </w:r>
      <w:r w:rsidRPr="00970306" w:rsidR="00970306">
        <w:rPr>
          <w:sz w:val="24"/>
          <w:szCs w:val="24"/>
        </w:rPr>
        <w:t xml:space="preserve"> </w:t>
      </w:r>
      <w:r w:rsidR="00AA2DB8">
        <w:rPr>
          <w:sz w:val="24"/>
          <w:szCs w:val="24"/>
          <w:lang w:eastAsia="en-US"/>
        </w:rPr>
        <w:t>deductions</w:t>
      </w:r>
      <w:r w:rsidR="00605E26">
        <w:rPr>
          <w:sz w:val="24"/>
          <w:szCs w:val="24"/>
          <w:lang w:eastAsia="en-US"/>
        </w:rPr>
        <w:t xml:space="preserve"> and</w:t>
      </w:r>
      <w:r w:rsidR="003D3F7E">
        <w:rPr>
          <w:sz w:val="24"/>
          <w:szCs w:val="24"/>
        </w:rPr>
        <w:t xml:space="preserve"> provide</w:t>
      </w:r>
      <w:r w:rsidRPr="00DA5859">
        <w:rPr>
          <w:sz w:val="24"/>
          <w:szCs w:val="24"/>
        </w:rPr>
        <w:t xml:space="preserve"> for the Commissioner to impose penalty deductions on benefits of individuals who fail to make timely reports of events, which are cause for deductions.  Section</w:t>
      </w:r>
      <w:r w:rsidRPr="00DA5859">
        <w:rPr>
          <w:i/>
          <w:sz w:val="24"/>
          <w:szCs w:val="24"/>
        </w:rPr>
        <w:t xml:space="preserve"> 205(a) </w:t>
      </w:r>
      <w:r w:rsidRPr="00DA5859">
        <w:rPr>
          <w:sz w:val="24"/>
          <w:szCs w:val="24"/>
        </w:rPr>
        <w:t>of the</w:t>
      </w:r>
      <w:r w:rsidRPr="00DA5859">
        <w:rPr>
          <w:i/>
          <w:sz w:val="24"/>
          <w:szCs w:val="24"/>
        </w:rPr>
        <w:t xml:space="preserve"> Act</w:t>
      </w:r>
      <w:r w:rsidRPr="00DA5859">
        <w:rPr>
          <w:sz w:val="24"/>
          <w:szCs w:val="24"/>
        </w:rPr>
        <w:t xml:space="preserve"> empowers the Commissioner to determine an individual's continuing e</w:t>
      </w:r>
      <w:r w:rsidR="00CC3300">
        <w:rPr>
          <w:sz w:val="24"/>
          <w:szCs w:val="24"/>
        </w:rPr>
        <w:t>ligibility for benefits.  In addition, t</w:t>
      </w:r>
      <w:r w:rsidRPr="00DA5859">
        <w:rPr>
          <w:sz w:val="24"/>
          <w:szCs w:val="24"/>
        </w:rPr>
        <w:t xml:space="preserve">he U.S. District Court for the Western District of Oklahoma ordered the Commissioner to obtain universal, mandatory annual accountings from all representative payees </w:t>
      </w:r>
      <w:r w:rsidRPr="00DA5859">
        <w:rPr>
          <w:i/>
          <w:sz w:val="24"/>
          <w:szCs w:val="24"/>
          <w:u w:val="single"/>
        </w:rPr>
        <w:t>(Jordan v. Heckler, Civ-79-994-W)</w:t>
      </w:r>
      <w:r w:rsidRPr="00DA5859">
        <w:rPr>
          <w:i/>
          <w:sz w:val="24"/>
          <w:szCs w:val="24"/>
        </w:rPr>
        <w:t xml:space="preserve">.  </w:t>
      </w:r>
      <w:r w:rsidRPr="00DA5859">
        <w:rPr>
          <w:sz w:val="24"/>
          <w:szCs w:val="24"/>
        </w:rPr>
        <w:t>Sections</w:t>
      </w:r>
      <w:r w:rsidRPr="00DA5859">
        <w:rPr>
          <w:i/>
          <w:sz w:val="24"/>
          <w:szCs w:val="24"/>
        </w:rPr>
        <w:t xml:space="preserve"> 205(j) </w:t>
      </w:r>
      <w:r w:rsidRPr="00DA5859">
        <w:rPr>
          <w:sz w:val="24"/>
          <w:szCs w:val="24"/>
        </w:rPr>
        <w:t>and</w:t>
      </w:r>
      <w:r>
        <w:rPr>
          <w:i/>
          <w:sz w:val="24"/>
          <w:szCs w:val="24"/>
        </w:rPr>
        <w:t xml:space="preserve"> 1631(e)(1)</w:t>
      </w:r>
      <w:r w:rsidRPr="00DA5859">
        <w:rPr>
          <w:i/>
          <w:sz w:val="24"/>
          <w:szCs w:val="24"/>
        </w:rPr>
        <w:t xml:space="preserve">(A) </w:t>
      </w:r>
      <w:r w:rsidR="000A3614">
        <w:rPr>
          <w:sz w:val="24"/>
          <w:szCs w:val="24"/>
        </w:rPr>
        <w:t xml:space="preserve">of the </w:t>
      </w:r>
      <w:r w:rsidRPr="000A3614" w:rsidR="000A3614">
        <w:rPr>
          <w:i/>
          <w:sz w:val="24"/>
          <w:szCs w:val="24"/>
        </w:rPr>
        <w:t>Act</w:t>
      </w:r>
      <w:r w:rsidR="000A3614">
        <w:rPr>
          <w:sz w:val="24"/>
          <w:szCs w:val="24"/>
        </w:rPr>
        <w:t xml:space="preserve"> </w:t>
      </w:r>
      <w:r w:rsidRPr="00DA5859">
        <w:rPr>
          <w:snapToGrid w:val="0"/>
          <w:sz w:val="24"/>
          <w:szCs w:val="24"/>
          <w:lang w:eastAsia="en-US"/>
        </w:rPr>
        <w:t>establish the requirement for the agency to set up a monitoring system for representative payees</w:t>
      </w:r>
      <w:r w:rsidR="00CC3300">
        <w:rPr>
          <w:snapToGrid w:val="0"/>
          <w:sz w:val="24"/>
          <w:szCs w:val="24"/>
          <w:lang w:eastAsia="en-US"/>
        </w:rPr>
        <w:t>,</w:t>
      </w:r>
      <w:r w:rsidR="00605E26">
        <w:rPr>
          <w:snapToGrid w:val="0"/>
          <w:sz w:val="24"/>
          <w:szCs w:val="24"/>
          <w:lang w:eastAsia="en-US"/>
        </w:rPr>
        <w:t xml:space="preserve"> and Section </w:t>
      </w:r>
      <w:r w:rsidRPr="00CC3300" w:rsidR="00605E26">
        <w:rPr>
          <w:i/>
          <w:snapToGrid w:val="0"/>
          <w:sz w:val="24"/>
          <w:szCs w:val="24"/>
          <w:lang w:eastAsia="en-US"/>
        </w:rPr>
        <w:t xml:space="preserve">102 </w:t>
      </w:r>
      <w:r w:rsidR="00605E26">
        <w:rPr>
          <w:snapToGrid w:val="0"/>
          <w:sz w:val="24"/>
          <w:szCs w:val="24"/>
          <w:lang w:eastAsia="en-US"/>
        </w:rPr>
        <w:t xml:space="preserve">amends sections </w:t>
      </w:r>
      <w:r w:rsidRPr="00CC3300" w:rsidR="00605E26">
        <w:rPr>
          <w:i/>
          <w:snapToGrid w:val="0"/>
          <w:sz w:val="24"/>
          <w:szCs w:val="24"/>
          <w:lang w:eastAsia="en-US"/>
        </w:rPr>
        <w:t>205(j)(3)</w:t>
      </w:r>
      <w:r w:rsidR="00605E26">
        <w:rPr>
          <w:snapToGrid w:val="0"/>
          <w:sz w:val="24"/>
          <w:szCs w:val="24"/>
          <w:lang w:eastAsia="en-US"/>
        </w:rPr>
        <w:t xml:space="preserve"> and </w:t>
      </w:r>
      <w:r w:rsidRPr="00CC3300" w:rsidR="00605E26">
        <w:rPr>
          <w:i/>
          <w:snapToGrid w:val="0"/>
          <w:sz w:val="24"/>
          <w:szCs w:val="24"/>
          <w:lang w:eastAsia="en-US"/>
        </w:rPr>
        <w:t>1631(a)(2)(c)</w:t>
      </w:r>
      <w:r w:rsidR="00605E26">
        <w:rPr>
          <w:snapToGrid w:val="0"/>
          <w:sz w:val="24"/>
          <w:szCs w:val="24"/>
          <w:lang w:eastAsia="en-US"/>
        </w:rPr>
        <w:t xml:space="preserve"> </w:t>
      </w:r>
      <w:r w:rsidR="000A3614">
        <w:rPr>
          <w:snapToGrid w:val="0"/>
          <w:sz w:val="24"/>
          <w:szCs w:val="24"/>
          <w:lang w:eastAsia="en-US"/>
        </w:rPr>
        <w:t xml:space="preserve">of the </w:t>
      </w:r>
      <w:r w:rsidRPr="000A3614" w:rsidR="000A3614">
        <w:rPr>
          <w:i/>
          <w:snapToGrid w:val="0"/>
          <w:sz w:val="24"/>
          <w:szCs w:val="24"/>
          <w:lang w:eastAsia="en-US"/>
        </w:rPr>
        <w:t>Act</w:t>
      </w:r>
      <w:r w:rsidR="000A3614">
        <w:rPr>
          <w:snapToGrid w:val="0"/>
          <w:sz w:val="24"/>
          <w:szCs w:val="24"/>
          <w:lang w:eastAsia="en-US"/>
        </w:rPr>
        <w:t xml:space="preserve"> </w:t>
      </w:r>
      <w:r w:rsidR="00605E26">
        <w:rPr>
          <w:snapToGrid w:val="0"/>
          <w:sz w:val="24"/>
          <w:szCs w:val="24"/>
          <w:lang w:eastAsia="en-US"/>
        </w:rPr>
        <w:t xml:space="preserve">from certain rep payee accounting requirements.  </w:t>
      </w:r>
      <w:r w:rsidRPr="00DA5859">
        <w:rPr>
          <w:snapToGrid w:val="0"/>
          <w:sz w:val="24"/>
          <w:szCs w:val="24"/>
          <w:lang w:eastAsia="en-US"/>
        </w:rPr>
        <w:t xml:space="preserve">Because of the above laws, </w:t>
      </w:r>
      <w:r>
        <w:rPr>
          <w:snapToGrid w:val="0"/>
          <w:sz w:val="24"/>
          <w:szCs w:val="24"/>
          <w:lang w:eastAsia="en-US"/>
        </w:rPr>
        <w:t>the Social Security Administration (SSA) uses F</w:t>
      </w:r>
      <w:r w:rsidRPr="00DA5859">
        <w:rPr>
          <w:snapToGrid w:val="0"/>
          <w:sz w:val="24"/>
          <w:szCs w:val="24"/>
          <w:lang w:eastAsia="en-US"/>
        </w:rPr>
        <w:t>orms SSA-7161-OCR-SM, Report to United States Social Security Administration by Person Receiving Benefits for a Child or for an Adult Unable to Handle Funds</w:t>
      </w:r>
      <w:r>
        <w:rPr>
          <w:snapToGrid w:val="0"/>
          <w:sz w:val="24"/>
          <w:szCs w:val="24"/>
          <w:lang w:eastAsia="en-US"/>
        </w:rPr>
        <w:t>,</w:t>
      </w:r>
      <w:r w:rsidRPr="00DA5859">
        <w:rPr>
          <w:snapToGrid w:val="0"/>
          <w:sz w:val="24"/>
          <w:szCs w:val="24"/>
          <w:lang w:eastAsia="en-US"/>
        </w:rPr>
        <w:t xml:space="preserve"> and SSA-7162-OCR-SM, Report to the United States Social Security Administration</w:t>
      </w:r>
      <w:r w:rsidR="000A3614">
        <w:rPr>
          <w:snapToGrid w:val="0"/>
          <w:sz w:val="24"/>
          <w:szCs w:val="24"/>
          <w:lang w:eastAsia="en-US"/>
        </w:rPr>
        <w:t>,</w:t>
      </w:r>
      <w:r>
        <w:rPr>
          <w:snapToGrid w:val="0"/>
          <w:sz w:val="24"/>
          <w:szCs w:val="24"/>
          <w:lang w:eastAsia="en-US"/>
        </w:rPr>
        <w:t xml:space="preserve"> to collect the above information</w:t>
      </w:r>
      <w:r w:rsidR="00CC3300">
        <w:rPr>
          <w:snapToGrid w:val="0"/>
          <w:sz w:val="24"/>
          <w:szCs w:val="24"/>
          <w:lang w:eastAsia="en-US"/>
        </w:rPr>
        <w:t xml:space="preserve"> from respondents who live outside the United States</w:t>
      </w:r>
      <w:r w:rsidRPr="00DA5859">
        <w:rPr>
          <w:snapToGrid w:val="0"/>
          <w:sz w:val="24"/>
          <w:szCs w:val="24"/>
          <w:lang w:eastAsia="en-US"/>
        </w:rPr>
        <w:t xml:space="preserve">.  </w:t>
      </w:r>
    </w:p>
    <w:p w:rsidR="00DA5859" w:rsidRPr="00DA5859" w:rsidP="00DA5859" w14:paraId="486474E3" w14:textId="77777777">
      <w:pPr>
        <w:pStyle w:val="ListParagraph"/>
        <w:tabs>
          <w:tab w:val="left" w:pos="-720"/>
        </w:tabs>
        <w:suppressAutoHyphens/>
        <w:ind w:left="1080"/>
        <w:rPr>
          <w:b/>
          <w:sz w:val="24"/>
          <w:szCs w:val="24"/>
        </w:rPr>
      </w:pPr>
    </w:p>
    <w:p w:rsidR="008E0947" w:rsidRPr="008E0947" w:rsidP="00DA5859" w14:paraId="50E51675" w14:textId="77777777">
      <w:pPr>
        <w:pStyle w:val="ListParagraph"/>
        <w:numPr>
          <w:ilvl w:val="0"/>
          <w:numId w:val="21"/>
        </w:numPr>
        <w:tabs>
          <w:tab w:val="left" w:pos="-720"/>
        </w:tabs>
        <w:suppressAutoHyphens/>
        <w:rPr>
          <w:b/>
          <w:sz w:val="24"/>
          <w:szCs w:val="24"/>
        </w:rPr>
      </w:pPr>
      <w:r w:rsidRPr="008E0947">
        <w:rPr>
          <w:b/>
          <w:sz w:val="24"/>
          <w:szCs w:val="24"/>
        </w:rPr>
        <w:t>Description of Collection</w:t>
      </w:r>
      <w:r w:rsidRPr="008E0947">
        <w:rPr>
          <w:sz w:val="24"/>
          <w:szCs w:val="24"/>
        </w:rPr>
        <w:t xml:space="preserve"> </w:t>
      </w:r>
    </w:p>
    <w:p w:rsidR="007A5D91" w:rsidP="007A5D91" w14:paraId="4D2291A0" w14:textId="0DAF8163">
      <w:pPr>
        <w:pStyle w:val="ListParagraph"/>
        <w:tabs>
          <w:tab w:val="left" w:pos="-720"/>
        </w:tabs>
        <w:suppressAutoHyphens/>
        <w:ind w:left="1080"/>
        <w:rPr>
          <w:sz w:val="24"/>
          <w:szCs w:val="24"/>
          <w:lang w:eastAsia="en-US"/>
        </w:rPr>
      </w:pPr>
      <w:r w:rsidRPr="00FA0A4A">
        <w:rPr>
          <w:sz w:val="24"/>
          <w:szCs w:val="24"/>
          <w:lang w:eastAsia="en-US"/>
        </w:rPr>
        <w:t xml:space="preserve">U.S. citizens and noncitizens who meet certain eligibility requirements can receive Old-Age, Survivors and Disability Insurance (OASDI) while living abroad. As of </w:t>
      </w:r>
      <w:r w:rsidRPr="002B6249">
        <w:rPr>
          <w:sz w:val="24"/>
          <w:szCs w:val="24"/>
          <w:lang w:eastAsia="en-US"/>
        </w:rPr>
        <w:t>12/2017</w:t>
      </w:r>
      <w:r>
        <w:rPr>
          <w:sz w:val="24"/>
          <w:szCs w:val="24"/>
          <w:lang w:eastAsia="en-US"/>
        </w:rPr>
        <w:t xml:space="preserve"> there were approximately 677,712</w:t>
      </w:r>
      <w:r w:rsidRPr="00FA0A4A">
        <w:rPr>
          <w:sz w:val="24"/>
          <w:szCs w:val="24"/>
          <w:lang w:eastAsia="en-US"/>
        </w:rPr>
        <w:t xml:space="preserve"> OASDI beneficiaries residing in foreign countries and receiving about </w:t>
      </w:r>
      <w:r w:rsidRPr="002B6249">
        <w:rPr>
          <w:sz w:val="24"/>
          <w:szCs w:val="24"/>
          <w:lang w:eastAsia="en-US"/>
        </w:rPr>
        <w:t>$</w:t>
      </w:r>
      <w:r>
        <w:rPr>
          <w:sz w:val="24"/>
          <w:szCs w:val="24"/>
          <w:lang w:eastAsia="en-US"/>
        </w:rPr>
        <w:t>437</w:t>
      </w:r>
      <w:r w:rsidRPr="00FA0A4A">
        <w:rPr>
          <w:sz w:val="24"/>
          <w:szCs w:val="24"/>
          <w:lang w:eastAsia="en-US"/>
        </w:rPr>
        <w:t xml:space="preserve"> million in monthly benefit payments (about </w:t>
      </w:r>
      <w:r w:rsidRPr="002B6249">
        <w:rPr>
          <w:sz w:val="24"/>
          <w:szCs w:val="24"/>
          <w:lang w:eastAsia="en-US"/>
        </w:rPr>
        <w:t>$</w:t>
      </w:r>
      <w:r>
        <w:rPr>
          <w:sz w:val="24"/>
          <w:szCs w:val="24"/>
          <w:lang w:eastAsia="en-US"/>
        </w:rPr>
        <w:t>5.2</w:t>
      </w:r>
      <w:r w:rsidRPr="00FA0A4A">
        <w:rPr>
          <w:sz w:val="24"/>
          <w:szCs w:val="24"/>
          <w:lang w:eastAsia="en-US"/>
        </w:rPr>
        <w:t xml:space="preserve"> billion, annually). As of </w:t>
      </w:r>
      <w:r w:rsidRPr="002B6249">
        <w:rPr>
          <w:sz w:val="24"/>
          <w:szCs w:val="24"/>
          <w:lang w:eastAsia="en-US"/>
        </w:rPr>
        <w:t>12/2017</w:t>
      </w:r>
      <w:r w:rsidRPr="00FA0A4A">
        <w:rPr>
          <w:sz w:val="24"/>
          <w:szCs w:val="24"/>
          <w:lang w:eastAsia="en-US"/>
        </w:rPr>
        <w:t>, representati</w:t>
      </w:r>
      <w:r>
        <w:rPr>
          <w:sz w:val="24"/>
          <w:szCs w:val="24"/>
          <w:lang w:eastAsia="en-US"/>
        </w:rPr>
        <w:t xml:space="preserve">ve payees were serving about </w:t>
      </w:r>
      <w:r w:rsidRPr="002B6249">
        <w:rPr>
          <w:sz w:val="24"/>
          <w:szCs w:val="24"/>
          <w:lang w:eastAsia="en-US"/>
        </w:rPr>
        <w:t>42,000</w:t>
      </w:r>
      <w:r w:rsidRPr="00FA0A4A">
        <w:rPr>
          <w:sz w:val="24"/>
          <w:szCs w:val="24"/>
          <w:lang w:eastAsia="en-US"/>
        </w:rPr>
        <w:t xml:space="preserve"> beneficiaries residing in foreign countries. </w:t>
      </w:r>
      <w:r>
        <w:rPr>
          <w:sz w:val="24"/>
          <w:szCs w:val="24"/>
          <w:lang w:eastAsia="en-US"/>
        </w:rPr>
        <w:t>Because of some of the specific eligibility requirements related to receiving OASDI benefits while living abroad, t</w:t>
      </w:r>
      <w:r w:rsidRPr="00FA0A4A">
        <w:rPr>
          <w:sz w:val="24"/>
          <w:szCs w:val="24"/>
          <w:lang w:eastAsia="en-US"/>
        </w:rPr>
        <w:t>he Foreign Enforcement Program</w:t>
      </w:r>
      <w:r>
        <w:rPr>
          <w:sz w:val="24"/>
          <w:szCs w:val="24"/>
          <w:lang w:eastAsia="en-US"/>
        </w:rPr>
        <w:t xml:space="preserve"> within SSA</w:t>
      </w:r>
      <w:r w:rsidRPr="00FA0A4A">
        <w:rPr>
          <w:sz w:val="24"/>
          <w:szCs w:val="24"/>
          <w:lang w:eastAsia="en-US"/>
        </w:rPr>
        <w:t xml:space="preserve"> uses various methods to monitor continuing eligibility. </w:t>
      </w:r>
    </w:p>
    <w:p w:rsidR="007A5D91" w:rsidP="007A5D91" w14:paraId="21037521" w14:textId="77777777">
      <w:pPr>
        <w:pStyle w:val="ListParagraph"/>
        <w:tabs>
          <w:tab w:val="left" w:pos="-720"/>
        </w:tabs>
        <w:suppressAutoHyphens/>
        <w:ind w:left="1080"/>
        <w:rPr>
          <w:sz w:val="24"/>
          <w:szCs w:val="24"/>
          <w:lang w:eastAsia="en-US"/>
        </w:rPr>
      </w:pPr>
    </w:p>
    <w:p w:rsidR="00DA5859" w:rsidP="008E0947" w14:paraId="7F9B7937" w14:textId="712659C0">
      <w:pPr>
        <w:pStyle w:val="ListParagraph"/>
        <w:tabs>
          <w:tab w:val="left" w:pos="-720"/>
        </w:tabs>
        <w:suppressAutoHyphens/>
        <w:ind w:left="1080"/>
        <w:rPr>
          <w:rFonts w:eastAsia="Melior"/>
          <w:bCs/>
          <w:sz w:val="24"/>
          <w:szCs w:val="24"/>
        </w:rPr>
      </w:pPr>
      <w:r w:rsidRPr="00BD1CBA">
        <w:rPr>
          <w:sz w:val="24"/>
          <w:szCs w:val="24"/>
          <w:lang w:eastAsia="en-US"/>
        </w:rPr>
        <w:t xml:space="preserve">SSA uses </w:t>
      </w:r>
      <w:r>
        <w:rPr>
          <w:sz w:val="24"/>
          <w:szCs w:val="24"/>
          <w:lang w:eastAsia="en-US"/>
        </w:rPr>
        <w:t xml:space="preserve">the </w:t>
      </w:r>
      <w:r>
        <w:rPr>
          <w:sz w:val="24"/>
          <w:szCs w:val="24"/>
        </w:rPr>
        <w:t>Foreign Enforcement Questionnaires</w:t>
      </w:r>
      <w:r w:rsidRPr="00BD1CBA">
        <w:rPr>
          <w:sz w:val="24"/>
          <w:szCs w:val="24"/>
          <w:lang w:eastAsia="en-US"/>
        </w:rPr>
        <w:t xml:space="preserve"> </w:t>
      </w:r>
      <w:r>
        <w:rPr>
          <w:sz w:val="24"/>
          <w:szCs w:val="24"/>
          <w:lang w:eastAsia="en-US"/>
        </w:rPr>
        <w:t>(</w:t>
      </w:r>
      <w:r w:rsidRPr="00BD1CBA">
        <w:rPr>
          <w:sz w:val="24"/>
          <w:szCs w:val="24"/>
          <w:lang w:eastAsia="en-US"/>
        </w:rPr>
        <w:t>FEQ</w:t>
      </w:r>
      <w:r>
        <w:rPr>
          <w:sz w:val="24"/>
          <w:szCs w:val="24"/>
          <w:lang w:eastAsia="en-US"/>
        </w:rPr>
        <w:t>) associated with this information collection</w:t>
      </w:r>
      <w:r w:rsidRPr="00BD1CBA">
        <w:rPr>
          <w:sz w:val="24"/>
          <w:szCs w:val="24"/>
          <w:lang w:eastAsia="en-US"/>
        </w:rPr>
        <w:t xml:space="preserve"> </w:t>
      </w:r>
      <w:r>
        <w:rPr>
          <w:sz w:val="24"/>
          <w:szCs w:val="24"/>
          <w:lang w:eastAsia="en-US"/>
        </w:rPr>
        <w:t xml:space="preserve">request </w:t>
      </w:r>
      <w:r w:rsidRPr="00BD1CBA">
        <w:rPr>
          <w:sz w:val="24"/>
          <w:szCs w:val="24"/>
          <w:lang w:eastAsia="en-US"/>
        </w:rPr>
        <w:t>to contact</w:t>
      </w:r>
      <w:r>
        <w:rPr>
          <w:sz w:val="24"/>
          <w:szCs w:val="24"/>
          <w:lang w:eastAsia="en-US"/>
        </w:rPr>
        <w:t xml:space="preserve"> these</w:t>
      </w:r>
      <w:r w:rsidRPr="00BD1CBA">
        <w:rPr>
          <w:sz w:val="24"/>
          <w:szCs w:val="24"/>
          <w:lang w:eastAsia="en-US"/>
        </w:rPr>
        <w:t xml:space="preserve"> beneficiaries and representative payees annually or biennially to ensure beneficiaries are alive and to determine whether there h</w:t>
      </w:r>
      <w:r>
        <w:rPr>
          <w:sz w:val="24"/>
          <w:szCs w:val="24"/>
          <w:lang w:eastAsia="en-US"/>
        </w:rPr>
        <w:t>ave been any unreported events.</w:t>
      </w:r>
      <w:r w:rsidRPr="00BD1CBA">
        <w:rPr>
          <w:sz w:val="24"/>
          <w:szCs w:val="24"/>
          <w:lang w:eastAsia="en-US"/>
        </w:rPr>
        <w:t xml:space="preserve"> The Agency sends beneficiaries receiving their own benefit payments a Form SSA-7162, </w:t>
      </w:r>
      <w:r w:rsidRPr="002B6249">
        <w:rPr>
          <w:i/>
          <w:sz w:val="24"/>
          <w:szCs w:val="24"/>
          <w:lang w:eastAsia="en-US"/>
        </w:rPr>
        <w:t>Report to United States Social Security Administration</w:t>
      </w:r>
      <w:r w:rsidRPr="00BD1CBA">
        <w:rPr>
          <w:sz w:val="24"/>
          <w:szCs w:val="24"/>
          <w:lang w:eastAsia="en-US"/>
        </w:rPr>
        <w:t>, annually or biennially, depending on their age, country of residence, and benefit type</w:t>
      </w:r>
      <w:r>
        <w:rPr>
          <w:sz w:val="24"/>
          <w:szCs w:val="24"/>
          <w:lang w:eastAsia="en-US"/>
        </w:rPr>
        <w:t>. SSA employees review the responses to the questions that solicit information about factors of entitlement to Social Security (</w:t>
      </w:r>
      <w:r>
        <w:rPr>
          <w:sz w:val="24"/>
          <w:szCs w:val="24"/>
          <w:lang w:eastAsia="en-US"/>
        </w:rPr>
        <w:t>e.g.</w:t>
      </w:r>
      <w:r>
        <w:rPr>
          <w:sz w:val="24"/>
          <w:szCs w:val="24"/>
          <w:lang w:eastAsia="en-US"/>
        </w:rPr>
        <w:t xml:space="preserve"> marital status, </w:t>
      </w:r>
      <w:r>
        <w:rPr>
          <w:sz w:val="24"/>
          <w:szCs w:val="24"/>
          <w:lang w:eastAsia="en-US"/>
        </w:rPr>
        <w:t>earnings or self-employment, death, etc.) to determine whether SSA entitles, suspends, or terminates an individual’s benefits</w:t>
      </w:r>
      <w:r w:rsidRPr="007F51EC" w:rsidR="00970306">
        <w:rPr>
          <w:rFonts w:eastAsia="Melior"/>
          <w:bCs/>
          <w:sz w:val="24"/>
          <w:szCs w:val="24"/>
        </w:rPr>
        <w:t>.</w:t>
      </w:r>
    </w:p>
    <w:p w:rsidR="007A5D91" w:rsidP="008E0947" w14:paraId="674E1A33" w14:textId="3A5015AE">
      <w:pPr>
        <w:pStyle w:val="ListParagraph"/>
        <w:tabs>
          <w:tab w:val="left" w:pos="-720"/>
        </w:tabs>
        <w:suppressAutoHyphens/>
        <w:ind w:left="1080"/>
        <w:rPr>
          <w:b/>
          <w:sz w:val="24"/>
          <w:szCs w:val="24"/>
        </w:rPr>
      </w:pPr>
    </w:p>
    <w:p w:rsidR="007A5D91" w:rsidP="008E0947" w14:paraId="2D5C976B" w14:textId="0821AE59">
      <w:pPr>
        <w:pStyle w:val="ListParagraph"/>
        <w:tabs>
          <w:tab w:val="left" w:pos="-720"/>
        </w:tabs>
        <w:suppressAutoHyphens/>
        <w:ind w:left="1080"/>
        <w:rPr>
          <w:sz w:val="24"/>
          <w:szCs w:val="24"/>
        </w:rPr>
      </w:pPr>
      <w:r w:rsidRPr="00BD1CBA">
        <w:rPr>
          <w:sz w:val="24"/>
          <w:szCs w:val="24"/>
          <w:lang w:eastAsia="en-US"/>
        </w:rPr>
        <w:t>Each year, SSA sends representative payees</w:t>
      </w:r>
      <w:r>
        <w:rPr>
          <w:sz w:val="24"/>
          <w:szCs w:val="24"/>
          <w:lang w:eastAsia="en-US"/>
        </w:rPr>
        <w:t xml:space="preserve"> of beneficiaries living abroad</w:t>
      </w:r>
      <w:r w:rsidRPr="00BD1CBA">
        <w:rPr>
          <w:sz w:val="24"/>
          <w:szCs w:val="24"/>
          <w:lang w:eastAsia="en-US"/>
        </w:rPr>
        <w:t xml:space="preserve"> a Form SSA-7161, </w:t>
      </w:r>
      <w:r w:rsidRPr="008C10C6">
        <w:rPr>
          <w:i/>
          <w:sz w:val="24"/>
          <w:szCs w:val="24"/>
          <w:lang w:eastAsia="en-US"/>
        </w:rPr>
        <w:t>Report to United States Social Security Administration by Person Receiving Benefits for a Child or for an Adult Unable to Handle Funds</w:t>
      </w:r>
      <w:r w:rsidRPr="00BD1CBA">
        <w:rPr>
          <w:sz w:val="24"/>
          <w:szCs w:val="24"/>
          <w:lang w:eastAsia="en-US"/>
        </w:rPr>
        <w:t xml:space="preserve">, to complete on behalf of the </w:t>
      </w:r>
      <w:r>
        <w:rPr>
          <w:sz w:val="24"/>
          <w:szCs w:val="24"/>
          <w:lang w:eastAsia="en-US"/>
        </w:rPr>
        <w:t xml:space="preserve">overseas </w:t>
      </w:r>
      <w:r w:rsidRPr="00BD1CBA">
        <w:rPr>
          <w:sz w:val="24"/>
          <w:szCs w:val="24"/>
          <w:lang w:eastAsia="en-US"/>
        </w:rPr>
        <w:t>beneficiaries they serve.</w:t>
      </w:r>
      <w:r>
        <w:rPr>
          <w:sz w:val="24"/>
          <w:szCs w:val="24"/>
          <w:lang w:eastAsia="en-US"/>
        </w:rPr>
        <w:t xml:space="preserve"> Like </w:t>
      </w:r>
      <w:r w:rsidRPr="00970306">
        <w:rPr>
          <w:sz w:val="24"/>
          <w:szCs w:val="24"/>
          <w:lang w:eastAsia="en-US"/>
        </w:rPr>
        <w:t>SSA</w:t>
      </w:r>
      <w:r w:rsidRPr="00970306">
        <w:rPr>
          <w:sz w:val="24"/>
          <w:szCs w:val="24"/>
          <w:lang w:eastAsia="en-US"/>
        </w:rPr>
        <w:noBreakHyphen/>
        <w:t>7162-OCR-SM</w:t>
      </w:r>
      <w:r>
        <w:rPr>
          <w:sz w:val="24"/>
          <w:szCs w:val="24"/>
          <w:lang w:eastAsia="en-US"/>
        </w:rPr>
        <w:t>,</w:t>
      </w:r>
      <w:r w:rsidRPr="00970306">
        <w:rPr>
          <w:sz w:val="24"/>
          <w:szCs w:val="24"/>
          <w:lang w:eastAsia="en-US"/>
        </w:rPr>
        <w:t xml:space="preserve"> </w:t>
      </w:r>
      <w:r w:rsidRPr="00970306">
        <w:rPr>
          <w:sz w:val="24"/>
          <w:szCs w:val="24"/>
          <w:lang w:eastAsia="en-US"/>
        </w:rPr>
        <w:t xml:space="preserve">SSA-7161-OCR-SM </w:t>
      </w:r>
      <w:r>
        <w:rPr>
          <w:sz w:val="24"/>
          <w:szCs w:val="24"/>
          <w:lang w:eastAsia="en-US"/>
        </w:rPr>
        <w:t xml:space="preserve">is used by SSA </w:t>
      </w:r>
      <w:r w:rsidRPr="00970306">
        <w:rPr>
          <w:sz w:val="24"/>
          <w:szCs w:val="24"/>
          <w:lang w:eastAsia="en-US"/>
        </w:rPr>
        <w:t>to:  (1) determine continuing</w:t>
      </w:r>
      <w:r w:rsidRPr="00970306">
        <w:rPr>
          <w:sz w:val="24"/>
          <w:szCs w:val="24"/>
        </w:rPr>
        <w:t xml:space="preserve"> </w:t>
      </w:r>
      <w:r w:rsidRPr="00970306">
        <w:rPr>
          <w:sz w:val="24"/>
          <w:szCs w:val="24"/>
          <w:lang w:eastAsia="en-US"/>
        </w:rPr>
        <w:t>entitlement to Social Security benefits;</w:t>
      </w:r>
      <w:r w:rsidRPr="00970306">
        <w:rPr>
          <w:sz w:val="24"/>
          <w:szCs w:val="24"/>
        </w:rPr>
        <w:t xml:space="preserve"> </w:t>
      </w:r>
      <w:r w:rsidRPr="00970306">
        <w:rPr>
          <w:sz w:val="24"/>
          <w:szCs w:val="24"/>
          <w:lang w:eastAsia="en-US"/>
        </w:rPr>
        <w:t>(2) correct benefit amounts for</w:t>
      </w:r>
      <w:r w:rsidRPr="00970306">
        <w:rPr>
          <w:sz w:val="24"/>
          <w:szCs w:val="24"/>
        </w:rPr>
        <w:t xml:space="preserve"> </w:t>
      </w:r>
      <w:r w:rsidRPr="00970306">
        <w:rPr>
          <w:sz w:val="24"/>
          <w:szCs w:val="24"/>
          <w:lang w:eastAsia="en-US"/>
        </w:rPr>
        <w:t>beneficiaries outside the United States</w:t>
      </w:r>
      <w:r>
        <w:rPr>
          <w:sz w:val="24"/>
          <w:szCs w:val="24"/>
          <w:lang w:eastAsia="en-US"/>
        </w:rPr>
        <w:t xml:space="preserve">. </w:t>
      </w:r>
      <w:r>
        <w:rPr>
          <w:sz w:val="24"/>
          <w:szCs w:val="24"/>
        </w:rPr>
        <w:t>Additionally, the SSA</w:t>
      </w:r>
      <w:r>
        <w:rPr>
          <w:sz w:val="24"/>
          <w:szCs w:val="24"/>
        </w:rPr>
        <w:noBreakHyphen/>
        <w:t>7161</w:t>
      </w:r>
      <w:r>
        <w:rPr>
          <w:sz w:val="24"/>
          <w:szCs w:val="24"/>
        </w:rPr>
        <w:noBreakHyphen/>
        <w:t>OCR</w:t>
      </w:r>
      <w:r>
        <w:rPr>
          <w:sz w:val="24"/>
          <w:szCs w:val="24"/>
        </w:rPr>
        <w:noBreakHyphen/>
        <w:t>SM</w:t>
      </w:r>
      <w:r w:rsidRPr="00970306">
        <w:rPr>
          <w:sz w:val="24"/>
          <w:szCs w:val="24"/>
          <w:lang w:eastAsia="en-US"/>
        </w:rPr>
        <w:t xml:space="preserve"> monitor</w:t>
      </w:r>
      <w:r>
        <w:rPr>
          <w:sz w:val="24"/>
          <w:szCs w:val="24"/>
          <w:lang w:eastAsia="en-US"/>
        </w:rPr>
        <w:t>s</w:t>
      </w:r>
      <w:r w:rsidRPr="00970306">
        <w:rPr>
          <w:sz w:val="24"/>
          <w:szCs w:val="24"/>
          <w:lang w:eastAsia="en-US"/>
        </w:rPr>
        <w:t xml:space="preserve"> the performance of</w:t>
      </w:r>
      <w:r w:rsidRPr="00970306">
        <w:rPr>
          <w:sz w:val="24"/>
          <w:szCs w:val="24"/>
        </w:rPr>
        <w:t xml:space="preserve"> </w:t>
      </w:r>
      <w:r w:rsidRPr="00970306">
        <w:rPr>
          <w:sz w:val="24"/>
          <w:szCs w:val="24"/>
          <w:lang w:eastAsia="en-US"/>
        </w:rPr>
        <w:t>representative payees outside the</w:t>
      </w:r>
      <w:r w:rsidRPr="00970306">
        <w:rPr>
          <w:sz w:val="24"/>
          <w:szCs w:val="24"/>
        </w:rPr>
        <w:t xml:space="preserve"> </w:t>
      </w:r>
      <w:r w:rsidRPr="00970306">
        <w:rPr>
          <w:sz w:val="24"/>
          <w:szCs w:val="24"/>
          <w:lang w:eastAsia="en-US"/>
        </w:rPr>
        <w:t>United States</w:t>
      </w:r>
      <w:r>
        <w:rPr>
          <w:sz w:val="24"/>
          <w:szCs w:val="24"/>
        </w:rPr>
        <w:t xml:space="preserve"> and collects representative payee accounting information.</w:t>
      </w:r>
    </w:p>
    <w:p w:rsidR="007A5D91" w:rsidP="008E0947" w14:paraId="0F2A4AD3" w14:textId="54494073">
      <w:pPr>
        <w:pStyle w:val="ListParagraph"/>
        <w:tabs>
          <w:tab w:val="left" w:pos="-720"/>
        </w:tabs>
        <w:suppressAutoHyphens/>
        <w:ind w:left="1080"/>
        <w:rPr>
          <w:sz w:val="24"/>
          <w:szCs w:val="24"/>
        </w:rPr>
      </w:pPr>
    </w:p>
    <w:p w:rsidR="007A5D91" w:rsidP="008E0947" w14:paraId="193A5AF0" w14:textId="6EA9159B">
      <w:pPr>
        <w:pStyle w:val="ListParagraph"/>
        <w:tabs>
          <w:tab w:val="left" w:pos="-720"/>
        </w:tabs>
        <w:suppressAutoHyphens/>
        <w:ind w:left="1080"/>
        <w:rPr>
          <w:sz w:val="24"/>
          <w:szCs w:val="24"/>
          <w:lang w:eastAsia="en-US"/>
        </w:rPr>
      </w:pPr>
      <w:r w:rsidRPr="00CC3300">
        <w:rPr>
          <w:sz w:val="24"/>
          <w:szCs w:val="24"/>
          <w:lang w:eastAsia="en-US"/>
        </w:rPr>
        <w:t>This collection is mandatory as an annual (or every other year, depending on the country of residence) review for fraud prevention</w:t>
      </w:r>
      <w:r w:rsidRPr="00CC3300">
        <w:rPr>
          <w:sz w:val="24"/>
          <w:szCs w:val="24"/>
        </w:rPr>
        <w:t>,</w:t>
      </w:r>
      <w:r>
        <w:rPr>
          <w:sz w:val="24"/>
          <w:szCs w:val="24"/>
        </w:rPr>
        <w:t xml:space="preserve"> as per the requirements of the Social Security agreements SSA holds with each participating country.</w:t>
      </w:r>
      <w:r>
        <w:rPr>
          <w:sz w:val="24"/>
          <w:szCs w:val="24"/>
          <w:lang w:eastAsia="en-US"/>
        </w:rPr>
        <w:t xml:space="preserve">  T</w:t>
      </w:r>
      <w:r w:rsidRPr="007F51EC">
        <w:rPr>
          <w:sz w:val="24"/>
          <w:szCs w:val="24"/>
          <w:lang w:eastAsia="en-US"/>
        </w:rPr>
        <w:t xml:space="preserve">he </w:t>
      </w:r>
      <w:r>
        <w:rPr>
          <w:sz w:val="24"/>
          <w:szCs w:val="24"/>
          <w:lang w:eastAsia="en-US"/>
        </w:rPr>
        <w:t>responses to either of the forms</w:t>
      </w:r>
      <w:r w:rsidRPr="007F51EC">
        <w:rPr>
          <w:sz w:val="24"/>
          <w:szCs w:val="24"/>
          <w:lang w:eastAsia="en-US"/>
        </w:rPr>
        <w:t xml:space="preserve"> can affect </w:t>
      </w:r>
      <w:r>
        <w:rPr>
          <w:sz w:val="24"/>
          <w:szCs w:val="24"/>
          <w:lang w:eastAsia="en-US"/>
        </w:rPr>
        <w:t>whether SSA continues, increases, or decreases the payment amount</w:t>
      </w:r>
      <w:r w:rsidRPr="007F51EC">
        <w:rPr>
          <w:sz w:val="24"/>
          <w:szCs w:val="24"/>
          <w:lang w:eastAsia="en-US"/>
        </w:rPr>
        <w:t xml:space="preserve">.  </w:t>
      </w:r>
      <w:r w:rsidRPr="00970306">
        <w:rPr>
          <w:sz w:val="24"/>
          <w:szCs w:val="24"/>
        </w:rPr>
        <w:t>SSA employees collect this information via paper form.</w:t>
      </w:r>
    </w:p>
    <w:p w:rsidR="007A5D91" w:rsidP="008E0947" w14:paraId="64567A6F" w14:textId="64A3F2E0">
      <w:pPr>
        <w:pStyle w:val="ListParagraph"/>
        <w:tabs>
          <w:tab w:val="left" w:pos="-720"/>
        </w:tabs>
        <w:suppressAutoHyphens/>
        <w:ind w:left="1080"/>
        <w:rPr>
          <w:sz w:val="24"/>
          <w:szCs w:val="24"/>
          <w:lang w:eastAsia="en-US"/>
        </w:rPr>
      </w:pPr>
    </w:p>
    <w:p w:rsidR="007A5D91" w:rsidP="008E0947" w14:paraId="00A97390" w14:textId="2F8731C4">
      <w:pPr>
        <w:pStyle w:val="ListParagraph"/>
        <w:tabs>
          <w:tab w:val="left" w:pos="-720"/>
        </w:tabs>
        <w:suppressAutoHyphens/>
        <w:ind w:left="1080"/>
        <w:rPr>
          <w:sz w:val="24"/>
          <w:szCs w:val="24"/>
        </w:rPr>
      </w:pPr>
      <w:r w:rsidRPr="002B6249">
        <w:rPr>
          <w:sz w:val="24"/>
          <w:szCs w:val="24"/>
        </w:rPr>
        <w:t>Both of these</w:t>
      </w:r>
      <w:r w:rsidRPr="002B6249">
        <w:rPr>
          <w:sz w:val="24"/>
          <w:szCs w:val="24"/>
        </w:rPr>
        <w:t xml:space="preserve"> forms are used exclusively for overseas-based beneficiaries and, when applicable, their representative payees. Information collections related to US-based representative payees are covered under separate OMB control numbers.</w:t>
      </w:r>
      <w:r>
        <w:rPr>
          <w:sz w:val="24"/>
          <w:szCs w:val="24"/>
        </w:rPr>
        <w:t xml:space="preserve"> (OMB 0960-0068 (includes the SSA-623, SSA-6230 and SSA-6234), OMB 0960-0576 (includes SSA-6233) and OMB 0960-0069 (includes the SSA-624).</w:t>
      </w:r>
    </w:p>
    <w:p w:rsidR="007A5D91" w:rsidP="008E0947" w14:paraId="708CE9CB" w14:textId="68F1F66C">
      <w:pPr>
        <w:pStyle w:val="ListParagraph"/>
        <w:tabs>
          <w:tab w:val="left" w:pos="-720"/>
        </w:tabs>
        <w:suppressAutoHyphens/>
        <w:ind w:left="1080"/>
        <w:rPr>
          <w:sz w:val="24"/>
          <w:szCs w:val="24"/>
        </w:rPr>
      </w:pPr>
    </w:p>
    <w:p w:rsidR="007A5D91" w:rsidRPr="007A5D91" w:rsidP="007A5D91" w14:paraId="0AD7CC13" w14:textId="282DC22F">
      <w:pPr>
        <w:pStyle w:val="ListParagraph"/>
        <w:tabs>
          <w:tab w:val="left" w:pos="-720"/>
        </w:tabs>
        <w:suppressAutoHyphens/>
        <w:ind w:left="1080"/>
        <w:rPr>
          <w:sz w:val="24"/>
          <w:szCs w:val="24"/>
        </w:rPr>
      </w:pPr>
      <w:r w:rsidRPr="007A5D91">
        <w:rPr>
          <w:sz w:val="24"/>
          <w:szCs w:val="24"/>
        </w:rPr>
        <w:t xml:space="preserve">In most recent years, approximately 12-15 percent of respondents to SSA-7162-OCR-SM and 25 percent of respondents to SSA-7161-OCR-SM have failed to respond to the initial FEQ mailer and have required a follow-up mailing. Ultimately, approximately 5-6 percent of respondents to SSA-7162-OCR-SM and 10-11 percent of respondents to SSA-7161-OCR-SM have had their benefits suspended because of failure to respond.  For 2019, 87% percentage of individuals with suspended benefits were ultimately reactivated. </w:t>
      </w:r>
      <w:r>
        <w:rPr>
          <w:sz w:val="24"/>
          <w:szCs w:val="24"/>
        </w:rPr>
        <w:t xml:space="preserve"> </w:t>
      </w:r>
      <w:r w:rsidRPr="007A5D91">
        <w:rPr>
          <w:sz w:val="24"/>
          <w:szCs w:val="24"/>
        </w:rPr>
        <w:t>The agency does not track data pertaining to the number of fraudulent cases identified via this collection</w:t>
      </w:r>
      <w:r>
        <w:rPr>
          <w:sz w:val="24"/>
          <w:szCs w:val="24"/>
        </w:rPr>
        <w:t xml:space="preserve">.  </w:t>
      </w:r>
      <w:r w:rsidRPr="007F51EC">
        <w:rPr>
          <w:sz w:val="24"/>
          <w:szCs w:val="24"/>
          <w:lang w:eastAsia="en-US"/>
        </w:rPr>
        <w:t>The respondents are individuals living outside the United States who are receiving benefits on their own</w:t>
      </w:r>
      <w:r>
        <w:rPr>
          <w:sz w:val="24"/>
          <w:szCs w:val="24"/>
          <w:lang w:eastAsia="en-US"/>
        </w:rPr>
        <w:t xml:space="preserve"> (in the case of SSA-7162-OCR-SM)</w:t>
      </w:r>
      <w:r w:rsidRPr="007F51EC">
        <w:rPr>
          <w:sz w:val="24"/>
          <w:szCs w:val="24"/>
          <w:lang w:eastAsia="en-US"/>
        </w:rPr>
        <w:t xml:space="preserve"> </w:t>
      </w:r>
      <w:r>
        <w:rPr>
          <w:sz w:val="24"/>
          <w:szCs w:val="24"/>
          <w:lang w:eastAsia="en-US"/>
        </w:rPr>
        <w:t xml:space="preserve">or (in the case of SSA-7161-OCR-SM) </w:t>
      </w:r>
      <w:r w:rsidRPr="007F51EC">
        <w:rPr>
          <w:sz w:val="24"/>
          <w:szCs w:val="24"/>
          <w:lang w:eastAsia="en-US"/>
        </w:rPr>
        <w:t>or on behalf of someone else under Title II of the Act</w:t>
      </w:r>
      <w:r>
        <w:rPr>
          <w:sz w:val="24"/>
          <w:szCs w:val="24"/>
          <w:lang w:eastAsia="en-US"/>
        </w:rPr>
        <w:t>.</w:t>
      </w:r>
    </w:p>
    <w:p w:rsidR="00DA5859" w:rsidRPr="007A5D91" w:rsidP="00DA5859" w14:paraId="0A8636B5" w14:textId="77777777">
      <w:pPr>
        <w:tabs>
          <w:tab w:val="left" w:pos="-720"/>
        </w:tabs>
        <w:suppressAutoHyphens/>
        <w:rPr>
          <w:b/>
          <w:sz w:val="24"/>
          <w:szCs w:val="24"/>
        </w:rPr>
      </w:pPr>
    </w:p>
    <w:p w:rsidR="008E0947" w:rsidRPr="008E0947" w:rsidP="00DA5859" w14:paraId="59ED7DD1" w14:textId="77777777">
      <w:pPr>
        <w:pStyle w:val="ListParagraph"/>
        <w:numPr>
          <w:ilvl w:val="0"/>
          <w:numId w:val="21"/>
        </w:numPr>
        <w:tabs>
          <w:tab w:val="left" w:pos="-720"/>
        </w:tabs>
        <w:suppressAutoHyphens/>
        <w:rPr>
          <w:b/>
          <w:sz w:val="24"/>
          <w:szCs w:val="24"/>
        </w:rPr>
      </w:pPr>
      <w:r w:rsidRPr="008E0947">
        <w:rPr>
          <w:b/>
          <w:sz w:val="24"/>
          <w:szCs w:val="24"/>
        </w:rPr>
        <w:t>Use of Information Technology to Collect the Information</w:t>
      </w:r>
    </w:p>
    <w:p w:rsidR="00DA5859" w:rsidRPr="00DA5859" w:rsidP="008E0947" w14:paraId="0700A062" w14:textId="32CA9F31">
      <w:pPr>
        <w:pStyle w:val="ListParagraph"/>
        <w:tabs>
          <w:tab w:val="left" w:pos="-720"/>
        </w:tabs>
        <w:suppressAutoHyphens/>
        <w:ind w:left="1080"/>
        <w:rPr>
          <w:b/>
          <w:sz w:val="24"/>
          <w:szCs w:val="24"/>
        </w:rPr>
      </w:pPr>
      <w:r>
        <w:rPr>
          <w:sz w:val="24"/>
          <w:szCs w:val="24"/>
        </w:rPr>
        <w:t>SSA mails</w:t>
      </w:r>
      <w:r w:rsidR="00984FEF">
        <w:rPr>
          <w:sz w:val="24"/>
          <w:szCs w:val="24"/>
        </w:rPr>
        <w:t xml:space="preserve"> and tracks receipt of</w:t>
      </w:r>
      <w:r>
        <w:rPr>
          <w:sz w:val="24"/>
          <w:szCs w:val="24"/>
        </w:rPr>
        <w:t xml:space="preserve"> the paper </w:t>
      </w:r>
      <w:r w:rsidR="00984FEF">
        <w:rPr>
          <w:sz w:val="24"/>
          <w:szCs w:val="24"/>
        </w:rPr>
        <w:t>Foreign En</w:t>
      </w:r>
      <w:r w:rsidR="007F51EC">
        <w:rPr>
          <w:sz w:val="24"/>
          <w:szCs w:val="24"/>
        </w:rPr>
        <w:t>forcement Questionnaire (FEQ), F</w:t>
      </w:r>
      <w:r w:rsidRPr="00DA5859">
        <w:rPr>
          <w:sz w:val="24"/>
          <w:szCs w:val="24"/>
        </w:rPr>
        <w:t>orms SSA-7161-OCR-SM and SSA-7162-OCR-SM</w:t>
      </w:r>
      <w:r w:rsidR="007F51EC">
        <w:rPr>
          <w:sz w:val="24"/>
          <w:szCs w:val="24"/>
        </w:rPr>
        <w:t>,</w:t>
      </w:r>
      <w:r w:rsidRPr="00DA5859">
        <w:rPr>
          <w:sz w:val="24"/>
          <w:szCs w:val="24"/>
        </w:rPr>
        <w:t xml:space="preserve"> to the beneficiaries or the</w:t>
      </w:r>
      <w:r w:rsidR="00984FEF">
        <w:rPr>
          <w:sz w:val="24"/>
          <w:szCs w:val="24"/>
        </w:rPr>
        <w:t>ir</w:t>
      </w:r>
      <w:r w:rsidRPr="00DA5859">
        <w:rPr>
          <w:sz w:val="24"/>
          <w:szCs w:val="24"/>
        </w:rPr>
        <w:t xml:space="preserve"> representative</w:t>
      </w:r>
      <w:r w:rsidR="005D0E33">
        <w:rPr>
          <w:sz w:val="24"/>
          <w:szCs w:val="24"/>
        </w:rPr>
        <w:t xml:space="preserve"> payee</w:t>
      </w:r>
      <w:r w:rsidRPr="00DA5859">
        <w:rPr>
          <w:sz w:val="24"/>
          <w:szCs w:val="24"/>
        </w:rPr>
        <w:t xml:space="preserve">s.  </w:t>
      </w:r>
      <w:r w:rsidR="007A5D91">
        <w:rPr>
          <w:sz w:val="24"/>
          <w:szCs w:val="24"/>
        </w:rPr>
        <w:t xml:space="preserve">It is the agency’s opinion that it is necessary to use exclusively a mail-based paper form as the only mechanism for receipt and submission of this information collection </w:t>
      </w:r>
      <w:r w:rsidRPr="00DA5859">
        <w:rPr>
          <w:sz w:val="24"/>
          <w:szCs w:val="24"/>
        </w:rPr>
        <w:t xml:space="preserve">because of the high risk of potential fraud in </w:t>
      </w:r>
      <w:r w:rsidRPr="00DA5859">
        <w:rPr>
          <w:sz w:val="24"/>
          <w:szCs w:val="24"/>
        </w:rPr>
        <w:t>the majority of</w:t>
      </w:r>
      <w:r w:rsidRPr="00DA5859">
        <w:rPr>
          <w:sz w:val="24"/>
          <w:szCs w:val="24"/>
        </w:rPr>
        <w:t xml:space="preserve"> the countries where these individuals reside</w:t>
      </w:r>
      <w:r w:rsidR="006F39A1">
        <w:rPr>
          <w:sz w:val="24"/>
          <w:szCs w:val="24"/>
        </w:rPr>
        <w:t>,</w:t>
      </w:r>
      <w:r w:rsidRPr="00DA5859">
        <w:rPr>
          <w:sz w:val="24"/>
          <w:szCs w:val="24"/>
        </w:rPr>
        <w:t xml:space="preserve"> and</w:t>
      </w:r>
      <w:r w:rsidR="006F39A1">
        <w:rPr>
          <w:sz w:val="24"/>
          <w:szCs w:val="24"/>
        </w:rPr>
        <w:t xml:space="preserve"> because of the risk for</w:t>
      </w:r>
      <w:r w:rsidRPr="00DA5859">
        <w:rPr>
          <w:sz w:val="24"/>
          <w:szCs w:val="24"/>
        </w:rPr>
        <w:t xml:space="preserve"> abus</w:t>
      </w:r>
      <w:r w:rsidR="006F39A1">
        <w:rPr>
          <w:sz w:val="24"/>
          <w:szCs w:val="24"/>
        </w:rPr>
        <w:t>ing</w:t>
      </w:r>
      <w:r w:rsidRPr="00DA5859">
        <w:rPr>
          <w:sz w:val="24"/>
          <w:szCs w:val="24"/>
        </w:rPr>
        <w:t xml:space="preserve"> the </w:t>
      </w:r>
      <w:r w:rsidRPr="00DA5859">
        <w:rPr>
          <w:sz w:val="24"/>
          <w:szCs w:val="24"/>
        </w:rPr>
        <w:t>system.  We continually complete vulnerability assessments to determine such fraud risks per country.</w:t>
      </w:r>
    </w:p>
    <w:p w:rsidR="00DA5859" w:rsidRPr="00DA5859" w:rsidP="00DA5859" w14:paraId="3E1580D4" w14:textId="77777777">
      <w:pPr>
        <w:pStyle w:val="ListParagraph"/>
        <w:rPr>
          <w:b/>
          <w:sz w:val="24"/>
          <w:szCs w:val="24"/>
        </w:rPr>
      </w:pPr>
    </w:p>
    <w:p w:rsidR="007F51EC" w:rsidP="00A0071F" w14:paraId="3A29D2DC" w14:textId="00211DD0">
      <w:pPr>
        <w:pStyle w:val="ListParagraph"/>
        <w:tabs>
          <w:tab w:val="left" w:pos="-720"/>
        </w:tabs>
        <w:suppressAutoHyphens/>
        <w:ind w:left="1080"/>
        <w:rPr>
          <w:sz w:val="24"/>
          <w:szCs w:val="24"/>
        </w:rPr>
      </w:pPr>
      <w:r w:rsidRPr="006F39A1">
        <w:rPr>
          <w:sz w:val="24"/>
          <w:szCs w:val="24"/>
        </w:rPr>
        <w:t xml:space="preserve">The Foreign Enforcement Program (FEP) is one of the most important </w:t>
      </w:r>
      <w:r w:rsidRPr="006F39A1">
        <w:rPr>
          <w:sz w:val="24"/>
          <w:szCs w:val="24"/>
        </w:rPr>
        <w:t>integrity</w:t>
      </w:r>
      <w:r w:rsidRPr="006F39A1">
        <w:rPr>
          <w:sz w:val="24"/>
          <w:szCs w:val="24"/>
        </w:rPr>
        <w:t xml:space="preserve"> measures we have at the Social Security Administration (SSA) to verify the existence and identity of beneficiaries living outside the United States</w:t>
      </w:r>
      <w:r>
        <w:rPr>
          <w:sz w:val="24"/>
          <w:szCs w:val="24"/>
        </w:rPr>
        <w:t>.  The use of paper forms also ensures respondents are residing in countries with which we hold Social Security agreements (as we cannot legally send payments to countries with which we have no agreement)</w:t>
      </w:r>
      <w:r w:rsidRPr="006F39A1">
        <w:rPr>
          <w:sz w:val="24"/>
          <w:szCs w:val="24"/>
        </w:rPr>
        <w:t xml:space="preserve">. </w:t>
      </w:r>
      <w:r>
        <w:rPr>
          <w:sz w:val="24"/>
          <w:szCs w:val="24"/>
        </w:rPr>
        <w:t xml:space="preserve"> The agency acknowledges that a respondent could have their mail forwarded to an alternative address than the one SSA believes the respondent resides at and that the agency does </w:t>
      </w:r>
      <w:r w:rsidRPr="00A26C5B">
        <w:rPr>
          <w:sz w:val="24"/>
          <w:szCs w:val="24"/>
        </w:rPr>
        <w:t>not have any way to validate that a responder received the mailer at their listed address.</w:t>
      </w:r>
      <w:r>
        <w:rPr>
          <w:sz w:val="24"/>
          <w:szCs w:val="24"/>
        </w:rPr>
        <w:t xml:space="preserve"> However, the agency believes this risk is significantly lower than what might occur if this collection were conducted electronically.</w:t>
      </w:r>
    </w:p>
    <w:p w:rsidR="007A5D91" w:rsidP="00A0071F" w14:paraId="118172E8" w14:textId="77777777">
      <w:pPr>
        <w:pStyle w:val="ListParagraph"/>
        <w:tabs>
          <w:tab w:val="left" w:pos="-720"/>
        </w:tabs>
        <w:suppressAutoHyphens/>
        <w:ind w:left="1080"/>
        <w:rPr>
          <w:sz w:val="24"/>
          <w:szCs w:val="24"/>
        </w:rPr>
      </w:pPr>
    </w:p>
    <w:p w:rsidR="007F51EC" w:rsidP="00A0071F" w14:paraId="718B04E8" w14:textId="736EEF71">
      <w:pPr>
        <w:pStyle w:val="ListParagraph"/>
        <w:tabs>
          <w:tab w:val="left" w:pos="-720"/>
        </w:tabs>
        <w:suppressAutoHyphens/>
        <w:ind w:left="1080"/>
        <w:rPr>
          <w:sz w:val="24"/>
          <w:szCs w:val="24"/>
        </w:rPr>
      </w:pPr>
      <w:r>
        <w:rPr>
          <w:sz w:val="24"/>
          <w:szCs w:val="24"/>
        </w:rPr>
        <w:t xml:space="preserve">Moreover, the agency does not believe there is any mechanism for submitting this information electronically that would provide satisfactory evidence of a respondent’s residence. The agency does not believe that uploaded supporting documentation for proof-of-address, such as a copy of a respondent’s prior-year tax return, an identification card, or recent bills, provides an equivalent level of fraud prevention relative to a mailed-in FEQ. The agency believes that allowing </w:t>
      </w:r>
      <w:r w:rsidRPr="00E8723E">
        <w:rPr>
          <w:sz w:val="24"/>
          <w:szCs w:val="24"/>
        </w:rPr>
        <w:t>beneficiaries to complete the FEQs electronically online would sacrifice our only method of keeping track of the physical presence of beneficiaries</w:t>
      </w:r>
      <w:r>
        <w:rPr>
          <w:sz w:val="24"/>
          <w:szCs w:val="24"/>
        </w:rPr>
        <w:t xml:space="preserve"> and</w:t>
      </w:r>
      <w:r w:rsidRPr="00E8723E">
        <w:rPr>
          <w:sz w:val="24"/>
          <w:szCs w:val="24"/>
        </w:rPr>
        <w:t xml:space="preserve"> would put the integrity of the foreign Social Security program at risk.</w:t>
      </w:r>
      <w:r>
        <w:rPr>
          <w:sz w:val="24"/>
          <w:szCs w:val="24"/>
        </w:rPr>
        <w:t xml:space="preserve"> Until we have the means to ensure that the level of fraud associated with accepting responses over the Internet is equal to or less than the level of fraud associated with mailed-in response, we cannot create an electronically submit-able version of these forms</w:t>
      </w:r>
      <w:r>
        <w:rPr>
          <w:sz w:val="24"/>
          <w:szCs w:val="24"/>
        </w:rPr>
        <w:t>.</w:t>
      </w:r>
    </w:p>
    <w:p w:rsidR="007A5D91" w:rsidP="007A5D91" w14:paraId="21802227" w14:textId="0B6FA645">
      <w:pPr>
        <w:pStyle w:val="ListParagraph"/>
        <w:tabs>
          <w:tab w:val="left" w:pos="-720"/>
        </w:tabs>
        <w:suppressAutoHyphens/>
        <w:ind w:left="1080"/>
        <w:rPr>
          <w:sz w:val="24"/>
          <w:szCs w:val="24"/>
        </w:rPr>
      </w:pPr>
    </w:p>
    <w:p w:rsidR="007A5D91" w:rsidP="007A5D91" w14:paraId="554A61C2" w14:textId="243899EE">
      <w:pPr>
        <w:pStyle w:val="ListParagraph"/>
        <w:tabs>
          <w:tab w:val="left" w:pos="-720"/>
        </w:tabs>
        <w:suppressAutoHyphens/>
        <w:ind w:left="1080"/>
        <w:rPr>
          <w:sz w:val="24"/>
          <w:szCs w:val="24"/>
        </w:rPr>
      </w:pPr>
      <w:r>
        <w:rPr>
          <w:sz w:val="24"/>
          <w:szCs w:val="24"/>
        </w:rPr>
        <w:t>Finally, even if the agency believed that there was an opportunity to conduct this collection electronically, the agency does not currently have the planned resources to incorporate this collection electronically.</w:t>
      </w:r>
    </w:p>
    <w:p w:rsidR="007A5D91" w:rsidP="007A5D91" w14:paraId="2A7610C3" w14:textId="0E6DBF64">
      <w:pPr>
        <w:pStyle w:val="ListParagraph"/>
        <w:tabs>
          <w:tab w:val="left" w:pos="-720"/>
        </w:tabs>
        <w:suppressAutoHyphens/>
        <w:ind w:left="1080"/>
        <w:rPr>
          <w:sz w:val="24"/>
          <w:szCs w:val="24"/>
        </w:rPr>
      </w:pPr>
    </w:p>
    <w:p w:rsidR="007A5D91" w:rsidRPr="007A5D91" w:rsidP="007A5D91" w14:paraId="23541BCC" w14:textId="4AB25AC0">
      <w:pPr>
        <w:pStyle w:val="ListParagraph"/>
        <w:tabs>
          <w:tab w:val="left" w:pos="-720"/>
        </w:tabs>
        <w:suppressAutoHyphens/>
        <w:ind w:left="1080"/>
        <w:rPr>
          <w:sz w:val="24"/>
          <w:szCs w:val="24"/>
        </w:rPr>
      </w:pPr>
      <w:r>
        <w:rPr>
          <w:sz w:val="24"/>
          <w:szCs w:val="24"/>
        </w:rPr>
        <w:t>To make it easier for respondents, we created fillable PDF versions of these forms for respondents to complete, print, and send to SSA, which we can send to them upon request.  SSA has fillable PDF versions of these forms available internally for SSA technicians and Foreign Benefit Unit personnel to complete, print, and send to SSA on behalf of the beneficiary. We also include a pre-paid envelope for the respondents to use when submitting the forms to SSA.</w:t>
      </w:r>
    </w:p>
    <w:p w:rsidR="00DA5859" w:rsidP="00DA5859" w14:paraId="7D4820F4" w14:textId="77777777">
      <w:pPr>
        <w:pStyle w:val="ListParagraph"/>
        <w:tabs>
          <w:tab w:val="left" w:pos="-720"/>
        </w:tabs>
        <w:suppressAutoHyphens/>
        <w:ind w:left="1080"/>
        <w:rPr>
          <w:b/>
          <w:sz w:val="24"/>
          <w:szCs w:val="24"/>
        </w:rPr>
      </w:pPr>
    </w:p>
    <w:p w:rsidR="008E0947" w:rsidRPr="008E0947" w:rsidP="00487E40" w14:paraId="53252767" w14:textId="77777777">
      <w:pPr>
        <w:pStyle w:val="ListParagraph"/>
        <w:numPr>
          <w:ilvl w:val="0"/>
          <w:numId w:val="21"/>
        </w:numPr>
        <w:tabs>
          <w:tab w:val="left" w:pos="-720"/>
        </w:tabs>
        <w:suppressAutoHyphens/>
        <w:rPr>
          <w:b/>
          <w:sz w:val="24"/>
          <w:szCs w:val="24"/>
        </w:rPr>
      </w:pPr>
      <w:r w:rsidRPr="008E0947">
        <w:rPr>
          <w:b/>
          <w:sz w:val="24"/>
          <w:szCs w:val="24"/>
        </w:rPr>
        <w:t>Why We Cannot Use Duplicate Information</w:t>
      </w:r>
    </w:p>
    <w:p w:rsidR="00487E40" w:rsidRPr="006F39A1" w:rsidP="008E0947" w14:paraId="53657082" w14:textId="77777777">
      <w:pPr>
        <w:pStyle w:val="ListParagraph"/>
        <w:tabs>
          <w:tab w:val="left" w:pos="-720"/>
        </w:tabs>
        <w:suppressAutoHyphens/>
        <w:ind w:left="1080"/>
        <w:rPr>
          <w:b/>
          <w:sz w:val="24"/>
          <w:szCs w:val="24"/>
        </w:rPr>
      </w:pPr>
      <w:r w:rsidRPr="00B97F3D">
        <w:rPr>
          <w:sz w:val="24"/>
          <w:szCs w:val="24"/>
        </w:rPr>
        <w:t xml:space="preserve">The nature of the information </w:t>
      </w:r>
      <w:r>
        <w:rPr>
          <w:sz w:val="24"/>
          <w:szCs w:val="24"/>
        </w:rPr>
        <w:t xml:space="preserve">we collect </w:t>
      </w:r>
      <w:r w:rsidRPr="00B97F3D">
        <w:rPr>
          <w:sz w:val="24"/>
          <w:szCs w:val="24"/>
        </w:rPr>
        <w:t xml:space="preserve">and the manner in which </w:t>
      </w:r>
      <w:r>
        <w:rPr>
          <w:sz w:val="24"/>
          <w:szCs w:val="24"/>
        </w:rPr>
        <w:t xml:space="preserve">we </w:t>
      </w:r>
      <w:r w:rsidRPr="00B97F3D">
        <w:rPr>
          <w:sz w:val="24"/>
          <w:szCs w:val="24"/>
        </w:rPr>
        <w:t>collect</w:t>
      </w:r>
      <w:r>
        <w:rPr>
          <w:sz w:val="24"/>
          <w:szCs w:val="24"/>
        </w:rPr>
        <w:t xml:space="preserve"> it</w:t>
      </w:r>
      <w:r w:rsidRPr="00B97F3D">
        <w:rPr>
          <w:sz w:val="24"/>
          <w:szCs w:val="24"/>
        </w:rPr>
        <w:t xml:space="preserve"> preclude duplication.  </w:t>
      </w:r>
      <w:r>
        <w:rPr>
          <w:sz w:val="24"/>
          <w:szCs w:val="24"/>
        </w:rPr>
        <w:t>SSA does not use another instrument to obtain similar data</w:t>
      </w:r>
      <w:r w:rsidR="0033373D">
        <w:rPr>
          <w:sz w:val="24"/>
          <w:szCs w:val="24"/>
        </w:rPr>
        <w:t xml:space="preserve"> from respondents residing in foreign countries</w:t>
      </w:r>
      <w:r>
        <w:rPr>
          <w:sz w:val="24"/>
          <w:szCs w:val="24"/>
        </w:rPr>
        <w:t>.</w:t>
      </w:r>
    </w:p>
    <w:p w:rsidR="006F39A1" w:rsidP="006F39A1" w14:paraId="759A201D" w14:textId="77777777">
      <w:pPr>
        <w:pStyle w:val="ListParagraph"/>
        <w:tabs>
          <w:tab w:val="left" w:pos="-720"/>
        </w:tabs>
        <w:suppressAutoHyphens/>
        <w:ind w:left="1080"/>
        <w:rPr>
          <w:b/>
          <w:sz w:val="24"/>
          <w:szCs w:val="24"/>
        </w:rPr>
      </w:pPr>
    </w:p>
    <w:p w:rsidR="008E0947" w:rsidRPr="008E0947" w:rsidP="00487E40" w14:paraId="34CEE029" w14:textId="77777777">
      <w:pPr>
        <w:pStyle w:val="ListParagraph"/>
        <w:numPr>
          <w:ilvl w:val="0"/>
          <w:numId w:val="21"/>
        </w:numPr>
        <w:tabs>
          <w:tab w:val="left" w:pos="-720"/>
        </w:tabs>
        <w:suppressAutoHyphens/>
        <w:rPr>
          <w:b/>
          <w:sz w:val="32"/>
          <w:szCs w:val="24"/>
        </w:rPr>
      </w:pPr>
      <w:r w:rsidRPr="008E0947">
        <w:rPr>
          <w:b/>
          <w:sz w:val="24"/>
        </w:rPr>
        <w:t>Minimizing Burden on Small Respondents</w:t>
      </w:r>
    </w:p>
    <w:p w:rsidR="00487E40" w:rsidRPr="006F39A1" w:rsidP="008E0947" w14:paraId="7F7A66D2" w14:textId="77777777">
      <w:pPr>
        <w:pStyle w:val="ListParagraph"/>
        <w:tabs>
          <w:tab w:val="left" w:pos="-720"/>
        </w:tabs>
        <w:suppressAutoHyphens/>
        <w:ind w:left="1080"/>
        <w:rPr>
          <w:b/>
          <w:sz w:val="24"/>
          <w:szCs w:val="24"/>
        </w:rPr>
      </w:pPr>
      <w:r w:rsidRPr="006F39A1">
        <w:rPr>
          <w:sz w:val="24"/>
          <w:szCs w:val="24"/>
        </w:rPr>
        <w:t>This collection does not affect small businesses or other small entities.</w:t>
      </w:r>
    </w:p>
    <w:p w:rsidR="006F39A1" w:rsidRPr="006F39A1" w:rsidP="006F39A1" w14:paraId="15C79601" w14:textId="77777777">
      <w:pPr>
        <w:tabs>
          <w:tab w:val="left" w:pos="-720"/>
        </w:tabs>
        <w:suppressAutoHyphens/>
        <w:rPr>
          <w:b/>
          <w:sz w:val="24"/>
          <w:szCs w:val="24"/>
        </w:rPr>
      </w:pPr>
    </w:p>
    <w:p w:rsidR="008E0947" w:rsidRPr="008E0947" w:rsidP="00487E40" w14:paraId="24D266D4" w14:textId="77777777">
      <w:pPr>
        <w:pStyle w:val="ListParagraph"/>
        <w:numPr>
          <w:ilvl w:val="0"/>
          <w:numId w:val="21"/>
        </w:numPr>
        <w:tabs>
          <w:tab w:val="left" w:pos="-720"/>
        </w:tabs>
        <w:suppressAutoHyphens/>
        <w:rPr>
          <w:b/>
          <w:sz w:val="32"/>
          <w:szCs w:val="24"/>
        </w:rPr>
      </w:pPr>
      <w:r w:rsidRPr="008E0947">
        <w:rPr>
          <w:b/>
          <w:sz w:val="24"/>
        </w:rPr>
        <w:t>Consequence of Not Collecting Information or Collecting it Less Frequently</w:t>
      </w:r>
    </w:p>
    <w:p w:rsidR="00487E40" w:rsidP="008E0947" w14:paraId="36BF8AEA" w14:textId="7AF838B7">
      <w:pPr>
        <w:pStyle w:val="ListParagraph"/>
        <w:tabs>
          <w:tab w:val="left" w:pos="-720"/>
        </w:tabs>
        <w:suppressAutoHyphens/>
        <w:ind w:left="1080"/>
        <w:rPr>
          <w:sz w:val="24"/>
          <w:szCs w:val="24"/>
        </w:rPr>
      </w:pPr>
      <w:r w:rsidRPr="007A5D91">
        <w:rPr>
          <w:sz w:val="24"/>
          <w:szCs w:val="24"/>
        </w:rPr>
        <w:t xml:space="preserve">Forms SSA-7161-OCR-SM and SSA-7162-OCR-SM gather information about events and changes in circumstances that might affect entitlement to Title II benefits, or eligibility for payment of such benefits, from beneficiaries living outside the United States. </w:t>
      </w:r>
      <w:r>
        <w:rPr>
          <w:sz w:val="24"/>
          <w:szCs w:val="24"/>
        </w:rPr>
        <w:t xml:space="preserve"> </w:t>
      </w:r>
      <w:r w:rsidRPr="007A5D91">
        <w:rPr>
          <w:sz w:val="24"/>
          <w:szCs w:val="24"/>
        </w:rPr>
        <w:t>There is less likelihood of learning about such events and changes in circumstances that might affect entitlement to Title II benefits for beneficiaries living outside the United States since it is often more difficult for these beneficiaries to self</w:t>
      </w:r>
      <w:r>
        <w:rPr>
          <w:sz w:val="24"/>
          <w:szCs w:val="24"/>
        </w:rPr>
        <w:noBreakHyphen/>
      </w:r>
      <w:r w:rsidRPr="007A5D91">
        <w:rPr>
          <w:sz w:val="24"/>
          <w:szCs w:val="24"/>
        </w:rPr>
        <w:t xml:space="preserve">report. </w:t>
      </w:r>
      <w:r>
        <w:rPr>
          <w:sz w:val="24"/>
          <w:szCs w:val="24"/>
        </w:rPr>
        <w:t xml:space="preserve"> </w:t>
      </w:r>
      <w:r w:rsidRPr="007A5D91">
        <w:rPr>
          <w:sz w:val="24"/>
          <w:szCs w:val="24"/>
        </w:rPr>
        <w:t>Additionally, SSA-7161-OCR-SM serves as the tool for annual accountability by representative payees who live outside the United States.  Not collecting information using Forms SSA 7161-OCR-SM and SSA-7162-OCR-SM, could result in improper payments and overpayments. </w:t>
      </w:r>
      <w:r>
        <w:rPr>
          <w:sz w:val="24"/>
          <w:szCs w:val="24"/>
        </w:rPr>
        <w:t xml:space="preserve"> </w:t>
      </w:r>
      <w:r w:rsidRPr="007A5D91">
        <w:rPr>
          <w:sz w:val="24"/>
          <w:szCs w:val="24"/>
        </w:rPr>
        <w:t>We require annual completion of Form SSA-7161-OCR-SM because annual accountability by representative payees is mandated by 42 USC 405(j)(3)(A)</w:t>
      </w:r>
      <w:r w:rsidRPr="007A5D91" w:rsidR="006F39A1">
        <w:rPr>
          <w:sz w:val="24"/>
          <w:szCs w:val="24"/>
        </w:rPr>
        <w:t>.</w:t>
      </w:r>
    </w:p>
    <w:p w:rsidR="007A5D91" w:rsidP="008E0947" w14:paraId="1FA4CB94" w14:textId="1022B36D">
      <w:pPr>
        <w:pStyle w:val="ListParagraph"/>
        <w:tabs>
          <w:tab w:val="left" w:pos="-720"/>
        </w:tabs>
        <w:suppressAutoHyphens/>
        <w:ind w:left="1080"/>
        <w:rPr>
          <w:sz w:val="24"/>
          <w:szCs w:val="24"/>
        </w:rPr>
      </w:pPr>
    </w:p>
    <w:p w:rsidR="007A5D91" w:rsidRPr="007A5D91" w:rsidP="008E0947" w14:paraId="1E4A1B17" w14:textId="391B3120">
      <w:pPr>
        <w:pStyle w:val="ListParagraph"/>
        <w:tabs>
          <w:tab w:val="left" w:pos="-720"/>
        </w:tabs>
        <w:suppressAutoHyphens/>
        <w:ind w:left="1080"/>
        <w:rPr>
          <w:b/>
          <w:sz w:val="24"/>
          <w:szCs w:val="24"/>
        </w:rPr>
      </w:pPr>
      <w:r w:rsidRPr="007A5D91">
        <w:rPr>
          <w:sz w:val="24"/>
          <w:szCs w:val="24"/>
        </w:rPr>
        <w:t xml:space="preserve">Based on the authority in 42 U.S.C. 405, we established policy for annual reporting by beneficiaries outside the United States for those in certain categories or living in certain countries where we have determined such events are more likely or that there is a lower likelihood that we would receive such information in a timely manner.  We have established policy to require bi-annual reporting from beneficiaries living in certain countries or fit into categories where there is a higher likelihood of getting this information </w:t>
      </w:r>
      <w:r w:rsidRPr="007A5D91">
        <w:rPr>
          <w:sz w:val="24"/>
          <w:szCs w:val="24"/>
        </w:rPr>
        <w:t>more timely</w:t>
      </w:r>
      <w:r w:rsidRPr="007A5D91">
        <w:rPr>
          <w:sz w:val="24"/>
          <w:szCs w:val="24"/>
        </w:rPr>
        <w:t>. There are no technical or legal obstacles to burden reduction</w:t>
      </w:r>
      <w:r>
        <w:rPr>
          <w:sz w:val="24"/>
          <w:szCs w:val="24"/>
        </w:rPr>
        <w:t>.</w:t>
      </w:r>
    </w:p>
    <w:p w:rsidR="006F39A1" w:rsidRPr="006F39A1" w:rsidP="006F39A1" w14:paraId="6D40F9D0" w14:textId="77777777">
      <w:pPr>
        <w:tabs>
          <w:tab w:val="left" w:pos="-720"/>
        </w:tabs>
        <w:suppressAutoHyphens/>
        <w:rPr>
          <w:b/>
          <w:sz w:val="24"/>
          <w:szCs w:val="24"/>
        </w:rPr>
      </w:pPr>
    </w:p>
    <w:p w:rsidR="008E0947" w:rsidRPr="008E0947" w:rsidP="00487E40" w14:paraId="70BC935A" w14:textId="77777777">
      <w:pPr>
        <w:pStyle w:val="ListParagraph"/>
        <w:numPr>
          <w:ilvl w:val="0"/>
          <w:numId w:val="21"/>
        </w:numPr>
        <w:tabs>
          <w:tab w:val="left" w:pos="-720"/>
        </w:tabs>
        <w:suppressAutoHyphens/>
        <w:rPr>
          <w:b/>
          <w:sz w:val="32"/>
          <w:szCs w:val="24"/>
        </w:rPr>
      </w:pPr>
      <w:r w:rsidRPr="008E0947">
        <w:rPr>
          <w:b/>
          <w:sz w:val="24"/>
        </w:rPr>
        <w:t>Special Circumstances</w:t>
      </w:r>
    </w:p>
    <w:p w:rsidR="00487E40" w:rsidRPr="008E0947" w:rsidP="008E0947" w14:paraId="0D6DC807" w14:textId="77777777">
      <w:pPr>
        <w:pStyle w:val="ListParagraph"/>
        <w:tabs>
          <w:tab w:val="left" w:pos="-720"/>
        </w:tabs>
        <w:suppressAutoHyphens/>
        <w:ind w:left="1080"/>
        <w:rPr>
          <w:b/>
          <w:sz w:val="24"/>
          <w:szCs w:val="24"/>
        </w:rPr>
      </w:pPr>
      <w:r w:rsidRPr="00B97F3D">
        <w:rPr>
          <w:sz w:val="24"/>
          <w:szCs w:val="24"/>
        </w:rPr>
        <w:t xml:space="preserve">There are no special circumstances that would cause </w:t>
      </w:r>
      <w:r>
        <w:rPr>
          <w:sz w:val="24"/>
          <w:szCs w:val="24"/>
        </w:rPr>
        <w:t xml:space="preserve">SSA to conduct </w:t>
      </w:r>
      <w:r w:rsidRPr="00B97F3D">
        <w:rPr>
          <w:sz w:val="24"/>
          <w:szCs w:val="24"/>
        </w:rPr>
        <w:t xml:space="preserve">this information collection in a manner </w:t>
      </w:r>
      <w:r>
        <w:rPr>
          <w:sz w:val="24"/>
          <w:szCs w:val="24"/>
        </w:rPr>
        <w:t>i</w:t>
      </w:r>
      <w:r w:rsidRPr="00B97F3D">
        <w:rPr>
          <w:sz w:val="24"/>
          <w:szCs w:val="24"/>
        </w:rPr>
        <w:t xml:space="preserve">nconsistent with </w:t>
      </w:r>
      <w:r w:rsidRPr="008E0947">
        <w:rPr>
          <w:i/>
          <w:sz w:val="24"/>
          <w:szCs w:val="24"/>
        </w:rPr>
        <w:t>5 CFR 1320.5</w:t>
      </w:r>
      <w:r>
        <w:rPr>
          <w:sz w:val="24"/>
          <w:szCs w:val="24"/>
        </w:rPr>
        <w:t>.</w:t>
      </w:r>
    </w:p>
    <w:p w:rsidR="00C44451" w:rsidRPr="008E0947" w:rsidP="008E0947" w14:paraId="35523D8E" w14:textId="77777777">
      <w:pPr>
        <w:tabs>
          <w:tab w:val="left" w:pos="-720"/>
        </w:tabs>
        <w:suppressAutoHyphens/>
        <w:rPr>
          <w:b/>
          <w:sz w:val="24"/>
          <w:szCs w:val="24"/>
        </w:rPr>
      </w:pPr>
    </w:p>
    <w:p w:rsidR="008E0947" w:rsidRPr="008E0947" w:rsidP="00487E40" w14:paraId="2F104269" w14:textId="77777777">
      <w:pPr>
        <w:pStyle w:val="ListParagraph"/>
        <w:numPr>
          <w:ilvl w:val="0"/>
          <w:numId w:val="21"/>
        </w:numPr>
        <w:tabs>
          <w:tab w:val="left" w:pos="-720"/>
        </w:tabs>
        <w:suppressAutoHyphens/>
        <w:rPr>
          <w:b/>
          <w:sz w:val="32"/>
          <w:szCs w:val="24"/>
        </w:rPr>
      </w:pPr>
      <w:r w:rsidRPr="008E0947">
        <w:rPr>
          <w:b/>
          <w:sz w:val="24"/>
        </w:rPr>
        <w:t>Solicitation of Public Comment and Other Consultations with the Public</w:t>
      </w:r>
    </w:p>
    <w:p w:rsidR="00487E40" w:rsidRPr="008E0947" w:rsidP="008E0947" w14:paraId="1DD0771C" w14:textId="77777777">
      <w:pPr>
        <w:pStyle w:val="ListParagraph"/>
        <w:tabs>
          <w:tab w:val="left" w:pos="-720"/>
        </w:tabs>
        <w:suppressAutoHyphens/>
        <w:ind w:left="1080"/>
        <w:rPr>
          <w:b/>
          <w:sz w:val="24"/>
          <w:szCs w:val="24"/>
        </w:rPr>
      </w:pPr>
      <w:r w:rsidRPr="008E0947">
        <w:rPr>
          <w:sz w:val="24"/>
          <w:szCs w:val="24"/>
        </w:rPr>
        <w:t xml:space="preserve">The 60-day advance Federal Register Notice published on </w:t>
      </w:r>
      <w:r w:rsidR="0033373D">
        <w:rPr>
          <w:sz w:val="24"/>
          <w:szCs w:val="24"/>
        </w:rPr>
        <w:t>June 4, 2019 at 84</w:t>
      </w:r>
      <w:r w:rsidRPr="008E0947">
        <w:rPr>
          <w:sz w:val="24"/>
          <w:szCs w:val="24"/>
        </w:rPr>
        <w:t xml:space="preserve"> FR </w:t>
      </w:r>
      <w:r w:rsidR="0033373D">
        <w:rPr>
          <w:sz w:val="24"/>
          <w:szCs w:val="24"/>
        </w:rPr>
        <w:t>25891</w:t>
      </w:r>
      <w:r w:rsidRPr="008E0947">
        <w:rPr>
          <w:sz w:val="24"/>
          <w:szCs w:val="24"/>
        </w:rPr>
        <w:t xml:space="preserve">, and we received no public comments.  SSA published the second Notice on </w:t>
      </w:r>
      <w:r w:rsidR="0033373D">
        <w:rPr>
          <w:sz w:val="24"/>
          <w:szCs w:val="24"/>
        </w:rPr>
        <w:t>August 13, 2019, at 84</w:t>
      </w:r>
      <w:r w:rsidRPr="008E0947">
        <w:rPr>
          <w:sz w:val="24"/>
          <w:szCs w:val="24"/>
        </w:rPr>
        <w:t xml:space="preserve"> FR </w:t>
      </w:r>
      <w:r w:rsidR="0033373D">
        <w:rPr>
          <w:sz w:val="24"/>
          <w:szCs w:val="24"/>
        </w:rPr>
        <w:t>40121</w:t>
      </w:r>
      <w:r w:rsidRPr="008E0947">
        <w:rPr>
          <w:sz w:val="24"/>
          <w:szCs w:val="24"/>
        </w:rPr>
        <w:t>.  If we receive comments in response to the 30</w:t>
      </w:r>
      <w:r w:rsidRPr="008E0947">
        <w:rPr>
          <w:sz w:val="24"/>
          <w:szCs w:val="24"/>
        </w:rPr>
        <w:noBreakHyphen/>
        <w:t>day Notice, we will forward them to OMB.  We did not consult with the public in the revision of this form.</w:t>
      </w:r>
    </w:p>
    <w:p w:rsidR="008E0947" w:rsidRPr="008E0947" w:rsidP="008E0947" w14:paraId="61763327" w14:textId="77777777">
      <w:pPr>
        <w:tabs>
          <w:tab w:val="left" w:pos="-720"/>
        </w:tabs>
        <w:suppressAutoHyphens/>
        <w:rPr>
          <w:b/>
          <w:sz w:val="24"/>
          <w:szCs w:val="24"/>
        </w:rPr>
      </w:pPr>
    </w:p>
    <w:p w:rsidR="008E0947" w:rsidRPr="008E0947" w:rsidP="00487E40" w14:paraId="0E955209" w14:textId="77777777">
      <w:pPr>
        <w:pStyle w:val="ListParagraph"/>
        <w:numPr>
          <w:ilvl w:val="0"/>
          <w:numId w:val="21"/>
        </w:numPr>
        <w:tabs>
          <w:tab w:val="left" w:pos="-720"/>
        </w:tabs>
        <w:suppressAutoHyphens/>
        <w:rPr>
          <w:b/>
          <w:sz w:val="24"/>
          <w:szCs w:val="24"/>
        </w:rPr>
      </w:pPr>
      <w:r w:rsidRPr="008E0947">
        <w:rPr>
          <w:b/>
          <w:sz w:val="24"/>
        </w:rPr>
        <w:t>Payment or Gifts to Respondents</w:t>
      </w:r>
    </w:p>
    <w:p w:rsidR="00487E40" w:rsidRPr="008E0947" w:rsidP="008E0947" w14:paraId="1178E835" w14:textId="77777777">
      <w:pPr>
        <w:pStyle w:val="ListParagraph"/>
        <w:tabs>
          <w:tab w:val="left" w:pos="-720"/>
        </w:tabs>
        <w:suppressAutoHyphens/>
        <w:ind w:left="1080"/>
        <w:rPr>
          <w:b/>
          <w:sz w:val="24"/>
          <w:szCs w:val="24"/>
        </w:rPr>
      </w:pPr>
      <w:r w:rsidRPr="00B97F3D">
        <w:rPr>
          <w:sz w:val="24"/>
          <w:szCs w:val="24"/>
        </w:rPr>
        <w:t xml:space="preserve">SSA </w:t>
      </w:r>
      <w:r>
        <w:rPr>
          <w:sz w:val="24"/>
          <w:szCs w:val="24"/>
        </w:rPr>
        <w:t xml:space="preserve">does not provide </w:t>
      </w:r>
      <w:r w:rsidRPr="00B97F3D">
        <w:rPr>
          <w:sz w:val="24"/>
          <w:szCs w:val="24"/>
        </w:rPr>
        <w:t>payment</w:t>
      </w:r>
      <w:r>
        <w:rPr>
          <w:sz w:val="24"/>
          <w:szCs w:val="24"/>
        </w:rPr>
        <w:t>s</w:t>
      </w:r>
      <w:r w:rsidRPr="00B97F3D">
        <w:rPr>
          <w:sz w:val="24"/>
          <w:szCs w:val="24"/>
        </w:rPr>
        <w:t xml:space="preserve"> or gifts to the respondents</w:t>
      </w:r>
      <w:r>
        <w:rPr>
          <w:sz w:val="24"/>
          <w:szCs w:val="24"/>
        </w:rPr>
        <w:t>.</w:t>
      </w:r>
    </w:p>
    <w:p w:rsidR="008E0947" w:rsidP="008E0947" w14:paraId="6670F0EC" w14:textId="77777777">
      <w:pPr>
        <w:pStyle w:val="ListParagraph"/>
        <w:tabs>
          <w:tab w:val="left" w:pos="-720"/>
        </w:tabs>
        <w:suppressAutoHyphens/>
        <w:ind w:left="1080"/>
        <w:rPr>
          <w:b/>
          <w:sz w:val="24"/>
          <w:szCs w:val="24"/>
        </w:rPr>
      </w:pPr>
    </w:p>
    <w:p w:rsidR="008E0947" w:rsidRPr="008E0947" w:rsidP="00487E40" w14:paraId="15D78C5E" w14:textId="77777777">
      <w:pPr>
        <w:pStyle w:val="ListParagraph"/>
        <w:numPr>
          <w:ilvl w:val="0"/>
          <w:numId w:val="21"/>
        </w:numPr>
        <w:tabs>
          <w:tab w:val="left" w:pos="-720"/>
        </w:tabs>
        <w:suppressAutoHyphens/>
        <w:rPr>
          <w:b/>
          <w:sz w:val="24"/>
          <w:szCs w:val="24"/>
        </w:rPr>
      </w:pPr>
      <w:r w:rsidRPr="008E0947">
        <w:rPr>
          <w:b/>
          <w:sz w:val="24"/>
        </w:rPr>
        <w:t>Assurances of Confidentiality</w:t>
      </w:r>
      <w:r>
        <w:rPr>
          <w:sz w:val="24"/>
          <w:szCs w:val="24"/>
        </w:rPr>
        <w:t xml:space="preserve"> </w:t>
      </w:r>
    </w:p>
    <w:p w:rsidR="00487E40" w:rsidRPr="008E0947" w:rsidP="008E0947" w14:paraId="0930A494" w14:textId="77777777">
      <w:pPr>
        <w:pStyle w:val="ListParagraph"/>
        <w:tabs>
          <w:tab w:val="left" w:pos="-720"/>
        </w:tabs>
        <w:suppressAutoHyphens/>
        <w:ind w:left="1080"/>
        <w:rPr>
          <w:b/>
          <w:sz w:val="24"/>
          <w:szCs w:val="24"/>
        </w:rPr>
      </w:pPr>
      <w:r>
        <w:rPr>
          <w:sz w:val="24"/>
          <w:szCs w:val="24"/>
        </w:rPr>
        <w:t>SSA protects and holds confid</w:t>
      </w:r>
      <w:r w:rsidRPr="00B97F3D">
        <w:rPr>
          <w:sz w:val="24"/>
          <w:szCs w:val="24"/>
        </w:rPr>
        <w:t xml:space="preserve">ential </w:t>
      </w:r>
      <w:r>
        <w:rPr>
          <w:sz w:val="24"/>
          <w:szCs w:val="24"/>
        </w:rPr>
        <w:t xml:space="preserve">the information it collects </w:t>
      </w:r>
      <w:r w:rsidRPr="00B97F3D">
        <w:rPr>
          <w:sz w:val="24"/>
          <w:szCs w:val="24"/>
        </w:rPr>
        <w:t xml:space="preserve">in accordance with </w:t>
      </w:r>
      <w:r w:rsidR="0033373D">
        <w:rPr>
          <w:i/>
          <w:sz w:val="24"/>
          <w:szCs w:val="24"/>
        </w:rPr>
        <w:t>42 </w:t>
      </w:r>
      <w:r w:rsidRPr="008E0947">
        <w:rPr>
          <w:i/>
          <w:sz w:val="24"/>
          <w:szCs w:val="24"/>
        </w:rPr>
        <w:t>U.S.C. 1306, 20 CFR 401</w:t>
      </w:r>
      <w:r w:rsidRPr="00B97F3D">
        <w:rPr>
          <w:sz w:val="24"/>
          <w:szCs w:val="24"/>
        </w:rPr>
        <w:t xml:space="preserve"> and </w:t>
      </w:r>
      <w:r w:rsidRPr="008E0947">
        <w:rPr>
          <w:i/>
          <w:sz w:val="24"/>
          <w:szCs w:val="24"/>
        </w:rPr>
        <w:t>402, 5 U.S.C. 552</w:t>
      </w:r>
      <w:r w:rsidRPr="00B97F3D">
        <w:rPr>
          <w:sz w:val="24"/>
          <w:szCs w:val="24"/>
        </w:rPr>
        <w:t xml:space="preserve"> (Freedom of Information Act), </w:t>
      </w:r>
      <w:r w:rsidR="0033373D">
        <w:rPr>
          <w:i/>
          <w:sz w:val="24"/>
          <w:szCs w:val="24"/>
        </w:rPr>
        <w:t>5 </w:t>
      </w:r>
      <w:r w:rsidRPr="008E0947">
        <w:rPr>
          <w:i/>
          <w:sz w:val="24"/>
          <w:szCs w:val="24"/>
        </w:rPr>
        <w:t>U.S.C. 552a</w:t>
      </w:r>
      <w:r w:rsidRPr="00B97F3D">
        <w:rPr>
          <w:sz w:val="24"/>
          <w:szCs w:val="24"/>
        </w:rPr>
        <w:t xml:space="preserve"> (Privacy Act of 1974) and OMB Circular No. A-130</w:t>
      </w:r>
      <w:r>
        <w:rPr>
          <w:sz w:val="24"/>
          <w:szCs w:val="24"/>
        </w:rPr>
        <w:t>.</w:t>
      </w:r>
    </w:p>
    <w:p w:rsidR="008E0947" w:rsidRPr="008E0947" w:rsidP="008E0947" w14:paraId="2A267E9C" w14:textId="77777777">
      <w:pPr>
        <w:tabs>
          <w:tab w:val="left" w:pos="-720"/>
        </w:tabs>
        <w:suppressAutoHyphens/>
        <w:rPr>
          <w:b/>
          <w:sz w:val="24"/>
          <w:szCs w:val="24"/>
        </w:rPr>
      </w:pPr>
    </w:p>
    <w:p w:rsidR="008E0947" w:rsidRPr="008E0947" w:rsidP="00487E40" w14:paraId="21D3ED08" w14:textId="77777777">
      <w:pPr>
        <w:pStyle w:val="ListParagraph"/>
        <w:numPr>
          <w:ilvl w:val="0"/>
          <w:numId w:val="21"/>
        </w:numPr>
        <w:tabs>
          <w:tab w:val="left" w:pos="-720"/>
        </w:tabs>
        <w:suppressAutoHyphens/>
        <w:rPr>
          <w:b/>
          <w:sz w:val="24"/>
          <w:szCs w:val="24"/>
        </w:rPr>
      </w:pPr>
      <w:r w:rsidRPr="008E0947">
        <w:rPr>
          <w:b/>
          <w:sz w:val="24"/>
        </w:rPr>
        <w:t>Justification for Sensitive Questions</w:t>
      </w:r>
      <w:r w:rsidRPr="008E0947">
        <w:rPr>
          <w:sz w:val="32"/>
          <w:szCs w:val="24"/>
        </w:rPr>
        <w:t xml:space="preserve"> </w:t>
      </w:r>
    </w:p>
    <w:p w:rsidR="00487E40" w:rsidRPr="008E0947" w:rsidP="008E0947" w14:paraId="5A3914E3" w14:textId="77777777">
      <w:pPr>
        <w:pStyle w:val="ListParagraph"/>
        <w:tabs>
          <w:tab w:val="left" w:pos="-720"/>
        </w:tabs>
        <w:suppressAutoHyphens/>
        <w:ind w:left="1080"/>
        <w:rPr>
          <w:b/>
          <w:sz w:val="24"/>
          <w:szCs w:val="24"/>
        </w:rPr>
      </w:pPr>
      <w:r w:rsidRPr="00B97F3D">
        <w:rPr>
          <w:sz w:val="24"/>
          <w:szCs w:val="24"/>
        </w:rPr>
        <w:t xml:space="preserve">The information collection does not contain any questions of a sensitive </w:t>
      </w:r>
      <w:r>
        <w:rPr>
          <w:sz w:val="24"/>
          <w:szCs w:val="24"/>
        </w:rPr>
        <w:t>n</w:t>
      </w:r>
      <w:r w:rsidRPr="00B97F3D">
        <w:rPr>
          <w:sz w:val="24"/>
          <w:szCs w:val="24"/>
        </w:rPr>
        <w:t>ature</w:t>
      </w:r>
      <w:r>
        <w:rPr>
          <w:sz w:val="24"/>
          <w:szCs w:val="24"/>
        </w:rPr>
        <w:t>.</w:t>
      </w:r>
    </w:p>
    <w:p w:rsidR="008E0947" w:rsidP="008E0947" w14:paraId="5AE31F28" w14:textId="63386114">
      <w:pPr>
        <w:tabs>
          <w:tab w:val="left" w:pos="-720"/>
        </w:tabs>
        <w:suppressAutoHyphens/>
        <w:rPr>
          <w:b/>
          <w:sz w:val="24"/>
          <w:szCs w:val="24"/>
        </w:rPr>
      </w:pPr>
    </w:p>
    <w:p w:rsidR="007A5D91" w:rsidRPr="008E0947" w:rsidP="008E0947" w14:paraId="04F12EE9" w14:textId="77777777">
      <w:pPr>
        <w:tabs>
          <w:tab w:val="left" w:pos="-720"/>
        </w:tabs>
        <w:suppressAutoHyphens/>
        <w:rPr>
          <w:b/>
          <w:sz w:val="24"/>
          <w:szCs w:val="24"/>
        </w:rPr>
      </w:pPr>
    </w:p>
    <w:p w:rsidR="008E0947" w:rsidRPr="008E0947" w:rsidP="00487E40" w14:paraId="562F2170" w14:textId="77777777">
      <w:pPr>
        <w:pStyle w:val="ListParagraph"/>
        <w:numPr>
          <w:ilvl w:val="0"/>
          <w:numId w:val="21"/>
        </w:numPr>
        <w:tabs>
          <w:tab w:val="left" w:pos="-720"/>
        </w:tabs>
        <w:suppressAutoHyphens/>
        <w:rPr>
          <w:b/>
          <w:sz w:val="24"/>
          <w:szCs w:val="24"/>
        </w:rPr>
      </w:pPr>
      <w:r w:rsidRPr="008E0947">
        <w:rPr>
          <w:b/>
          <w:sz w:val="24"/>
        </w:rPr>
        <w:t>Estimates of Public Reporting Burden</w:t>
      </w:r>
    </w:p>
    <w:p w:rsidR="00487E40" w:rsidP="008E0947" w14:paraId="6922B2B5" w14:textId="77777777">
      <w:pPr>
        <w:pStyle w:val="ListParagraph"/>
        <w:tabs>
          <w:tab w:val="left" w:pos="-720"/>
        </w:tabs>
        <w:suppressAutoHyphens/>
        <w:ind w:left="1080"/>
        <w:rPr>
          <w:sz w:val="24"/>
          <w:szCs w:val="24"/>
        </w:rPr>
      </w:pPr>
      <w:r>
        <w:rPr>
          <w:sz w:val="24"/>
          <w:szCs w:val="24"/>
        </w:rPr>
        <w:t xml:space="preserve">The following chart shows the </w:t>
      </w:r>
      <w:r w:rsidR="00C44451">
        <w:rPr>
          <w:sz w:val="24"/>
          <w:szCs w:val="24"/>
        </w:rPr>
        <w:t xml:space="preserve">public reporting </w:t>
      </w:r>
      <w:r>
        <w:rPr>
          <w:sz w:val="24"/>
          <w:szCs w:val="24"/>
        </w:rPr>
        <w:t>burden</w:t>
      </w:r>
      <w:r w:rsidR="00C44451">
        <w:rPr>
          <w:sz w:val="24"/>
          <w:szCs w:val="24"/>
        </w:rPr>
        <w:t>s</w:t>
      </w:r>
      <w:r>
        <w:rPr>
          <w:sz w:val="24"/>
          <w:szCs w:val="24"/>
        </w:rPr>
        <w:t xml:space="preserve"> for the SSA-7161-OCR-SM and the SSA</w:t>
      </w:r>
      <w:r>
        <w:rPr>
          <w:sz w:val="24"/>
          <w:szCs w:val="24"/>
        </w:rPr>
        <w:noBreakHyphen/>
        <w:t>7162-OCR-SM:</w:t>
      </w:r>
    </w:p>
    <w:p w:rsidR="005A7CF3" w:rsidP="008E0947" w14:paraId="732EAE9B" w14:textId="77777777">
      <w:pPr>
        <w:pStyle w:val="ListParagraph"/>
        <w:tabs>
          <w:tab w:val="left" w:pos="-720"/>
        </w:tabs>
        <w:suppressAutoHyphens/>
        <w:ind w:left="1080"/>
        <w:rPr>
          <w:sz w:val="24"/>
          <w:szCs w:val="24"/>
        </w:rPr>
      </w:pPr>
    </w:p>
    <w:tbl>
      <w:tblPr>
        <w:tblW w:w="9814"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6"/>
        <w:gridCol w:w="1523"/>
        <w:gridCol w:w="1310"/>
        <w:gridCol w:w="1190"/>
        <w:gridCol w:w="1450"/>
        <w:gridCol w:w="1389"/>
        <w:gridCol w:w="1536"/>
      </w:tblGrid>
      <w:tr w14:paraId="78AC9B73" w14:textId="77777777" w:rsidTr="005A7CF3">
        <w:tblPrEx>
          <w:tblW w:w="9814"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416" w:type="dxa"/>
          </w:tcPr>
          <w:p w:rsidR="005A7CF3" w:rsidRPr="005A7CF3" w:rsidP="00FB6814" w14:paraId="60ED5CE1" w14:textId="77777777">
            <w:pPr>
              <w:rPr>
                <w:b/>
                <w:sz w:val="24"/>
                <w:szCs w:val="24"/>
              </w:rPr>
            </w:pPr>
            <w:r w:rsidRPr="005A7CF3">
              <w:rPr>
                <w:b/>
                <w:sz w:val="24"/>
                <w:szCs w:val="24"/>
              </w:rPr>
              <w:t>Modality of Completion</w:t>
            </w:r>
          </w:p>
        </w:tc>
        <w:tc>
          <w:tcPr>
            <w:tcW w:w="1523" w:type="dxa"/>
          </w:tcPr>
          <w:p w:rsidR="005A7CF3" w:rsidRPr="005A7CF3" w:rsidP="00FB6814" w14:paraId="0D110539" w14:textId="77777777">
            <w:pPr>
              <w:rPr>
                <w:b/>
                <w:sz w:val="24"/>
                <w:szCs w:val="24"/>
              </w:rPr>
            </w:pPr>
            <w:r w:rsidRPr="005A7CF3">
              <w:rPr>
                <w:b/>
                <w:sz w:val="24"/>
                <w:szCs w:val="24"/>
              </w:rPr>
              <w:t>Number of Respondents</w:t>
            </w:r>
          </w:p>
        </w:tc>
        <w:tc>
          <w:tcPr>
            <w:tcW w:w="1310" w:type="dxa"/>
          </w:tcPr>
          <w:p w:rsidR="005A7CF3" w:rsidRPr="005A7CF3" w:rsidP="00FB6814" w14:paraId="61021B3F" w14:textId="77777777">
            <w:pPr>
              <w:rPr>
                <w:b/>
                <w:sz w:val="24"/>
                <w:szCs w:val="24"/>
              </w:rPr>
            </w:pPr>
            <w:r w:rsidRPr="005A7CF3">
              <w:rPr>
                <w:b/>
                <w:sz w:val="24"/>
                <w:szCs w:val="24"/>
              </w:rPr>
              <w:t>Frequency of Response</w:t>
            </w:r>
          </w:p>
        </w:tc>
        <w:tc>
          <w:tcPr>
            <w:tcW w:w="1190" w:type="dxa"/>
          </w:tcPr>
          <w:p w:rsidR="005A7CF3" w:rsidRPr="005A7CF3" w:rsidP="00FB6814" w14:paraId="28DC1AED" w14:textId="77777777">
            <w:pPr>
              <w:rPr>
                <w:b/>
                <w:sz w:val="24"/>
                <w:szCs w:val="24"/>
              </w:rPr>
            </w:pPr>
            <w:r w:rsidRPr="005A7CF3">
              <w:rPr>
                <w:b/>
                <w:sz w:val="24"/>
                <w:szCs w:val="24"/>
              </w:rPr>
              <w:t>Average Burden per Response (minutes)</w:t>
            </w:r>
          </w:p>
        </w:tc>
        <w:tc>
          <w:tcPr>
            <w:tcW w:w="1450" w:type="dxa"/>
          </w:tcPr>
          <w:p w:rsidR="005A7CF3" w:rsidRPr="005A7CF3" w:rsidP="00FB6814" w14:paraId="1F01C42D" w14:textId="77777777">
            <w:pPr>
              <w:rPr>
                <w:b/>
                <w:sz w:val="24"/>
                <w:szCs w:val="24"/>
              </w:rPr>
            </w:pPr>
            <w:r w:rsidRPr="005A7CF3">
              <w:rPr>
                <w:b/>
                <w:sz w:val="24"/>
                <w:szCs w:val="24"/>
              </w:rPr>
              <w:t>Estimated Total Annual Burden (hours)</w:t>
            </w:r>
          </w:p>
        </w:tc>
        <w:tc>
          <w:tcPr>
            <w:tcW w:w="1389" w:type="dxa"/>
          </w:tcPr>
          <w:p w:rsidR="005A7CF3" w:rsidRPr="005A7CF3" w:rsidP="00FB6814" w14:paraId="21CFB02A" w14:textId="77777777">
            <w:pPr>
              <w:rPr>
                <w:b/>
                <w:sz w:val="24"/>
                <w:szCs w:val="24"/>
              </w:rPr>
            </w:pPr>
            <w:r w:rsidRPr="005A7CF3">
              <w:rPr>
                <w:b/>
                <w:sz w:val="24"/>
                <w:szCs w:val="24"/>
              </w:rPr>
              <w:t>Average Theoretical Hourly Cost Amount (dollars)*</w:t>
            </w:r>
          </w:p>
        </w:tc>
        <w:tc>
          <w:tcPr>
            <w:tcW w:w="1536" w:type="dxa"/>
          </w:tcPr>
          <w:p w:rsidR="005A7CF3" w:rsidRPr="005A7CF3" w:rsidP="00FB6814" w14:paraId="37A60F7A" w14:textId="77777777">
            <w:pPr>
              <w:rPr>
                <w:b/>
                <w:sz w:val="24"/>
                <w:szCs w:val="24"/>
              </w:rPr>
            </w:pPr>
            <w:r w:rsidRPr="005A7CF3">
              <w:rPr>
                <w:b/>
                <w:sz w:val="24"/>
                <w:szCs w:val="24"/>
              </w:rPr>
              <w:t>Total Annual Opportunity Cost (dollars)**</w:t>
            </w:r>
          </w:p>
        </w:tc>
      </w:tr>
      <w:tr w14:paraId="3AA162BD" w14:textId="77777777" w:rsidTr="005A7CF3">
        <w:tblPrEx>
          <w:tblW w:w="9814" w:type="dxa"/>
          <w:tblInd w:w="535" w:type="dxa"/>
          <w:tblLook w:val="01E0"/>
        </w:tblPrEx>
        <w:tc>
          <w:tcPr>
            <w:tcW w:w="1416" w:type="dxa"/>
          </w:tcPr>
          <w:p w:rsidR="005A7CF3" w:rsidRPr="006D4C14" w:rsidP="005A7CF3" w14:paraId="10D48CB5" w14:textId="77777777">
            <w:pPr>
              <w:pStyle w:val="HTMLPreformatted"/>
              <w:rPr>
                <w:rFonts w:ascii="Times New Roman" w:hAnsi="Times New Roman" w:cs="Times New Roman"/>
                <w:sz w:val="24"/>
                <w:szCs w:val="24"/>
              </w:rPr>
            </w:pPr>
            <w:r w:rsidRPr="006D4C14">
              <w:rPr>
                <w:rFonts w:ascii="Times New Roman" w:hAnsi="Times New Roman" w:cs="Times New Roman"/>
                <w:sz w:val="24"/>
                <w:szCs w:val="24"/>
              </w:rPr>
              <w:t>SSA-7161-OCR-SM</w:t>
            </w:r>
          </w:p>
        </w:tc>
        <w:tc>
          <w:tcPr>
            <w:tcW w:w="1523" w:type="dxa"/>
          </w:tcPr>
          <w:p w:rsidR="005A7CF3" w:rsidRPr="00A6402B" w:rsidP="005A7CF3" w14:paraId="4526AE08" w14:textId="77777777">
            <w:pPr>
              <w:pStyle w:val="HTMLPreformatted"/>
              <w:jc w:val="right"/>
              <w:rPr>
                <w:rFonts w:ascii="Times New Roman" w:hAnsi="Times New Roman" w:cs="Times New Roman"/>
                <w:sz w:val="24"/>
                <w:szCs w:val="24"/>
                <w:highlight w:val="yellow"/>
              </w:rPr>
            </w:pPr>
            <w:r w:rsidRPr="00B22F1A">
              <w:rPr>
                <w:rFonts w:ascii="Times New Roman" w:hAnsi="Times New Roman" w:cs="Times New Roman"/>
                <w:sz w:val="24"/>
                <w:szCs w:val="24"/>
              </w:rPr>
              <w:t>42,314</w:t>
            </w:r>
          </w:p>
        </w:tc>
        <w:tc>
          <w:tcPr>
            <w:tcW w:w="1310" w:type="dxa"/>
          </w:tcPr>
          <w:p w:rsidR="005A7CF3" w:rsidRPr="00B22F1A" w:rsidP="005A7CF3" w14:paraId="77EF3E2C" w14:textId="77777777">
            <w:pPr>
              <w:pStyle w:val="HTMLPreformatted"/>
              <w:jc w:val="right"/>
              <w:rPr>
                <w:rFonts w:ascii="Times New Roman" w:hAnsi="Times New Roman" w:cs="Times New Roman"/>
                <w:sz w:val="24"/>
                <w:szCs w:val="24"/>
              </w:rPr>
            </w:pPr>
            <w:r w:rsidRPr="00B22F1A">
              <w:rPr>
                <w:rFonts w:ascii="Times New Roman" w:hAnsi="Times New Roman" w:cs="Times New Roman"/>
                <w:sz w:val="24"/>
                <w:szCs w:val="24"/>
              </w:rPr>
              <w:t>1</w:t>
            </w:r>
          </w:p>
        </w:tc>
        <w:tc>
          <w:tcPr>
            <w:tcW w:w="1190" w:type="dxa"/>
          </w:tcPr>
          <w:p w:rsidR="005A7CF3" w:rsidRPr="00B22F1A" w:rsidP="005A7CF3" w14:paraId="303112F3" w14:textId="77777777">
            <w:pPr>
              <w:pStyle w:val="HTMLPreformatted"/>
              <w:jc w:val="right"/>
              <w:rPr>
                <w:rFonts w:ascii="Times New Roman" w:hAnsi="Times New Roman" w:cs="Times New Roman"/>
                <w:sz w:val="24"/>
                <w:szCs w:val="24"/>
              </w:rPr>
            </w:pPr>
            <w:r w:rsidRPr="00B22F1A">
              <w:rPr>
                <w:rFonts w:ascii="Times New Roman" w:hAnsi="Times New Roman" w:cs="Times New Roman"/>
                <w:sz w:val="24"/>
                <w:szCs w:val="24"/>
              </w:rPr>
              <w:t>15</w:t>
            </w:r>
          </w:p>
        </w:tc>
        <w:tc>
          <w:tcPr>
            <w:tcW w:w="1450" w:type="dxa"/>
          </w:tcPr>
          <w:p w:rsidR="005A7CF3" w:rsidRPr="00A6402B" w:rsidP="005A7CF3" w14:paraId="65B0BC95" w14:textId="77777777">
            <w:pPr>
              <w:pStyle w:val="HTMLPreformatted"/>
              <w:jc w:val="right"/>
              <w:rPr>
                <w:rFonts w:ascii="Times New Roman" w:hAnsi="Times New Roman" w:cs="Times New Roman"/>
                <w:sz w:val="24"/>
                <w:szCs w:val="24"/>
                <w:highlight w:val="yellow"/>
              </w:rPr>
            </w:pPr>
            <w:r w:rsidRPr="00B22F1A">
              <w:rPr>
                <w:rFonts w:ascii="Times New Roman" w:hAnsi="Times New Roman" w:cs="Times New Roman"/>
                <w:sz w:val="24"/>
                <w:szCs w:val="24"/>
              </w:rPr>
              <w:t>10,5</w:t>
            </w:r>
            <w:r>
              <w:rPr>
                <w:rFonts w:ascii="Times New Roman" w:hAnsi="Times New Roman" w:cs="Times New Roman"/>
                <w:sz w:val="24"/>
                <w:szCs w:val="24"/>
              </w:rPr>
              <w:t>79</w:t>
            </w:r>
          </w:p>
        </w:tc>
        <w:tc>
          <w:tcPr>
            <w:tcW w:w="1389" w:type="dxa"/>
          </w:tcPr>
          <w:p w:rsidR="005A7CF3" w:rsidRPr="005A7CF3" w:rsidP="005A7CF3" w14:paraId="483F84D5" w14:textId="77777777">
            <w:pPr>
              <w:jc w:val="right"/>
              <w:rPr>
                <w:color w:val="000000" w:themeColor="text1"/>
                <w:sz w:val="24"/>
                <w:szCs w:val="24"/>
              </w:rPr>
            </w:pPr>
            <w:r>
              <w:rPr>
                <w:color w:val="000000" w:themeColor="text1"/>
                <w:sz w:val="24"/>
                <w:szCs w:val="24"/>
              </w:rPr>
              <w:t>$22.5</w:t>
            </w:r>
            <w:r w:rsidRPr="005A7CF3">
              <w:rPr>
                <w:color w:val="000000" w:themeColor="text1"/>
                <w:sz w:val="24"/>
                <w:szCs w:val="24"/>
              </w:rPr>
              <w:t>0*</w:t>
            </w:r>
          </w:p>
        </w:tc>
        <w:tc>
          <w:tcPr>
            <w:tcW w:w="1536" w:type="dxa"/>
          </w:tcPr>
          <w:p w:rsidR="005A7CF3" w:rsidRPr="005A7CF3" w:rsidP="005A7CF3" w14:paraId="47D7BE03" w14:textId="77777777">
            <w:pPr>
              <w:jc w:val="right"/>
              <w:rPr>
                <w:color w:val="000000" w:themeColor="text1"/>
                <w:sz w:val="24"/>
                <w:szCs w:val="24"/>
              </w:rPr>
            </w:pPr>
            <w:r w:rsidRPr="005A7CF3">
              <w:rPr>
                <w:color w:val="000000" w:themeColor="text1"/>
                <w:sz w:val="24"/>
                <w:szCs w:val="24"/>
              </w:rPr>
              <w:t>$</w:t>
            </w:r>
            <w:r>
              <w:rPr>
                <w:color w:val="000000" w:themeColor="text1"/>
                <w:sz w:val="24"/>
                <w:szCs w:val="24"/>
              </w:rPr>
              <w:t>238,028</w:t>
            </w:r>
            <w:r w:rsidRPr="005A7CF3">
              <w:rPr>
                <w:color w:val="000000" w:themeColor="text1"/>
                <w:sz w:val="24"/>
                <w:szCs w:val="24"/>
              </w:rPr>
              <w:t>**</w:t>
            </w:r>
          </w:p>
        </w:tc>
      </w:tr>
      <w:tr w14:paraId="2A3A9BBF" w14:textId="77777777" w:rsidTr="005A7CF3">
        <w:tblPrEx>
          <w:tblW w:w="9814" w:type="dxa"/>
          <w:tblInd w:w="535" w:type="dxa"/>
          <w:tblLook w:val="01E0"/>
        </w:tblPrEx>
        <w:tc>
          <w:tcPr>
            <w:tcW w:w="1416" w:type="dxa"/>
          </w:tcPr>
          <w:p w:rsidR="005A7CF3" w:rsidRPr="006D4C14" w:rsidP="005A7CF3" w14:paraId="5C55CAD8" w14:textId="77777777">
            <w:pPr>
              <w:pStyle w:val="HTMLPreformatted"/>
              <w:rPr>
                <w:rFonts w:ascii="Times New Roman" w:hAnsi="Times New Roman" w:cs="Times New Roman"/>
                <w:sz w:val="24"/>
                <w:szCs w:val="24"/>
              </w:rPr>
            </w:pPr>
            <w:r w:rsidRPr="006D4C14">
              <w:rPr>
                <w:rFonts w:ascii="Times New Roman" w:hAnsi="Times New Roman" w:cs="Times New Roman"/>
                <w:sz w:val="24"/>
                <w:szCs w:val="24"/>
              </w:rPr>
              <w:t>SSA-7162-OCR-SM</w:t>
            </w:r>
          </w:p>
        </w:tc>
        <w:tc>
          <w:tcPr>
            <w:tcW w:w="1523" w:type="dxa"/>
          </w:tcPr>
          <w:p w:rsidR="005A7CF3" w:rsidRPr="00B22F1A" w:rsidP="005A7CF3" w14:paraId="6253A6AB" w14:textId="77777777">
            <w:pPr>
              <w:pStyle w:val="HTMLPreformatted"/>
              <w:jc w:val="right"/>
              <w:rPr>
                <w:rFonts w:ascii="Times New Roman" w:hAnsi="Times New Roman" w:cs="Times New Roman"/>
                <w:sz w:val="24"/>
                <w:szCs w:val="24"/>
              </w:rPr>
            </w:pPr>
            <w:r w:rsidRPr="00B22F1A">
              <w:rPr>
                <w:rFonts w:ascii="Times New Roman" w:hAnsi="Times New Roman" w:cs="Times New Roman"/>
                <w:sz w:val="24"/>
                <w:szCs w:val="24"/>
              </w:rPr>
              <w:t>426,448</w:t>
            </w:r>
          </w:p>
        </w:tc>
        <w:tc>
          <w:tcPr>
            <w:tcW w:w="1310" w:type="dxa"/>
          </w:tcPr>
          <w:p w:rsidR="005A7CF3" w:rsidRPr="00B22F1A" w:rsidP="005A7CF3" w14:paraId="3E2DE508" w14:textId="77777777">
            <w:pPr>
              <w:pStyle w:val="HTMLPreformatted"/>
              <w:jc w:val="right"/>
              <w:rPr>
                <w:rFonts w:ascii="Times New Roman" w:hAnsi="Times New Roman" w:cs="Times New Roman"/>
                <w:sz w:val="24"/>
                <w:szCs w:val="24"/>
              </w:rPr>
            </w:pPr>
            <w:r w:rsidRPr="00B22F1A">
              <w:rPr>
                <w:rFonts w:ascii="Times New Roman" w:hAnsi="Times New Roman" w:cs="Times New Roman"/>
                <w:sz w:val="24"/>
                <w:szCs w:val="24"/>
              </w:rPr>
              <w:t>1</w:t>
            </w:r>
          </w:p>
        </w:tc>
        <w:tc>
          <w:tcPr>
            <w:tcW w:w="1190" w:type="dxa"/>
          </w:tcPr>
          <w:p w:rsidR="005A7CF3" w:rsidRPr="00B22F1A" w:rsidP="005A7CF3" w14:paraId="01B847DD" w14:textId="77777777">
            <w:pPr>
              <w:pStyle w:val="HTMLPreformatted"/>
              <w:jc w:val="right"/>
              <w:rPr>
                <w:rFonts w:ascii="Times New Roman" w:hAnsi="Times New Roman" w:cs="Times New Roman"/>
                <w:sz w:val="24"/>
                <w:szCs w:val="24"/>
              </w:rPr>
            </w:pPr>
            <w:r w:rsidRPr="00B22F1A">
              <w:rPr>
                <w:rFonts w:ascii="Times New Roman" w:hAnsi="Times New Roman" w:cs="Times New Roman"/>
                <w:sz w:val="24"/>
                <w:szCs w:val="24"/>
              </w:rPr>
              <w:t>5</w:t>
            </w:r>
          </w:p>
        </w:tc>
        <w:tc>
          <w:tcPr>
            <w:tcW w:w="1450" w:type="dxa"/>
          </w:tcPr>
          <w:p w:rsidR="005A7CF3" w:rsidRPr="00A6402B" w:rsidP="005A7CF3" w14:paraId="15A9A89A" w14:textId="77777777">
            <w:pPr>
              <w:pStyle w:val="HTMLPreformatted"/>
              <w:jc w:val="right"/>
              <w:rPr>
                <w:rFonts w:ascii="Times New Roman" w:hAnsi="Times New Roman" w:cs="Times New Roman"/>
                <w:sz w:val="24"/>
                <w:szCs w:val="24"/>
                <w:highlight w:val="yellow"/>
              </w:rPr>
            </w:pPr>
            <w:r>
              <w:rPr>
                <w:rFonts w:ascii="Times New Roman" w:hAnsi="Times New Roman" w:cs="Times New Roman"/>
                <w:sz w:val="24"/>
                <w:szCs w:val="24"/>
              </w:rPr>
              <w:t>35,537</w:t>
            </w:r>
          </w:p>
        </w:tc>
        <w:tc>
          <w:tcPr>
            <w:tcW w:w="1389" w:type="dxa"/>
          </w:tcPr>
          <w:p w:rsidR="005A7CF3" w:rsidRPr="005A7CF3" w:rsidP="005A7CF3" w14:paraId="28B5E215" w14:textId="77777777">
            <w:pPr>
              <w:jc w:val="right"/>
              <w:rPr>
                <w:color w:val="000000" w:themeColor="text1"/>
                <w:sz w:val="24"/>
                <w:szCs w:val="24"/>
              </w:rPr>
            </w:pPr>
            <w:r>
              <w:rPr>
                <w:color w:val="000000" w:themeColor="text1"/>
                <w:sz w:val="24"/>
                <w:szCs w:val="24"/>
              </w:rPr>
              <w:t>$22.5</w:t>
            </w:r>
            <w:r w:rsidRPr="005A7CF3">
              <w:rPr>
                <w:color w:val="000000" w:themeColor="text1"/>
                <w:sz w:val="24"/>
                <w:szCs w:val="24"/>
              </w:rPr>
              <w:t>0*</w:t>
            </w:r>
          </w:p>
        </w:tc>
        <w:tc>
          <w:tcPr>
            <w:tcW w:w="1536" w:type="dxa"/>
          </w:tcPr>
          <w:p w:rsidR="005A7CF3" w:rsidRPr="005A7CF3" w:rsidP="005A7CF3" w14:paraId="64AF0AB5" w14:textId="77777777">
            <w:pPr>
              <w:jc w:val="right"/>
              <w:rPr>
                <w:color w:val="000000" w:themeColor="text1"/>
                <w:sz w:val="24"/>
                <w:szCs w:val="24"/>
              </w:rPr>
            </w:pPr>
            <w:r w:rsidRPr="005A7CF3">
              <w:rPr>
                <w:color w:val="000000" w:themeColor="text1"/>
                <w:sz w:val="24"/>
                <w:szCs w:val="24"/>
              </w:rPr>
              <w:t>$</w:t>
            </w:r>
            <w:r>
              <w:rPr>
                <w:color w:val="000000" w:themeColor="text1"/>
                <w:sz w:val="24"/>
                <w:szCs w:val="24"/>
              </w:rPr>
              <w:t>799,583</w:t>
            </w:r>
            <w:r w:rsidRPr="005A7CF3">
              <w:rPr>
                <w:color w:val="000000" w:themeColor="text1"/>
                <w:sz w:val="24"/>
                <w:szCs w:val="24"/>
              </w:rPr>
              <w:t>**</w:t>
            </w:r>
          </w:p>
        </w:tc>
      </w:tr>
      <w:tr w14:paraId="20C0AA9E" w14:textId="77777777" w:rsidTr="005A7CF3">
        <w:tblPrEx>
          <w:tblW w:w="9814" w:type="dxa"/>
          <w:tblInd w:w="535" w:type="dxa"/>
          <w:tblLook w:val="01E0"/>
        </w:tblPrEx>
        <w:tc>
          <w:tcPr>
            <w:tcW w:w="1416" w:type="dxa"/>
          </w:tcPr>
          <w:p w:rsidR="005A7CF3" w:rsidRPr="006D4C14" w:rsidP="005A7CF3" w14:paraId="2575A7A2" w14:textId="77777777">
            <w:pPr>
              <w:pStyle w:val="HTMLPreformatted"/>
              <w:rPr>
                <w:rFonts w:ascii="Times New Roman" w:hAnsi="Times New Roman" w:cs="Times New Roman"/>
                <w:b/>
                <w:sz w:val="24"/>
                <w:szCs w:val="24"/>
              </w:rPr>
            </w:pPr>
            <w:r w:rsidRPr="006D4C14">
              <w:rPr>
                <w:rFonts w:ascii="Times New Roman" w:hAnsi="Times New Roman" w:cs="Times New Roman"/>
                <w:b/>
                <w:sz w:val="24"/>
                <w:szCs w:val="24"/>
              </w:rPr>
              <w:t>Totals</w:t>
            </w:r>
          </w:p>
        </w:tc>
        <w:tc>
          <w:tcPr>
            <w:tcW w:w="1523" w:type="dxa"/>
          </w:tcPr>
          <w:p w:rsidR="005A7CF3" w:rsidRPr="00A6402B" w:rsidP="005A7CF3" w14:paraId="2DACC300" w14:textId="77777777">
            <w:pPr>
              <w:pStyle w:val="HTMLPreformatted"/>
              <w:jc w:val="right"/>
              <w:rPr>
                <w:rFonts w:ascii="Times New Roman" w:hAnsi="Times New Roman" w:cs="Times New Roman"/>
                <w:b/>
                <w:sz w:val="24"/>
                <w:szCs w:val="24"/>
                <w:highlight w:val="yellow"/>
              </w:rPr>
            </w:pPr>
            <w:r w:rsidRPr="00B22F1A">
              <w:rPr>
                <w:rFonts w:ascii="Times New Roman" w:hAnsi="Times New Roman" w:cs="Times New Roman"/>
                <w:b/>
                <w:sz w:val="24"/>
                <w:szCs w:val="24"/>
              </w:rPr>
              <w:t>468,762</w:t>
            </w:r>
          </w:p>
        </w:tc>
        <w:tc>
          <w:tcPr>
            <w:tcW w:w="1310" w:type="dxa"/>
          </w:tcPr>
          <w:p w:rsidR="005A7CF3" w:rsidRPr="00A6402B" w:rsidP="005A7CF3" w14:paraId="57C1A5F9" w14:textId="77777777">
            <w:pPr>
              <w:pStyle w:val="HTMLPreformatted"/>
              <w:jc w:val="right"/>
              <w:rPr>
                <w:rFonts w:ascii="Times New Roman" w:hAnsi="Times New Roman" w:cs="Times New Roman"/>
                <w:b/>
                <w:sz w:val="24"/>
                <w:szCs w:val="24"/>
                <w:highlight w:val="yellow"/>
              </w:rPr>
            </w:pPr>
          </w:p>
        </w:tc>
        <w:tc>
          <w:tcPr>
            <w:tcW w:w="1190" w:type="dxa"/>
          </w:tcPr>
          <w:p w:rsidR="005A7CF3" w:rsidRPr="00A6402B" w:rsidP="005A7CF3" w14:paraId="3B092C88" w14:textId="77777777">
            <w:pPr>
              <w:pStyle w:val="HTMLPreformatted"/>
              <w:jc w:val="right"/>
              <w:rPr>
                <w:rFonts w:ascii="Times New Roman" w:hAnsi="Times New Roman" w:cs="Times New Roman"/>
                <w:b/>
                <w:sz w:val="24"/>
                <w:szCs w:val="24"/>
                <w:highlight w:val="yellow"/>
              </w:rPr>
            </w:pPr>
          </w:p>
        </w:tc>
        <w:tc>
          <w:tcPr>
            <w:tcW w:w="1450" w:type="dxa"/>
          </w:tcPr>
          <w:p w:rsidR="005A7CF3" w:rsidRPr="00A6402B" w:rsidP="005A7CF3" w14:paraId="69FE2689" w14:textId="77777777">
            <w:pPr>
              <w:pStyle w:val="HTMLPreformatted"/>
              <w:jc w:val="right"/>
              <w:rPr>
                <w:rFonts w:ascii="Times New Roman" w:hAnsi="Times New Roman" w:cs="Times New Roman"/>
                <w:b/>
                <w:sz w:val="24"/>
                <w:szCs w:val="24"/>
                <w:highlight w:val="yellow"/>
              </w:rPr>
            </w:pPr>
            <w:r>
              <w:rPr>
                <w:rFonts w:ascii="Times New Roman" w:hAnsi="Times New Roman" w:cs="Times New Roman"/>
                <w:b/>
                <w:sz w:val="24"/>
                <w:szCs w:val="24"/>
              </w:rPr>
              <w:t>46,116</w:t>
            </w:r>
          </w:p>
        </w:tc>
        <w:tc>
          <w:tcPr>
            <w:tcW w:w="1389" w:type="dxa"/>
          </w:tcPr>
          <w:p w:rsidR="005A7CF3" w:rsidRPr="005A7CF3" w:rsidP="005A7CF3" w14:paraId="56193A66" w14:textId="77777777">
            <w:pPr>
              <w:rPr>
                <w:b/>
                <w:color w:val="000000" w:themeColor="text1"/>
                <w:sz w:val="24"/>
                <w:szCs w:val="24"/>
              </w:rPr>
            </w:pPr>
          </w:p>
        </w:tc>
        <w:tc>
          <w:tcPr>
            <w:tcW w:w="1536" w:type="dxa"/>
          </w:tcPr>
          <w:p w:rsidR="005A7CF3" w:rsidRPr="005A7CF3" w:rsidP="005A7CF3" w14:paraId="20E232B9" w14:textId="77777777">
            <w:pPr>
              <w:jc w:val="right"/>
              <w:rPr>
                <w:b/>
                <w:color w:val="000000" w:themeColor="text1"/>
                <w:sz w:val="24"/>
                <w:szCs w:val="24"/>
              </w:rPr>
            </w:pPr>
            <w:r w:rsidRPr="005A7CF3">
              <w:rPr>
                <w:b/>
                <w:color w:val="000000" w:themeColor="text1"/>
                <w:sz w:val="24"/>
                <w:szCs w:val="24"/>
              </w:rPr>
              <w:t>$</w:t>
            </w:r>
            <w:r>
              <w:rPr>
                <w:b/>
                <w:color w:val="000000" w:themeColor="text1"/>
                <w:sz w:val="24"/>
                <w:szCs w:val="24"/>
              </w:rPr>
              <w:t>1,037,611</w:t>
            </w:r>
            <w:r w:rsidRPr="005A7CF3">
              <w:rPr>
                <w:b/>
                <w:color w:val="000000" w:themeColor="text1"/>
                <w:sz w:val="24"/>
                <w:szCs w:val="24"/>
              </w:rPr>
              <w:t>**</w:t>
            </w:r>
          </w:p>
        </w:tc>
      </w:tr>
    </w:tbl>
    <w:p w:rsidR="005A7CF3" w:rsidRPr="005A7CF3" w:rsidP="005A7CF3" w14:paraId="1A5E26D9" w14:textId="77777777">
      <w:pPr>
        <w:ind w:left="1080"/>
        <w:rPr>
          <w:color w:val="000000" w:themeColor="text1"/>
          <w:sz w:val="24"/>
          <w:szCs w:val="24"/>
        </w:rPr>
      </w:pPr>
      <w:r w:rsidRPr="005A7CF3">
        <w:rPr>
          <w:color w:val="000000" w:themeColor="text1"/>
          <w:sz w:val="24"/>
          <w:szCs w:val="24"/>
        </w:rPr>
        <w:t>* We based this figure on average U.S. worker’s hourly wages.</w:t>
      </w:r>
    </w:p>
    <w:p w:rsidR="005A7CF3" w:rsidP="005A7CF3" w14:paraId="29051632" w14:textId="77777777">
      <w:pPr>
        <w:ind w:left="720"/>
        <w:rPr>
          <w:color w:val="000000" w:themeColor="text1"/>
          <w:sz w:val="24"/>
          <w:szCs w:val="24"/>
        </w:rPr>
      </w:pPr>
    </w:p>
    <w:p w:rsidR="005A7CF3" w:rsidRPr="005A7CF3" w:rsidP="005A7CF3" w14:paraId="43313AF4" w14:textId="77777777">
      <w:pPr>
        <w:ind w:left="1080"/>
        <w:rPr>
          <w:color w:val="000000" w:themeColor="text1"/>
          <w:sz w:val="24"/>
          <w:szCs w:val="24"/>
        </w:rPr>
      </w:pPr>
      <w:r w:rsidRPr="005A7CF3">
        <w:rPr>
          <w:color w:val="000000" w:themeColor="text1"/>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5A7CF3">
        <w:rPr>
          <w:b/>
          <w:color w:val="000000" w:themeColor="text1"/>
          <w:sz w:val="24"/>
          <w:szCs w:val="24"/>
          <w:u w:val="single"/>
        </w:rPr>
        <w:t>There is no actual charge to respondents to complete the application</w:t>
      </w:r>
      <w:r w:rsidRPr="005A7CF3">
        <w:rPr>
          <w:color w:val="000000" w:themeColor="text1"/>
          <w:sz w:val="24"/>
          <w:szCs w:val="24"/>
        </w:rPr>
        <w:t>.</w:t>
      </w:r>
    </w:p>
    <w:p w:rsidR="005A7CF3" w:rsidP="005A7CF3" w14:paraId="52AF84B9" w14:textId="77777777">
      <w:pPr>
        <w:tabs>
          <w:tab w:val="left" w:pos="-720"/>
        </w:tabs>
        <w:suppressAutoHyphens/>
        <w:rPr>
          <w:color w:val="000000" w:themeColor="text1"/>
          <w:sz w:val="24"/>
          <w:szCs w:val="24"/>
        </w:rPr>
      </w:pPr>
    </w:p>
    <w:p w:rsidR="005A7CF3" w:rsidRPr="007A5D91" w:rsidP="007A5D91" w14:paraId="798A986B" w14:textId="33A150AD">
      <w:pPr>
        <w:tabs>
          <w:tab w:val="left" w:pos="-720"/>
        </w:tabs>
        <w:suppressAutoHyphens/>
        <w:ind w:left="1080"/>
        <w:rPr>
          <w:color w:val="000000" w:themeColor="text1"/>
          <w:sz w:val="24"/>
          <w:szCs w:val="24"/>
        </w:rPr>
      </w:pPr>
      <w:r w:rsidRPr="005A7CF3">
        <w:rPr>
          <w:color w:val="000000" w:themeColor="text1"/>
          <w:sz w:val="24"/>
          <w:szCs w:val="24"/>
        </w:rPr>
        <w:t xml:space="preserve">The total burden for this ICR is </w:t>
      </w:r>
      <w:r w:rsidR="006D3CC6">
        <w:rPr>
          <w:b/>
          <w:color w:val="000000" w:themeColor="text1"/>
          <w:sz w:val="24"/>
          <w:szCs w:val="24"/>
        </w:rPr>
        <w:t>46,116</w:t>
      </w:r>
      <w:r w:rsidRPr="005A7CF3">
        <w:rPr>
          <w:b/>
          <w:color w:val="000000" w:themeColor="text1"/>
          <w:sz w:val="24"/>
          <w:szCs w:val="24"/>
        </w:rPr>
        <w:t xml:space="preserve"> </w:t>
      </w:r>
      <w:r w:rsidRPr="005A7CF3">
        <w:rPr>
          <w:color w:val="000000" w:themeColor="text1"/>
          <w:sz w:val="24"/>
          <w:szCs w:val="24"/>
        </w:rPr>
        <w:t xml:space="preserve">burden hours (reflecting SSA management information data), which results in an associated theoretical (not actual) opportunity cost financial burden of </w:t>
      </w:r>
      <w:r w:rsidR="006D3CC6">
        <w:rPr>
          <w:b/>
          <w:color w:val="000000" w:themeColor="text1"/>
          <w:sz w:val="24"/>
          <w:szCs w:val="24"/>
        </w:rPr>
        <w:t>$1,037,611</w:t>
      </w:r>
      <w:r w:rsidRPr="005A7CF3">
        <w:rPr>
          <w:color w:val="000000" w:themeColor="text1"/>
          <w:sz w:val="24"/>
          <w:szCs w:val="24"/>
        </w:rPr>
        <w:t>.  SSA does not charge respondents to complete our applications.</w:t>
      </w:r>
    </w:p>
    <w:p w:rsidR="006D3CC6" w:rsidRPr="005A7CF3" w:rsidP="005A7CF3" w14:paraId="5506384E" w14:textId="77777777">
      <w:pPr>
        <w:tabs>
          <w:tab w:val="left" w:pos="-720"/>
        </w:tabs>
        <w:suppressAutoHyphens/>
        <w:ind w:left="1080"/>
        <w:rPr>
          <w:b/>
          <w:color w:val="000000" w:themeColor="text1"/>
          <w:sz w:val="24"/>
          <w:szCs w:val="24"/>
        </w:rPr>
      </w:pPr>
    </w:p>
    <w:p w:rsidR="008E0947" w:rsidRPr="008E0947" w:rsidP="00487E40" w14:paraId="6AAAF6DA" w14:textId="77777777">
      <w:pPr>
        <w:pStyle w:val="ListParagraph"/>
        <w:numPr>
          <w:ilvl w:val="0"/>
          <w:numId w:val="21"/>
        </w:numPr>
        <w:tabs>
          <w:tab w:val="left" w:pos="-720"/>
        </w:tabs>
        <w:suppressAutoHyphens/>
        <w:rPr>
          <w:b/>
          <w:sz w:val="24"/>
          <w:szCs w:val="24"/>
        </w:rPr>
      </w:pPr>
      <w:r w:rsidRPr="007C0678">
        <w:rPr>
          <w:b/>
          <w:sz w:val="24"/>
        </w:rPr>
        <w:t>Annual</w:t>
      </w:r>
      <w:r w:rsidRPr="007C0678">
        <w:rPr>
          <w:sz w:val="24"/>
        </w:rPr>
        <w:t xml:space="preserve"> </w:t>
      </w:r>
      <w:r w:rsidRPr="007C0678">
        <w:rPr>
          <w:b/>
          <w:sz w:val="24"/>
        </w:rPr>
        <w:t>Cost to the Respondents (Other)</w:t>
      </w:r>
    </w:p>
    <w:p w:rsidR="00487E40" w:rsidRPr="008E0947" w:rsidP="008E0947" w14:paraId="3BCD0653" w14:textId="77777777">
      <w:pPr>
        <w:pStyle w:val="ListParagraph"/>
        <w:tabs>
          <w:tab w:val="left" w:pos="-720"/>
        </w:tabs>
        <w:suppressAutoHyphens/>
        <w:ind w:left="1080"/>
        <w:rPr>
          <w:b/>
          <w:sz w:val="24"/>
          <w:szCs w:val="24"/>
        </w:rPr>
      </w:pPr>
      <w:r w:rsidRPr="00B97F3D">
        <w:rPr>
          <w:sz w:val="24"/>
          <w:szCs w:val="24"/>
        </w:rPr>
        <w:t>Th</w:t>
      </w:r>
      <w:r>
        <w:rPr>
          <w:sz w:val="24"/>
          <w:szCs w:val="24"/>
        </w:rPr>
        <w:t>is collection does not impose a known cost burden to the r</w:t>
      </w:r>
      <w:r w:rsidRPr="00B97F3D">
        <w:rPr>
          <w:sz w:val="24"/>
          <w:szCs w:val="24"/>
        </w:rPr>
        <w:t>espondents</w:t>
      </w:r>
      <w:r>
        <w:rPr>
          <w:sz w:val="24"/>
          <w:szCs w:val="24"/>
        </w:rPr>
        <w:t>.</w:t>
      </w:r>
    </w:p>
    <w:p w:rsidR="00C873D6" w:rsidP="008E0947" w14:paraId="43788507" w14:textId="77777777">
      <w:pPr>
        <w:pStyle w:val="ListParagraph"/>
        <w:tabs>
          <w:tab w:val="left" w:pos="-720"/>
        </w:tabs>
        <w:suppressAutoHyphens/>
        <w:ind w:left="1080"/>
        <w:rPr>
          <w:b/>
          <w:sz w:val="24"/>
          <w:szCs w:val="24"/>
        </w:rPr>
      </w:pPr>
    </w:p>
    <w:p w:rsidR="007C0678" w:rsidRPr="007C0678" w:rsidP="00487E40" w14:paraId="01944672" w14:textId="77777777">
      <w:pPr>
        <w:pStyle w:val="ListParagraph"/>
        <w:numPr>
          <w:ilvl w:val="0"/>
          <w:numId w:val="21"/>
        </w:numPr>
        <w:tabs>
          <w:tab w:val="left" w:pos="-720"/>
        </w:tabs>
        <w:suppressAutoHyphens/>
        <w:rPr>
          <w:b/>
          <w:sz w:val="24"/>
          <w:szCs w:val="24"/>
        </w:rPr>
      </w:pPr>
      <w:r w:rsidRPr="007C0678">
        <w:rPr>
          <w:b/>
          <w:sz w:val="24"/>
        </w:rPr>
        <w:t>Annual Cost To Federal Government</w:t>
      </w:r>
      <w:r w:rsidRPr="007C0678">
        <w:rPr>
          <w:sz w:val="32"/>
          <w:szCs w:val="24"/>
        </w:rPr>
        <w:t xml:space="preserve"> </w:t>
      </w:r>
    </w:p>
    <w:p w:rsidR="00487E40" w:rsidRPr="008E0947" w:rsidP="007C0678" w14:paraId="305F4248" w14:textId="7A5BC208">
      <w:pPr>
        <w:pStyle w:val="ListParagraph"/>
        <w:tabs>
          <w:tab w:val="left" w:pos="-720"/>
        </w:tabs>
        <w:suppressAutoHyphens/>
        <w:ind w:left="1080"/>
        <w:rPr>
          <w:b/>
          <w:sz w:val="24"/>
          <w:szCs w:val="24"/>
        </w:rPr>
      </w:pPr>
      <w:r w:rsidRPr="00CA25A2">
        <w:rPr>
          <w:sz w:val="24"/>
          <w:szCs w:val="24"/>
        </w:rPr>
        <w:t xml:space="preserve">The annual cost to the Federal Government is approximately </w:t>
      </w:r>
      <w:r w:rsidRPr="007A5D91">
        <w:rPr>
          <w:sz w:val="24"/>
          <w:szCs w:val="24"/>
        </w:rPr>
        <w:t>$</w:t>
      </w:r>
      <w:r w:rsidRPr="007A5D91" w:rsidR="007A5D91">
        <w:rPr>
          <w:sz w:val="24"/>
          <w:szCs w:val="24"/>
        </w:rPr>
        <w:t>1,118,000</w:t>
      </w:r>
      <w:r w:rsidRPr="007232B8" w:rsidR="007232B8">
        <w:rPr>
          <w:sz w:val="24"/>
          <w:szCs w:val="24"/>
        </w:rPr>
        <w:t>.</w:t>
      </w:r>
      <w:r w:rsidR="00F721DF">
        <w:rPr>
          <w:sz w:val="24"/>
          <w:szCs w:val="24"/>
        </w:rPr>
        <w:t xml:space="preserve"> This estimate accounts for costs from the following areas: </w:t>
      </w:r>
      <w:r w:rsidR="00C44451">
        <w:rPr>
          <w:sz w:val="24"/>
          <w:szCs w:val="24"/>
        </w:rPr>
        <w:t xml:space="preserve"> </w:t>
      </w:r>
      <w:r w:rsidR="00F721DF">
        <w:rPr>
          <w:sz w:val="24"/>
          <w:szCs w:val="24"/>
        </w:rPr>
        <w:t xml:space="preserve">(1) designing, printing, </w:t>
      </w:r>
      <w:r w:rsidR="0033373D">
        <w:rPr>
          <w:sz w:val="24"/>
          <w:szCs w:val="24"/>
        </w:rPr>
        <w:t xml:space="preserve">postage, </w:t>
      </w:r>
      <w:r w:rsidR="00F721DF">
        <w:rPr>
          <w:sz w:val="24"/>
          <w:szCs w:val="24"/>
        </w:rPr>
        <w:t>and distributing the form; (2) SSA employee (e.g., field office, 800 number, DDS staff</w:t>
      </w:r>
      <w:r w:rsidR="00C44451">
        <w:rPr>
          <w:sz w:val="24"/>
          <w:szCs w:val="24"/>
        </w:rPr>
        <w:t>, embassy staff, etc.</w:t>
      </w:r>
      <w:r w:rsidR="00F721DF">
        <w:rPr>
          <w:sz w:val="24"/>
          <w:szCs w:val="24"/>
        </w:rPr>
        <w:t>) information collection and processing time</w:t>
      </w:r>
      <w:r w:rsidR="0033373D">
        <w:rPr>
          <w:sz w:val="24"/>
          <w:szCs w:val="24"/>
        </w:rPr>
        <w:t>.</w:t>
      </w:r>
      <w:r w:rsidR="00F721DF">
        <w:rPr>
          <w:sz w:val="24"/>
          <w:szCs w:val="24"/>
        </w:rPr>
        <w:t xml:space="preserve">  </w:t>
      </w:r>
    </w:p>
    <w:p w:rsidR="00C44451" w:rsidRPr="008E0947" w:rsidP="008E0947" w14:paraId="517E86D8" w14:textId="77777777">
      <w:pPr>
        <w:tabs>
          <w:tab w:val="left" w:pos="-720"/>
        </w:tabs>
        <w:suppressAutoHyphens/>
        <w:rPr>
          <w:b/>
          <w:sz w:val="24"/>
          <w:szCs w:val="24"/>
        </w:rPr>
      </w:pPr>
    </w:p>
    <w:p w:rsidR="007C0678" w:rsidRPr="007C0678" w:rsidP="00487E40" w14:paraId="7E07E4C5" w14:textId="77777777">
      <w:pPr>
        <w:pStyle w:val="ListParagraph"/>
        <w:numPr>
          <w:ilvl w:val="0"/>
          <w:numId w:val="21"/>
        </w:numPr>
        <w:tabs>
          <w:tab w:val="left" w:pos="-720"/>
        </w:tabs>
        <w:suppressAutoHyphens/>
        <w:rPr>
          <w:b/>
          <w:sz w:val="24"/>
          <w:szCs w:val="24"/>
        </w:rPr>
      </w:pPr>
      <w:r w:rsidRPr="007C0678">
        <w:rPr>
          <w:b/>
          <w:sz w:val="24"/>
        </w:rPr>
        <w:t>Program Changes or Adjustments to the Information Collection Request</w:t>
      </w:r>
      <w:r w:rsidRPr="00B97F3D">
        <w:rPr>
          <w:sz w:val="24"/>
          <w:szCs w:val="24"/>
        </w:rPr>
        <w:t xml:space="preserve"> </w:t>
      </w:r>
    </w:p>
    <w:p w:rsidR="00487E40" w:rsidRPr="008E0947" w:rsidP="007C0678" w14:paraId="0FE04910" w14:textId="77777777">
      <w:pPr>
        <w:pStyle w:val="ListParagraph"/>
        <w:tabs>
          <w:tab w:val="left" w:pos="-720"/>
        </w:tabs>
        <w:suppressAutoHyphens/>
        <w:ind w:left="1080"/>
        <w:rPr>
          <w:b/>
          <w:sz w:val="24"/>
          <w:szCs w:val="24"/>
        </w:rPr>
      </w:pPr>
      <w:r w:rsidRPr="00AF4176">
        <w:rPr>
          <w:sz w:val="24"/>
          <w:szCs w:val="24"/>
        </w:rPr>
        <w:t>The respondents for SSA</w:t>
      </w:r>
      <w:r>
        <w:rPr>
          <w:sz w:val="24"/>
          <w:szCs w:val="24"/>
        </w:rPr>
        <w:noBreakHyphen/>
      </w:r>
      <w:r w:rsidRPr="00AF4176">
        <w:rPr>
          <w:sz w:val="24"/>
          <w:szCs w:val="24"/>
        </w:rPr>
        <w:t>7161</w:t>
      </w:r>
      <w:r>
        <w:rPr>
          <w:sz w:val="24"/>
          <w:szCs w:val="24"/>
        </w:rPr>
        <w:noBreakHyphen/>
      </w:r>
      <w:r w:rsidRPr="00AF4176">
        <w:rPr>
          <w:sz w:val="24"/>
          <w:szCs w:val="24"/>
        </w:rPr>
        <w:t>OCR-SM are representative payees; while the respondents for the SSA</w:t>
      </w:r>
      <w:r>
        <w:rPr>
          <w:sz w:val="24"/>
          <w:szCs w:val="24"/>
        </w:rPr>
        <w:noBreakHyphen/>
      </w:r>
      <w:r w:rsidRPr="00AF4176">
        <w:rPr>
          <w:sz w:val="24"/>
          <w:szCs w:val="24"/>
        </w:rPr>
        <w:t xml:space="preserve">7162-OCR-SM are the individual beneficiaries who do not require representative payees.  </w:t>
      </w:r>
      <w:r w:rsidR="00B22F1A">
        <w:rPr>
          <w:sz w:val="24"/>
          <w:szCs w:val="24"/>
        </w:rPr>
        <w:t>When we last cleared this IC in 2016, the burden was 43,412.  However, we are currently reporting a burden of 46,116.  This change stems from an increase in the number of responses from 436,595 to 468,762.  There is no change to the burde</w:t>
      </w:r>
      <w:r w:rsidR="0033373D">
        <w:rPr>
          <w:sz w:val="24"/>
          <w:szCs w:val="24"/>
        </w:rPr>
        <w:t>n time per response.  Per our records, t</w:t>
      </w:r>
      <w:r w:rsidR="00B22F1A">
        <w:rPr>
          <w:sz w:val="24"/>
          <w:szCs w:val="24"/>
        </w:rPr>
        <w:t>he n</w:t>
      </w:r>
      <w:r w:rsidR="0033373D">
        <w:rPr>
          <w:sz w:val="24"/>
          <w:szCs w:val="24"/>
        </w:rPr>
        <w:t>umber of responses changed because</w:t>
      </w:r>
      <w:r w:rsidR="00B22F1A">
        <w:rPr>
          <w:sz w:val="24"/>
          <w:szCs w:val="24"/>
        </w:rPr>
        <w:t xml:space="preserve"> the beneficiary population liv</w:t>
      </w:r>
      <w:r w:rsidR="00C44451">
        <w:rPr>
          <w:sz w:val="24"/>
          <w:szCs w:val="24"/>
        </w:rPr>
        <w:t>ing outside the United States</w:t>
      </w:r>
      <w:r w:rsidR="0033373D">
        <w:rPr>
          <w:sz w:val="24"/>
          <w:szCs w:val="24"/>
        </w:rPr>
        <w:t xml:space="preserve"> increased.  </w:t>
      </w:r>
      <w:r w:rsidR="00B22F1A">
        <w:rPr>
          <w:sz w:val="24"/>
          <w:szCs w:val="24"/>
        </w:rPr>
        <w:t xml:space="preserve">SSA did not take any actions to cause this change. </w:t>
      </w:r>
    </w:p>
    <w:p w:rsidR="008E0947" w:rsidRPr="008E0947" w:rsidP="008E0947" w14:paraId="2A5FA914" w14:textId="77777777">
      <w:pPr>
        <w:tabs>
          <w:tab w:val="left" w:pos="-720"/>
        </w:tabs>
        <w:suppressAutoHyphens/>
        <w:rPr>
          <w:b/>
          <w:sz w:val="24"/>
          <w:szCs w:val="24"/>
        </w:rPr>
      </w:pPr>
    </w:p>
    <w:p w:rsidR="007C0678" w:rsidRPr="007C0678" w:rsidP="00487E40" w14:paraId="32E63BEF" w14:textId="77777777">
      <w:pPr>
        <w:pStyle w:val="ListParagraph"/>
        <w:numPr>
          <w:ilvl w:val="0"/>
          <w:numId w:val="21"/>
        </w:numPr>
        <w:tabs>
          <w:tab w:val="left" w:pos="-720"/>
        </w:tabs>
        <w:suppressAutoHyphens/>
        <w:rPr>
          <w:b/>
          <w:sz w:val="24"/>
          <w:szCs w:val="24"/>
        </w:rPr>
      </w:pPr>
      <w:r w:rsidRPr="007C0678">
        <w:rPr>
          <w:b/>
          <w:sz w:val="24"/>
        </w:rPr>
        <w:t>Plans for Publication Information Collection Results</w:t>
      </w:r>
      <w:r>
        <w:rPr>
          <w:sz w:val="24"/>
          <w:szCs w:val="24"/>
        </w:rPr>
        <w:t xml:space="preserve"> </w:t>
      </w:r>
    </w:p>
    <w:p w:rsidR="00487E40" w:rsidRPr="008E0947" w:rsidP="007C0678" w14:paraId="4596073B" w14:textId="77777777">
      <w:pPr>
        <w:pStyle w:val="ListParagraph"/>
        <w:tabs>
          <w:tab w:val="left" w:pos="-720"/>
        </w:tabs>
        <w:suppressAutoHyphens/>
        <w:ind w:left="1080"/>
        <w:rPr>
          <w:b/>
          <w:sz w:val="24"/>
          <w:szCs w:val="24"/>
        </w:rPr>
      </w:pPr>
      <w:r>
        <w:rPr>
          <w:sz w:val="24"/>
          <w:szCs w:val="24"/>
        </w:rPr>
        <w:t>SSA will not publish t</w:t>
      </w:r>
      <w:r w:rsidRPr="00B97F3D">
        <w:rPr>
          <w:sz w:val="24"/>
          <w:szCs w:val="24"/>
        </w:rPr>
        <w:t>he results of the information collection</w:t>
      </w:r>
      <w:r>
        <w:rPr>
          <w:sz w:val="24"/>
          <w:szCs w:val="24"/>
        </w:rPr>
        <w:t>.</w:t>
      </w:r>
    </w:p>
    <w:p w:rsidR="008E0947" w:rsidRPr="008E0947" w:rsidP="008E0947" w14:paraId="27A0403F" w14:textId="77777777">
      <w:pPr>
        <w:tabs>
          <w:tab w:val="left" w:pos="-720"/>
        </w:tabs>
        <w:suppressAutoHyphens/>
        <w:rPr>
          <w:b/>
          <w:sz w:val="24"/>
          <w:szCs w:val="24"/>
        </w:rPr>
      </w:pPr>
    </w:p>
    <w:p w:rsidR="00487E40" w:rsidRPr="007C0678" w:rsidP="00487E40" w14:paraId="49CD743F" w14:textId="77777777">
      <w:pPr>
        <w:pStyle w:val="ListParagraph"/>
        <w:numPr>
          <w:ilvl w:val="0"/>
          <w:numId w:val="21"/>
        </w:numPr>
        <w:tabs>
          <w:tab w:val="left" w:pos="-720"/>
        </w:tabs>
        <w:suppressAutoHyphens/>
        <w:rPr>
          <w:b/>
          <w:sz w:val="24"/>
          <w:szCs w:val="24"/>
        </w:rPr>
      </w:pPr>
      <w:r w:rsidRPr="007C0678">
        <w:rPr>
          <w:b/>
          <w:sz w:val="24"/>
        </w:rPr>
        <w:t>Displaying the OMB Approval Expiration Date</w:t>
      </w:r>
    </w:p>
    <w:p w:rsidR="007C0678" w:rsidRPr="007C0678" w:rsidP="007C0678" w14:paraId="69F17A0A" w14:textId="77777777">
      <w:pPr>
        <w:pStyle w:val="ListParagraph"/>
        <w:tabs>
          <w:tab w:val="left" w:pos="-720"/>
        </w:tabs>
        <w:suppressAutoHyphens/>
        <w:ind w:left="1080"/>
        <w:rPr>
          <w:b/>
          <w:sz w:val="24"/>
        </w:rPr>
      </w:pPr>
      <w:r w:rsidRPr="007C0678">
        <w:rPr>
          <w:bCs/>
          <w:iCs/>
          <w:sz w:val="24"/>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7C0678" w:rsidP="007C0678" w14:paraId="6FE3B3B6" w14:textId="77777777">
      <w:pPr>
        <w:pStyle w:val="ListParagraph"/>
        <w:tabs>
          <w:tab w:val="left" w:pos="-720"/>
        </w:tabs>
        <w:suppressAutoHyphens/>
        <w:ind w:left="1080"/>
        <w:rPr>
          <w:b/>
          <w:sz w:val="24"/>
          <w:szCs w:val="24"/>
        </w:rPr>
      </w:pPr>
    </w:p>
    <w:p w:rsidR="00487E40" w:rsidRPr="007C0678" w:rsidP="00487E40" w14:paraId="0D724468" w14:textId="77777777">
      <w:pPr>
        <w:pStyle w:val="ListParagraph"/>
        <w:numPr>
          <w:ilvl w:val="0"/>
          <w:numId w:val="21"/>
        </w:numPr>
        <w:tabs>
          <w:tab w:val="left" w:pos="-720"/>
        </w:tabs>
        <w:suppressAutoHyphens/>
        <w:rPr>
          <w:b/>
          <w:sz w:val="32"/>
          <w:szCs w:val="24"/>
        </w:rPr>
      </w:pPr>
      <w:r w:rsidRPr="007C0678">
        <w:rPr>
          <w:b/>
          <w:sz w:val="24"/>
        </w:rPr>
        <w:t>Exceptions to Certification Statement</w:t>
      </w:r>
    </w:p>
    <w:p w:rsidR="007C0678" w:rsidRPr="007C0678" w:rsidP="007C0678" w14:paraId="73B703D9" w14:textId="77777777">
      <w:pPr>
        <w:pStyle w:val="ListParagraph"/>
        <w:tabs>
          <w:tab w:val="left" w:pos="-720"/>
        </w:tabs>
        <w:suppressAutoHyphens/>
        <w:ind w:left="1080"/>
        <w:rPr>
          <w:b/>
          <w:sz w:val="32"/>
          <w:szCs w:val="24"/>
        </w:rPr>
      </w:pPr>
      <w:r w:rsidRPr="007C0678">
        <w:rPr>
          <w:sz w:val="24"/>
        </w:rPr>
        <w:t xml:space="preserve">SSA is not requesting an exception to the certification requirements at </w:t>
      </w:r>
      <w:r w:rsidRPr="007C0678">
        <w:rPr>
          <w:i/>
          <w:sz w:val="24"/>
        </w:rPr>
        <w:t>5 CFR 1320.9</w:t>
      </w:r>
      <w:r w:rsidRPr="007C0678">
        <w:rPr>
          <w:sz w:val="24"/>
        </w:rPr>
        <w:t xml:space="preserve"> and related provisions at </w:t>
      </w:r>
      <w:r w:rsidRPr="007C0678">
        <w:rPr>
          <w:i/>
          <w:sz w:val="24"/>
        </w:rPr>
        <w:t>5 CFR 1320.8(b)(3)</w:t>
      </w:r>
      <w:r w:rsidRPr="007C0678">
        <w:rPr>
          <w:sz w:val="24"/>
        </w:rPr>
        <w:t>.</w:t>
      </w:r>
    </w:p>
    <w:p w:rsidR="00487E40" w:rsidRPr="00487E40" w:rsidP="00487E40" w14:paraId="4F1B9344" w14:textId="77777777">
      <w:pPr>
        <w:tabs>
          <w:tab w:val="left" w:pos="-720"/>
        </w:tabs>
        <w:suppressAutoHyphens/>
        <w:ind w:left="720"/>
        <w:rPr>
          <w:b/>
          <w:sz w:val="24"/>
          <w:szCs w:val="24"/>
        </w:rPr>
      </w:pPr>
    </w:p>
    <w:p w:rsidR="00487E40" w:rsidRPr="007C0678" w:rsidP="00487E40" w14:paraId="6FED8638" w14:textId="77777777">
      <w:pPr>
        <w:pStyle w:val="ListParagraph"/>
        <w:numPr>
          <w:ilvl w:val="0"/>
          <w:numId w:val="20"/>
        </w:numPr>
        <w:tabs>
          <w:tab w:val="left" w:pos="-720"/>
        </w:tabs>
        <w:suppressAutoHyphens/>
        <w:rPr>
          <w:b/>
          <w:sz w:val="24"/>
          <w:szCs w:val="24"/>
        </w:rPr>
      </w:pPr>
      <w:r w:rsidRPr="007C0678">
        <w:rPr>
          <w:b/>
          <w:sz w:val="24"/>
          <w:u w:val="single"/>
        </w:rPr>
        <w:t>Collections of Information Employing Statistical Methods</w:t>
      </w:r>
    </w:p>
    <w:p w:rsidR="007C0678" w:rsidP="007C0678" w14:paraId="06430F7A" w14:textId="77777777">
      <w:pPr>
        <w:pStyle w:val="ListParagraph"/>
        <w:tabs>
          <w:tab w:val="left" w:pos="-720"/>
        </w:tabs>
        <w:suppressAutoHyphens/>
        <w:rPr>
          <w:b/>
          <w:sz w:val="24"/>
          <w:u w:val="single"/>
        </w:rPr>
      </w:pPr>
    </w:p>
    <w:p w:rsidR="007C0678" w:rsidRPr="007C0678" w:rsidP="007C0678" w14:paraId="55B57BFC" w14:textId="77777777">
      <w:pPr>
        <w:pStyle w:val="ListParagraph"/>
        <w:tabs>
          <w:tab w:val="left" w:pos="-720"/>
        </w:tabs>
        <w:suppressAutoHyphens/>
        <w:rPr>
          <w:b/>
          <w:sz w:val="32"/>
          <w:szCs w:val="24"/>
        </w:rPr>
      </w:pPr>
      <w:r w:rsidRPr="007C0678">
        <w:rPr>
          <w:sz w:val="24"/>
        </w:rPr>
        <w:t>SSA does not use statistical methods for this information collection.</w:t>
      </w:r>
    </w:p>
    <w:p w:rsidR="0084357A" w:rsidRPr="00B97F3D" w14:paraId="2E624305" w14:textId="77777777">
      <w:pPr>
        <w:pStyle w:val="BlockText"/>
        <w:tabs>
          <w:tab w:val="clear" w:pos="0"/>
          <w:tab w:val="clear" w:pos="720"/>
          <w:tab w:val="clear" w:pos="1170"/>
          <w:tab w:val="clear" w:pos="2160"/>
        </w:tabs>
        <w:ind w:left="0" w:firstLine="0"/>
      </w:pPr>
    </w:p>
    <w:p w:rsidR="0084357A" w:rsidRPr="00B97F3D" w14:paraId="0AB1F3CE" w14:textId="77777777">
      <w:pPr>
        <w:suppressAutoHyphens/>
        <w:ind w:right="720"/>
        <w:rPr>
          <w:sz w:val="24"/>
          <w:szCs w:val="24"/>
        </w:rPr>
      </w:pPr>
    </w:p>
    <w:p w:rsidR="0084357A" w:rsidRPr="00B97F3D" w14:paraId="67E2E945" w14:textId="77777777">
      <w:pPr>
        <w:rPr>
          <w:sz w:val="24"/>
          <w:szCs w:val="24"/>
        </w:rPr>
      </w:pPr>
      <w:r w:rsidRPr="00B97F3D">
        <w:rPr>
          <w:sz w:val="24"/>
          <w:szCs w:val="24"/>
        </w:rPr>
        <w:tab/>
      </w:r>
    </w:p>
    <w:sectPr w:rsidSect="00DA5859">
      <w:footerReference w:type="even" r:id="rId4"/>
      <w:footerReference w:type="default" r:id="rId5"/>
      <w:pgSz w:w="12240" w:h="15840" w:code="1"/>
      <w:pgMar w:top="1440" w:right="1440"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elior">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4D45" w14:paraId="113B120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64D45" w14:paraId="222E6AF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4D45" w14:paraId="0880F74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1830">
      <w:rPr>
        <w:rStyle w:val="PageNumber"/>
        <w:noProof/>
      </w:rPr>
      <w:t>2</w:t>
    </w:r>
    <w:r>
      <w:rPr>
        <w:rStyle w:val="PageNumber"/>
      </w:rPr>
      <w:fldChar w:fldCharType="end"/>
    </w:r>
  </w:p>
  <w:p w:rsidR="00464D45" w14:paraId="569BEA1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D749F6"/>
    <w:multiLevelType w:val="hybridMultilevel"/>
    <w:tmpl w:val="425E7BA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5DC7D12"/>
    <w:multiLevelType w:val="hybridMultilevel"/>
    <w:tmpl w:val="BBD8FC4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
    <w:nsid w:val="0EC00198"/>
    <w:multiLevelType w:val="hybridMultilevel"/>
    <w:tmpl w:val="5D18DF92"/>
    <w:lvl w:ilvl="0">
      <w:start w:val="17"/>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10AE1C97"/>
    <w:multiLevelType w:val="multilevel"/>
    <w:tmpl w:val="2CFE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2B3C8C"/>
    <w:multiLevelType w:val="hybridMultilevel"/>
    <w:tmpl w:val="A1BE5E2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3F3E86"/>
    <w:multiLevelType w:val="hybridMultilevel"/>
    <w:tmpl w:val="AE36DB3A"/>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nsid w:val="18BF7E02"/>
    <w:multiLevelType w:val="singleLevel"/>
    <w:tmpl w:val="E274165C"/>
    <w:lvl w:ilvl="0">
      <w:start w:val="10"/>
      <w:numFmt w:val="decimal"/>
      <w:lvlText w:val="%1."/>
      <w:lvlJc w:val="left"/>
      <w:pPr>
        <w:tabs>
          <w:tab w:val="num" w:pos="1080"/>
        </w:tabs>
        <w:ind w:left="1080" w:hanging="360"/>
      </w:pPr>
      <w:rPr>
        <w:rFonts w:hint="default"/>
      </w:rPr>
    </w:lvl>
  </w:abstractNum>
  <w:abstractNum w:abstractNumId="7">
    <w:nsid w:val="1F5C31B2"/>
    <w:multiLevelType w:val="singleLevel"/>
    <w:tmpl w:val="73FE50F0"/>
    <w:lvl w:ilvl="0">
      <w:start w:val="17"/>
      <w:numFmt w:val="decimal"/>
      <w:lvlText w:val="%1."/>
      <w:lvlJc w:val="left"/>
      <w:pPr>
        <w:tabs>
          <w:tab w:val="num" w:pos="1170"/>
        </w:tabs>
        <w:ind w:left="1170" w:hanging="390"/>
      </w:pPr>
      <w:rPr>
        <w:rFonts w:hint="default"/>
      </w:rPr>
    </w:lvl>
  </w:abstractNum>
  <w:abstractNum w:abstractNumId="8">
    <w:nsid w:val="269E3DC9"/>
    <w:multiLevelType w:val="multilevel"/>
    <w:tmpl w:val="2F88CE7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9">
    <w:nsid w:val="27814BDF"/>
    <w:multiLevelType w:val="singleLevel"/>
    <w:tmpl w:val="FCC4A84A"/>
    <w:lvl w:ilvl="0">
      <w:start w:val="14"/>
      <w:numFmt w:val="decimal"/>
      <w:lvlText w:val="%1."/>
      <w:lvlJc w:val="left"/>
      <w:pPr>
        <w:tabs>
          <w:tab w:val="num" w:pos="1200"/>
        </w:tabs>
        <w:ind w:left="1200" w:hanging="420"/>
      </w:pPr>
      <w:rPr>
        <w:rFonts w:hint="default"/>
      </w:rPr>
    </w:lvl>
  </w:abstractNum>
  <w:abstractNum w:abstractNumId="10">
    <w:nsid w:val="2F06246D"/>
    <w:multiLevelType w:val="singleLevel"/>
    <w:tmpl w:val="523EA090"/>
    <w:lvl w:ilvl="0">
      <w:start w:val="5"/>
      <w:numFmt w:val="decimal"/>
      <w:lvlText w:val="%1."/>
      <w:lvlJc w:val="left"/>
      <w:pPr>
        <w:tabs>
          <w:tab w:val="num" w:pos="1140"/>
        </w:tabs>
        <w:ind w:left="1140" w:hanging="420"/>
      </w:pPr>
      <w:rPr>
        <w:rFonts w:hint="default"/>
      </w:rPr>
    </w:lvl>
  </w:abstractNum>
  <w:abstractNum w:abstractNumId="11">
    <w:nsid w:val="31A36F27"/>
    <w:multiLevelType w:val="hybridMultilevel"/>
    <w:tmpl w:val="943EBA5A"/>
    <w:lvl w:ilvl="0">
      <w:start w:val="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34892B82"/>
    <w:multiLevelType w:val="hybridMultilevel"/>
    <w:tmpl w:val="B412C6E6"/>
    <w:lvl w:ilvl="0">
      <w:start w:val="1"/>
      <w:numFmt w:val="decimal"/>
      <w:lvlText w:val="%1."/>
      <w:lvlJc w:val="left"/>
      <w:pPr>
        <w:ind w:left="1080" w:hanging="360"/>
      </w:pPr>
      <w:rPr>
        <w:rFonts w:hint="default"/>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A1E61E0"/>
    <w:multiLevelType w:val="multilevel"/>
    <w:tmpl w:val="17740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3A83695"/>
    <w:multiLevelType w:val="hybridMultilevel"/>
    <w:tmpl w:val="816EF39C"/>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488D0198"/>
    <w:multiLevelType w:val="hybridMultilevel"/>
    <w:tmpl w:val="B65ECCE8"/>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A427BBE"/>
    <w:multiLevelType w:val="hybridMultilevel"/>
    <w:tmpl w:val="EF0661E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C6E5090"/>
    <w:multiLevelType w:val="singleLevel"/>
    <w:tmpl w:val="AFFE10FE"/>
    <w:lvl w:ilvl="0">
      <w:start w:val="5"/>
      <w:numFmt w:val="decimal"/>
      <w:lvlText w:val="%1."/>
      <w:lvlJc w:val="left"/>
      <w:pPr>
        <w:tabs>
          <w:tab w:val="num" w:pos="1080"/>
        </w:tabs>
        <w:ind w:left="1080" w:hanging="360"/>
      </w:pPr>
      <w:rPr>
        <w:rFonts w:hint="default"/>
      </w:rPr>
    </w:lvl>
  </w:abstractNum>
  <w:abstractNum w:abstractNumId="18">
    <w:nsid w:val="53925881"/>
    <w:multiLevelType w:val="singleLevel"/>
    <w:tmpl w:val="2782031C"/>
    <w:lvl w:ilvl="0">
      <w:start w:val="10"/>
      <w:numFmt w:val="decimal"/>
      <w:lvlText w:val="%1."/>
      <w:lvlJc w:val="left"/>
      <w:pPr>
        <w:tabs>
          <w:tab w:val="num" w:pos="1200"/>
        </w:tabs>
        <w:ind w:left="1200" w:hanging="480"/>
      </w:pPr>
      <w:rPr>
        <w:rFonts w:hint="default"/>
      </w:rPr>
    </w:lvl>
  </w:abstractNum>
  <w:abstractNum w:abstractNumId="19">
    <w:nsid w:val="54BE424A"/>
    <w:multiLevelType w:val="singleLevel"/>
    <w:tmpl w:val="8D9E51FE"/>
    <w:lvl w:ilvl="0">
      <w:start w:val="5"/>
      <w:numFmt w:val="decimal"/>
      <w:lvlText w:val="%1."/>
      <w:lvlJc w:val="left"/>
      <w:pPr>
        <w:tabs>
          <w:tab w:val="num" w:pos="1440"/>
        </w:tabs>
        <w:ind w:left="1440" w:hanging="720"/>
      </w:pPr>
      <w:rPr>
        <w:rFonts w:hint="default"/>
      </w:rPr>
    </w:lvl>
  </w:abstractNum>
  <w:abstractNum w:abstractNumId="20">
    <w:nsid w:val="58337796"/>
    <w:multiLevelType w:val="hybridMultilevel"/>
    <w:tmpl w:val="5BE6EDB0"/>
    <w:lvl w:ilvl="0">
      <w:start w:val="17"/>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1">
    <w:nsid w:val="652F7990"/>
    <w:multiLevelType w:val="multilevel"/>
    <w:tmpl w:val="BAD2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9"/>
  </w:num>
  <w:num w:numId="3">
    <w:abstractNumId w:val="18"/>
  </w:num>
  <w:num w:numId="4">
    <w:abstractNumId w:val="6"/>
  </w:num>
  <w:num w:numId="5">
    <w:abstractNumId w:val="7"/>
  </w:num>
  <w:num w:numId="6">
    <w:abstractNumId w:val="17"/>
  </w:num>
  <w:num w:numId="7">
    <w:abstractNumId w:val="11"/>
  </w:num>
  <w:num w:numId="8">
    <w:abstractNumId w:val="20"/>
  </w:num>
  <w:num w:numId="9">
    <w:abstractNumId w:val="2"/>
  </w:num>
  <w:num w:numId="10">
    <w:abstractNumId w:val="19"/>
  </w:num>
  <w:num w:numId="11">
    <w:abstractNumId w:val="21"/>
  </w:num>
  <w:num w:numId="12">
    <w:abstractNumId w:val="8"/>
  </w:num>
  <w:num w:numId="13">
    <w:abstractNumId w:val="13"/>
  </w:num>
  <w:num w:numId="14">
    <w:abstractNumId w:val="3"/>
  </w:num>
  <w:num w:numId="15">
    <w:abstractNumId w:val="1"/>
  </w:num>
  <w:num w:numId="16">
    <w:abstractNumId w:val="5"/>
  </w:num>
  <w:num w:numId="17">
    <w:abstractNumId w:val="14"/>
  </w:num>
  <w:num w:numId="18">
    <w:abstractNumId w:val="15"/>
  </w:num>
  <w:num w:numId="19">
    <w:abstractNumId w:val="4"/>
  </w:num>
  <w:num w:numId="20">
    <w:abstractNumId w:val="16"/>
  </w:num>
  <w:num w:numId="21">
    <w:abstractNumId w:val="1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57A"/>
    <w:rsid w:val="00011D10"/>
    <w:rsid w:val="000129F7"/>
    <w:rsid w:val="00012B6C"/>
    <w:rsid w:val="00026147"/>
    <w:rsid w:val="000419AD"/>
    <w:rsid w:val="00066A3C"/>
    <w:rsid w:val="0007260C"/>
    <w:rsid w:val="00085FFB"/>
    <w:rsid w:val="000947D4"/>
    <w:rsid w:val="000A3614"/>
    <w:rsid w:val="000D7693"/>
    <w:rsid w:val="000E5ACE"/>
    <w:rsid w:val="000F79C3"/>
    <w:rsid w:val="00120DA9"/>
    <w:rsid w:val="00122E19"/>
    <w:rsid w:val="0015063D"/>
    <w:rsid w:val="0018601A"/>
    <w:rsid w:val="001B689A"/>
    <w:rsid w:val="001E7EC2"/>
    <w:rsid w:val="00215C36"/>
    <w:rsid w:val="00220ED8"/>
    <w:rsid w:val="0025498C"/>
    <w:rsid w:val="002A41F3"/>
    <w:rsid w:val="002B6249"/>
    <w:rsid w:val="002D0100"/>
    <w:rsid w:val="002D605C"/>
    <w:rsid w:val="002F005F"/>
    <w:rsid w:val="003032D5"/>
    <w:rsid w:val="0033373D"/>
    <w:rsid w:val="00333EAD"/>
    <w:rsid w:val="00336ABF"/>
    <w:rsid w:val="00351830"/>
    <w:rsid w:val="00352D66"/>
    <w:rsid w:val="00356A20"/>
    <w:rsid w:val="003A04D1"/>
    <w:rsid w:val="003A3876"/>
    <w:rsid w:val="003B65EE"/>
    <w:rsid w:val="003B6894"/>
    <w:rsid w:val="003D150C"/>
    <w:rsid w:val="003D3F7E"/>
    <w:rsid w:val="003E3DE8"/>
    <w:rsid w:val="00406069"/>
    <w:rsid w:val="004119CD"/>
    <w:rsid w:val="0042390F"/>
    <w:rsid w:val="00436CA8"/>
    <w:rsid w:val="00464D45"/>
    <w:rsid w:val="004750C7"/>
    <w:rsid w:val="00487E40"/>
    <w:rsid w:val="004B01D3"/>
    <w:rsid w:val="004B104F"/>
    <w:rsid w:val="004B7583"/>
    <w:rsid w:val="004B7BCB"/>
    <w:rsid w:val="004C2D4F"/>
    <w:rsid w:val="004C680C"/>
    <w:rsid w:val="00501377"/>
    <w:rsid w:val="00504A3A"/>
    <w:rsid w:val="00510014"/>
    <w:rsid w:val="005158BE"/>
    <w:rsid w:val="00517853"/>
    <w:rsid w:val="00533F99"/>
    <w:rsid w:val="00563277"/>
    <w:rsid w:val="005660E2"/>
    <w:rsid w:val="005809F1"/>
    <w:rsid w:val="00583F50"/>
    <w:rsid w:val="005A7CF3"/>
    <w:rsid w:val="005B6DCB"/>
    <w:rsid w:val="005D0E33"/>
    <w:rsid w:val="005F2D14"/>
    <w:rsid w:val="005F6CE0"/>
    <w:rsid w:val="005F70C6"/>
    <w:rsid w:val="006014B9"/>
    <w:rsid w:val="00605E26"/>
    <w:rsid w:val="00607DB0"/>
    <w:rsid w:val="006730DB"/>
    <w:rsid w:val="00676B0A"/>
    <w:rsid w:val="00692820"/>
    <w:rsid w:val="00696ED7"/>
    <w:rsid w:val="006A4830"/>
    <w:rsid w:val="006B12CF"/>
    <w:rsid w:val="006D3CC6"/>
    <w:rsid w:val="006D4C14"/>
    <w:rsid w:val="006F39A1"/>
    <w:rsid w:val="007208C2"/>
    <w:rsid w:val="007232B8"/>
    <w:rsid w:val="0072614B"/>
    <w:rsid w:val="00727893"/>
    <w:rsid w:val="00776A26"/>
    <w:rsid w:val="0078078A"/>
    <w:rsid w:val="0079156E"/>
    <w:rsid w:val="00791767"/>
    <w:rsid w:val="00797134"/>
    <w:rsid w:val="007A5D91"/>
    <w:rsid w:val="007A61B1"/>
    <w:rsid w:val="007B5FF2"/>
    <w:rsid w:val="007C0678"/>
    <w:rsid w:val="007C23BB"/>
    <w:rsid w:val="007F196B"/>
    <w:rsid w:val="007F51EC"/>
    <w:rsid w:val="007F6F28"/>
    <w:rsid w:val="0084357A"/>
    <w:rsid w:val="00863E38"/>
    <w:rsid w:val="00893F8D"/>
    <w:rsid w:val="008C10C6"/>
    <w:rsid w:val="008C1643"/>
    <w:rsid w:val="008C519C"/>
    <w:rsid w:val="008E0947"/>
    <w:rsid w:val="008E1A92"/>
    <w:rsid w:val="009267B3"/>
    <w:rsid w:val="0094154A"/>
    <w:rsid w:val="009543D9"/>
    <w:rsid w:val="00970306"/>
    <w:rsid w:val="00984FEF"/>
    <w:rsid w:val="00995254"/>
    <w:rsid w:val="009A6C8E"/>
    <w:rsid w:val="009E0643"/>
    <w:rsid w:val="009F76AB"/>
    <w:rsid w:val="00A0071F"/>
    <w:rsid w:val="00A00EFF"/>
    <w:rsid w:val="00A01DE0"/>
    <w:rsid w:val="00A06409"/>
    <w:rsid w:val="00A17D7B"/>
    <w:rsid w:val="00A26C5B"/>
    <w:rsid w:val="00A55960"/>
    <w:rsid w:val="00A6082E"/>
    <w:rsid w:val="00A62FA1"/>
    <w:rsid w:val="00A6402B"/>
    <w:rsid w:val="00A67A3B"/>
    <w:rsid w:val="00A75C26"/>
    <w:rsid w:val="00A765EC"/>
    <w:rsid w:val="00AA2DB8"/>
    <w:rsid w:val="00AB3F56"/>
    <w:rsid w:val="00AD6F9D"/>
    <w:rsid w:val="00AF4176"/>
    <w:rsid w:val="00AF52AD"/>
    <w:rsid w:val="00B032A3"/>
    <w:rsid w:val="00B17E93"/>
    <w:rsid w:val="00B22F1A"/>
    <w:rsid w:val="00B409FE"/>
    <w:rsid w:val="00B5450F"/>
    <w:rsid w:val="00B636C9"/>
    <w:rsid w:val="00B65E8E"/>
    <w:rsid w:val="00B97F3D"/>
    <w:rsid w:val="00BB065A"/>
    <w:rsid w:val="00BC1915"/>
    <w:rsid w:val="00BD1CBA"/>
    <w:rsid w:val="00BF21DB"/>
    <w:rsid w:val="00BF56C6"/>
    <w:rsid w:val="00C043BE"/>
    <w:rsid w:val="00C1350C"/>
    <w:rsid w:val="00C35C0C"/>
    <w:rsid w:val="00C418AB"/>
    <w:rsid w:val="00C44451"/>
    <w:rsid w:val="00C53590"/>
    <w:rsid w:val="00C63B7B"/>
    <w:rsid w:val="00C745A8"/>
    <w:rsid w:val="00C8268E"/>
    <w:rsid w:val="00C873D6"/>
    <w:rsid w:val="00CA1F1B"/>
    <w:rsid w:val="00CA25A2"/>
    <w:rsid w:val="00CC12CE"/>
    <w:rsid w:val="00CC3300"/>
    <w:rsid w:val="00CC790F"/>
    <w:rsid w:val="00CE45E8"/>
    <w:rsid w:val="00CF40AA"/>
    <w:rsid w:val="00CF5C61"/>
    <w:rsid w:val="00D02B23"/>
    <w:rsid w:val="00D0350F"/>
    <w:rsid w:val="00D06681"/>
    <w:rsid w:val="00D22F58"/>
    <w:rsid w:val="00D2364F"/>
    <w:rsid w:val="00D35487"/>
    <w:rsid w:val="00D53870"/>
    <w:rsid w:val="00D60799"/>
    <w:rsid w:val="00D71772"/>
    <w:rsid w:val="00D75E10"/>
    <w:rsid w:val="00DA2C49"/>
    <w:rsid w:val="00DA5859"/>
    <w:rsid w:val="00DB1AD6"/>
    <w:rsid w:val="00DB677D"/>
    <w:rsid w:val="00DB71FD"/>
    <w:rsid w:val="00DC19C4"/>
    <w:rsid w:val="00DD5DE9"/>
    <w:rsid w:val="00DE3615"/>
    <w:rsid w:val="00E1256C"/>
    <w:rsid w:val="00E15BFF"/>
    <w:rsid w:val="00E31ACF"/>
    <w:rsid w:val="00E43CF1"/>
    <w:rsid w:val="00E4461D"/>
    <w:rsid w:val="00E633A8"/>
    <w:rsid w:val="00E65806"/>
    <w:rsid w:val="00E66DE0"/>
    <w:rsid w:val="00E8723E"/>
    <w:rsid w:val="00E94CE3"/>
    <w:rsid w:val="00EB571F"/>
    <w:rsid w:val="00EE5276"/>
    <w:rsid w:val="00EF6DA0"/>
    <w:rsid w:val="00F059B6"/>
    <w:rsid w:val="00F14A91"/>
    <w:rsid w:val="00F1557F"/>
    <w:rsid w:val="00F43771"/>
    <w:rsid w:val="00F545B8"/>
    <w:rsid w:val="00F721DF"/>
    <w:rsid w:val="00F76435"/>
    <w:rsid w:val="00F8662A"/>
    <w:rsid w:val="00F93A6B"/>
    <w:rsid w:val="00FA0A4A"/>
    <w:rsid w:val="00FB6814"/>
    <w:rsid w:val="00FC764C"/>
    <w:rsid w:val="00FE52DF"/>
    <w:rsid w:val="00FE75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DEE2BD"/>
  <w15:docId w15:val="{7F318DF7-C4C6-436D-A90E-57A33366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zh-CN"/>
    </w:rPr>
  </w:style>
  <w:style w:type="paragraph" w:styleId="Heading1">
    <w:name w:val="heading 1"/>
    <w:basedOn w:val="Normal"/>
    <w:next w:val="Normal"/>
    <w:qFormat/>
    <w:pPr>
      <w:keepNext/>
      <w:suppressAutoHyphens/>
      <w:jc w:val="right"/>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pPr>
    <w:rPr>
      <w:rFonts w:ascii="Courier" w:hAnsi="Courier"/>
      <w:i/>
      <w:iCs/>
      <w:snapToGrid w:val="0"/>
      <w:sz w:val="24"/>
      <w:szCs w:val="24"/>
      <w:lang w:eastAsia="en-US"/>
    </w:rPr>
  </w:style>
  <w:style w:type="paragraph" w:styleId="BodyText2">
    <w:name w:val="Body Text 2"/>
    <w:basedOn w:val="Normal"/>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sz w:val="24"/>
      <w:szCs w:val="24"/>
      <w:lang w:eastAsia="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tabs>
        <w:tab w:val="left" w:pos="0"/>
        <w:tab w:val="left" w:pos="720"/>
        <w:tab w:val="left" w:pos="1170"/>
        <w:tab w:val="left" w:pos="2160"/>
      </w:tabs>
      <w:suppressAutoHyphens/>
      <w:ind w:left="1170" w:right="1170" w:hanging="1170"/>
    </w:pPr>
    <w:rPr>
      <w:sz w:val="24"/>
      <w:szCs w:val="24"/>
    </w:rPr>
  </w:style>
  <w:style w:type="paragraph" w:styleId="BodyTextIndent3">
    <w:name w:val="Body Text Indent 3"/>
    <w:basedOn w:val="Normal"/>
    <w:pPr>
      <w:widowControl w:val="0"/>
      <w:ind w:left="1440" w:hanging="720"/>
    </w:pPr>
    <w:rPr>
      <w:snapToGrid w:val="0"/>
      <w:sz w:val="24"/>
      <w:szCs w:val="24"/>
      <w:lang w:eastAsia="en-US"/>
    </w:rPr>
  </w:style>
  <w:style w:type="paragraph" w:styleId="BalloonText">
    <w:name w:val="Balloon Text"/>
    <w:basedOn w:val="Normal"/>
    <w:semiHidden/>
    <w:rsid w:val="001E7EC2"/>
    <w:rPr>
      <w:rFonts w:ascii="Tahoma" w:hAnsi="Tahoma" w:cs="Tahoma"/>
      <w:sz w:val="16"/>
      <w:szCs w:val="16"/>
    </w:rPr>
  </w:style>
  <w:style w:type="paragraph" w:styleId="HTMLPreformatted">
    <w:name w:val="HTML Preformatted"/>
    <w:basedOn w:val="Normal"/>
    <w:rsid w:val="00336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rPr>
  </w:style>
  <w:style w:type="table" w:styleId="TableGrid">
    <w:name w:val="Table Grid"/>
    <w:basedOn w:val="TableNormal"/>
    <w:rsid w:val="00336ABF"/>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797134"/>
    <w:pPr>
      <w:shd w:val="clear" w:color="auto" w:fill="000080"/>
    </w:pPr>
    <w:rPr>
      <w:rFonts w:ascii="Tahoma" w:hAnsi="Tahoma" w:cs="Tahoma"/>
    </w:rPr>
  </w:style>
  <w:style w:type="paragraph" w:styleId="ListParagraph">
    <w:name w:val="List Paragraph"/>
    <w:basedOn w:val="Normal"/>
    <w:qFormat/>
    <w:rsid w:val="00487E40"/>
    <w:pPr>
      <w:ind w:left="720"/>
      <w:contextualSpacing/>
    </w:pPr>
  </w:style>
  <w:style w:type="character" w:styleId="CommentReference">
    <w:name w:val="annotation reference"/>
    <w:basedOn w:val="DefaultParagraphFont"/>
    <w:uiPriority w:val="99"/>
    <w:semiHidden/>
    <w:unhideWhenUsed/>
    <w:rsid w:val="007A5D91"/>
    <w:rPr>
      <w:sz w:val="16"/>
      <w:szCs w:val="16"/>
    </w:rPr>
  </w:style>
  <w:style w:type="paragraph" w:styleId="CommentText">
    <w:name w:val="annotation text"/>
    <w:basedOn w:val="Normal"/>
    <w:link w:val="CommentTextChar"/>
    <w:unhideWhenUsed/>
    <w:rsid w:val="007A5D91"/>
  </w:style>
  <w:style w:type="character" w:customStyle="1" w:styleId="CommentTextChar">
    <w:name w:val="Comment Text Char"/>
    <w:basedOn w:val="DefaultParagraphFont"/>
    <w:link w:val="CommentText"/>
    <w:rsid w:val="007A5D91"/>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2192</Words>
  <Characters>12649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March 2003</vt:lpstr>
    </vt:vector>
  </TitlesOfParts>
  <Company>Social Security Administration</Company>
  <LinksUpToDate>false</LinksUpToDate>
  <CharactersWithSpaces>14812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2003</dc:title>
  <dc:creator>104890</dc:creator>
  <cp:lastModifiedBy>Naomi Sipple</cp:lastModifiedBy>
  <cp:revision>2</cp:revision>
  <cp:lastPrinted>2008-06-18T18:22:00Z</cp:lastPrinted>
  <dcterms:created xsi:type="dcterms:W3CDTF">2023-02-14T16:40:00Z</dcterms:created>
  <dcterms:modified xsi:type="dcterms:W3CDTF">2023-02-14T16:40:00Z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208413907</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[EXTERNAL]   0960-0049 Final Passback</vt:lpwstr>
  </property>
  <property fmtid="{D5CDD505-2E9C-101B-9397-08002B2CF9AE}" pid="6" name="_NewReviewCycle">
    <vt:lpwstr/>
  </property>
  <property fmtid="{D5CDD505-2E9C-101B-9397-08002B2CF9AE}" pid="7" name="_ReviewingToolsShownOnce">
    <vt:lpwstr/>
  </property>
</Properties>
</file>