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81" w:type="pct"/>
        <w:jc w:val="center"/>
        <w:tblLook w:val="04A0" w:firstRow="1" w:lastRow="0" w:firstColumn="1" w:lastColumn="0" w:noHBand="0" w:noVBand="1"/>
      </w:tblPr>
      <w:tblGrid>
        <w:gridCol w:w="269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45"/>
      </w:tblGrid>
      <w:tr w:rsidR="001A461A" w:rsidTr="001A461A">
        <w:trPr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1A461A" w:rsidRPr="001A461A" w:rsidRDefault="001A461A" w:rsidP="001A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>Short Term Outcomes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Measures </w:t>
            </w:r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(1-2 years)</w:t>
            </w:r>
          </w:p>
        </w:tc>
      </w:tr>
      <w:tr w:rsidR="00174BAC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public awareness of signs and symptoms of stroke and knowledge of appropriate activation of emergency medical systems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S2.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Maintenance of existing broad reach and/or increase in the state-wide reach of the stroke system of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S3.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data usage and sharing between components of the stroke care system that will result from having an integrated/ linked data platform for pre-hospital data, in-hospital data, and early post-discharge data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S3a.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reliability and validity of data as determined through annual data validation of select and highly important data elements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workforce capacity and scientific knowledge for stroke surveillance within stroke systems of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S4a.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implementation of quality improvement (QI) strategies for acute stroke care across the continuum of stroke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S4b.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Increased efficiencies and effectiveness of pre-hospital, in-hospital, and post-hospital stroke care practices and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resources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</w:tr>
      <w:tr w:rsidR="00174BAC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S4c.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Increased pre-notification of hospitals by EMS of suspected stroke patients. 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S5. </w:t>
            </w:r>
            <w:r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Improved patient and caregiver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receipt of education on ongoing post-stroke care needs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1A461A">
        <w:trPr>
          <w:trHeight w:val="263"/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1A461A" w:rsidRPr="001A461A" w:rsidRDefault="001A461A" w:rsidP="001A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>Intermediate Outcome Measures</w:t>
            </w:r>
            <w:r w:rsidR="003B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(3+ Years)</w:t>
            </w:r>
          </w:p>
        </w:tc>
      </w:tr>
      <w:tr w:rsidR="00174BAC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time to treatment for acute stroke events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I2.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transition of care from emergency services to hospital emergency department (ED)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I3.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transition of care from hospital to home, which may include reintegration with primary care provider, access to community resources, enhanced patient/caregiver education, and ongoing rehabilitation and secondary prevention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I4.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quality of EMS care for possible stroke patients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I5.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quality of acute and sub-acute ED and hospital stroke care as measured by adherence to established guidelines for care and quality metrics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I6.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defect free care for acute stroke patients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I7.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tobacco control/reduction in smoking post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I8.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Improved medication adherence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post-discharge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I9.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30-day hospital readmissions and ED visits for stroke-related complications after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337" w:hanging="3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I10.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30-day mortality after acute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7FBE" w:rsidTr="003B7FBE">
        <w:trPr>
          <w:trHeight w:val="263"/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3B7FBE" w:rsidRPr="003B7FBE" w:rsidRDefault="00496F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Long Term Outcome Measures</w:t>
            </w:r>
          </w:p>
        </w:tc>
      </w:tr>
      <w:tr w:rsidR="00174BAC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disparities in stroke care, death, and disability should result from adherence to stroke care guidelines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40602" w:rsidRPr="001408EA" w:rsidRDefault="00440602">
      <w:pPr>
        <w:rPr>
          <w:sz w:val="20"/>
          <w:szCs w:val="20"/>
        </w:rPr>
      </w:pPr>
    </w:p>
    <w:p w:rsidR="00AD334C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408EA">
        <w:rPr>
          <w:rFonts w:ascii="Times New Roman" w:hAnsi="Times New Roman" w:cs="Times New Roman"/>
          <w:sz w:val="20"/>
          <w:szCs w:val="20"/>
        </w:rPr>
        <w:t xml:space="preserve"> Data sources may contribute to short and/or intermediate and/or long-term performance measures. Additionally, hospital inventory data</w:t>
      </w: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408EA">
        <w:rPr>
          <w:rFonts w:ascii="Times New Roman" w:hAnsi="Times New Roman" w:cs="Times New Roman"/>
          <w:sz w:val="20"/>
          <w:szCs w:val="20"/>
        </w:rPr>
        <w:t>elements (</w:t>
      </w:r>
      <w:r w:rsidRPr="001408EA">
        <w:rPr>
          <w:rFonts w:ascii="Times New Roman" w:hAnsi="Times New Roman" w:cs="Times New Roman"/>
          <w:b/>
          <w:sz w:val="20"/>
          <w:szCs w:val="20"/>
        </w:rPr>
        <w:t>attachments 4a and 4b</w:t>
      </w:r>
      <w:r w:rsidRPr="001408EA">
        <w:rPr>
          <w:rFonts w:ascii="Times New Roman" w:hAnsi="Times New Roman" w:cs="Times New Roman"/>
          <w:sz w:val="20"/>
          <w:szCs w:val="20"/>
        </w:rPr>
        <w:t>) are used across patient-level measures for stratification on size and capacity</w:t>
      </w:r>
    </w:p>
    <w:p w:rsidR="00AD334C" w:rsidRPr="001408EA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334C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408EA">
        <w:rPr>
          <w:rFonts w:ascii="Times New Roman" w:hAnsi="Times New Roman" w:cs="Times New Roman"/>
          <w:sz w:val="20"/>
          <w:szCs w:val="20"/>
        </w:rPr>
        <w:t>See the process and quality of care performance measure reference numbers in the table below</w:t>
      </w:r>
    </w:p>
    <w:p w:rsidR="00AD334C" w:rsidRPr="001408EA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334C" w:rsidRPr="001408EA" w:rsidRDefault="00AD334C" w:rsidP="00AD334C">
      <w:pPr>
        <w:rPr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408EA">
        <w:rPr>
          <w:rFonts w:ascii="Times New Roman" w:hAnsi="Times New Roman" w:cs="Times New Roman"/>
          <w:sz w:val="20"/>
          <w:szCs w:val="20"/>
        </w:rPr>
        <w:t>Process measures are reported in awardees’ annual performance report (APR), unless otherwise noted in this table</w:t>
      </w:r>
    </w:p>
    <w:p w:rsidR="00AD334C" w:rsidRDefault="00AD334C"/>
    <w:p w:rsidR="00AD334C" w:rsidRDefault="00AD334C">
      <w:pPr>
        <w:sectPr w:rsidR="00AD334C" w:rsidSect="005D5804">
          <w:headerReference w:type="default" r:id="rId9"/>
          <w:footerReference w:type="default" r:id="rId10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E30DA0" w:rsidRPr="00E447A8" w:rsidRDefault="00E30DA0" w:rsidP="001A461A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13715"/>
      </w:tblGrid>
      <w:tr w:rsidR="009148D4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9148D4" w:rsidRPr="001408EA" w:rsidRDefault="00E30DA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>Process</w:t>
            </w:r>
            <w:r w:rsidR="008F4EB7"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AD5A6A">
              <w:rPr>
                <w:rFonts w:ascii="Times New Roman" w:hAnsi="Times New Roman" w:cs="Times New Roman"/>
                <w:b/>
                <w:sz w:val="14"/>
                <w:szCs w:val="14"/>
              </w:rPr>
              <w:t>Performance</w:t>
            </w:r>
            <w:r w:rsidR="009148D4"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Measures 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E1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B108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Process-level performance measures, which include public awareness, partnerships, recruitment, data infrastructure, data use, quality improvement, and sustainability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E2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B108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Short-term outcome performance measures, which include public awareness, reach, data linkage, data reliability/validity, workforce capacity, stroke care, and patient education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E3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Intermediate outcome performance measures, which include systems of stroke care</w:t>
            </w:r>
            <w:r w:rsidR="00B108AC" w:rsidRPr="006C16D2">
              <w:rPr>
                <w:rFonts w:ascii="Times New Roman" w:hAnsi="Times New Roman" w:cs="Times New Roman"/>
                <w:sz w:val="14"/>
                <w:szCs w:val="14"/>
              </w:rPr>
              <w:t>, stroke care, and health outcomes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Pre-Hospita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>l Quality of Care</w:t>
            </w: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 Performance Measures (DRAFT)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pre-hosp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ital data elements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a)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with an on-scene time &lt;15 minutes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with a blood glucose checked and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called in a stroke alert pre-notification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stroke screen completed and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documented time last known to be well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documented time of discovery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thrombolytic stroke check completed and documented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diagnosis agreed with hospital diagnosis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 w:rsidP="00496F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n-Hospital 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 xml:space="preserve">Quality of Care 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Performance Measures-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in-hosp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ital data elements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b)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VTE prophylaxis provided by end of hospital day 2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Antithrombotic medication by end of hospital day 2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Antithrombotic medication at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ischemic stroke patients that arrive by 2 hours of time last known well and are treated with IV tPA by 3 hours of last known well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Dysphagia screening performed and passed prior to food, fluids, or medication by mouth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Anticoagulation on discharge for patients with atrial fibrillation/flutter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Statin medication provided on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Smoking cessation counseling and/or treatment provided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Assessed for rehabilitation needs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Stroke education: patients or caregivers who were given educational materials during the hospital stay addressing all of the following: activation of emergency medical system, need for follow-up after discharge, medications prescribed at discharge, risk factors for stroke, and warning signs and symptoms of stroke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ischemic stroke patients with initial NIHSS score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Median door-to-needle time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patients with door-to-needle time &lt;= 60 minutes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 w:rsidP="00E30D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Post-Hospital 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>Quality</w:t>
            </w: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 of Care (TOC) Performance Measures (DRAFT)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post-hosp</w:t>
            </w:r>
            <w:r w:rsidR="00B73374">
              <w:rPr>
                <w:rFonts w:ascii="Times New Roman" w:hAnsi="Times New Roman" w:cs="Times New Roman"/>
                <w:b/>
                <w:sz w:val="14"/>
                <w:szCs w:val="14"/>
              </w:rPr>
              <w:t>ital data e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c)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discharged to home who have died by 30 days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were seen in ED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were readmitted to the hospital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reporting blood pressure (BP) &gt;140 systolic or &gt;90 diastolic among those checking their BP at home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checking the BP at home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reporting 2 or more falls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stopped taking medications since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diagnosis agreed with hospital diagnosis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that had a follow-up appointment scheduled prior to discharge</w:t>
            </w:r>
          </w:p>
        </w:tc>
      </w:tr>
    </w:tbl>
    <w:p w:rsidR="004F35E7" w:rsidRPr="00B108AC" w:rsidRDefault="004F35E7" w:rsidP="006C16D2">
      <w:pPr>
        <w:tabs>
          <w:tab w:val="left" w:pos="2784"/>
        </w:tabs>
        <w:rPr>
          <w:rFonts w:ascii="Times New Roman" w:hAnsi="Times New Roman" w:cs="Times New Roman"/>
          <w:sz w:val="18"/>
          <w:szCs w:val="18"/>
        </w:rPr>
      </w:pPr>
    </w:p>
    <w:sectPr w:rsidR="004F35E7" w:rsidRPr="00B108AC" w:rsidSect="00823F37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A0" w:rsidRDefault="00E30DA0" w:rsidP="008B5D54">
      <w:pPr>
        <w:spacing w:after="0" w:line="240" w:lineRule="auto"/>
      </w:pPr>
      <w:r>
        <w:separator/>
      </w:r>
    </w:p>
  </w:endnote>
  <w:endnote w:type="continuationSeparator" w:id="0">
    <w:p w:rsidR="00E30DA0" w:rsidRDefault="00E30DA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098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DA0" w:rsidRDefault="00E30DA0">
        <w:pPr>
          <w:pStyle w:val="Footer"/>
          <w:jc w:val="right"/>
        </w:pPr>
      </w:p>
      <w:p w:rsidR="00E30DA0" w:rsidRDefault="00E30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DA0" w:rsidRDefault="00E30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A0" w:rsidRDefault="00E30DA0" w:rsidP="008B5D54">
      <w:pPr>
        <w:spacing w:after="0" w:line="240" w:lineRule="auto"/>
      </w:pPr>
      <w:r>
        <w:separator/>
      </w:r>
    </w:p>
  </w:footnote>
  <w:footnote w:type="continuationSeparator" w:id="0">
    <w:p w:rsidR="00E30DA0" w:rsidRDefault="00E30DA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A0" w:rsidRPr="00C01F6C" w:rsidRDefault="00E30DA0" w:rsidP="00EE345D">
    <w:pPr>
      <w:rPr>
        <w:rFonts w:ascii="Times New Roman" w:hAnsi="Times New Roman" w:cs="Times New Roman"/>
        <w:b/>
      </w:rPr>
    </w:pPr>
    <w:r w:rsidRPr="00C01F6C">
      <w:rPr>
        <w:rFonts w:ascii="Times New Roman" w:hAnsi="Times New Roman" w:cs="Times New Roman"/>
        <w:b/>
      </w:rPr>
      <w:t>Paul Coverdell National Acute Stroke Program (PCNASP)</w:t>
    </w:r>
  </w:p>
  <w:p w:rsidR="00E30DA0" w:rsidRPr="00C01F6C" w:rsidRDefault="00E30DA0" w:rsidP="00EE345D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Cross Walk Showing Relationships among Short/Intermediate/Long</w:t>
    </w:r>
    <w:r w:rsidR="00AD334C">
      <w:rPr>
        <w:rFonts w:ascii="Times New Roman" w:hAnsi="Times New Roman" w:cs="Times New Roman"/>
        <w:b/>
      </w:rPr>
      <w:t>-Term</w:t>
    </w:r>
    <w:r>
      <w:rPr>
        <w:rFonts w:ascii="Times New Roman" w:hAnsi="Times New Roman" w:cs="Times New Roman"/>
        <w:b/>
      </w:rPr>
      <w:t xml:space="preserve"> Outcome Measures, </w:t>
    </w:r>
    <w:r w:rsidR="00AD334C">
      <w:rPr>
        <w:rFonts w:ascii="Times New Roman" w:hAnsi="Times New Roman" w:cs="Times New Roman"/>
        <w:b/>
      </w:rPr>
      <w:t>and Data Sources for Associated Performance Measures</w:t>
    </w:r>
  </w:p>
  <w:tbl>
    <w:tblPr>
      <w:tblStyle w:val="TableGrid"/>
      <w:tblW w:w="4912" w:type="pct"/>
      <w:tblInd w:w="79" w:type="dxa"/>
      <w:tblLayout w:type="fixed"/>
      <w:tblLook w:val="04A0" w:firstRow="1" w:lastRow="0" w:firstColumn="1" w:lastColumn="0" w:noHBand="0" w:noVBand="1"/>
    </w:tblPr>
    <w:tblGrid>
      <w:gridCol w:w="2739"/>
      <w:gridCol w:w="375"/>
      <w:gridCol w:w="364"/>
      <w:gridCol w:w="364"/>
      <w:gridCol w:w="278"/>
      <w:gridCol w:w="359"/>
      <w:gridCol w:w="359"/>
      <w:gridCol w:w="362"/>
      <w:gridCol w:w="356"/>
      <w:gridCol w:w="356"/>
      <w:gridCol w:w="316"/>
      <w:gridCol w:w="379"/>
      <w:gridCol w:w="362"/>
      <w:gridCol w:w="342"/>
      <w:gridCol w:w="365"/>
      <w:gridCol w:w="365"/>
      <w:gridCol w:w="365"/>
      <w:gridCol w:w="365"/>
      <w:gridCol w:w="299"/>
      <w:gridCol w:w="359"/>
      <w:gridCol w:w="284"/>
      <w:gridCol w:w="365"/>
      <w:gridCol w:w="365"/>
      <w:gridCol w:w="365"/>
      <w:gridCol w:w="379"/>
      <w:gridCol w:w="356"/>
      <w:gridCol w:w="365"/>
      <w:gridCol w:w="365"/>
      <w:gridCol w:w="365"/>
      <w:gridCol w:w="365"/>
      <w:gridCol w:w="365"/>
      <w:gridCol w:w="365"/>
      <w:gridCol w:w="385"/>
      <w:gridCol w:w="241"/>
    </w:tblGrid>
    <w:tr w:rsidR="00E30DA0" w:rsidTr="00E91432">
      <w:trPr>
        <w:trHeight w:val="263"/>
      </w:trPr>
      <w:tc>
        <w:tcPr>
          <w:tcW w:w="954" w:type="pct"/>
          <w:vMerge w:val="restart"/>
          <w:shd w:val="clear" w:color="auto" w:fill="F2F2F2" w:themeFill="background1" w:themeFillShade="F2"/>
        </w:tcPr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Pr="00246C14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</w:tc>
      <w:tc>
        <w:tcPr>
          <w:tcW w:w="4046" w:type="pct"/>
          <w:gridSpan w:val="33"/>
          <w:shd w:val="clear" w:color="auto" w:fill="F2F2F2" w:themeFill="background1" w:themeFillShade="F2"/>
        </w:tcPr>
        <w:p w:rsidR="00E30DA0" w:rsidRPr="00F149F3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</w:rPr>
          </w:pPr>
          <w:r w:rsidRPr="00CB0E13">
            <w:rPr>
              <w:rFonts w:ascii="Times New Roman" w:hAnsi="Times New Roman" w:cs="Times New Roman"/>
              <w:b/>
            </w:rPr>
            <w:t>DATA SOURCE</w:t>
          </w:r>
          <w:r>
            <w:rPr>
              <w:rFonts w:ascii="Times New Roman" w:hAnsi="Times New Roman" w:cs="Times New Roman"/>
              <w:b/>
              <w:vertAlign w:val="superscript"/>
            </w:rPr>
            <w:t>1</w:t>
          </w:r>
        </w:p>
      </w:tc>
    </w:tr>
    <w:tr w:rsidR="00E30DA0" w:rsidTr="001408EA">
      <w:trPr>
        <w:cantSplit/>
        <w:trHeight w:val="1134"/>
      </w:trPr>
      <w:tc>
        <w:tcPr>
          <w:tcW w:w="954" w:type="pct"/>
          <w:vMerge/>
          <w:shd w:val="clear" w:color="auto" w:fill="F2F2F2" w:themeFill="background1" w:themeFillShade="F2"/>
        </w:tcPr>
        <w:p w:rsidR="00E30DA0" w:rsidRPr="00246C14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</w:tc>
      <w:tc>
        <w:tcPr>
          <w:tcW w:w="385" w:type="pct"/>
          <w:gridSpan w:val="3"/>
          <w:tcBorders>
            <w:right w:val="single" w:sz="12" w:space="0" w:color="auto"/>
          </w:tcBorders>
          <w:shd w:val="clear" w:color="auto" w:fill="E5DFEC" w:themeFill="accent4" w:themeFillTint="33"/>
        </w:tcPr>
        <w:p w:rsidR="00E30DA0" w:rsidRPr="00E30DA0" w:rsidRDefault="00E30DA0" w:rsidP="00FA688E">
          <w:pPr>
            <w:spacing w:before="60" w:after="60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408EA">
            <w:rPr>
              <w:rFonts w:ascii="Times New Roman" w:hAnsi="Times New Roman" w:cs="Times New Roman"/>
              <w:b/>
              <w:sz w:val="20"/>
              <w:szCs w:val="20"/>
            </w:rPr>
            <w:t>Process</w:t>
          </w:r>
          <w:r w:rsidR="00FA688E" w:rsidRPr="001408EA">
            <w:rPr>
              <w:rFonts w:ascii="Times New Roman" w:hAnsi="Times New Roman" w:cs="Times New Roman"/>
              <w:b/>
              <w:sz w:val="20"/>
              <w:szCs w:val="20"/>
            </w:rPr>
            <w:t xml:space="preserve"> Perfor</w:t>
          </w:r>
          <w:r w:rsidR="00D647C6" w:rsidRPr="001408EA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  <w:r w:rsidR="00FA688E" w:rsidRPr="001408EA">
            <w:rPr>
              <w:rFonts w:ascii="Times New Roman" w:hAnsi="Times New Roman" w:cs="Times New Roman"/>
              <w:b/>
              <w:sz w:val="20"/>
              <w:szCs w:val="20"/>
            </w:rPr>
            <w:t>mance</w:t>
          </w:r>
          <w:r w:rsidRPr="001408EA">
            <w:rPr>
              <w:rFonts w:ascii="Times New Roman" w:hAnsi="Times New Roman" w:cs="Times New Roman"/>
              <w:b/>
              <w:sz w:val="20"/>
              <w:szCs w:val="20"/>
            </w:rPr>
            <w:t xml:space="preserve"> Measures</w:t>
          </w:r>
          <w:r>
            <w:rPr>
              <w:rFonts w:ascii="Times New Roman" w:hAnsi="Times New Roman" w:cs="Times New Roman"/>
              <w:b/>
              <w:sz w:val="18"/>
              <w:szCs w:val="18"/>
              <w:vertAlign w:val="superscript"/>
            </w:rPr>
            <w:t>3</w:t>
          </w:r>
        </w:p>
      </w:tc>
      <w:tc>
        <w:tcPr>
          <w:tcW w:w="963" w:type="pct"/>
          <w:gridSpan w:val="8"/>
          <w:tcBorders>
            <w:left w:val="single" w:sz="12" w:space="0" w:color="auto"/>
            <w:right w:val="single" w:sz="12" w:space="0" w:color="auto"/>
          </w:tcBorders>
          <w:shd w:val="clear" w:color="auto" w:fill="DBE5F1" w:themeFill="accent1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Pre-Hospital Quality of Care</w:t>
          </w:r>
        </w:p>
        <w:p w:rsidR="00E30DA0" w:rsidRPr="00CB0E13" w:rsidRDefault="00E30DA0" w:rsidP="00C46B24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Source: Data Elements from Emergency Services</w:t>
          </w:r>
        </w:p>
      </w:tc>
      <w:tc>
        <w:tcPr>
          <w:tcW w:w="1593" w:type="pct"/>
          <w:gridSpan w:val="13"/>
          <w:tcBorders>
            <w:left w:val="single" w:sz="12" w:space="0" w:color="auto"/>
            <w:right w:val="single" w:sz="12" w:space="0" w:color="auto"/>
          </w:tcBorders>
          <w:shd w:val="clear" w:color="auto" w:fill="F2DBDB" w:themeFill="accent2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In-Hospital Quality of Care</w:t>
          </w:r>
        </w:p>
        <w:p w:rsidR="00E30DA0" w:rsidRPr="00CB0E13" w:rsidRDefault="00E30DA0" w:rsidP="00C46B24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Source: Data Elements from Hospital Records</w:t>
          </w:r>
        </w:p>
      </w:tc>
      <w:tc>
        <w:tcPr>
          <w:tcW w:w="1105" w:type="pct"/>
          <w:gridSpan w:val="9"/>
          <w:tcBorders>
            <w:left w:val="single" w:sz="12" w:space="0" w:color="auto"/>
          </w:tcBorders>
          <w:shd w:val="clear" w:color="auto" w:fill="EAF1DD" w:themeFill="accent3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Post-Hospital Quality of Care</w:t>
          </w:r>
        </w:p>
        <w:p w:rsidR="00E30DA0" w:rsidRPr="00CB0E13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Sources: Data Elements from Hospital Records and Community Care</w:t>
          </w:r>
        </w:p>
      </w:tc>
    </w:tr>
    <w:tr w:rsidR="00174BAC" w:rsidTr="00D647C6">
      <w:trPr>
        <w:trHeight w:val="263"/>
      </w:trPr>
      <w:tc>
        <w:tcPr>
          <w:tcW w:w="954" w:type="pct"/>
          <w:shd w:val="clear" w:color="auto" w:fill="F2F2F2" w:themeFill="background1" w:themeFillShade="F2"/>
        </w:tcPr>
        <w:p w:rsidR="00E30DA0" w:rsidRPr="00FF2448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Outcome and </w:t>
          </w:r>
          <w:r w:rsidRPr="00246C14"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performance measure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s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  <w:vertAlign w:val="superscript"/>
            </w:rPr>
            <w:t>2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, with Question #s</w:t>
          </w:r>
        </w:p>
      </w:tc>
      <w:tc>
        <w:tcPr>
          <w:tcW w:w="131" w:type="pct"/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 1</w:t>
          </w:r>
        </w:p>
      </w:tc>
      <w:tc>
        <w:tcPr>
          <w:tcW w:w="127" w:type="pct"/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 2</w:t>
          </w:r>
        </w:p>
      </w:tc>
      <w:tc>
        <w:tcPr>
          <w:tcW w:w="126" w:type="pct"/>
          <w:tcBorders>
            <w:right w:val="single" w:sz="12" w:space="0" w:color="auto"/>
          </w:tcBorders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E3</w:t>
          </w:r>
        </w:p>
      </w:tc>
      <w:tc>
        <w:tcPr>
          <w:tcW w:w="97" w:type="pct"/>
          <w:tcBorders>
            <w:left w:val="single" w:sz="12" w:space="0" w:color="auto"/>
          </w:tcBorders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25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5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6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4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4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10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32" w:type="pct"/>
          <w:tcBorders>
            <w:right w:val="single" w:sz="12" w:space="0" w:color="auto"/>
          </w:tcBorders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126" w:type="pct"/>
          <w:tcBorders>
            <w:left w:val="single" w:sz="12" w:space="0" w:color="auto"/>
          </w:tcBorders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19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04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25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99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9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10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11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12</w:t>
          </w:r>
        </w:p>
      </w:tc>
      <w:tc>
        <w:tcPr>
          <w:tcW w:w="132" w:type="pct"/>
          <w:tcBorders>
            <w:right w:val="single" w:sz="12" w:space="0" w:color="auto"/>
          </w:tcBorders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 13</w:t>
          </w:r>
        </w:p>
      </w:tc>
      <w:tc>
        <w:tcPr>
          <w:tcW w:w="124" w:type="pct"/>
          <w:tcBorders>
            <w:left w:val="single" w:sz="12" w:space="0" w:color="auto"/>
          </w:tcBorders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34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85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9</w:t>
          </w:r>
        </w:p>
      </w:tc>
    </w:tr>
  </w:tbl>
  <w:p w:rsidR="00E30DA0" w:rsidRDefault="00E30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4A51"/>
    <w:multiLevelType w:val="hybridMultilevel"/>
    <w:tmpl w:val="85E88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0FC3"/>
    <w:multiLevelType w:val="hybridMultilevel"/>
    <w:tmpl w:val="4184D18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1687"/>
    <w:multiLevelType w:val="hybridMultilevel"/>
    <w:tmpl w:val="3B98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56A34"/>
    <w:multiLevelType w:val="hybridMultilevel"/>
    <w:tmpl w:val="C76A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30FDF"/>
    <w:multiLevelType w:val="hybridMultilevel"/>
    <w:tmpl w:val="DDCA2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26A6F"/>
    <w:multiLevelType w:val="hybridMultilevel"/>
    <w:tmpl w:val="CDC0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C35B0"/>
    <w:multiLevelType w:val="hybridMultilevel"/>
    <w:tmpl w:val="0A5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4D0E"/>
    <w:multiLevelType w:val="hybridMultilevel"/>
    <w:tmpl w:val="B4DE3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A2780"/>
    <w:multiLevelType w:val="hybridMultilevel"/>
    <w:tmpl w:val="F1840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B3D50"/>
    <w:multiLevelType w:val="hybridMultilevel"/>
    <w:tmpl w:val="96F0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E3"/>
    <w:rsid w:val="00013690"/>
    <w:rsid w:val="00076F08"/>
    <w:rsid w:val="000A1C23"/>
    <w:rsid w:val="000C1E30"/>
    <w:rsid w:val="000D1BCD"/>
    <w:rsid w:val="00117D15"/>
    <w:rsid w:val="001408EA"/>
    <w:rsid w:val="00174BAC"/>
    <w:rsid w:val="00192E61"/>
    <w:rsid w:val="001A461A"/>
    <w:rsid w:val="001D0522"/>
    <w:rsid w:val="00216931"/>
    <w:rsid w:val="00246C14"/>
    <w:rsid w:val="00277233"/>
    <w:rsid w:val="002C73C2"/>
    <w:rsid w:val="003B7FBE"/>
    <w:rsid w:val="00424899"/>
    <w:rsid w:val="00424ACB"/>
    <w:rsid w:val="00440602"/>
    <w:rsid w:val="00496FF2"/>
    <w:rsid w:val="004F35E7"/>
    <w:rsid w:val="0055288B"/>
    <w:rsid w:val="0055294E"/>
    <w:rsid w:val="005554F1"/>
    <w:rsid w:val="005632FD"/>
    <w:rsid w:val="00577EDD"/>
    <w:rsid w:val="005B6C9B"/>
    <w:rsid w:val="005D5804"/>
    <w:rsid w:val="00645B45"/>
    <w:rsid w:val="00691827"/>
    <w:rsid w:val="006970E3"/>
    <w:rsid w:val="006B3E79"/>
    <w:rsid w:val="006C16D2"/>
    <w:rsid w:val="006C6578"/>
    <w:rsid w:val="0071515D"/>
    <w:rsid w:val="00732597"/>
    <w:rsid w:val="007757FD"/>
    <w:rsid w:val="00800E16"/>
    <w:rsid w:val="00823F37"/>
    <w:rsid w:val="00825AD9"/>
    <w:rsid w:val="008479FF"/>
    <w:rsid w:val="008713C3"/>
    <w:rsid w:val="00881A82"/>
    <w:rsid w:val="00884C40"/>
    <w:rsid w:val="00891164"/>
    <w:rsid w:val="008B5D54"/>
    <w:rsid w:val="008C1CED"/>
    <w:rsid w:val="008F15CF"/>
    <w:rsid w:val="008F4EB7"/>
    <w:rsid w:val="009148D4"/>
    <w:rsid w:val="00917617"/>
    <w:rsid w:val="00930230"/>
    <w:rsid w:val="00947722"/>
    <w:rsid w:val="009A48E3"/>
    <w:rsid w:val="009B5B17"/>
    <w:rsid w:val="00A461B5"/>
    <w:rsid w:val="00AC3C22"/>
    <w:rsid w:val="00AD334C"/>
    <w:rsid w:val="00AD5A6A"/>
    <w:rsid w:val="00AE0DDF"/>
    <w:rsid w:val="00B02D90"/>
    <w:rsid w:val="00B108AC"/>
    <w:rsid w:val="00B273DD"/>
    <w:rsid w:val="00B441BE"/>
    <w:rsid w:val="00B55735"/>
    <w:rsid w:val="00B608AC"/>
    <w:rsid w:val="00B73374"/>
    <w:rsid w:val="00B978AB"/>
    <w:rsid w:val="00BB3534"/>
    <w:rsid w:val="00BC23A8"/>
    <w:rsid w:val="00C01F6C"/>
    <w:rsid w:val="00C1462E"/>
    <w:rsid w:val="00C270FC"/>
    <w:rsid w:val="00C46B24"/>
    <w:rsid w:val="00C62DBD"/>
    <w:rsid w:val="00CB0E13"/>
    <w:rsid w:val="00CC1900"/>
    <w:rsid w:val="00D3182C"/>
    <w:rsid w:val="00D43E8C"/>
    <w:rsid w:val="00D647C6"/>
    <w:rsid w:val="00D65BFA"/>
    <w:rsid w:val="00DC0584"/>
    <w:rsid w:val="00DC18FC"/>
    <w:rsid w:val="00DC2B8D"/>
    <w:rsid w:val="00DC57CC"/>
    <w:rsid w:val="00E24962"/>
    <w:rsid w:val="00E30DA0"/>
    <w:rsid w:val="00E447A8"/>
    <w:rsid w:val="00E720A9"/>
    <w:rsid w:val="00E91432"/>
    <w:rsid w:val="00ED56D6"/>
    <w:rsid w:val="00EE345D"/>
    <w:rsid w:val="00F1207B"/>
    <w:rsid w:val="00F149F3"/>
    <w:rsid w:val="00F53E18"/>
    <w:rsid w:val="00F95BE6"/>
    <w:rsid w:val="00FA688E"/>
    <w:rsid w:val="00FE7432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12D1-A7F8-4A0F-B675-F9B664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SYSTEM</cp:lastModifiedBy>
  <cp:revision>2</cp:revision>
  <cp:lastPrinted>2015-10-21T14:13:00Z</cp:lastPrinted>
  <dcterms:created xsi:type="dcterms:W3CDTF">2019-05-23T16:31:00Z</dcterms:created>
  <dcterms:modified xsi:type="dcterms:W3CDTF">2019-05-23T16:31:00Z</dcterms:modified>
</cp:coreProperties>
</file>