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C83EF" w14:textId="7F03B2B4" w:rsidR="00BF72E1" w:rsidRDefault="00BF72E1" w:rsidP="00BF72E1">
      <w:pPr>
        <w:keepNext/>
        <w:keepLines/>
        <w:jc w:val="center"/>
        <w:outlineLvl w:val="6"/>
        <w:rPr>
          <w:rFonts w:asciiTheme="majorHAnsi" w:eastAsiaTheme="majorEastAsia" w:hAnsiTheme="majorHAnsi" w:cstheme="majorBidi"/>
          <w:i/>
          <w:iCs/>
          <w:color w:val="404040" w:themeColor="text1" w:themeTint="BF"/>
          <w:sz w:val="28"/>
          <w:szCs w:val="28"/>
        </w:rPr>
      </w:pPr>
      <w:bookmarkStart w:id="0" w:name="_Toc67387400"/>
      <w:bookmarkStart w:id="1" w:name="_GoBack"/>
      <w:bookmarkEnd w:id="1"/>
      <w:r>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14:paraId="542E2677" w14:textId="77777777" w:rsidR="00BF72E1" w:rsidRDefault="00BF72E1" w:rsidP="00BF72E1">
      <w:pPr>
        <w:keepNext/>
        <w:keepLines/>
        <w:jc w:val="center"/>
        <w:outlineLvl w:val="6"/>
        <w:rPr>
          <w:rFonts w:asciiTheme="majorHAnsi" w:eastAsiaTheme="majorEastAsia" w:hAnsiTheme="majorHAnsi" w:cstheme="majorBidi"/>
          <w:i/>
          <w:iCs/>
          <w:color w:val="404040" w:themeColor="text1" w:themeTint="BF"/>
          <w:sz w:val="28"/>
          <w:szCs w:val="28"/>
        </w:rPr>
      </w:pPr>
    </w:p>
    <w:p w14:paraId="069E770B" w14:textId="0C9D39B7" w:rsidR="00BF72E1" w:rsidRDefault="00BF72E1" w:rsidP="00BF72E1">
      <w:pPr>
        <w:autoSpaceDE w:val="0"/>
        <w:autoSpaceDN w:val="0"/>
        <w:adjustRightInd w:val="0"/>
        <w:ind w:left="720"/>
        <w:rPr>
          <w:b/>
          <w:bCs/>
        </w:rPr>
      </w:pPr>
      <w:r>
        <w:rPr>
          <w:b/>
          <w:color w:val="000000"/>
        </w:rPr>
        <w:t xml:space="preserve">Medication-Assisted Treatment (MAT) for Opioid </w:t>
      </w:r>
      <w:r w:rsidR="004C2450">
        <w:rPr>
          <w:b/>
          <w:color w:val="000000"/>
        </w:rPr>
        <w:t xml:space="preserve">Use Disorders Study </w:t>
      </w:r>
    </w:p>
    <w:p w14:paraId="08499A52" w14:textId="77777777" w:rsidR="00BF72E1" w:rsidRDefault="00BF72E1" w:rsidP="00BF72E1">
      <w:pPr>
        <w:jc w:val="center"/>
        <w:rPr>
          <w:b/>
        </w:rPr>
      </w:pPr>
    </w:p>
    <w:p w14:paraId="0AB1ED8C" w14:textId="77777777" w:rsidR="00BF72E1" w:rsidRDefault="00BF72E1" w:rsidP="00BF72E1">
      <w:pPr>
        <w:jc w:val="center"/>
        <w:rPr>
          <w:b/>
        </w:rPr>
      </w:pPr>
    </w:p>
    <w:p w14:paraId="66F2B859" w14:textId="77777777" w:rsidR="00BF72E1" w:rsidRDefault="00BF72E1" w:rsidP="00BF72E1">
      <w:pPr>
        <w:jc w:val="center"/>
        <w:rPr>
          <w:b/>
        </w:rPr>
      </w:pPr>
      <w:r>
        <w:rPr>
          <w:b/>
        </w:rPr>
        <w:t>OMB# 0920-XXXX</w:t>
      </w:r>
    </w:p>
    <w:p w14:paraId="089719C8" w14:textId="77777777" w:rsidR="00BF72E1" w:rsidRDefault="00BF72E1" w:rsidP="00BF72E1">
      <w:pPr>
        <w:jc w:val="center"/>
        <w:rPr>
          <w:b/>
        </w:rPr>
      </w:pPr>
    </w:p>
    <w:p w14:paraId="27C4D344" w14:textId="77777777" w:rsidR="00BF72E1" w:rsidRDefault="00BF72E1" w:rsidP="00BF72E1">
      <w:pPr>
        <w:jc w:val="center"/>
      </w:pPr>
    </w:p>
    <w:p w14:paraId="44E9A7BA" w14:textId="423E5B0B" w:rsidR="00BF72E1" w:rsidRDefault="00297CB1" w:rsidP="00BF72E1">
      <w:pPr>
        <w:jc w:val="center"/>
        <w:rPr>
          <w:b/>
        </w:rPr>
      </w:pPr>
      <w:r w:rsidRPr="00411AB2">
        <w:rPr>
          <w:b/>
        </w:rPr>
        <w:t xml:space="preserve">October </w:t>
      </w:r>
      <w:r w:rsidR="002D30CA" w:rsidRPr="00411AB2">
        <w:rPr>
          <w:b/>
        </w:rPr>
        <w:t>6</w:t>
      </w:r>
      <w:r w:rsidRPr="00411AB2">
        <w:rPr>
          <w:b/>
        </w:rPr>
        <w:t>, 2017</w:t>
      </w:r>
    </w:p>
    <w:p w14:paraId="52D4641C" w14:textId="77777777" w:rsidR="00BF72E1" w:rsidRDefault="00BF72E1" w:rsidP="00BF72E1">
      <w:pPr>
        <w:jc w:val="center"/>
        <w:rPr>
          <w:b/>
        </w:rPr>
      </w:pPr>
    </w:p>
    <w:p w14:paraId="39116256" w14:textId="77777777" w:rsidR="00BF72E1" w:rsidRDefault="00BF72E1" w:rsidP="00BF72E1">
      <w:pPr>
        <w:jc w:val="center"/>
      </w:pPr>
    </w:p>
    <w:p w14:paraId="6AF640C0" w14:textId="77777777" w:rsidR="00BF72E1" w:rsidRDefault="00BF72E1" w:rsidP="00BF72E1">
      <w:pPr>
        <w:jc w:val="center"/>
      </w:pPr>
    </w:p>
    <w:p w14:paraId="041EF8D8" w14:textId="77777777" w:rsidR="00BF72E1" w:rsidRDefault="00BF72E1" w:rsidP="00BF72E1">
      <w:pPr>
        <w:jc w:val="center"/>
      </w:pPr>
    </w:p>
    <w:p w14:paraId="333D29F2" w14:textId="77777777" w:rsidR="00BF72E1" w:rsidRDefault="00BF72E1" w:rsidP="00BF72E1">
      <w:pPr>
        <w:jc w:val="center"/>
      </w:pPr>
    </w:p>
    <w:p w14:paraId="4C7EFA96" w14:textId="77777777" w:rsidR="00BF72E1" w:rsidRDefault="00BF72E1" w:rsidP="00BF72E1">
      <w:pPr>
        <w:jc w:val="center"/>
      </w:pPr>
    </w:p>
    <w:p w14:paraId="3E6025E2" w14:textId="77777777" w:rsidR="00BF72E1" w:rsidRDefault="00BF72E1" w:rsidP="00BF72E1">
      <w:pPr>
        <w:jc w:val="center"/>
        <w:rPr>
          <w:noProof/>
        </w:rPr>
      </w:pPr>
      <w:r>
        <w:rPr>
          <w:noProof/>
        </w:rPr>
        <w:t>Point of Contact:</w:t>
      </w:r>
    </w:p>
    <w:p w14:paraId="099A1D55" w14:textId="77777777" w:rsidR="00BF72E1" w:rsidRDefault="00BF72E1" w:rsidP="00BF72E1">
      <w:pPr>
        <w:jc w:val="center"/>
        <w:rPr>
          <w:noProof/>
        </w:rPr>
      </w:pPr>
      <w:r>
        <w:rPr>
          <w:noProof/>
        </w:rPr>
        <w:t>Marci Hertz</w:t>
      </w:r>
    </w:p>
    <w:p w14:paraId="7863EB44" w14:textId="77777777" w:rsidR="00BF72E1" w:rsidRDefault="00BF72E1" w:rsidP="00BF72E1">
      <w:pPr>
        <w:jc w:val="center"/>
        <w:rPr>
          <w:noProof/>
        </w:rPr>
      </w:pPr>
      <w:r>
        <w:rPr>
          <w:noProof/>
        </w:rPr>
        <w:t>Contact Information:</w:t>
      </w:r>
    </w:p>
    <w:p w14:paraId="2C45820C" w14:textId="77777777" w:rsidR="00BF72E1" w:rsidRDefault="00BF72E1" w:rsidP="00BF72E1">
      <w:pPr>
        <w:pStyle w:val="E-mailSignature"/>
        <w:jc w:val="center"/>
        <w:rPr>
          <w:noProof/>
        </w:rPr>
      </w:pPr>
      <w:bookmarkStart w:id="2" w:name="_MailAutoSig"/>
      <w:r>
        <w:rPr>
          <w:noProof/>
        </w:rPr>
        <w:t>Centers for Disease Control and Prevention</w:t>
      </w:r>
    </w:p>
    <w:p w14:paraId="019AC108" w14:textId="77777777" w:rsidR="00BF72E1" w:rsidRDefault="00BF72E1" w:rsidP="00BF72E1">
      <w:pPr>
        <w:pStyle w:val="E-mailSignature"/>
        <w:jc w:val="center"/>
        <w:rPr>
          <w:noProof/>
        </w:rPr>
      </w:pPr>
      <w:r>
        <w:rPr>
          <w:noProof/>
        </w:rPr>
        <w:t>National Center for Injury Prevention and Control</w:t>
      </w:r>
    </w:p>
    <w:p w14:paraId="28EC0C00" w14:textId="77777777" w:rsidR="00BF72E1" w:rsidRDefault="00BF72E1" w:rsidP="00BF72E1">
      <w:pPr>
        <w:pStyle w:val="E-mailSignature"/>
        <w:jc w:val="center"/>
        <w:rPr>
          <w:noProof/>
        </w:rPr>
      </w:pPr>
      <w:r>
        <w:rPr>
          <w:noProof/>
        </w:rPr>
        <w:t xml:space="preserve">4770 Buford Highway NE </w:t>
      </w:r>
    </w:p>
    <w:p w14:paraId="02952968" w14:textId="219F42EF" w:rsidR="00BF72E1" w:rsidRDefault="00BF72E1" w:rsidP="00BF72E1">
      <w:pPr>
        <w:pStyle w:val="E-mailSignature"/>
        <w:jc w:val="center"/>
        <w:rPr>
          <w:noProof/>
        </w:rPr>
      </w:pPr>
      <w:r>
        <w:rPr>
          <w:noProof/>
        </w:rPr>
        <w:t xml:space="preserve">Atlanta, GA </w:t>
      </w:r>
      <w:r w:rsidR="008B450B">
        <w:rPr>
          <w:noProof/>
        </w:rPr>
        <w:t>30338</w:t>
      </w:r>
    </w:p>
    <w:p w14:paraId="2F622BC0" w14:textId="6E73913B" w:rsidR="00BF72E1" w:rsidRDefault="00BF72E1" w:rsidP="00BF72E1">
      <w:pPr>
        <w:pStyle w:val="E-mailSignature"/>
        <w:jc w:val="center"/>
        <w:rPr>
          <w:noProof/>
        </w:rPr>
      </w:pPr>
      <w:r>
        <w:rPr>
          <w:noProof/>
        </w:rPr>
        <w:t xml:space="preserve">Phone: </w:t>
      </w:r>
      <w:r w:rsidR="008B450B">
        <w:rPr>
          <w:noProof/>
        </w:rPr>
        <w:t>770-488-2547</w:t>
      </w:r>
    </w:p>
    <w:p w14:paraId="64351FFB" w14:textId="7F8DB85C" w:rsidR="00BF72E1" w:rsidRDefault="00BF72E1" w:rsidP="00BF72E1">
      <w:pPr>
        <w:pStyle w:val="E-mailSignature"/>
        <w:jc w:val="center"/>
        <w:rPr>
          <w:noProof/>
        </w:rPr>
      </w:pPr>
      <w:r>
        <w:rPr>
          <w:noProof/>
        </w:rPr>
        <w:t>Email:</w:t>
      </w:r>
      <w:r w:rsidR="008B450B">
        <w:rPr>
          <w:noProof/>
        </w:rPr>
        <w:t xml:space="preserve"> mvf4@cdc.gov</w:t>
      </w:r>
      <w:r>
        <w:rPr>
          <w:noProof/>
        </w:rPr>
        <w:t xml:space="preserve"> </w:t>
      </w:r>
    </w:p>
    <w:bookmarkEnd w:id="2"/>
    <w:p w14:paraId="6518D45C" w14:textId="77777777" w:rsidR="00BF72E1" w:rsidRDefault="00BF72E1" w:rsidP="00BF72E1">
      <w:pPr>
        <w:jc w:val="center"/>
      </w:pPr>
    </w:p>
    <w:p w14:paraId="0497AC6F" w14:textId="77777777" w:rsidR="00BF72E1" w:rsidRDefault="00BF72E1" w:rsidP="00BF72E1">
      <w:pPr>
        <w:jc w:val="center"/>
      </w:pPr>
    </w:p>
    <w:p w14:paraId="49BEDE17" w14:textId="77777777" w:rsidR="00BF72E1" w:rsidRDefault="00BF72E1" w:rsidP="00BF72E1">
      <w:pPr>
        <w:jc w:val="center"/>
      </w:pPr>
    </w:p>
    <w:p w14:paraId="3A5AE1F0" w14:textId="77777777" w:rsidR="00BF72E1" w:rsidRDefault="00BF72E1" w:rsidP="00BF72E1">
      <w:pPr>
        <w:jc w:val="center"/>
      </w:pPr>
    </w:p>
    <w:p w14:paraId="4B9A75E6" w14:textId="77777777" w:rsidR="00BF72E1" w:rsidRDefault="00BF72E1" w:rsidP="00BF72E1">
      <w:pPr>
        <w:jc w:val="center"/>
      </w:pPr>
    </w:p>
    <w:p w14:paraId="7FA9DDDB" w14:textId="77777777" w:rsidR="00BF72E1" w:rsidRDefault="00BF72E1" w:rsidP="00BF72E1">
      <w:pPr>
        <w:jc w:val="center"/>
      </w:pPr>
    </w:p>
    <w:p w14:paraId="32B10A94" w14:textId="77777777" w:rsidR="00BF72E1" w:rsidRDefault="00BF72E1" w:rsidP="00BF72E1">
      <w:pPr>
        <w:jc w:val="center"/>
      </w:pPr>
    </w:p>
    <w:p w14:paraId="4CEF9885" w14:textId="77777777" w:rsidR="00BF72E1" w:rsidRDefault="00BF72E1" w:rsidP="00BF72E1">
      <w:pPr>
        <w:jc w:val="center"/>
      </w:pPr>
    </w:p>
    <w:p w14:paraId="1EBB0E78" w14:textId="77777777" w:rsidR="00BF72E1" w:rsidRDefault="00BF72E1" w:rsidP="00BF72E1">
      <w:pPr>
        <w:jc w:val="center"/>
      </w:pPr>
    </w:p>
    <w:p w14:paraId="0926D781" w14:textId="77777777" w:rsidR="00BF72E1" w:rsidRDefault="00BF72E1" w:rsidP="00BF72E1">
      <w:pPr>
        <w:jc w:val="center"/>
      </w:pPr>
    </w:p>
    <w:p w14:paraId="32263566" w14:textId="77777777" w:rsidR="00BF72E1" w:rsidRDefault="00BF72E1" w:rsidP="00BF72E1">
      <w:pPr>
        <w:jc w:val="center"/>
      </w:pPr>
    </w:p>
    <w:p w14:paraId="7EDB531B" w14:textId="3B785DE8" w:rsidR="0038401B" w:rsidRDefault="0038401B">
      <w:r>
        <w:br w:type="page"/>
      </w:r>
    </w:p>
    <w:p w14:paraId="13B75FDB" w14:textId="77777777" w:rsidR="00BF72E1" w:rsidRDefault="00BF72E1" w:rsidP="00BF72E1">
      <w:pPr>
        <w:jc w:val="center"/>
      </w:pPr>
    </w:p>
    <w:p w14:paraId="3F1036D5" w14:textId="77777777" w:rsidR="00BF72E1" w:rsidRDefault="00BF72E1" w:rsidP="00BF72E1">
      <w:pPr>
        <w:jc w:val="center"/>
      </w:pPr>
    </w:p>
    <w:p w14:paraId="6C146550" w14:textId="77777777" w:rsidR="00BF72E1" w:rsidRDefault="00BF72E1" w:rsidP="00BF72E1">
      <w:pPr>
        <w:jc w:val="center"/>
      </w:pPr>
    </w:p>
    <w:p w14:paraId="657FA964" w14:textId="77777777" w:rsidR="00BF72E1" w:rsidRDefault="00BF72E1" w:rsidP="00BF72E1">
      <w:pPr>
        <w:jc w:val="center"/>
      </w:pPr>
    </w:p>
    <w:bookmarkEnd w:id="0"/>
    <w:p w14:paraId="7E6E066D" w14:textId="07F2C7F0" w:rsidR="00C65FD6" w:rsidRPr="0037320E" w:rsidRDefault="00C65FD6" w:rsidP="00F72F56">
      <w:pPr>
        <w:pStyle w:val="TOC0"/>
      </w:pPr>
      <w:r w:rsidRPr="0037320E">
        <w:rPr>
          <w:lang w:val="en-CA"/>
        </w:rPr>
        <w:fldChar w:fldCharType="begin"/>
      </w:r>
      <w:r w:rsidRPr="0037320E">
        <w:rPr>
          <w:lang w:val="en-CA"/>
        </w:rPr>
        <w:instrText xml:space="preserve"> SEQ CHAPTER \h \r 1</w:instrText>
      </w:r>
      <w:r w:rsidRPr="0037320E">
        <w:rPr>
          <w:lang w:val="en-CA"/>
        </w:rPr>
        <w:fldChar w:fldCharType="end"/>
      </w:r>
      <w:r w:rsidRPr="0037320E">
        <w:rPr>
          <w:bCs/>
        </w:rPr>
        <w:t>TABLE OF CONTENTS</w:t>
      </w:r>
    </w:p>
    <w:p w14:paraId="5DF973C4" w14:textId="77777777" w:rsidR="00C65FD6" w:rsidRPr="0037320E" w:rsidRDefault="00AC6ACE" w:rsidP="00AC6ACE">
      <w:pPr>
        <w:tabs>
          <w:tab w:val="right" w:pos="9360"/>
        </w:tabs>
        <w:rPr>
          <w:color w:val="000000"/>
        </w:rPr>
      </w:pPr>
      <w:r w:rsidRPr="0037320E">
        <w:rPr>
          <w:b/>
          <w:color w:val="000000"/>
        </w:rPr>
        <w:t>Section</w:t>
      </w:r>
      <w:r w:rsidRPr="0037320E">
        <w:rPr>
          <w:color w:val="000000"/>
        </w:rPr>
        <w:tab/>
      </w:r>
      <w:r w:rsidRPr="0037320E">
        <w:rPr>
          <w:b/>
          <w:color w:val="000000"/>
        </w:rPr>
        <w:t>Page</w:t>
      </w:r>
    </w:p>
    <w:p w14:paraId="4BD87CAF" w14:textId="1690C4B7" w:rsidR="0028617F" w:rsidRDefault="00512F04">
      <w:pPr>
        <w:pStyle w:val="TOC1"/>
        <w:tabs>
          <w:tab w:val="left" w:pos="1350"/>
        </w:tabs>
        <w:rPr>
          <w:rFonts w:asciiTheme="minorHAnsi" w:eastAsiaTheme="minorEastAsia" w:hAnsiTheme="minorHAnsi" w:cstheme="minorBidi"/>
          <w:sz w:val="22"/>
          <w:szCs w:val="22"/>
        </w:rPr>
      </w:pPr>
      <w:r>
        <w:rPr>
          <w:b/>
          <w:bCs/>
          <w:caps/>
          <w:color w:val="000000"/>
        </w:rPr>
        <w:fldChar w:fldCharType="begin"/>
      </w:r>
      <w:r>
        <w:rPr>
          <w:b/>
          <w:bCs/>
          <w:caps/>
          <w:color w:val="000000"/>
        </w:rPr>
        <w:instrText xml:space="preserve"> TOC \o "1-3" \h \z \u </w:instrText>
      </w:r>
      <w:r>
        <w:rPr>
          <w:b/>
          <w:bCs/>
          <w:caps/>
          <w:color w:val="000000"/>
        </w:rPr>
        <w:fldChar w:fldCharType="separate"/>
      </w:r>
      <w:hyperlink w:anchor="_Toc505507437" w:history="1">
        <w:r w:rsidR="0028617F" w:rsidRPr="00B734B9">
          <w:rPr>
            <w:rStyle w:val="Hyperlink"/>
          </w:rPr>
          <w:t>B.</w:t>
        </w:r>
        <w:r w:rsidR="0028617F">
          <w:rPr>
            <w:rFonts w:asciiTheme="minorHAnsi" w:eastAsiaTheme="minorEastAsia" w:hAnsiTheme="minorHAnsi" w:cstheme="minorBidi"/>
            <w:sz w:val="22"/>
            <w:szCs w:val="22"/>
          </w:rPr>
          <w:tab/>
        </w:r>
        <w:r w:rsidR="0028617F" w:rsidRPr="00B734B9">
          <w:rPr>
            <w:rStyle w:val="Hyperlink"/>
          </w:rPr>
          <w:t>Collection of Information Employing Statistical Methods</w:t>
        </w:r>
        <w:r w:rsidR="0028617F">
          <w:rPr>
            <w:webHidden/>
          </w:rPr>
          <w:tab/>
        </w:r>
        <w:r w:rsidR="0028617F">
          <w:rPr>
            <w:webHidden/>
          </w:rPr>
          <w:fldChar w:fldCharType="begin"/>
        </w:r>
        <w:r w:rsidR="0028617F">
          <w:rPr>
            <w:webHidden/>
          </w:rPr>
          <w:instrText xml:space="preserve"> PAGEREF _Toc505507437 \h </w:instrText>
        </w:r>
        <w:r w:rsidR="0028617F">
          <w:rPr>
            <w:webHidden/>
          </w:rPr>
        </w:r>
        <w:r w:rsidR="0028617F">
          <w:rPr>
            <w:webHidden/>
          </w:rPr>
          <w:fldChar w:fldCharType="separate"/>
        </w:r>
        <w:r w:rsidR="0028617F">
          <w:rPr>
            <w:webHidden/>
          </w:rPr>
          <w:t>1</w:t>
        </w:r>
        <w:r w:rsidR="0028617F">
          <w:rPr>
            <w:webHidden/>
          </w:rPr>
          <w:fldChar w:fldCharType="end"/>
        </w:r>
      </w:hyperlink>
    </w:p>
    <w:p w14:paraId="4B3428A1" w14:textId="19957231" w:rsidR="0028617F" w:rsidRDefault="005322E7">
      <w:pPr>
        <w:pStyle w:val="TOC2"/>
        <w:tabs>
          <w:tab w:val="left" w:pos="1350"/>
        </w:tabs>
        <w:rPr>
          <w:rFonts w:asciiTheme="minorHAnsi" w:eastAsiaTheme="minorEastAsia" w:hAnsiTheme="minorHAnsi" w:cstheme="minorBidi"/>
          <w:sz w:val="22"/>
          <w:szCs w:val="22"/>
        </w:rPr>
      </w:pPr>
      <w:hyperlink w:anchor="_Toc505507438" w:history="1">
        <w:r w:rsidR="0028617F" w:rsidRPr="00B734B9">
          <w:rPr>
            <w:rStyle w:val="Hyperlink"/>
          </w:rPr>
          <w:t>B.1</w:t>
        </w:r>
        <w:r w:rsidR="0028617F">
          <w:rPr>
            <w:rFonts w:asciiTheme="minorHAnsi" w:eastAsiaTheme="minorEastAsia" w:hAnsiTheme="minorHAnsi" w:cstheme="minorBidi"/>
            <w:sz w:val="22"/>
            <w:szCs w:val="22"/>
          </w:rPr>
          <w:tab/>
        </w:r>
        <w:r w:rsidR="0028617F" w:rsidRPr="00B734B9">
          <w:rPr>
            <w:rStyle w:val="Hyperlink"/>
          </w:rPr>
          <w:t>Respondent Universe and Sampling Methods</w:t>
        </w:r>
        <w:r w:rsidR="0028617F">
          <w:rPr>
            <w:webHidden/>
          </w:rPr>
          <w:tab/>
        </w:r>
        <w:r w:rsidR="0028617F">
          <w:rPr>
            <w:webHidden/>
          </w:rPr>
          <w:fldChar w:fldCharType="begin"/>
        </w:r>
        <w:r w:rsidR="0028617F">
          <w:rPr>
            <w:webHidden/>
          </w:rPr>
          <w:instrText xml:space="preserve"> PAGEREF _Toc505507438 \h </w:instrText>
        </w:r>
        <w:r w:rsidR="0028617F">
          <w:rPr>
            <w:webHidden/>
          </w:rPr>
        </w:r>
        <w:r w:rsidR="0028617F">
          <w:rPr>
            <w:webHidden/>
          </w:rPr>
          <w:fldChar w:fldCharType="separate"/>
        </w:r>
        <w:r w:rsidR="0028617F">
          <w:rPr>
            <w:webHidden/>
          </w:rPr>
          <w:t>1</w:t>
        </w:r>
        <w:r w:rsidR="0028617F">
          <w:rPr>
            <w:webHidden/>
          </w:rPr>
          <w:fldChar w:fldCharType="end"/>
        </w:r>
      </w:hyperlink>
    </w:p>
    <w:p w14:paraId="2B078746" w14:textId="7C9E8A20" w:rsidR="0028617F" w:rsidRDefault="005322E7">
      <w:pPr>
        <w:pStyle w:val="TOC3"/>
        <w:tabs>
          <w:tab w:val="left" w:pos="2340"/>
        </w:tabs>
        <w:rPr>
          <w:rFonts w:asciiTheme="minorHAnsi" w:eastAsiaTheme="minorEastAsia" w:hAnsiTheme="minorHAnsi" w:cstheme="minorBidi"/>
          <w:sz w:val="22"/>
          <w:szCs w:val="22"/>
        </w:rPr>
      </w:pPr>
      <w:hyperlink w:anchor="_Toc505507439" w:history="1">
        <w:r w:rsidR="0028617F" w:rsidRPr="00B734B9">
          <w:rPr>
            <w:rStyle w:val="Hyperlink"/>
          </w:rPr>
          <w:t>B.1.1</w:t>
        </w:r>
        <w:r w:rsidR="0028617F">
          <w:rPr>
            <w:rFonts w:asciiTheme="minorHAnsi" w:eastAsiaTheme="minorEastAsia" w:hAnsiTheme="minorHAnsi" w:cstheme="minorBidi"/>
            <w:sz w:val="22"/>
            <w:szCs w:val="22"/>
          </w:rPr>
          <w:tab/>
        </w:r>
        <w:r w:rsidR="0028617F" w:rsidRPr="00B734B9">
          <w:rPr>
            <w:rStyle w:val="Hyperlink"/>
          </w:rPr>
          <w:t>Site Selection</w:t>
        </w:r>
        <w:r w:rsidR="0028617F">
          <w:rPr>
            <w:webHidden/>
          </w:rPr>
          <w:tab/>
        </w:r>
        <w:r w:rsidR="0028617F">
          <w:rPr>
            <w:webHidden/>
          </w:rPr>
          <w:fldChar w:fldCharType="begin"/>
        </w:r>
        <w:r w:rsidR="0028617F">
          <w:rPr>
            <w:webHidden/>
          </w:rPr>
          <w:instrText xml:space="preserve"> PAGEREF _Toc505507439 \h </w:instrText>
        </w:r>
        <w:r w:rsidR="0028617F">
          <w:rPr>
            <w:webHidden/>
          </w:rPr>
        </w:r>
        <w:r w:rsidR="0028617F">
          <w:rPr>
            <w:webHidden/>
          </w:rPr>
          <w:fldChar w:fldCharType="separate"/>
        </w:r>
        <w:r w:rsidR="0028617F">
          <w:rPr>
            <w:webHidden/>
          </w:rPr>
          <w:t>1</w:t>
        </w:r>
        <w:r w:rsidR="0028617F">
          <w:rPr>
            <w:webHidden/>
          </w:rPr>
          <w:fldChar w:fldCharType="end"/>
        </w:r>
      </w:hyperlink>
    </w:p>
    <w:p w14:paraId="5ADD59A7" w14:textId="041E919E" w:rsidR="0028617F" w:rsidRDefault="005322E7">
      <w:pPr>
        <w:pStyle w:val="TOC3"/>
        <w:tabs>
          <w:tab w:val="left" w:pos="2340"/>
        </w:tabs>
        <w:rPr>
          <w:rFonts w:asciiTheme="minorHAnsi" w:eastAsiaTheme="minorEastAsia" w:hAnsiTheme="minorHAnsi" w:cstheme="minorBidi"/>
          <w:sz w:val="22"/>
          <w:szCs w:val="22"/>
        </w:rPr>
      </w:pPr>
      <w:hyperlink w:anchor="_Toc505507440" w:history="1">
        <w:r w:rsidR="0028617F" w:rsidRPr="00B734B9">
          <w:rPr>
            <w:rStyle w:val="Hyperlink"/>
          </w:rPr>
          <w:t>B.1.2</w:t>
        </w:r>
        <w:r w:rsidR="0028617F">
          <w:rPr>
            <w:rFonts w:asciiTheme="minorHAnsi" w:eastAsiaTheme="minorEastAsia" w:hAnsiTheme="minorHAnsi" w:cstheme="minorBidi"/>
            <w:sz w:val="22"/>
            <w:szCs w:val="22"/>
          </w:rPr>
          <w:tab/>
        </w:r>
        <w:r w:rsidR="0028617F" w:rsidRPr="00B734B9">
          <w:rPr>
            <w:rStyle w:val="Hyperlink"/>
          </w:rPr>
          <w:t>Patient Selection within Site</w:t>
        </w:r>
        <w:r w:rsidR="0028617F">
          <w:rPr>
            <w:webHidden/>
          </w:rPr>
          <w:tab/>
        </w:r>
        <w:r w:rsidR="0028617F">
          <w:rPr>
            <w:webHidden/>
          </w:rPr>
          <w:fldChar w:fldCharType="begin"/>
        </w:r>
        <w:r w:rsidR="0028617F">
          <w:rPr>
            <w:webHidden/>
          </w:rPr>
          <w:instrText xml:space="preserve"> PAGEREF _Toc505507440 \h </w:instrText>
        </w:r>
        <w:r w:rsidR="0028617F">
          <w:rPr>
            <w:webHidden/>
          </w:rPr>
        </w:r>
        <w:r w:rsidR="0028617F">
          <w:rPr>
            <w:webHidden/>
          </w:rPr>
          <w:fldChar w:fldCharType="separate"/>
        </w:r>
        <w:r w:rsidR="0028617F">
          <w:rPr>
            <w:webHidden/>
          </w:rPr>
          <w:t>2</w:t>
        </w:r>
        <w:r w:rsidR="0028617F">
          <w:rPr>
            <w:webHidden/>
          </w:rPr>
          <w:fldChar w:fldCharType="end"/>
        </w:r>
      </w:hyperlink>
    </w:p>
    <w:p w14:paraId="78C5319C" w14:textId="7B02D7C0" w:rsidR="0028617F" w:rsidRDefault="005322E7">
      <w:pPr>
        <w:pStyle w:val="TOC2"/>
        <w:tabs>
          <w:tab w:val="left" w:pos="1350"/>
        </w:tabs>
        <w:rPr>
          <w:rFonts w:asciiTheme="minorHAnsi" w:eastAsiaTheme="minorEastAsia" w:hAnsiTheme="minorHAnsi" w:cstheme="minorBidi"/>
          <w:sz w:val="22"/>
          <w:szCs w:val="22"/>
        </w:rPr>
      </w:pPr>
      <w:hyperlink w:anchor="_Toc505507441" w:history="1">
        <w:r w:rsidR="0028617F" w:rsidRPr="00B734B9">
          <w:rPr>
            <w:rStyle w:val="Hyperlink"/>
          </w:rPr>
          <w:t>B.2</w:t>
        </w:r>
        <w:r w:rsidR="0028617F">
          <w:rPr>
            <w:rFonts w:asciiTheme="minorHAnsi" w:eastAsiaTheme="minorEastAsia" w:hAnsiTheme="minorHAnsi" w:cstheme="minorBidi"/>
            <w:sz w:val="22"/>
            <w:szCs w:val="22"/>
          </w:rPr>
          <w:tab/>
        </w:r>
        <w:r w:rsidR="0028617F" w:rsidRPr="00B734B9">
          <w:rPr>
            <w:rStyle w:val="Hyperlink"/>
          </w:rPr>
          <w:t>Procedures for the Collection of Information</w:t>
        </w:r>
        <w:r w:rsidR="0028617F">
          <w:rPr>
            <w:webHidden/>
          </w:rPr>
          <w:tab/>
        </w:r>
        <w:r w:rsidR="0028617F">
          <w:rPr>
            <w:webHidden/>
          </w:rPr>
          <w:fldChar w:fldCharType="begin"/>
        </w:r>
        <w:r w:rsidR="0028617F">
          <w:rPr>
            <w:webHidden/>
          </w:rPr>
          <w:instrText xml:space="preserve"> PAGEREF _Toc505507441 \h </w:instrText>
        </w:r>
        <w:r w:rsidR="0028617F">
          <w:rPr>
            <w:webHidden/>
          </w:rPr>
        </w:r>
        <w:r w:rsidR="0028617F">
          <w:rPr>
            <w:webHidden/>
          </w:rPr>
          <w:fldChar w:fldCharType="separate"/>
        </w:r>
        <w:r w:rsidR="0028617F">
          <w:rPr>
            <w:webHidden/>
          </w:rPr>
          <w:t>5</w:t>
        </w:r>
        <w:r w:rsidR="0028617F">
          <w:rPr>
            <w:webHidden/>
          </w:rPr>
          <w:fldChar w:fldCharType="end"/>
        </w:r>
      </w:hyperlink>
    </w:p>
    <w:p w14:paraId="400D14A0" w14:textId="5DAF740C" w:rsidR="0028617F" w:rsidRDefault="005322E7">
      <w:pPr>
        <w:pStyle w:val="TOC2"/>
        <w:tabs>
          <w:tab w:val="left" w:pos="1350"/>
        </w:tabs>
        <w:rPr>
          <w:rFonts w:asciiTheme="minorHAnsi" w:eastAsiaTheme="minorEastAsia" w:hAnsiTheme="minorHAnsi" w:cstheme="minorBidi"/>
          <w:sz w:val="22"/>
          <w:szCs w:val="22"/>
        </w:rPr>
      </w:pPr>
      <w:hyperlink w:anchor="_Toc505507442" w:history="1">
        <w:r w:rsidR="0028617F" w:rsidRPr="00B734B9">
          <w:rPr>
            <w:rStyle w:val="Hyperlink"/>
          </w:rPr>
          <w:t>B.3</w:t>
        </w:r>
        <w:r w:rsidR="0028617F">
          <w:rPr>
            <w:rFonts w:asciiTheme="minorHAnsi" w:eastAsiaTheme="minorEastAsia" w:hAnsiTheme="minorHAnsi" w:cstheme="minorBidi"/>
            <w:sz w:val="22"/>
            <w:szCs w:val="22"/>
          </w:rPr>
          <w:tab/>
        </w:r>
        <w:r w:rsidR="0028617F" w:rsidRPr="00B734B9">
          <w:rPr>
            <w:rStyle w:val="Hyperlink"/>
          </w:rPr>
          <w:t>Methods to Maximize Participation Rates</w:t>
        </w:r>
        <w:r w:rsidR="0028617F">
          <w:rPr>
            <w:webHidden/>
          </w:rPr>
          <w:tab/>
        </w:r>
        <w:r w:rsidR="0028617F">
          <w:rPr>
            <w:webHidden/>
          </w:rPr>
          <w:fldChar w:fldCharType="begin"/>
        </w:r>
        <w:r w:rsidR="0028617F">
          <w:rPr>
            <w:webHidden/>
          </w:rPr>
          <w:instrText xml:space="preserve"> PAGEREF _Toc505507442 \h </w:instrText>
        </w:r>
        <w:r w:rsidR="0028617F">
          <w:rPr>
            <w:webHidden/>
          </w:rPr>
        </w:r>
        <w:r w:rsidR="0028617F">
          <w:rPr>
            <w:webHidden/>
          </w:rPr>
          <w:fldChar w:fldCharType="separate"/>
        </w:r>
        <w:r w:rsidR="0028617F">
          <w:rPr>
            <w:webHidden/>
          </w:rPr>
          <w:t>6</w:t>
        </w:r>
        <w:r w:rsidR="0028617F">
          <w:rPr>
            <w:webHidden/>
          </w:rPr>
          <w:fldChar w:fldCharType="end"/>
        </w:r>
      </w:hyperlink>
    </w:p>
    <w:p w14:paraId="50DD07C7" w14:textId="5C8BFB86" w:rsidR="0028617F" w:rsidRDefault="005322E7">
      <w:pPr>
        <w:pStyle w:val="TOC3"/>
        <w:tabs>
          <w:tab w:val="left" w:pos="2340"/>
        </w:tabs>
        <w:rPr>
          <w:rFonts w:asciiTheme="minorHAnsi" w:eastAsiaTheme="minorEastAsia" w:hAnsiTheme="minorHAnsi" w:cstheme="minorBidi"/>
          <w:sz w:val="22"/>
          <w:szCs w:val="22"/>
        </w:rPr>
      </w:pPr>
      <w:hyperlink w:anchor="_Toc505507443" w:history="1">
        <w:r w:rsidR="0028617F" w:rsidRPr="00B734B9">
          <w:rPr>
            <w:rStyle w:val="Hyperlink"/>
          </w:rPr>
          <w:t>B.3.1</w:t>
        </w:r>
        <w:r w:rsidR="0028617F">
          <w:rPr>
            <w:rFonts w:asciiTheme="minorHAnsi" w:eastAsiaTheme="minorEastAsia" w:hAnsiTheme="minorHAnsi" w:cstheme="minorBidi"/>
            <w:sz w:val="22"/>
            <w:szCs w:val="22"/>
          </w:rPr>
          <w:tab/>
        </w:r>
        <w:r w:rsidR="0028617F" w:rsidRPr="00B734B9">
          <w:rPr>
            <w:rStyle w:val="Hyperlink"/>
          </w:rPr>
          <w:t>Participation Rates</w:t>
        </w:r>
        <w:r w:rsidR="0028617F">
          <w:rPr>
            <w:webHidden/>
          </w:rPr>
          <w:tab/>
        </w:r>
        <w:r w:rsidR="0028617F">
          <w:rPr>
            <w:webHidden/>
          </w:rPr>
          <w:fldChar w:fldCharType="begin"/>
        </w:r>
        <w:r w:rsidR="0028617F">
          <w:rPr>
            <w:webHidden/>
          </w:rPr>
          <w:instrText xml:space="preserve"> PAGEREF _Toc505507443 \h </w:instrText>
        </w:r>
        <w:r w:rsidR="0028617F">
          <w:rPr>
            <w:webHidden/>
          </w:rPr>
        </w:r>
        <w:r w:rsidR="0028617F">
          <w:rPr>
            <w:webHidden/>
          </w:rPr>
          <w:fldChar w:fldCharType="separate"/>
        </w:r>
        <w:r w:rsidR="0028617F">
          <w:rPr>
            <w:webHidden/>
          </w:rPr>
          <w:t>6</w:t>
        </w:r>
        <w:r w:rsidR="0028617F">
          <w:rPr>
            <w:webHidden/>
          </w:rPr>
          <w:fldChar w:fldCharType="end"/>
        </w:r>
      </w:hyperlink>
    </w:p>
    <w:p w14:paraId="4A804C56" w14:textId="1AB7048E" w:rsidR="0028617F" w:rsidRDefault="005322E7">
      <w:pPr>
        <w:pStyle w:val="TOC3"/>
        <w:tabs>
          <w:tab w:val="left" w:pos="2340"/>
        </w:tabs>
        <w:rPr>
          <w:rFonts w:asciiTheme="minorHAnsi" w:eastAsiaTheme="minorEastAsia" w:hAnsiTheme="minorHAnsi" w:cstheme="minorBidi"/>
          <w:sz w:val="22"/>
          <w:szCs w:val="22"/>
        </w:rPr>
      </w:pPr>
      <w:hyperlink w:anchor="_Toc505507444" w:history="1">
        <w:r w:rsidR="0028617F" w:rsidRPr="00B734B9">
          <w:rPr>
            <w:rStyle w:val="Hyperlink"/>
          </w:rPr>
          <w:t>B.3.2</w:t>
        </w:r>
        <w:r w:rsidR="0028617F">
          <w:rPr>
            <w:rFonts w:asciiTheme="minorHAnsi" w:eastAsiaTheme="minorEastAsia" w:hAnsiTheme="minorHAnsi" w:cstheme="minorBidi"/>
            <w:sz w:val="22"/>
            <w:szCs w:val="22"/>
          </w:rPr>
          <w:tab/>
        </w:r>
        <w:r w:rsidR="0028617F" w:rsidRPr="00B734B9">
          <w:rPr>
            <w:rStyle w:val="Hyperlink"/>
          </w:rPr>
          <w:t>Nonparticipation</w:t>
        </w:r>
        <w:r w:rsidR="0028617F">
          <w:rPr>
            <w:webHidden/>
          </w:rPr>
          <w:tab/>
        </w:r>
        <w:r w:rsidR="0028617F">
          <w:rPr>
            <w:webHidden/>
          </w:rPr>
          <w:fldChar w:fldCharType="begin"/>
        </w:r>
        <w:r w:rsidR="0028617F">
          <w:rPr>
            <w:webHidden/>
          </w:rPr>
          <w:instrText xml:space="preserve"> PAGEREF _Toc505507444 \h </w:instrText>
        </w:r>
        <w:r w:rsidR="0028617F">
          <w:rPr>
            <w:webHidden/>
          </w:rPr>
        </w:r>
        <w:r w:rsidR="0028617F">
          <w:rPr>
            <w:webHidden/>
          </w:rPr>
          <w:fldChar w:fldCharType="separate"/>
        </w:r>
        <w:r w:rsidR="0028617F">
          <w:rPr>
            <w:webHidden/>
          </w:rPr>
          <w:t>7</w:t>
        </w:r>
        <w:r w:rsidR="0028617F">
          <w:rPr>
            <w:webHidden/>
          </w:rPr>
          <w:fldChar w:fldCharType="end"/>
        </w:r>
      </w:hyperlink>
    </w:p>
    <w:p w14:paraId="36FD606D" w14:textId="4946ECE1" w:rsidR="0028617F" w:rsidRDefault="005322E7">
      <w:pPr>
        <w:pStyle w:val="TOC3"/>
        <w:rPr>
          <w:rFonts w:asciiTheme="minorHAnsi" w:eastAsiaTheme="minorEastAsia" w:hAnsiTheme="minorHAnsi" w:cstheme="minorBidi"/>
          <w:sz w:val="22"/>
          <w:szCs w:val="22"/>
        </w:rPr>
      </w:pPr>
      <w:hyperlink w:anchor="_Toc505507445" w:history="1">
        <w:r w:rsidR="0028617F" w:rsidRPr="00B734B9">
          <w:rPr>
            <w:rStyle w:val="Hyperlink"/>
          </w:rPr>
          <w:t>B.3.3 Analysis</w:t>
        </w:r>
        <w:r w:rsidR="0028617F">
          <w:rPr>
            <w:webHidden/>
          </w:rPr>
          <w:tab/>
        </w:r>
        <w:r w:rsidR="0028617F">
          <w:rPr>
            <w:webHidden/>
          </w:rPr>
          <w:fldChar w:fldCharType="begin"/>
        </w:r>
        <w:r w:rsidR="0028617F">
          <w:rPr>
            <w:webHidden/>
          </w:rPr>
          <w:instrText xml:space="preserve"> PAGEREF _Toc505507445 \h </w:instrText>
        </w:r>
        <w:r w:rsidR="0028617F">
          <w:rPr>
            <w:webHidden/>
          </w:rPr>
        </w:r>
        <w:r w:rsidR="0028617F">
          <w:rPr>
            <w:webHidden/>
          </w:rPr>
          <w:fldChar w:fldCharType="separate"/>
        </w:r>
        <w:r w:rsidR="0028617F">
          <w:rPr>
            <w:webHidden/>
          </w:rPr>
          <w:t>8</w:t>
        </w:r>
        <w:r w:rsidR="0028617F">
          <w:rPr>
            <w:webHidden/>
          </w:rPr>
          <w:fldChar w:fldCharType="end"/>
        </w:r>
      </w:hyperlink>
    </w:p>
    <w:p w14:paraId="3168FFA1" w14:textId="6337A1F2" w:rsidR="0028617F" w:rsidRDefault="005322E7">
      <w:pPr>
        <w:pStyle w:val="TOC2"/>
        <w:tabs>
          <w:tab w:val="left" w:pos="1350"/>
        </w:tabs>
        <w:rPr>
          <w:rFonts w:asciiTheme="minorHAnsi" w:eastAsiaTheme="minorEastAsia" w:hAnsiTheme="minorHAnsi" w:cstheme="minorBidi"/>
          <w:sz w:val="22"/>
          <w:szCs w:val="22"/>
        </w:rPr>
      </w:pPr>
      <w:hyperlink w:anchor="_Toc505507446" w:history="1">
        <w:r w:rsidR="0028617F" w:rsidRPr="00B734B9">
          <w:rPr>
            <w:rStyle w:val="Hyperlink"/>
          </w:rPr>
          <w:t>B.4</w:t>
        </w:r>
        <w:r w:rsidR="0028617F">
          <w:rPr>
            <w:rFonts w:asciiTheme="minorHAnsi" w:eastAsiaTheme="minorEastAsia" w:hAnsiTheme="minorHAnsi" w:cstheme="minorBidi"/>
            <w:sz w:val="22"/>
            <w:szCs w:val="22"/>
          </w:rPr>
          <w:tab/>
        </w:r>
        <w:r w:rsidR="0028617F" w:rsidRPr="00B734B9">
          <w:rPr>
            <w:rStyle w:val="Hyperlink"/>
          </w:rPr>
          <w:t>Justification for Target Sample Sizes</w:t>
        </w:r>
        <w:r w:rsidR="0028617F">
          <w:rPr>
            <w:webHidden/>
          </w:rPr>
          <w:tab/>
        </w:r>
        <w:r w:rsidR="0028617F">
          <w:rPr>
            <w:webHidden/>
          </w:rPr>
          <w:fldChar w:fldCharType="begin"/>
        </w:r>
        <w:r w:rsidR="0028617F">
          <w:rPr>
            <w:webHidden/>
          </w:rPr>
          <w:instrText xml:space="preserve"> PAGEREF _Toc505507446 \h </w:instrText>
        </w:r>
        <w:r w:rsidR="0028617F">
          <w:rPr>
            <w:webHidden/>
          </w:rPr>
        </w:r>
        <w:r w:rsidR="0028617F">
          <w:rPr>
            <w:webHidden/>
          </w:rPr>
          <w:fldChar w:fldCharType="separate"/>
        </w:r>
        <w:r w:rsidR="0028617F">
          <w:rPr>
            <w:webHidden/>
          </w:rPr>
          <w:t>10</w:t>
        </w:r>
        <w:r w:rsidR="0028617F">
          <w:rPr>
            <w:webHidden/>
          </w:rPr>
          <w:fldChar w:fldCharType="end"/>
        </w:r>
      </w:hyperlink>
    </w:p>
    <w:p w14:paraId="242388A6" w14:textId="3FA066AE" w:rsidR="0028617F" w:rsidRDefault="005322E7">
      <w:pPr>
        <w:pStyle w:val="TOC2"/>
        <w:tabs>
          <w:tab w:val="left" w:pos="1350"/>
        </w:tabs>
        <w:rPr>
          <w:rFonts w:asciiTheme="minorHAnsi" w:eastAsiaTheme="minorEastAsia" w:hAnsiTheme="minorHAnsi" w:cstheme="minorBidi"/>
          <w:sz w:val="22"/>
          <w:szCs w:val="22"/>
        </w:rPr>
      </w:pPr>
      <w:hyperlink w:anchor="_Toc505507447" w:history="1">
        <w:r w:rsidR="0028617F" w:rsidRPr="00B734B9">
          <w:rPr>
            <w:rStyle w:val="Hyperlink"/>
          </w:rPr>
          <w:t>B.5</w:t>
        </w:r>
        <w:r w:rsidR="0028617F">
          <w:rPr>
            <w:rFonts w:asciiTheme="minorHAnsi" w:eastAsiaTheme="minorEastAsia" w:hAnsiTheme="minorHAnsi" w:cstheme="minorBidi"/>
            <w:sz w:val="22"/>
            <w:szCs w:val="22"/>
          </w:rPr>
          <w:tab/>
        </w:r>
        <w:r w:rsidR="0028617F" w:rsidRPr="00B734B9">
          <w:rPr>
            <w:rStyle w:val="Hyperlink"/>
          </w:rPr>
          <w:t>Test of Procedures or Methods to Be Undertaken</w:t>
        </w:r>
        <w:r w:rsidR="0028617F">
          <w:rPr>
            <w:webHidden/>
          </w:rPr>
          <w:tab/>
        </w:r>
        <w:r w:rsidR="0028617F">
          <w:rPr>
            <w:webHidden/>
          </w:rPr>
          <w:fldChar w:fldCharType="begin"/>
        </w:r>
        <w:r w:rsidR="0028617F">
          <w:rPr>
            <w:webHidden/>
          </w:rPr>
          <w:instrText xml:space="preserve"> PAGEREF _Toc505507447 \h </w:instrText>
        </w:r>
        <w:r w:rsidR="0028617F">
          <w:rPr>
            <w:webHidden/>
          </w:rPr>
        </w:r>
        <w:r w:rsidR="0028617F">
          <w:rPr>
            <w:webHidden/>
          </w:rPr>
          <w:fldChar w:fldCharType="separate"/>
        </w:r>
        <w:r w:rsidR="0028617F">
          <w:rPr>
            <w:webHidden/>
          </w:rPr>
          <w:t>11</w:t>
        </w:r>
        <w:r w:rsidR="0028617F">
          <w:rPr>
            <w:webHidden/>
          </w:rPr>
          <w:fldChar w:fldCharType="end"/>
        </w:r>
      </w:hyperlink>
    </w:p>
    <w:p w14:paraId="023E14E3" w14:textId="421E5A6C" w:rsidR="0028617F" w:rsidRDefault="005322E7">
      <w:pPr>
        <w:pStyle w:val="TOC2"/>
        <w:tabs>
          <w:tab w:val="left" w:pos="1350"/>
        </w:tabs>
        <w:rPr>
          <w:rFonts w:asciiTheme="minorHAnsi" w:eastAsiaTheme="minorEastAsia" w:hAnsiTheme="minorHAnsi" w:cstheme="minorBidi"/>
          <w:sz w:val="22"/>
          <w:szCs w:val="22"/>
        </w:rPr>
      </w:pPr>
      <w:hyperlink w:anchor="_Toc505507448" w:history="1">
        <w:r w:rsidR="0028617F" w:rsidRPr="00B734B9">
          <w:rPr>
            <w:rStyle w:val="Hyperlink"/>
          </w:rPr>
          <w:t>B.6</w:t>
        </w:r>
        <w:r w:rsidR="0028617F">
          <w:rPr>
            <w:rFonts w:asciiTheme="minorHAnsi" w:eastAsiaTheme="minorEastAsia" w:hAnsiTheme="minorHAnsi" w:cstheme="minorBidi"/>
            <w:sz w:val="22"/>
            <w:szCs w:val="22"/>
          </w:rPr>
          <w:tab/>
        </w:r>
        <w:r w:rsidR="0028617F" w:rsidRPr="00B734B9">
          <w:rPr>
            <w:rStyle w:val="Hyperlink"/>
          </w:rPr>
          <w:t>Individuals Consulted on Statistical Aspects and/or Analyzing Data</w:t>
        </w:r>
        <w:r w:rsidR="0028617F">
          <w:rPr>
            <w:webHidden/>
          </w:rPr>
          <w:tab/>
        </w:r>
        <w:r w:rsidR="0028617F">
          <w:rPr>
            <w:webHidden/>
          </w:rPr>
          <w:fldChar w:fldCharType="begin"/>
        </w:r>
        <w:r w:rsidR="0028617F">
          <w:rPr>
            <w:webHidden/>
          </w:rPr>
          <w:instrText xml:space="preserve"> PAGEREF _Toc505507448 \h </w:instrText>
        </w:r>
        <w:r w:rsidR="0028617F">
          <w:rPr>
            <w:webHidden/>
          </w:rPr>
        </w:r>
        <w:r w:rsidR="0028617F">
          <w:rPr>
            <w:webHidden/>
          </w:rPr>
          <w:fldChar w:fldCharType="separate"/>
        </w:r>
        <w:r w:rsidR="0028617F">
          <w:rPr>
            <w:webHidden/>
          </w:rPr>
          <w:t>11</w:t>
        </w:r>
        <w:r w:rsidR="0028617F">
          <w:rPr>
            <w:webHidden/>
          </w:rPr>
          <w:fldChar w:fldCharType="end"/>
        </w:r>
      </w:hyperlink>
    </w:p>
    <w:p w14:paraId="22B3EE02" w14:textId="09809E42" w:rsidR="0028617F" w:rsidRDefault="005322E7">
      <w:pPr>
        <w:pStyle w:val="TOC1"/>
        <w:rPr>
          <w:rFonts w:asciiTheme="minorHAnsi" w:eastAsiaTheme="minorEastAsia" w:hAnsiTheme="minorHAnsi" w:cstheme="minorBidi"/>
          <w:sz w:val="22"/>
          <w:szCs w:val="22"/>
        </w:rPr>
      </w:pPr>
      <w:hyperlink w:anchor="_Toc505507449" w:history="1">
        <w:r w:rsidR="0028617F" w:rsidRPr="00B734B9">
          <w:rPr>
            <w:rStyle w:val="Hyperlink"/>
          </w:rPr>
          <w:t>References</w:t>
        </w:r>
        <w:r w:rsidR="0028617F">
          <w:rPr>
            <w:webHidden/>
          </w:rPr>
          <w:tab/>
        </w:r>
        <w:r w:rsidR="0028617F">
          <w:rPr>
            <w:webHidden/>
          </w:rPr>
          <w:fldChar w:fldCharType="begin"/>
        </w:r>
        <w:r w:rsidR="0028617F">
          <w:rPr>
            <w:webHidden/>
          </w:rPr>
          <w:instrText xml:space="preserve"> PAGEREF _Toc505507449 \h </w:instrText>
        </w:r>
        <w:r w:rsidR="0028617F">
          <w:rPr>
            <w:webHidden/>
          </w:rPr>
        </w:r>
        <w:r w:rsidR="0028617F">
          <w:rPr>
            <w:webHidden/>
          </w:rPr>
          <w:fldChar w:fldCharType="separate"/>
        </w:r>
        <w:r w:rsidR="0028617F">
          <w:rPr>
            <w:webHidden/>
          </w:rPr>
          <w:t>13</w:t>
        </w:r>
        <w:r w:rsidR="0028617F">
          <w:rPr>
            <w:webHidden/>
          </w:rPr>
          <w:fldChar w:fldCharType="end"/>
        </w:r>
      </w:hyperlink>
    </w:p>
    <w:p w14:paraId="29FC1013" w14:textId="0451A94C" w:rsidR="00F72F56" w:rsidRDefault="00512F04" w:rsidP="00A935D1">
      <w:pPr>
        <w:rPr>
          <w:noProof/>
        </w:rPr>
      </w:pPr>
      <w:r>
        <w:rPr>
          <w:noProof/>
        </w:rPr>
        <w:fldChar w:fldCharType="end"/>
      </w:r>
      <w:bookmarkStart w:id="3" w:name="_Toc79980788"/>
    </w:p>
    <w:p w14:paraId="460164EB" w14:textId="77777777" w:rsidR="00A935D1" w:rsidRPr="00A935D1" w:rsidRDefault="00A935D1" w:rsidP="00A935D1"/>
    <w:p w14:paraId="3E89782B" w14:textId="77777777" w:rsidR="00F72F56" w:rsidRDefault="00F72F56" w:rsidP="00F72F56">
      <w:pPr>
        <w:pStyle w:val="TOC0"/>
        <w:rPr>
          <w:noProof/>
        </w:rPr>
      </w:pPr>
      <w:r>
        <w:rPr>
          <w:noProof/>
        </w:rPr>
        <w:t>Exhibits</w:t>
      </w:r>
    </w:p>
    <w:p w14:paraId="3AD3D992" w14:textId="77777777" w:rsidR="00A935D1" w:rsidRPr="0037320E" w:rsidRDefault="00A935D1" w:rsidP="00A935D1">
      <w:pPr>
        <w:tabs>
          <w:tab w:val="right" w:pos="9360"/>
        </w:tabs>
        <w:spacing w:before="120" w:after="240"/>
        <w:rPr>
          <w:color w:val="000000"/>
        </w:rPr>
      </w:pPr>
      <w:r>
        <w:rPr>
          <w:b/>
          <w:color w:val="000000"/>
        </w:rPr>
        <w:t>Number</w:t>
      </w:r>
      <w:r w:rsidRPr="0037320E">
        <w:rPr>
          <w:color w:val="000000"/>
        </w:rPr>
        <w:tab/>
      </w:r>
      <w:r w:rsidRPr="0037320E">
        <w:rPr>
          <w:b/>
          <w:color w:val="000000"/>
        </w:rPr>
        <w:t>Page</w:t>
      </w:r>
    </w:p>
    <w:p w14:paraId="183525D5" w14:textId="45CC8882" w:rsidR="0028617F" w:rsidRDefault="0028617F" w:rsidP="00B030C7">
      <w:pPr>
        <w:pStyle w:val="TableofFigures"/>
        <w:tabs>
          <w:tab w:val="left" w:pos="360"/>
          <w:tab w:val="left" w:pos="900"/>
          <w:tab w:val="right" w:leader="dot" w:pos="9350"/>
        </w:tabs>
        <w:rPr>
          <w:rFonts w:asciiTheme="minorHAnsi" w:eastAsiaTheme="minorEastAsia" w:hAnsiTheme="minorHAnsi" w:cstheme="minorBidi"/>
          <w:noProof/>
          <w:sz w:val="22"/>
          <w:szCs w:val="22"/>
        </w:rPr>
      </w:pPr>
      <w:r>
        <w:tab/>
      </w:r>
      <w:r w:rsidR="004A07AB">
        <w:fldChar w:fldCharType="begin"/>
      </w:r>
      <w:r w:rsidR="004A07AB">
        <w:instrText xml:space="preserve"> TOC \h \z \t "Figure Title" \c </w:instrText>
      </w:r>
      <w:r w:rsidR="004A07AB">
        <w:fldChar w:fldCharType="separate"/>
      </w:r>
      <w:hyperlink w:anchor="_Toc505507451" w:history="1">
        <w:r w:rsidRPr="00CA0D42">
          <w:rPr>
            <w:rStyle w:val="Hyperlink"/>
            <w:rFonts w:eastAsia="MS Mincho"/>
            <w:noProof/>
          </w:rPr>
          <w:t>1.</w:t>
        </w:r>
        <w:r>
          <w:rPr>
            <w:rFonts w:asciiTheme="minorHAnsi" w:eastAsiaTheme="minorEastAsia" w:hAnsiTheme="minorHAnsi" w:cstheme="minorBidi"/>
            <w:noProof/>
            <w:sz w:val="22"/>
            <w:szCs w:val="22"/>
          </w:rPr>
          <w:tab/>
        </w:r>
        <w:r w:rsidRPr="00CA0D42">
          <w:rPr>
            <w:rStyle w:val="Hyperlink"/>
            <w:rFonts w:eastAsia="MS Mincho"/>
            <w:noProof/>
          </w:rPr>
          <w:t>Sampling Stages for MAT Study</w:t>
        </w:r>
        <w:r>
          <w:rPr>
            <w:noProof/>
            <w:webHidden/>
          </w:rPr>
          <w:tab/>
        </w:r>
        <w:r>
          <w:rPr>
            <w:noProof/>
            <w:webHidden/>
          </w:rPr>
          <w:fldChar w:fldCharType="begin"/>
        </w:r>
        <w:r>
          <w:rPr>
            <w:noProof/>
            <w:webHidden/>
          </w:rPr>
          <w:instrText xml:space="preserve"> PAGEREF _Toc505507451 \h </w:instrText>
        </w:r>
        <w:r>
          <w:rPr>
            <w:noProof/>
            <w:webHidden/>
          </w:rPr>
        </w:r>
        <w:r>
          <w:rPr>
            <w:noProof/>
            <w:webHidden/>
          </w:rPr>
          <w:fldChar w:fldCharType="separate"/>
        </w:r>
        <w:r>
          <w:rPr>
            <w:noProof/>
            <w:webHidden/>
          </w:rPr>
          <w:t>2</w:t>
        </w:r>
        <w:r>
          <w:rPr>
            <w:noProof/>
            <w:webHidden/>
          </w:rPr>
          <w:fldChar w:fldCharType="end"/>
        </w:r>
      </w:hyperlink>
    </w:p>
    <w:p w14:paraId="49F923C9" w14:textId="59CB8E8E" w:rsidR="0028617F" w:rsidRDefault="0028617F" w:rsidP="00B030C7">
      <w:pPr>
        <w:pStyle w:val="TableofFigures"/>
        <w:tabs>
          <w:tab w:val="left" w:pos="360"/>
          <w:tab w:val="left" w:pos="900"/>
          <w:tab w:val="right" w:leader="dot" w:pos="9350"/>
        </w:tabs>
        <w:rPr>
          <w:rFonts w:asciiTheme="minorHAnsi" w:eastAsiaTheme="minorEastAsia" w:hAnsiTheme="minorHAnsi" w:cstheme="minorBidi"/>
          <w:noProof/>
          <w:sz w:val="22"/>
          <w:szCs w:val="22"/>
        </w:rPr>
      </w:pPr>
      <w:r>
        <w:rPr>
          <w:rStyle w:val="Hyperlink"/>
          <w:noProof/>
        </w:rPr>
        <w:tab/>
      </w:r>
      <w:hyperlink w:anchor="_Toc505507452" w:history="1">
        <w:r w:rsidRPr="00CA0D42">
          <w:rPr>
            <w:rStyle w:val="Hyperlink"/>
            <w:noProof/>
          </w:rPr>
          <w:t>2.</w:t>
        </w:r>
        <w:r>
          <w:rPr>
            <w:rFonts w:asciiTheme="minorHAnsi" w:eastAsiaTheme="minorEastAsia" w:hAnsiTheme="minorHAnsi" w:cstheme="minorBidi"/>
            <w:noProof/>
            <w:sz w:val="22"/>
            <w:szCs w:val="22"/>
          </w:rPr>
          <w:tab/>
        </w:r>
        <w:r w:rsidRPr="00CA0D42">
          <w:rPr>
            <w:rStyle w:val="Hyperlink"/>
            <w:noProof/>
          </w:rPr>
          <w:t>U.S. Opioid-related substance abuse treatment admissions in 2014: TEDS-A</w:t>
        </w:r>
        <w:r>
          <w:rPr>
            <w:noProof/>
            <w:webHidden/>
          </w:rPr>
          <w:tab/>
        </w:r>
        <w:r>
          <w:rPr>
            <w:noProof/>
            <w:webHidden/>
          </w:rPr>
          <w:fldChar w:fldCharType="begin"/>
        </w:r>
        <w:r>
          <w:rPr>
            <w:noProof/>
            <w:webHidden/>
          </w:rPr>
          <w:instrText xml:space="preserve"> PAGEREF _Toc505507452 \h </w:instrText>
        </w:r>
        <w:r>
          <w:rPr>
            <w:noProof/>
            <w:webHidden/>
          </w:rPr>
        </w:r>
        <w:r>
          <w:rPr>
            <w:noProof/>
            <w:webHidden/>
          </w:rPr>
          <w:fldChar w:fldCharType="separate"/>
        </w:r>
        <w:r>
          <w:rPr>
            <w:noProof/>
            <w:webHidden/>
          </w:rPr>
          <w:t>3</w:t>
        </w:r>
        <w:r>
          <w:rPr>
            <w:noProof/>
            <w:webHidden/>
          </w:rPr>
          <w:fldChar w:fldCharType="end"/>
        </w:r>
      </w:hyperlink>
    </w:p>
    <w:p w14:paraId="75DEB3D4" w14:textId="6A725972" w:rsidR="0028617F" w:rsidRDefault="0028617F" w:rsidP="00B030C7">
      <w:pPr>
        <w:pStyle w:val="TableofFigures"/>
        <w:tabs>
          <w:tab w:val="left" w:pos="360"/>
          <w:tab w:val="left" w:pos="900"/>
          <w:tab w:val="right" w:leader="dot" w:pos="9350"/>
        </w:tabs>
        <w:rPr>
          <w:rFonts w:asciiTheme="minorHAnsi" w:eastAsiaTheme="minorEastAsia" w:hAnsiTheme="minorHAnsi" w:cstheme="minorBidi"/>
          <w:noProof/>
          <w:sz w:val="22"/>
          <w:szCs w:val="22"/>
        </w:rPr>
      </w:pPr>
      <w:r>
        <w:rPr>
          <w:rStyle w:val="Hyperlink"/>
          <w:noProof/>
        </w:rPr>
        <w:tab/>
      </w:r>
      <w:hyperlink w:anchor="_Toc505507453" w:history="1">
        <w:r w:rsidRPr="00CA0D42">
          <w:rPr>
            <w:rStyle w:val="Hyperlink"/>
            <w:noProof/>
          </w:rPr>
          <w:t>3.</w:t>
        </w:r>
        <w:r>
          <w:rPr>
            <w:rFonts w:asciiTheme="minorHAnsi" w:eastAsiaTheme="minorEastAsia" w:hAnsiTheme="minorHAnsi" w:cstheme="minorBidi"/>
            <w:noProof/>
            <w:sz w:val="22"/>
            <w:szCs w:val="22"/>
          </w:rPr>
          <w:tab/>
        </w:r>
        <w:r w:rsidRPr="00CA0D42">
          <w:rPr>
            <w:rStyle w:val="Hyperlink"/>
            <w:noProof/>
          </w:rPr>
          <w:t>Patient Sampling for MAT Study</w:t>
        </w:r>
        <w:r>
          <w:rPr>
            <w:noProof/>
            <w:webHidden/>
          </w:rPr>
          <w:tab/>
        </w:r>
        <w:r>
          <w:rPr>
            <w:noProof/>
            <w:webHidden/>
          </w:rPr>
          <w:fldChar w:fldCharType="begin"/>
        </w:r>
        <w:r>
          <w:rPr>
            <w:noProof/>
            <w:webHidden/>
          </w:rPr>
          <w:instrText xml:space="preserve"> PAGEREF _Toc505507453 \h </w:instrText>
        </w:r>
        <w:r>
          <w:rPr>
            <w:noProof/>
            <w:webHidden/>
          </w:rPr>
        </w:r>
        <w:r>
          <w:rPr>
            <w:noProof/>
            <w:webHidden/>
          </w:rPr>
          <w:fldChar w:fldCharType="separate"/>
        </w:r>
        <w:r>
          <w:rPr>
            <w:noProof/>
            <w:webHidden/>
          </w:rPr>
          <w:t>5</w:t>
        </w:r>
        <w:r>
          <w:rPr>
            <w:noProof/>
            <w:webHidden/>
          </w:rPr>
          <w:fldChar w:fldCharType="end"/>
        </w:r>
      </w:hyperlink>
    </w:p>
    <w:p w14:paraId="7BA5B5BC" w14:textId="0198BC13" w:rsidR="0028617F" w:rsidRDefault="0028617F" w:rsidP="00B030C7">
      <w:pPr>
        <w:pStyle w:val="TableofFigures"/>
        <w:tabs>
          <w:tab w:val="left" w:pos="360"/>
          <w:tab w:val="left" w:pos="900"/>
          <w:tab w:val="right" w:leader="dot" w:pos="9350"/>
        </w:tabs>
        <w:rPr>
          <w:rFonts w:asciiTheme="minorHAnsi" w:eastAsiaTheme="minorEastAsia" w:hAnsiTheme="minorHAnsi" w:cstheme="minorBidi"/>
          <w:noProof/>
          <w:sz w:val="22"/>
          <w:szCs w:val="22"/>
        </w:rPr>
      </w:pPr>
      <w:r>
        <w:rPr>
          <w:rStyle w:val="Hyperlink"/>
          <w:noProof/>
        </w:rPr>
        <w:tab/>
      </w:r>
      <w:hyperlink w:anchor="_Toc505507454" w:history="1">
        <w:r w:rsidRPr="00CA0D42">
          <w:rPr>
            <w:rStyle w:val="Hyperlink"/>
            <w:noProof/>
          </w:rPr>
          <w:t>4.</w:t>
        </w:r>
        <w:r>
          <w:rPr>
            <w:rFonts w:asciiTheme="minorHAnsi" w:eastAsiaTheme="minorEastAsia" w:hAnsiTheme="minorHAnsi" w:cstheme="minorBidi"/>
            <w:noProof/>
            <w:sz w:val="22"/>
            <w:szCs w:val="22"/>
          </w:rPr>
          <w:tab/>
        </w:r>
        <w:r w:rsidRPr="00CA0D42">
          <w:rPr>
            <w:rStyle w:val="Hyperlink"/>
            <w:noProof/>
          </w:rPr>
          <w:t>Respondent and Data Collection Methods</w:t>
        </w:r>
        <w:r>
          <w:rPr>
            <w:noProof/>
            <w:webHidden/>
          </w:rPr>
          <w:tab/>
        </w:r>
        <w:r>
          <w:rPr>
            <w:noProof/>
            <w:webHidden/>
          </w:rPr>
          <w:fldChar w:fldCharType="begin"/>
        </w:r>
        <w:r>
          <w:rPr>
            <w:noProof/>
            <w:webHidden/>
          </w:rPr>
          <w:instrText xml:space="preserve"> PAGEREF _Toc505507454 \h </w:instrText>
        </w:r>
        <w:r>
          <w:rPr>
            <w:noProof/>
            <w:webHidden/>
          </w:rPr>
        </w:r>
        <w:r>
          <w:rPr>
            <w:noProof/>
            <w:webHidden/>
          </w:rPr>
          <w:fldChar w:fldCharType="separate"/>
        </w:r>
        <w:r>
          <w:rPr>
            <w:noProof/>
            <w:webHidden/>
          </w:rPr>
          <w:t>6</w:t>
        </w:r>
        <w:r>
          <w:rPr>
            <w:noProof/>
            <w:webHidden/>
          </w:rPr>
          <w:fldChar w:fldCharType="end"/>
        </w:r>
      </w:hyperlink>
    </w:p>
    <w:p w14:paraId="1F39F8E4" w14:textId="2ECEC440" w:rsidR="0028617F" w:rsidRDefault="0028617F" w:rsidP="00B030C7">
      <w:pPr>
        <w:pStyle w:val="TableofFigures"/>
        <w:tabs>
          <w:tab w:val="left" w:pos="360"/>
          <w:tab w:val="left" w:pos="900"/>
          <w:tab w:val="right" w:leader="dot" w:pos="9350"/>
        </w:tabs>
        <w:rPr>
          <w:rFonts w:asciiTheme="minorHAnsi" w:eastAsiaTheme="minorEastAsia" w:hAnsiTheme="minorHAnsi" w:cstheme="minorBidi"/>
          <w:noProof/>
          <w:sz w:val="22"/>
          <w:szCs w:val="22"/>
        </w:rPr>
      </w:pPr>
      <w:r>
        <w:rPr>
          <w:rStyle w:val="Hyperlink"/>
          <w:noProof/>
        </w:rPr>
        <w:tab/>
      </w:r>
      <w:hyperlink w:anchor="_Toc505507455" w:history="1">
        <w:r w:rsidRPr="00CA0D42">
          <w:rPr>
            <w:rStyle w:val="Hyperlink"/>
            <w:noProof/>
          </w:rPr>
          <w:t>5.</w:t>
        </w:r>
        <w:r>
          <w:rPr>
            <w:rStyle w:val="Hyperlink"/>
            <w:noProof/>
          </w:rPr>
          <w:t xml:space="preserve">  </w:t>
        </w:r>
        <w:r w:rsidRPr="00CA0D42">
          <w:rPr>
            <w:rStyle w:val="Hyperlink"/>
            <w:noProof/>
          </w:rPr>
          <w:t xml:space="preserve"> </w:t>
        </w:r>
        <w:r>
          <w:rPr>
            <w:rFonts w:asciiTheme="minorHAnsi" w:eastAsiaTheme="minorEastAsia" w:hAnsiTheme="minorHAnsi" w:cstheme="minorBidi"/>
            <w:noProof/>
            <w:sz w:val="22"/>
            <w:szCs w:val="22"/>
          </w:rPr>
          <w:tab/>
        </w:r>
        <w:r w:rsidRPr="00CA0D42">
          <w:rPr>
            <w:rStyle w:val="Hyperlink"/>
            <w:noProof/>
          </w:rPr>
          <w:t>Data Collection and Analysis Team Members and Advisors</w:t>
        </w:r>
        <w:r>
          <w:rPr>
            <w:noProof/>
            <w:webHidden/>
          </w:rPr>
          <w:tab/>
        </w:r>
        <w:r>
          <w:rPr>
            <w:noProof/>
            <w:webHidden/>
          </w:rPr>
          <w:fldChar w:fldCharType="begin"/>
        </w:r>
        <w:r>
          <w:rPr>
            <w:noProof/>
            <w:webHidden/>
          </w:rPr>
          <w:instrText xml:space="preserve"> PAGEREF _Toc505507455 \h </w:instrText>
        </w:r>
        <w:r>
          <w:rPr>
            <w:noProof/>
            <w:webHidden/>
          </w:rPr>
        </w:r>
        <w:r>
          <w:rPr>
            <w:noProof/>
            <w:webHidden/>
          </w:rPr>
          <w:fldChar w:fldCharType="separate"/>
        </w:r>
        <w:r>
          <w:rPr>
            <w:noProof/>
            <w:webHidden/>
          </w:rPr>
          <w:t>12</w:t>
        </w:r>
        <w:r>
          <w:rPr>
            <w:noProof/>
            <w:webHidden/>
          </w:rPr>
          <w:fldChar w:fldCharType="end"/>
        </w:r>
      </w:hyperlink>
    </w:p>
    <w:p w14:paraId="4716D6AC" w14:textId="63F71031" w:rsidR="00451757" w:rsidRPr="00F72F56" w:rsidRDefault="004A07AB" w:rsidP="00451757">
      <w:r>
        <w:fldChar w:fldCharType="end"/>
      </w:r>
    </w:p>
    <w:p w14:paraId="523669F0" w14:textId="77777777" w:rsidR="00F72F56" w:rsidRDefault="00F72F56" w:rsidP="00F72F56">
      <w:pPr>
        <w:rPr>
          <w:noProof/>
        </w:rPr>
      </w:pPr>
    </w:p>
    <w:p w14:paraId="0C8AF3C8" w14:textId="77777777" w:rsidR="00F72F56" w:rsidRDefault="00F72F56" w:rsidP="00932612">
      <w:pPr>
        <w:pStyle w:val="Heading1"/>
        <w:rPr>
          <w:color w:val="000000"/>
        </w:rPr>
        <w:sectPr w:rsidR="00F72F56" w:rsidSect="00DB4B60">
          <w:footerReference w:type="default" r:id="rId9"/>
          <w:pgSz w:w="12240" w:h="15840"/>
          <w:pgMar w:top="1440" w:right="1440" w:bottom="1440" w:left="1440" w:header="720" w:footer="720" w:gutter="0"/>
          <w:pgNumType w:fmt="lowerRoman" w:start="3"/>
          <w:cols w:space="720"/>
          <w:titlePg/>
          <w:docGrid w:linePitch="326"/>
        </w:sectPr>
      </w:pPr>
    </w:p>
    <w:p w14:paraId="49B70018" w14:textId="77777777" w:rsidR="00495ADF" w:rsidRDefault="006E2440" w:rsidP="00495ADF">
      <w:pPr>
        <w:pStyle w:val="Heading1"/>
      </w:pPr>
      <w:bookmarkStart w:id="4" w:name="_Toc8007688"/>
      <w:bookmarkStart w:id="5" w:name="_Toc88033485"/>
      <w:bookmarkStart w:id="6" w:name="_Toc505507437"/>
      <w:bookmarkEnd w:id="3"/>
      <w:r>
        <w:lastRenderedPageBreak/>
        <w:t>B.</w:t>
      </w:r>
      <w:r>
        <w:tab/>
      </w:r>
      <w:r w:rsidR="00495ADF">
        <w:t>Collection of Information Employing Statistical Methods</w:t>
      </w:r>
      <w:bookmarkEnd w:id="4"/>
      <w:bookmarkEnd w:id="5"/>
      <w:bookmarkEnd w:id="6"/>
    </w:p>
    <w:p w14:paraId="0C8B7AA7" w14:textId="77777777" w:rsidR="00495ADF" w:rsidRDefault="00495ADF" w:rsidP="006E2440">
      <w:pPr>
        <w:pStyle w:val="Heading2"/>
      </w:pPr>
      <w:bookmarkStart w:id="7" w:name="_Toc8007689"/>
      <w:bookmarkStart w:id="8" w:name="_Toc88033486"/>
      <w:bookmarkStart w:id="9" w:name="_Toc505507438"/>
      <w:r>
        <w:t>B.1</w:t>
      </w:r>
      <w:r>
        <w:tab/>
      </w:r>
      <w:bookmarkEnd w:id="7"/>
      <w:bookmarkEnd w:id="8"/>
      <w:r w:rsidRPr="00E04321">
        <w:t>Respondent Universe and Sampling Methods</w:t>
      </w:r>
      <w:bookmarkEnd w:id="9"/>
    </w:p>
    <w:p w14:paraId="5DED1BA7" w14:textId="5D46C2CD" w:rsidR="009D33E3" w:rsidRDefault="00034A27" w:rsidP="00A92395">
      <w:pPr>
        <w:pStyle w:val="BodyText1"/>
      </w:pPr>
      <w:r>
        <w:t xml:space="preserve">Broadly, the respondent universe </w:t>
      </w:r>
      <w:r w:rsidR="00306F6E">
        <w:t>includes</w:t>
      </w:r>
      <w:r>
        <w:t xml:space="preserve"> individuals in the United States who receive some form of </w:t>
      </w:r>
      <w:r w:rsidR="00EE48B4">
        <w:t>opioid use disorder (</w:t>
      </w:r>
      <w:r>
        <w:t>OUD</w:t>
      </w:r>
      <w:r w:rsidR="00EE48B4">
        <w:t>)</w:t>
      </w:r>
      <w:r>
        <w:t xml:space="preserve"> treatment. The sample from this broad universe </w:t>
      </w:r>
      <w:r w:rsidR="006616A3">
        <w:t xml:space="preserve">has </w:t>
      </w:r>
      <w:r>
        <w:t>be</w:t>
      </w:r>
      <w:r w:rsidR="006616A3">
        <w:t>en</w:t>
      </w:r>
      <w:r>
        <w:t xml:space="preserve"> operationalized by selecting </w:t>
      </w:r>
      <w:r w:rsidR="00225272">
        <w:t xml:space="preserve">11 </w:t>
      </w:r>
      <w:r w:rsidR="00695829">
        <w:t>areas</w:t>
      </w:r>
      <w:r w:rsidR="006616A3">
        <w:t xml:space="preserve"> and.</w:t>
      </w:r>
      <w:r>
        <w:t xml:space="preserve"> recruiting </w:t>
      </w:r>
      <w:r w:rsidR="00C66B15">
        <w:t>five to six</w:t>
      </w:r>
      <w:r>
        <w:t xml:space="preserve"> OUD treatment </w:t>
      </w:r>
      <w:r w:rsidR="007367F8">
        <w:t xml:space="preserve">facilities </w:t>
      </w:r>
      <w:r>
        <w:t xml:space="preserve">per </w:t>
      </w:r>
      <w:r w:rsidR="00695829">
        <w:t>area</w:t>
      </w:r>
      <w:r w:rsidR="006616A3">
        <w:t>. The study targets enrolling</w:t>
      </w:r>
      <w:r>
        <w:t xml:space="preserve"> a sufficient number of participants to yield 3,</w:t>
      </w:r>
      <w:r w:rsidR="007E095A">
        <w:t xml:space="preserve">560 </w:t>
      </w:r>
      <w:r w:rsidR="00F768BA">
        <w:t xml:space="preserve">baseline </w:t>
      </w:r>
      <w:r w:rsidR="00F2057C">
        <w:t xml:space="preserve">Patient </w:t>
      </w:r>
      <w:r>
        <w:t xml:space="preserve">Questionnaires. </w:t>
      </w:r>
      <w:r w:rsidR="00695829">
        <w:t xml:space="preserve">Study area is defined as the combination of metropolitan statistical area plus, in some instances, surrounding cities </w:t>
      </w:r>
      <w:r w:rsidR="00821BF9">
        <w:t>or corresponding larger cities within the same state.</w:t>
      </w:r>
    </w:p>
    <w:p w14:paraId="191BECE6" w14:textId="4C97A03B" w:rsidR="007C780C" w:rsidRDefault="007C780C" w:rsidP="009E2854">
      <w:pPr>
        <w:pStyle w:val="Heading3"/>
      </w:pPr>
      <w:bookmarkStart w:id="10" w:name="_Toc505507439"/>
      <w:r>
        <w:t>B.1.1</w:t>
      </w:r>
      <w:r>
        <w:tab/>
        <w:t>Site Selection</w:t>
      </w:r>
      <w:bookmarkEnd w:id="10"/>
    </w:p>
    <w:p w14:paraId="2604B363" w14:textId="075904BB" w:rsidR="009051AA" w:rsidRDefault="009D33E3" w:rsidP="00A92395">
      <w:pPr>
        <w:pStyle w:val="BodyText1"/>
      </w:pPr>
      <w:r w:rsidRPr="00061658">
        <w:t xml:space="preserve">Within each </w:t>
      </w:r>
      <w:r w:rsidR="00695829">
        <w:t>are</w:t>
      </w:r>
      <w:r w:rsidRPr="00061658">
        <w:t>,</w:t>
      </w:r>
      <w:r>
        <w:t xml:space="preserve"> the study team </w:t>
      </w:r>
      <w:r w:rsidR="006616A3">
        <w:t>began</w:t>
      </w:r>
      <w:r w:rsidRPr="00466AB9">
        <w:t xml:space="preserve"> </w:t>
      </w:r>
      <w:r>
        <w:t xml:space="preserve">by building a list of </w:t>
      </w:r>
      <w:r w:rsidR="004F4DEA">
        <w:t xml:space="preserve">treatment facilities </w:t>
      </w:r>
      <w:r>
        <w:t xml:space="preserve">that includes information on sampling criteria and contact information for recruitment. </w:t>
      </w:r>
      <w:r w:rsidR="005F0EAD">
        <w:t>N</w:t>
      </w:r>
      <w:r>
        <w:t xml:space="preserve">o single list of </w:t>
      </w:r>
      <w:r w:rsidR="005F0EAD">
        <w:t xml:space="preserve">U.S. </w:t>
      </w:r>
      <w:r>
        <w:t>health facilities</w:t>
      </w:r>
      <w:r w:rsidR="005F0EAD">
        <w:t xml:space="preserve"> or </w:t>
      </w:r>
      <w:r>
        <w:t xml:space="preserve">practices that offer OUD treatment </w:t>
      </w:r>
      <w:r w:rsidR="00874B4A">
        <w:t xml:space="preserve">specifies </w:t>
      </w:r>
      <w:r>
        <w:t xml:space="preserve">the type of OUD treatments offered and the </w:t>
      </w:r>
      <w:r w:rsidR="00F2057C">
        <w:t xml:space="preserve">patient </w:t>
      </w:r>
      <w:r>
        <w:t xml:space="preserve">load. </w:t>
      </w:r>
      <w:r w:rsidR="00BA5E5B">
        <w:t>Therefore, t</w:t>
      </w:r>
      <w:r>
        <w:t xml:space="preserve">he sampling frame for </w:t>
      </w:r>
      <w:r w:rsidR="004F4DEA">
        <w:t xml:space="preserve">treatment facilities </w:t>
      </w:r>
      <w:r w:rsidR="006616A3">
        <w:t>was</w:t>
      </w:r>
      <w:r>
        <w:t xml:space="preserve"> built by triangulating a variety of sources (e.g., </w:t>
      </w:r>
      <w:r w:rsidR="001A140A" w:rsidRPr="001A140A">
        <w:t>National Survey of Substance Abuse Treatment Services</w:t>
      </w:r>
      <w:r w:rsidR="001A140A">
        <w:t>, Substance Abuse and Mental Health Services Administration</w:t>
      </w:r>
      <w:r>
        <w:t>, D</w:t>
      </w:r>
      <w:r w:rsidR="001A140A">
        <w:t xml:space="preserve">rug </w:t>
      </w:r>
      <w:r>
        <w:t>E</w:t>
      </w:r>
      <w:r w:rsidR="001A140A">
        <w:t>nforcement Agency</w:t>
      </w:r>
      <w:r>
        <w:t xml:space="preserve"> list of </w:t>
      </w:r>
      <w:r w:rsidR="001A140A">
        <w:t>buprenorphine</w:t>
      </w:r>
      <w:r w:rsidR="005F0EAD">
        <w:t xml:space="preserve"> </w:t>
      </w:r>
      <w:r>
        <w:t xml:space="preserve">providers, National Provider Index) to identify eligible </w:t>
      </w:r>
      <w:r w:rsidR="004F4DEA">
        <w:t xml:space="preserve">facilities </w:t>
      </w:r>
      <w:r>
        <w:t xml:space="preserve">in the </w:t>
      </w:r>
      <w:r w:rsidR="00225272">
        <w:t xml:space="preserve">11 </w:t>
      </w:r>
      <w:r w:rsidR="00821BF9">
        <w:t xml:space="preserve">study areas </w:t>
      </w:r>
      <w:r w:rsidR="00432E63">
        <w:t xml:space="preserve">and facility contact </w:t>
      </w:r>
      <w:r w:rsidR="00C634F2">
        <w:t>information (</w:t>
      </w:r>
      <w:r>
        <w:t xml:space="preserve">e.g., address, phone number, clinic director or proprietor, treatments offered, </w:t>
      </w:r>
      <w:r w:rsidR="00F2057C">
        <w:t xml:space="preserve">patient </w:t>
      </w:r>
      <w:r>
        <w:t xml:space="preserve">load). </w:t>
      </w:r>
      <w:r w:rsidR="00786946">
        <w:t>The study team aim</w:t>
      </w:r>
      <w:r w:rsidR="006616A3">
        <w:t>ed</w:t>
      </w:r>
      <w:r w:rsidR="00786946">
        <w:t xml:space="preserve"> to create </w:t>
      </w:r>
      <w:r w:rsidR="005A1566">
        <w:t>a list</w:t>
      </w:r>
      <w:r>
        <w:t xml:space="preserve"> of</w:t>
      </w:r>
      <w:r w:rsidR="007E095A">
        <w:t xml:space="preserve"> up to</w:t>
      </w:r>
      <w:r>
        <w:t xml:space="preserve"> 20 OUD </w:t>
      </w:r>
      <w:r w:rsidR="00432E63">
        <w:t>treatment facilities</w:t>
      </w:r>
      <w:r>
        <w:t xml:space="preserve"> </w:t>
      </w:r>
      <w:r w:rsidR="007367F8">
        <w:t xml:space="preserve">(sites) </w:t>
      </w:r>
      <w:r>
        <w:t xml:space="preserve">per </w:t>
      </w:r>
      <w:r w:rsidR="00821BF9">
        <w:t xml:space="preserve">study area </w:t>
      </w:r>
      <w:r>
        <w:t xml:space="preserve">from which </w:t>
      </w:r>
      <w:r w:rsidR="007E095A">
        <w:t xml:space="preserve">five to </w:t>
      </w:r>
      <w:r w:rsidR="00C634F2">
        <w:t xml:space="preserve">six </w:t>
      </w:r>
      <w:r w:rsidR="00C634F2" w:rsidRPr="00061658">
        <w:t>OUD</w:t>
      </w:r>
      <w:r w:rsidRPr="00061658">
        <w:t xml:space="preserve"> </w:t>
      </w:r>
      <w:r w:rsidR="00D2145A">
        <w:t>treatment facilit</w:t>
      </w:r>
      <w:r w:rsidR="0021669A">
        <w:t>ies</w:t>
      </w:r>
      <w:r w:rsidR="00D2145A" w:rsidRPr="00061658">
        <w:t xml:space="preserve"> </w:t>
      </w:r>
      <w:r w:rsidRPr="00061658">
        <w:t>will be selected.</w:t>
      </w:r>
      <w:r>
        <w:t xml:space="preserve"> </w:t>
      </w:r>
      <w:r w:rsidR="009051AA">
        <w:t xml:space="preserve">The following criteria </w:t>
      </w:r>
      <w:r w:rsidR="006616A3">
        <w:t>are being</w:t>
      </w:r>
      <w:r w:rsidR="009051AA">
        <w:t xml:space="preserve"> used to determine site inclusion:</w:t>
      </w:r>
    </w:p>
    <w:p w14:paraId="0B125D7D" w14:textId="44F97709" w:rsidR="009051AA" w:rsidRDefault="009051AA" w:rsidP="001110FB">
      <w:pPr>
        <w:pStyle w:val="BodyText1"/>
        <w:numPr>
          <w:ilvl w:val="0"/>
          <w:numId w:val="9"/>
        </w:numPr>
      </w:pPr>
      <w:r>
        <w:t>S</w:t>
      </w:r>
      <w:r w:rsidR="009D33E3" w:rsidRPr="00061658">
        <w:t xml:space="preserve">ufficient </w:t>
      </w:r>
      <w:r w:rsidR="00F2057C">
        <w:t>patient</w:t>
      </w:r>
      <w:r w:rsidR="00F2057C" w:rsidRPr="00061658">
        <w:t xml:space="preserve"> </w:t>
      </w:r>
      <w:r w:rsidR="009D33E3" w:rsidRPr="00061658">
        <w:t xml:space="preserve">flow, about </w:t>
      </w:r>
      <w:r w:rsidR="00D2145A">
        <w:t xml:space="preserve">10 </w:t>
      </w:r>
      <w:r w:rsidR="009D33E3" w:rsidRPr="00061658">
        <w:t xml:space="preserve">new </w:t>
      </w:r>
      <w:r w:rsidR="00F2057C">
        <w:t>patient</w:t>
      </w:r>
      <w:r w:rsidR="00F2057C" w:rsidRPr="00061658">
        <w:t xml:space="preserve">s </w:t>
      </w:r>
      <w:r w:rsidR="009D33E3" w:rsidRPr="00061658">
        <w:t xml:space="preserve">per month, to reach </w:t>
      </w:r>
      <w:r w:rsidR="00432E63">
        <w:t>the approximate</w:t>
      </w:r>
      <w:r w:rsidR="00432E63" w:rsidRPr="00061658">
        <w:t xml:space="preserve"> </w:t>
      </w:r>
      <w:r w:rsidR="007367F8">
        <w:t xml:space="preserve">enrollment target of </w:t>
      </w:r>
      <w:r w:rsidR="00D2145A">
        <w:t>66</w:t>
      </w:r>
      <w:r w:rsidR="007367F8">
        <w:t xml:space="preserve"> participants</w:t>
      </w:r>
      <w:r w:rsidR="00D2145A">
        <w:t xml:space="preserve"> per treatment facility</w:t>
      </w:r>
      <w:r w:rsidR="009D33E3" w:rsidRPr="00061658">
        <w:t>.</w:t>
      </w:r>
    </w:p>
    <w:p w14:paraId="1D48CE39" w14:textId="77777777" w:rsidR="009051AA" w:rsidRDefault="009051AA" w:rsidP="008D460B">
      <w:pPr>
        <w:pStyle w:val="BodyText1"/>
        <w:numPr>
          <w:ilvl w:val="0"/>
          <w:numId w:val="9"/>
        </w:numPr>
      </w:pPr>
      <w:r>
        <w:t>Site diversity related to:</w:t>
      </w:r>
    </w:p>
    <w:p w14:paraId="40614E08" w14:textId="0C30B0F7" w:rsidR="009051AA" w:rsidRDefault="009051AA" w:rsidP="008D460B">
      <w:pPr>
        <w:pStyle w:val="BodyText1"/>
        <w:numPr>
          <w:ilvl w:val="1"/>
          <w:numId w:val="9"/>
        </w:numPr>
      </w:pPr>
      <w:r>
        <w:t>O</w:t>
      </w:r>
      <w:r w:rsidR="009D33E3" w:rsidRPr="00061658">
        <w:t>rganizational structure (e.g., clinic, group practice)</w:t>
      </w:r>
    </w:p>
    <w:p w14:paraId="26382BDB" w14:textId="2BC04757" w:rsidR="009051AA" w:rsidRDefault="009051AA" w:rsidP="008D460B">
      <w:pPr>
        <w:pStyle w:val="BodyText1"/>
        <w:numPr>
          <w:ilvl w:val="1"/>
          <w:numId w:val="9"/>
        </w:numPr>
      </w:pPr>
      <w:r>
        <w:t>M</w:t>
      </w:r>
      <w:r w:rsidR="009D33E3" w:rsidRPr="00061658">
        <w:t>anagement structure</w:t>
      </w:r>
    </w:p>
    <w:p w14:paraId="13CA46CC" w14:textId="4BBD85C0" w:rsidR="009051AA" w:rsidRDefault="009051AA" w:rsidP="008D460B">
      <w:pPr>
        <w:pStyle w:val="BodyText1"/>
        <w:numPr>
          <w:ilvl w:val="1"/>
          <w:numId w:val="9"/>
        </w:numPr>
      </w:pPr>
      <w:r>
        <w:t>F</w:t>
      </w:r>
      <w:r w:rsidR="009D33E3" w:rsidRPr="00061658">
        <w:t>acility operations and locations</w:t>
      </w:r>
    </w:p>
    <w:p w14:paraId="3EEE861E" w14:textId="00A07CD8" w:rsidR="0035337E" w:rsidRDefault="0035337E" w:rsidP="008D460B">
      <w:pPr>
        <w:pStyle w:val="BodyText1"/>
        <w:numPr>
          <w:ilvl w:val="1"/>
          <w:numId w:val="9"/>
        </w:numPr>
      </w:pPr>
      <w:r>
        <w:t>N</w:t>
      </w:r>
      <w:r w:rsidR="009D33E3" w:rsidRPr="00061658">
        <w:t>umber</w:t>
      </w:r>
      <w:r w:rsidR="004E573F">
        <w:t>s</w:t>
      </w:r>
      <w:r w:rsidR="009D33E3" w:rsidRPr="00061658">
        <w:t xml:space="preserve"> and type</w:t>
      </w:r>
      <w:r w:rsidR="005F11AA">
        <w:t>s</w:t>
      </w:r>
      <w:r w:rsidR="009D33E3" w:rsidRPr="00061658">
        <w:t xml:space="preserve"> of providers </w:t>
      </w:r>
    </w:p>
    <w:p w14:paraId="6C4ABE57" w14:textId="7D92A8DD" w:rsidR="009D33E3" w:rsidRPr="00061658" w:rsidRDefault="007367F8" w:rsidP="008D460B">
      <w:pPr>
        <w:pStyle w:val="BodyText1"/>
        <w:numPr>
          <w:ilvl w:val="1"/>
          <w:numId w:val="9"/>
        </w:numPr>
      </w:pPr>
      <w:r>
        <w:t>Patient</w:t>
      </w:r>
      <w:r w:rsidR="009D33E3" w:rsidRPr="00061658">
        <w:t xml:space="preserve"> characteristics </w:t>
      </w:r>
      <w:r w:rsidR="008D460B">
        <w:t>such as a</w:t>
      </w:r>
      <w:r w:rsidR="00CA0C55">
        <w:t xml:space="preserve">ge, </w:t>
      </w:r>
      <w:r w:rsidR="009D33E3" w:rsidRPr="00061658">
        <w:t>gender, race</w:t>
      </w:r>
      <w:r w:rsidR="003D5746">
        <w:t xml:space="preserve"> or </w:t>
      </w:r>
      <w:r w:rsidR="009D33E3" w:rsidRPr="00061658">
        <w:t>ethnicity</w:t>
      </w:r>
      <w:r w:rsidR="003D5746">
        <w:t>,</w:t>
      </w:r>
      <w:r w:rsidR="009D33E3" w:rsidRPr="00061658">
        <w:t xml:space="preserve"> residence (urban</w:t>
      </w:r>
      <w:r w:rsidR="003D5746">
        <w:t xml:space="preserve"> or </w:t>
      </w:r>
      <w:r w:rsidR="009D33E3" w:rsidRPr="00061658">
        <w:t>rural)</w:t>
      </w:r>
      <w:r w:rsidR="00A177C0">
        <w:t>,</w:t>
      </w:r>
      <w:r w:rsidR="00CA0C55">
        <w:t xml:space="preserve"> and OUD </w:t>
      </w:r>
      <w:r>
        <w:t xml:space="preserve">treatment </w:t>
      </w:r>
      <w:r w:rsidR="00CA0C55">
        <w:t>characteristics</w:t>
      </w:r>
      <w:r w:rsidR="009D33E3" w:rsidRPr="00061658">
        <w:t xml:space="preserve">. </w:t>
      </w:r>
    </w:p>
    <w:p w14:paraId="2519C75F" w14:textId="07EFCC84" w:rsidR="007C780C" w:rsidRDefault="007C780C" w:rsidP="007C780C">
      <w:pPr>
        <w:pStyle w:val="Heading3"/>
      </w:pPr>
      <w:bookmarkStart w:id="11" w:name="_Toc505507440"/>
      <w:bookmarkStart w:id="12" w:name="_Hlk505493581"/>
      <w:r>
        <w:t>B.1.2</w:t>
      </w:r>
      <w:r>
        <w:tab/>
        <w:t>Patient Selection within Site</w:t>
      </w:r>
      <w:bookmarkEnd w:id="11"/>
    </w:p>
    <w:bookmarkEnd w:id="12"/>
    <w:p w14:paraId="0A75064C" w14:textId="20C9EBF0" w:rsidR="009D33E3" w:rsidRDefault="009D33E3" w:rsidP="009E2854">
      <w:pPr>
        <w:pStyle w:val="BodyText1"/>
      </w:pPr>
      <w:r>
        <w:t xml:space="preserve">Once a </w:t>
      </w:r>
      <w:r w:rsidR="00492EA5">
        <w:t xml:space="preserve">treatment facility </w:t>
      </w:r>
      <w:r>
        <w:t>has agreed to participate, RTI</w:t>
      </w:r>
      <w:r w:rsidR="004E573F">
        <w:t xml:space="preserve"> International</w:t>
      </w:r>
      <w:r w:rsidR="00174D1D">
        <w:t xml:space="preserve"> (RTI)</w:t>
      </w:r>
      <w:r>
        <w:t xml:space="preserve"> will </w:t>
      </w:r>
      <w:r w:rsidR="00174D1D">
        <w:t xml:space="preserve">train and support </w:t>
      </w:r>
      <w:r w:rsidR="00492EA5">
        <w:t xml:space="preserve">facility </w:t>
      </w:r>
      <w:r>
        <w:t>staff to identify</w:t>
      </w:r>
      <w:r w:rsidR="00D8693B">
        <w:t xml:space="preserve"> </w:t>
      </w:r>
      <w:r w:rsidR="006A70D3">
        <w:t xml:space="preserve">eligible, </w:t>
      </w:r>
      <w:r w:rsidR="00D8693B">
        <w:t>potential participants</w:t>
      </w:r>
      <w:r w:rsidR="00174D1D">
        <w:t xml:space="preserve"> who are initiating a new treatment episode for OUD</w:t>
      </w:r>
      <w:r w:rsidR="00D8693B">
        <w:t xml:space="preserve"> and </w:t>
      </w:r>
      <w:r w:rsidR="006A70D3">
        <w:t xml:space="preserve">to </w:t>
      </w:r>
      <w:r w:rsidR="00D8693B">
        <w:t>collect conta</w:t>
      </w:r>
      <w:r w:rsidR="000D7F7A">
        <w:t xml:space="preserve">ct information. </w:t>
      </w:r>
      <w:r w:rsidR="00CC2390">
        <w:t>Prospective participants will be eligible if they are 18 to 64 years of age and initiating one of four primary treatments for OUD: methadone maintenance treatment (MMT), buprenorphine (BUP), naltrexone (NTX), or counseling treatment without medication (COUN).</w:t>
      </w:r>
      <w:r w:rsidR="00CC2390" w:rsidRPr="00692036">
        <w:rPr>
          <w:rStyle w:val="FootnoteReference"/>
          <w:vertAlign w:val="superscript"/>
        </w:rPr>
        <w:footnoteReference w:id="1"/>
      </w:r>
      <w:r w:rsidR="00CC2390">
        <w:t xml:space="preserve"> Client referral information will be maintained within a secure server environment for retrieval by approved RTI field staff (see Section</w:t>
      </w:r>
      <w:r w:rsidR="00BE50F7">
        <w:t>s</w:t>
      </w:r>
      <w:r w:rsidR="00CC2390">
        <w:t xml:space="preserve"> A.10</w:t>
      </w:r>
      <w:r w:rsidR="00BE50F7">
        <w:t xml:space="preserve"> and B.2</w:t>
      </w:r>
      <w:r w:rsidR="00CC2390">
        <w:t xml:space="preserve"> for further information). </w:t>
      </w:r>
      <w:r w:rsidR="00CC2390" w:rsidRPr="004A07AB">
        <w:rPr>
          <w:b/>
          <w:i/>
        </w:rPr>
        <w:t>Exhibit 1</w:t>
      </w:r>
      <w:r w:rsidR="00CC2390" w:rsidRPr="004A07AB">
        <w:rPr>
          <w:i/>
        </w:rPr>
        <w:t xml:space="preserve"> </w:t>
      </w:r>
      <w:r w:rsidR="00CC2390">
        <w:t xml:space="preserve">summarizes the selected </w:t>
      </w:r>
      <w:r w:rsidR="00821BF9">
        <w:t xml:space="preserve">study areas </w:t>
      </w:r>
      <w:r w:rsidR="00CC2390">
        <w:t>and number of sites and patients expected to participate.</w:t>
      </w:r>
    </w:p>
    <w:p w14:paraId="3923B4EB" w14:textId="74F0E1C2" w:rsidR="00977A46" w:rsidRPr="004923F0" w:rsidRDefault="002A2F8B" w:rsidP="00802D38">
      <w:pPr>
        <w:pStyle w:val="FigureTitle"/>
        <w:rPr>
          <w:rFonts w:eastAsia="MS Mincho"/>
        </w:rPr>
      </w:pPr>
      <w:bookmarkStart w:id="13" w:name="_Toc475451157"/>
      <w:bookmarkStart w:id="14" w:name="_Toc505507451"/>
      <w:r>
        <w:rPr>
          <w:rFonts w:eastAsia="MS Mincho"/>
        </w:rPr>
        <w:t xml:space="preserve">Exhibit </w:t>
      </w:r>
      <w:r w:rsidR="00977A46">
        <w:rPr>
          <w:rFonts w:eastAsia="MS Mincho"/>
        </w:rPr>
        <w:t>1</w:t>
      </w:r>
      <w:r w:rsidR="00977A46" w:rsidRPr="004923F0">
        <w:rPr>
          <w:rFonts w:eastAsia="MS Mincho"/>
        </w:rPr>
        <w:t>.</w:t>
      </w:r>
      <w:r w:rsidR="00977A46" w:rsidRPr="004923F0">
        <w:rPr>
          <w:rFonts w:eastAsia="MS Mincho"/>
        </w:rPr>
        <w:tab/>
        <w:t>Sampling Stages for MAT</w:t>
      </w:r>
      <w:bookmarkEnd w:id="13"/>
      <w:r w:rsidR="005A1566">
        <w:rPr>
          <w:rFonts w:eastAsia="MS Mincho"/>
        </w:rPr>
        <w:t xml:space="preserve"> Study</w:t>
      </w:r>
      <w:bookmarkEnd w:id="14"/>
    </w:p>
    <w:tbl>
      <w:tblPr>
        <w:tblW w:w="9180" w:type="dxa"/>
        <w:tblBorders>
          <w:top w:val="single" w:sz="12" w:space="0" w:color="auto"/>
          <w:bottom w:val="single" w:sz="12" w:space="0" w:color="auto"/>
        </w:tblBorders>
        <w:tblLayout w:type="fixed"/>
        <w:tblLook w:val="04A0" w:firstRow="1" w:lastRow="0" w:firstColumn="1" w:lastColumn="0" w:noHBand="0" w:noVBand="1"/>
      </w:tblPr>
      <w:tblGrid>
        <w:gridCol w:w="4500"/>
        <w:gridCol w:w="4680"/>
      </w:tblGrid>
      <w:tr w:rsidR="00977A46" w:rsidRPr="00A71DDD" w14:paraId="1F9C3138" w14:textId="77777777" w:rsidTr="009A7920">
        <w:tc>
          <w:tcPr>
            <w:tcW w:w="9180" w:type="dxa"/>
            <w:gridSpan w:val="2"/>
            <w:tcBorders>
              <w:top w:val="single" w:sz="12" w:space="0" w:color="auto"/>
              <w:bottom w:val="single" w:sz="4" w:space="0" w:color="auto"/>
            </w:tcBorders>
          </w:tcPr>
          <w:p w14:paraId="29E05EA9" w14:textId="77777777" w:rsidR="00977A46" w:rsidRPr="00A71DDD" w:rsidRDefault="00977A46" w:rsidP="00802D38">
            <w:pPr>
              <w:pStyle w:val="TableHeaders"/>
              <w:rPr>
                <w:sz w:val="22"/>
                <w:szCs w:val="22"/>
              </w:rPr>
            </w:pPr>
            <w:r w:rsidRPr="00A71DDD">
              <w:rPr>
                <w:sz w:val="22"/>
                <w:szCs w:val="22"/>
              </w:rPr>
              <w:t>Sample Unit Description</w:t>
            </w:r>
          </w:p>
        </w:tc>
      </w:tr>
      <w:tr w:rsidR="00802D38" w:rsidRPr="00A71DDD" w14:paraId="122734D5" w14:textId="77777777" w:rsidTr="009A7920">
        <w:tc>
          <w:tcPr>
            <w:tcW w:w="9180" w:type="dxa"/>
            <w:gridSpan w:val="2"/>
            <w:tcBorders>
              <w:top w:val="single" w:sz="4" w:space="0" w:color="auto"/>
              <w:bottom w:val="nil"/>
            </w:tcBorders>
          </w:tcPr>
          <w:p w14:paraId="0F06C7AF" w14:textId="7D6D0D8F" w:rsidR="00802D38" w:rsidRPr="00A71DDD" w:rsidRDefault="00802D38" w:rsidP="00802D38">
            <w:pPr>
              <w:spacing w:line="276" w:lineRule="auto"/>
              <w:contextualSpacing/>
              <w:rPr>
                <w:rFonts w:eastAsia="MS Mincho"/>
                <w:b/>
                <w:sz w:val="22"/>
                <w:szCs w:val="22"/>
                <w:u w:val="single"/>
              </w:rPr>
            </w:pPr>
            <w:r w:rsidRPr="00A71DDD">
              <w:rPr>
                <w:rFonts w:eastAsia="MS Mincho"/>
                <w:b/>
                <w:sz w:val="22"/>
                <w:szCs w:val="22"/>
                <w:u w:val="single"/>
              </w:rPr>
              <w:t>1</w:t>
            </w:r>
            <w:r w:rsidR="002D20C1" w:rsidRPr="00A71DDD">
              <w:rPr>
                <w:rFonts w:eastAsia="MS Mincho"/>
                <w:b/>
                <w:sz w:val="22"/>
                <w:szCs w:val="22"/>
                <w:u w:val="single"/>
              </w:rPr>
              <w:t>1</w:t>
            </w:r>
            <w:r w:rsidRPr="00A71DDD">
              <w:rPr>
                <w:rFonts w:eastAsia="MS Mincho"/>
                <w:b/>
                <w:sz w:val="22"/>
                <w:szCs w:val="22"/>
                <w:u w:val="single"/>
              </w:rPr>
              <w:t xml:space="preserve"> geographic areas</w:t>
            </w:r>
          </w:p>
        </w:tc>
      </w:tr>
      <w:tr w:rsidR="00802D38" w:rsidRPr="00A71DDD" w14:paraId="6AE47B5F" w14:textId="77777777" w:rsidTr="009A7920">
        <w:tc>
          <w:tcPr>
            <w:tcW w:w="4500" w:type="dxa"/>
            <w:tcBorders>
              <w:top w:val="nil"/>
              <w:bottom w:val="nil"/>
            </w:tcBorders>
          </w:tcPr>
          <w:p w14:paraId="1E0C35AD" w14:textId="73B3F6CA" w:rsidR="00802D38" w:rsidRPr="00A71DDD" w:rsidRDefault="00802D38" w:rsidP="00802D38">
            <w:pPr>
              <w:pStyle w:val="TableText"/>
              <w:rPr>
                <w:rFonts w:eastAsia="MS Mincho"/>
                <w:b/>
                <w:sz w:val="22"/>
                <w:szCs w:val="22"/>
                <w:u w:val="single"/>
              </w:rPr>
            </w:pPr>
            <w:r w:rsidRPr="00A71DDD">
              <w:rPr>
                <w:sz w:val="22"/>
                <w:szCs w:val="22"/>
              </w:rPr>
              <w:t>Alabama (Birmingham)</w:t>
            </w:r>
          </w:p>
        </w:tc>
        <w:tc>
          <w:tcPr>
            <w:tcW w:w="4680" w:type="dxa"/>
            <w:tcBorders>
              <w:top w:val="nil"/>
              <w:bottom w:val="nil"/>
            </w:tcBorders>
          </w:tcPr>
          <w:p w14:paraId="6C17DF75" w14:textId="3806EF86" w:rsidR="00802D38" w:rsidRPr="00A71DDD" w:rsidRDefault="00802D38" w:rsidP="00802D38">
            <w:pPr>
              <w:pStyle w:val="TableText"/>
              <w:ind w:left="252"/>
              <w:rPr>
                <w:rFonts w:eastAsia="MS Mincho"/>
                <w:b/>
                <w:sz w:val="22"/>
                <w:szCs w:val="22"/>
                <w:u w:val="single"/>
              </w:rPr>
            </w:pPr>
            <w:r w:rsidRPr="00A71DDD">
              <w:rPr>
                <w:sz w:val="22"/>
                <w:szCs w:val="22"/>
              </w:rPr>
              <w:t>Kentucky/West Virginia (Huntington, Ashland)</w:t>
            </w:r>
          </w:p>
        </w:tc>
      </w:tr>
      <w:tr w:rsidR="00802D38" w:rsidRPr="00A71DDD" w14:paraId="6D8AD0BB" w14:textId="77777777" w:rsidTr="009A7920">
        <w:tc>
          <w:tcPr>
            <w:tcW w:w="4500" w:type="dxa"/>
            <w:tcBorders>
              <w:top w:val="nil"/>
              <w:bottom w:val="nil"/>
            </w:tcBorders>
          </w:tcPr>
          <w:p w14:paraId="1D543B80" w14:textId="1465F275" w:rsidR="00802D38" w:rsidRPr="00A71DDD" w:rsidRDefault="00802D38" w:rsidP="00802D38">
            <w:pPr>
              <w:pStyle w:val="TableText"/>
              <w:rPr>
                <w:sz w:val="22"/>
                <w:szCs w:val="22"/>
              </w:rPr>
            </w:pPr>
            <w:r w:rsidRPr="00A71DDD">
              <w:rPr>
                <w:sz w:val="22"/>
                <w:szCs w:val="22"/>
              </w:rPr>
              <w:t>Arizona (Phoenix)</w:t>
            </w:r>
          </w:p>
        </w:tc>
        <w:tc>
          <w:tcPr>
            <w:tcW w:w="4680" w:type="dxa"/>
            <w:tcBorders>
              <w:top w:val="nil"/>
              <w:bottom w:val="nil"/>
            </w:tcBorders>
          </w:tcPr>
          <w:p w14:paraId="437B5579" w14:textId="2A4AD8A5" w:rsidR="00802D38" w:rsidRPr="00A71DDD" w:rsidRDefault="00802D38" w:rsidP="00802D38">
            <w:pPr>
              <w:pStyle w:val="TableText"/>
              <w:ind w:left="252"/>
              <w:rPr>
                <w:sz w:val="22"/>
                <w:szCs w:val="22"/>
              </w:rPr>
            </w:pPr>
            <w:r w:rsidRPr="00A71DDD">
              <w:rPr>
                <w:sz w:val="22"/>
                <w:szCs w:val="22"/>
              </w:rPr>
              <w:t>New York (New York City)</w:t>
            </w:r>
          </w:p>
        </w:tc>
      </w:tr>
      <w:tr w:rsidR="00802D38" w:rsidRPr="00A71DDD" w14:paraId="636766C8" w14:textId="77777777" w:rsidTr="009A7920">
        <w:tc>
          <w:tcPr>
            <w:tcW w:w="4500" w:type="dxa"/>
            <w:tcBorders>
              <w:top w:val="nil"/>
              <w:bottom w:val="nil"/>
            </w:tcBorders>
          </w:tcPr>
          <w:p w14:paraId="3075D1F9" w14:textId="407AE7F9" w:rsidR="00802D38" w:rsidRPr="00A71DDD" w:rsidRDefault="00802D38" w:rsidP="00802D38">
            <w:pPr>
              <w:pStyle w:val="TableText"/>
              <w:rPr>
                <w:sz w:val="22"/>
                <w:szCs w:val="22"/>
              </w:rPr>
            </w:pPr>
            <w:r w:rsidRPr="00A71DDD">
              <w:rPr>
                <w:sz w:val="22"/>
                <w:szCs w:val="22"/>
              </w:rPr>
              <w:t>California (San Francisco</w:t>
            </w:r>
            <w:r w:rsidR="00821BF9">
              <w:rPr>
                <w:sz w:val="22"/>
                <w:szCs w:val="22"/>
              </w:rPr>
              <w:t>, Los Angeles</w:t>
            </w:r>
            <w:r w:rsidRPr="00A71DDD">
              <w:rPr>
                <w:sz w:val="22"/>
                <w:szCs w:val="22"/>
              </w:rPr>
              <w:t>)</w:t>
            </w:r>
          </w:p>
        </w:tc>
        <w:tc>
          <w:tcPr>
            <w:tcW w:w="4680" w:type="dxa"/>
            <w:tcBorders>
              <w:top w:val="nil"/>
              <w:bottom w:val="nil"/>
            </w:tcBorders>
          </w:tcPr>
          <w:p w14:paraId="33050A42" w14:textId="2605714A" w:rsidR="00802D38" w:rsidRPr="00A71DDD" w:rsidRDefault="00802D38" w:rsidP="00802D38">
            <w:pPr>
              <w:pStyle w:val="TableText"/>
              <w:ind w:left="252"/>
              <w:rPr>
                <w:sz w:val="22"/>
                <w:szCs w:val="22"/>
              </w:rPr>
            </w:pPr>
            <w:r w:rsidRPr="00A71DDD">
              <w:rPr>
                <w:sz w:val="22"/>
                <w:szCs w:val="22"/>
              </w:rPr>
              <w:t>Ohio (Cleveland</w:t>
            </w:r>
            <w:r w:rsidR="00821BF9">
              <w:rPr>
                <w:sz w:val="22"/>
                <w:szCs w:val="22"/>
              </w:rPr>
              <w:t xml:space="preserve">, </w:t>
            </w:r>
            <w:r w:rsidR="006616A3">
              <w:rPr>
                <w:sz w:val="22"/>
                <w:szCs w:val="22"/>
              </w:rPr>
              <w:t>Cincinnati</w:t>
            </w:r>
            <w:r w:rsidRPr="00A71DDD">
              <w:rPr>
                <w:sz w:val="22"/>
                <w:szCs w:val="22"/>
              </w:rPr>
              <w:t>)</w:t>
            </w:r>
          </w:p>
        </w:tc>
      </w:tr>
      <w:tr w:rsidR="00802D38" w:rsidRPr="00A71DDD" w14:paraId="5FAD2602" w14:textId="77777777" w:rsidTr="009A7920">
        <w:tc>
          <w:tcPr>
            <w:tcW w:w="4500" w:type="dxa"/>
            <w:tcBorders>
              <w:top w:val="nil"/>
              <w:bottom w:val="nil"/>
            </w:tcBorders>
          </w:tcPr>
          <w:p w14:paraId="4C9B2790" w14:textId="32D796F5" w:rsidR="00802D38" w:rsidRPr="00A71DDD" w:rsidRDefault="00802D38" w:rsidP="00802D38">
            <w:pPr>
              <w:pStyle w:val="TableText"/>
              <w:rPr>
                <w:sz w:val="22"/>
                <w:szCs w:val="22"/>
              </w:rPr>
            </w:pPr>
            <w:r w:rsidRPr="00A71DDD">
              <w:rPr>
                <w:sz w:val="22"/>
                <w:szCs w:val="22"/>
              </w:rPr>
              <w:t>Florida (Miami)</w:t>
            </w:r>
          </w:p>
        </w:tc>
        <w:tc>
          <w:tcPr>
            <w:tcW w:w="4680" w:type="dxa"/>
            <w:tcBorders>
              <w:top w:val="nil"/>
              <w:bottom w:val="nil"/>
            </w:tcBorders>
          </w:tcPr>
          <w:p w14:paraId="7749A789" w14:textId="33CFE8A6" w:rsidR="00802D38" w:rsidRPr="00A71DDD" w:rsidRDefault="00802D38" w:rsidP="00802D38">
            <w:pPr>
              <w:pStyle w:val="TableText"/>
              <w:ind w:left="252"/>
              <w:rPr>
                <w:sz w:val="22"/>
                <w:szCs w:val="22"/>
              </w:rPr>
            </w:pPr>
            <w:r w:rsidRPr="00A71DDD">
              <w:rPr>
                <w:sz w:val="22"/>
                <w:szCs w:val="22"/>
              </w:rPr>
              <w:t>Oklahoma (Oklahoma City)</w:t>
            </w:r>
          </w:p>
        </w:tc>
      </w:tr>
      <w:tr w:rsidR="00802D38" w:rsidRPr="00A71DDD" w14:paraId="325DBB95" w14:textId="77777777" w:rsidTr="009A7920">
        <w:tc>
          <w:tcPr>
            <w:tcW w:w="4500" w:type="dxa"/>
            <w:tcBorders>
              <w:top w:val="nil"/>
              <w:bottom w:val="nil"/>
            </w:tcBorders>
          </w:tcPr>
          <w:p w14:paraId="487320CD" w14:textId="26445BA9" w:rsidR="00802D38" w:rsidRPr="009E2854" w:rsidRDefault="00802D38" w:rsidP="00802D38">
            <w:pPr>
              <w:pStyle w:val="TableText"/>
              <w:rPr>
                <w:sz w:val="22"/>
                <w:szCs w:val="22"/>
              </w:rPr>
            </w:pPr>
            <w:r w:rsidRPr="009E2854">
              <w:rPr>
                <w:sz w:val="22"/>
                <w:szCs w:val="22"/>
              </w:rPr>
              <w:t>Illinois (Chicago)</w:t>
            </w:r>
          </w:p>
        </w:tc>
        <w:tc>
          <w:tcPr>
            <w:tcW w:w="4680" w:type="dxa"/>
            <w:tcBorders>
              <w:top w:val="nil"/>
              <w:bottom w:val="nil"/>
            </w:tcBorders>
          </w:tcPr>
          <w:p w14:paraId="03BE30AB" w14:textId="3BAF8C62" w:rsidR="00802D38" w:rsidRPr="009E2854" w:rsidRDefault="00802D38" w:rsidP="00802D38">
            <w:pPr>
              <w:pStyle w:val="TableText"/>
              <w:ind w:left="252"/>
              <w:rPr>
                <w:sz w:val="22"/>
                <w:szCs w:val="22"/>
              </w:rPr>
            </w:pPr>
            <w:r w:rsidRPr="009E2854">
              <w:rPr>
                <w:sz w:val="22"/>
                <w:szCs w:val="22"/>
              </w:rPr>
              <w:t>Washington (Seattle)</w:t>
            </w:r>
          </w:p>
        </w:tc>
      </w:tr>
      <w:tr w:rsidR="002D20C1" w:rsidRPr="00A71DDD" w14:paraId="557BD1AE" w14:textId="77777777" w:rsidTr="009A7920">
        <w:tc>
          <w:tcPr>
            <w:tcW w:w="4500" w:type="dxa"/>
            <w:tcBorders>
              <w:top w:val="nil"/>
              <w:bottom w:val="nil"/>
            </w:tcBorders>
          </w:tcPr>
          <w:p w14:paraId="42CC3B38" w14:textId="45EB1977" w:rsidR="002D20C1" w:rsidRPr="009E2854" w:rsidRDefault="00192C30" w:rsidP="00802D38">
            <w:pPr>
              <w:pStyle w:val="TableText"/>
              <w:rPr>
                <w:sz w:val="22"/>
                <w:szCs w:val="22"/>
              </w:rPr>
            </w:pPr>
            <w:r w:rsidRPr="009E2854">
              <w:rPr>
                <w:sz w:val="22"/>
                <w:szCs w:val="22"/>
              </w:rPr>
              <w:t xml:space="preserve">Washington DC Metro Area </w:t>
            </w:r>
          </w:p>
        </w:tc>
        <w:tc>
          <w:tcPr>
            <w:tcW w:w="4680" w:type="dxa"/>
            <w:tcBorders>
              <w:top w:val="nil"/>
              <w:bottom w:val="nil"/>
            </w:tcBorders>
          </w:tcPr>
          <w:p w14:paraId="30089D00" w14:textId="77777777" w:rsidR="002D20C1" w:rsidRPr="009E2854" w:rsidRDefault="002D20C1" w:rsidP="00802D38">
            <w:pPr>
              <w:pStyle w:val="TableText"/>
              <w:ind w:left="252"/>
              <w:rPr>
                <w:sz w:val="22"/>
                <w:szCs w:val="22"/>
              </w:rPr>
            </w:pPr>
          </w:p>
        </w:tc>
      </w:tr>
      <w:tr w:rsidR="00977A46" w:rsidRPr="00A71DDD" w14:paraId="7CD4D8FB" w14:textId="77777777" w:rsidTr="009A7920">
        <w:tc>
          <w:tcPr>
            <w:tcW w:w="9180" w:type="dxa"/>
            <w:gridSpan w:val="2"/>
            <w:tcBorders>
              <w:top w:val="nil"/>
            </w:tcBorders>
          </w:tcPr>
          <w:p w14:paraId="33A5F923" w14:textId="7BEECA7F" w:rsidR="00977A46" w:rsidRPr="009E2854" w:rsidRDefault="002D20C1" w:rsidP="00EF6F59">
            <w:pPr>
              <w:keepNext/>
              <w:keepLines/>
              <w:spacing w:line="276" w:lineRule="auto"/>
              <w:contextualSpacing/>
              <w:rPr>
                <w:b/>
                <w:sz w:val="22"/>
                <w:szCs w:val="22"/>
                <w:u w:val="single"/>
              </w:rPr>
            </w:pPr>
            <w:r w:rsidRPr="009E2854">
              <w:rPr>
                <w:b/>
                <w:sz w:val="22"/>
                <w:szCs w:val="22"/>
                <w:u w:val="single"/>
              </w:rPr>
              <w:t>6</w:t>
            </w:r>
            <w:r w:rsidR="00C86C05" w:rsidRPr="009E2854">
              <w:rPr>
                <w:b/>
                <w:sz w:val="22"/>
                <w:szCs w:val="22"/>
                <w:u w:val="single"/>
              </w:rPr>
              <w:t>0</w:t>
            </w:r>
            <w:r w:rsidR="001A7D8B" w:rsidRPr="009E2854">
              <w:rPr>
                <w:b/>
                <w:sz w:val="22"/>
                <w:szCs w:val="22"/>
                <w:u w:val="single"/>
              </w:rPr>
              <w:t xml:space="preserve"> </w:t>
            </w:r>
            <w:r w:rsidR="007367F8" w:rsidRPr="009E2854">
              <w:rPr>
                <w:b/>
                <w:sz w:val="22"/>
                <w:szCs w:val="22"/>
                <w:u w:val="single"/>
              </w:rPr>
              <w:t xml:space="preserve">treatment </w:t>
            </w:r>
            <w:r w:rsidR="00977A46" w:rsidRPr="009E2854">
              <w:rPr>
                <w:b/>
                <w:sz w:val="22"/>
                <w:szCs w:val="22"/>
                <w:u w:val="single"/>
              </w:rPr>
              <w:t>sites</w:t>
            </w:r>
            <w:r w:rsidR="00AD5D12" w:rsidRPr="009E2854">
              <w:rPr>
                <w:sz w:val="22"/>
                <w:szCs w:val="22"/>
                <w:u w:val="single"/>
                <w:vertAlign w:val="superscript"/>
              </w:rPr>
              <w:t>*</w:t>
            </w:r>
            <w:r w:rsidR="00977A46" w:rsidRPr="009E2854">
              <w:rPr>
                <w:b/>
                <w:sz w:val="22"/>
                <w:szCs w:val="22"/>
                <w:u w:val="single"/>
              </w:rPr>
              <w:t xml:space="preserve"> </w:t>
            </w:r>
          </w:p>
          <w:p w14:paraId="015389A9" w14:textId="5BAE20B5" w:rsidR="00977A46" w:rsidRPr="009E2854" w:rsidRDefault="001A7D8B" w:rsidP="007367F8">
            <w:pPr>
              <w:pStyle w:val="TableText"/>
              <w:ind w:left="525"/>
              <w:rPr>
                <w:sz w:val="22"/>
                <w:szCs w:val="22"/>
              </w:rPr>
            </w:pPr>
            <w:r w:rsidRPr="009E2854">
              <w:rPr>
                <w:sz w:val="22"/>
                <w:szCs w:val="22"/>
              </w:rPr>
              <w:t>F</w:t>
            </w:r>
            <w:r w:rsidR="00C86C05" w:rsidRPr="009E2854">
              <w:rPr>
                <w:sz w:val="22"/>
                <w:szCs w:val="22"/>
              </w:rPr>
              <w:t xml:space="preserve">ive to </w:t>
            </w:r>
            <w:r w:rsidR="00C634F2" w:rsidRPr="009E2854">
              <w:rPr>
                <w:sz w:val="22"/>
                <w:szCs w:val="22"/>
              </w:rPr>
              <w:t>six sites</w:t>
            </w:r>
            <w:r w:rsidR="00977A46" w:rsidRPr="009E2854">
              <w:rPr>
                <w:sz w:val="22"/>
                <w:szCs w:val="22"/>
              </w:rPr>
              <w:t xml:space="preserve"> per </w:t>
            </w:r>
            <w:r w:rsidR="00CA3E4A">
              <w:rPr>
                <w:sz w:val="22"/>
                <w:szCs w:val="22"/>
              </w:rPr>
              <w:t>study area</w:t>
            </w:r>
          </w:p>
        </w:tc>
      </w:tr>
      <w:tr w:rsidR="00977A46" w:rsidRPr="00A71DDD" w14:paraId="61C2C282" w14:textId="77777777" w:rsidTr="009A7920">
        <w:tc>
          <w:tcPr>
            <w:tcW w:w="9180" w:type="dxa"/>
            <w:gridSpan w:val="2"/>
          </w:tcPr>
          <w:p w14:paraId="4BEFB071" w14:textId="32AD9046" w:rsidR="00977A46" w:rsidRPr="009E2854" w:rsidRDefault="00977A46" w:rsidP="00EF6F59">
            <w:pPr>
              <w:keepNext/>
              <w:keepLines/>
              <w:spacing w:line="276" w:lineRule="auto"/>
              <w:contextualSpacing/>
              <w:rPr>
                <w:b/>
                <w:sz w:val="22"/>
                <w:szCs w:val="22"/>
                <w:u w:val="single"/>
              </w:rPr>
            </w:pPr>
            <w:r w:rsidRPr="009E2854">
              <w:rPr>
                <w:b/>
                <w:sz w:val="22"/>
                <w:szCs w:val="22"/>
                <w:u w:val="single"/>
              </w:rPr>
              <w:t>3,</w:t>
            </w:r>
            <w:r w:rsidR="00C86C05" w:rsidRPr="009E2854">
              <w:rPr>
                <w:b/>
                <w:sz w:val="22"/>
                <w:szCs w:val="22"/>
                <w:u w:val="single"/>
              </w:rPr>
              <w:t xml:space="preserve">560 </w:t>
            </w:r>
            <w:r w:rsidRPr="009E2854">
              <w:rPr>
                <w:b/>
                <w:sz w:val="22"/>
                <w:szCs w:val="22"/>
                <w:u w:val="single"/>
              </w:rPr>
              <w:t xml:space="preserve">completed </w:t>
            </w:r>
            <w:r w:rsidR="007367F8" w:rsidRPr="009E2854">
              <w:rPr>
                <w:b/>
                <w:sz w:val="22"/>
                <w:szCs w:val="22"/>
                <w:u w:val="single"/>
              </w:rPr>
              <w:t>Patient</w:t>
            </w:r>
            <w:r w:rsidRPr="009E2854">
              <w:rPr>
                <w:b/>
                <w:sz w:val="22"/>
                <w:szCs w:val="22"/>
                <w:u w:val="single"/>
              </w:rPr>
              <w:t xml:space="preserve"> Baseline Questionnaires</w:t>
            </w:r>
          </w:p>
          <w:p w14:paraId="4550CE65" w14:textId="4229A009" w:rsidR="00977A46" w:rsidRPr="009E2854" w:rsidRDefault="00977A46" w:rsidP="00802D38">
            <w:pPr>
              <w:pStyle w:val="TableText"/>
              <w:rPr>
                <w:sz w:val="22"/>
                <w:szCs w:val="22"/>
              </w:rPr>
            </w:pPr>
            <w:r w:rsidRPr="009E2854">
              <w:rPr>
                <w:sz w:val="22"/>
                <w:szCs w:val="22"/>
              </w:rPr>
              <w:t xml:space="preserve">Average of </w:t>
            </w:r>
            <w:r w:rsidR="0043394F" w:rsidRPr="009E2854">
              <w:rPr>
                <w:sz w:val="22"/>
                <w:szCs w:val="22"/>
              </w:rPr>
              <w:t xml:space="preserve">60 </w:t>
            </w:r>
            <w:r w:rsidRPr="009E2854">
              <w:rPr>
                <w:sz w:val="22"/>
                <w:szCs w:val="22"/>
              </w:rPr>
              <w:t xml:space="preserve">participants per site within each </w:t>
            </w:r>
            <w:r w:rsidR="00CA3E4A">
              <w:rPr>
                <w:sz w:val="22"/>
                <w:szCs w:val="22"/>
              </w:rPr>
              <w:t>study area</w:t>
            </w:r>
          </w:p>
          <w:p w14:paraId="480ACF62" w14:textId="1AF2EFD1" w:rsidR="00977A46" w:rsidRPr="009E2854" w:rsidRDefault="00977A46" w:rsidP="00802D38">
            <w:pPr>
              <w:pStyle w:val="TableText"/>
              <w:rPr>
                <w:sz w:val="22"/>
                <w:szCs w:val="22"/>
              </w:rPr>
            </w:pPr>
            <w:r w:rsidRPr="009E2854">
              <w:rPr>
                <w:sz w:val="22"/>
                <w:szCs w:val="22"/>
              </w:rPr>
              <w:t xml:space="preserve">Average of </w:t>
            </w:r>
            <w:r w:rsidR="0043394F" w:rsidRPr="009E2854">
              <w:rPr>
                <w:sz w:val="22"/>
                <w:szCs w:val="22"/>
              </w:rPr>
              <w:t xml:space="preserve">324 </w:t>
            </w:r>
            <w:r w:rsidRPr="009E2854">
              <w:rPr>
                <w:sz w:val="22"/>
                <w:szCs w:val="22"/>
              </w:rPr>
              <w:t>participants</w:t>
            </w:r>
            <w:r w:rsidR="003D536B" w:rsidRPr="009E2854">
              <w:rPr>
                <w:sz w:val="22"/>
                <w:szCs w:val="22"/>
              </w:rPr>
              <w:t xml:space="preserve"> with each </w:t>
            </w:r>
            <w:r w:rsidR="00CA3E4A">
              <w:rPr>
                <w:sz w:val="22"/>
                <w:szCs w:val="22"/>
              </w:rPr>
              <w:t>study area</w:t>
            </w:r>
          </w:p>
        </w:tc>
      </w:tr>
    </w:tbl>
    <w:p w14:paraId="6AD0747E" w14:textId="74E6ED01" w:rsidR="00D25293" w:rsidRDefault="00D25293" w:rsidP="00192C30">
      <w:pPr>
        <w:pStyle w:val="exhibitsource"/>
        <w:rPr>
          <w:rFonts w:eastAsia="MS Mincho"/>
          <w:snapToGrid w:val="0"/>
        </w:rPr>
      </w:pPr>
      <w:r w:rsidRPr="00AD5D12">
        <w:rPr>
          <w:rFonts w:eastAsia="MS Mincho"/>
          <w:snapToGrid w:val="0"/>
        </w:rPr>
        <w:t>MAT</w:t>
      </w:r>
      <w:r>
        <w:rPr>
          <w:rFonts w:eastAsia="MS Mincho"/>
          <w:snapToGrid w:val="0"/>
        </w:rPr>
        <w:t xml:space="preserve"> Study</w:t>
      </w:r>
      <w:r w:rsidRPr="00AD5D12">
        <w:rPr>
          <w:rFonts w:eastAsia="MS Mincho"/>
          <w:snapToGrid w:val="0"/>
        </w:rPr>
        <w:t xml:space="preserve"> = Medication</w:t>
      </w:r>
      <w:r>
        <w:rPr>
          <w:rFonts w:eastAsia="MS Mincho"/>
          <w:snapToGrid w:val="0"/>
        </w:rPr>
        <w:t>-</w:t>
      </w:r>
      <w:r w:rsidRPr="00AD5D12">
        <w:rPr>
          <w:rFonts w:eastAsia="MS Mincho"/>
          <w:snapToGrid w:val="0"/>
        </w:rPr>
        <w:t>Assisted Treatment Study; OUD = opioid use disorder.</w:t>
      </w:r>
    </w:p>
    <w:p w14:paraId="0A7B923C" w14:textId="194DCD71" w:rsidR="00977A46" w:rsidRPr="00AD5D12" w:rsidRDefault="00AD5D12" w:rsidP="00192C30">
      <w:pPr>
        <w:pStyle w:val="exhibitsource"/>
        <w:rPr>
          <w:rFonts w:eastAsia="MS Mincho"/>
          <w:snapToGrid w:val="0"/>
        </w:rPr>
      </w:pPr>
      <w:r w:rsidRPr="00AD5D12">
        <w:rPr>
          <w:rFonts w:eastAsia="MS Mincho"/>
          <w:snapToGrid w:val="0"/>
          <w:vertAlign w:val="superscript"/>
        </w:rPr>
        <w:t>*</w:t>
      </w:r>
      <w:r w:rsidR="00977A46" w:rsidRPr="00AD5D12">
        <w:rPr>
          <w:rFonts w:eastAsia="MS Mincho"/>
          <w:snapToGrid w:val="0"/>
        </w:rPr>
        <w:t>Few, if any, primary care providers in the sampling frame will meet the volume recruitment of</w:t>
      </w:r>
      <w:r w:rsidR="005D0E83">
        <w:rPr>
          <w:rFonts w:eastAsia="MS Mincho"/>
          <w:snapToGrid w:val="0"/>
        </w:rPr>
        <w:t xml:space="preserve"> up to </w:t>
      </w:r>
      <w:r w:rsidR="00432E63">
        <w:rPr>
          <w:rFonts w:eastAsia="MS Mincho"/>
          <w:snapToGrid w:val="0"/>
        </w:rPr>
        <w:t>1</w:t>
      </w:r>
      <w:r w:rsidR="008D04AF">
        <w:rPr>
          <w:rFonts w:eastAsia="MS Mincho"/>
          <w:snapToGrid w:val="0"/>
        </w:rPr>
        <w:t>0</w:t>
      </w:r>
      <w:r w:rsidR="00977A46" w:rsidRPr="00AD5D12">
        <w:rPr>
          <w:rFonts w:eastAsia="MS Mincho"/>
          <w:snapToGrid w:val="0"/>
        </w:rPr>
        <w:t xml:space="preserve"> new OUD </w:t>
      </w:r>
      <w:r w:rsidR="007367F8">
        <w:rPr>
          <w:rFonts w:eastAsia="MS Mincho"/>
          <w:snapToGrid w:val="0"/>
        </w:rPr>
        <w:t>patient</w:t>
      </w:r>
      <w:r w:rsidR="00977A46" w:rsidRPr="00AD5D12">
        <w:rPr>
          <w:rFonts w:eastAsia="MS Mincho"/>
          <w:snapToGrid w:val="0"/>
        </w:rPr>
        <w:t xml:space="preserve">s per month. We plan to lower the volume requirement, if necessary, and make every effort to recruit and enroll several (up to four) primary care sites in the sample of participating sites. These sites will be in addition to the </w:t>
      </w:r>
      <w:r w:rsidR="001A7D8B" w:rsidRPr="009E2854">
        <w:rPr>
          <w:rFonts w:eastAsia="MS Mincho"/>
          <w:snapToGrid w:val="0"/>
        </w:rPr>
        <w:t xml:space="preserve">60 </w:t>
      </w:r>
      <w:r w:rsidR="00977A46" w:rsidRPr="009E2854">
        <w:rPr>
          <w:rFonts w:eastAsia="MS Mincho"/>
          <w:snapToGrid w:val="0"/>
        </w:rPr>
        <w:t>sites called for in our original sampling plan.</w:t>
      </w:r>
      <w:r w:rsidR="00977A46" w:rsidRPr="00AD5D12">
        <w:rPr>
          <w:rFonts w:eastAsia="MS Mincho"/>
          <w:snapToGrid w:val="0"/>
        </w:rPr>
        <w:t xml:space="preserve"> </w:t>
      </w:r>
    </w:p>
    <w:p w14:paraId="42F2E315" w14:textId="7DE443F1" w:rsidR="00B81ADC" w:rsidRDefault="00B81ADC" w:rsidP="00EB7EA4">
      <w:pPr>
        <w:pStyle w:val="BodyText1"/>
      </w:pPr>
    </w:p>
    <w:p w14:paraId="76D0A48C" w14:textId="77777777" w:rsidR="00706A2E" w:rsidRDefault="00706A2E" w:rsidP="00C325DA">
      <w:pPr>
        <w:pStyle w:val="BodyText1"/>
      </w:pPr>
    </w:p>
    <w:p w14:paraId="1E30E960" w14:textId="304FA1FB" w:rsidR="00FC4934" w:rsidRDefault="009E2854" w:rsidP="00C325DA">
      <w:pPr>
        <w:pStyle w:val="BodyText1"/>
      </w:pPr>
      <w:r>
        <w:t>Patients who consent to have their contact information released to RTI</w:t>
      </w:r>
      <w:r w:rsidR="00613DEF">
        <w:t>, referred to as referrals in the subsequent discussion</w:t>
      </w:r>
      <w:r w:rsidR="00F94574">
        <w:t>s</w:t>
      </w:r>
      <w:r w:rsidR="00613DEF">
        <w:t>,</w:t>
      </w:r>
      <w:r>
        <w:t xml:space="preserve"> will be contacted by a trained RTI field interviewer (FI). The FI administers the </w:t>
      </w:r>
      <w:r w:rsidRPr="00FB7267">
        <w:t>Patient Screener Form (discussed in Section A.2)</w:t>
      </w:r>
      <w:r>
        <w:t xml:space="preserve"> to verify study eligibility and to collect demographic information</w:t>
      </w:r>
      <w:r w:rsidR="00EA62C7">
        <w:t xml:space="preserve">. Not only will this information be used to assess bias in enrollment by comparing participants characteristics with those who decline to participate, but the data will be used </w:t>
      </w:r>
      <w:r w:rsidR="00C325DA">
        <w:t xml:space="preserve">for classification into </w:t>
      </w:r>
      <w:r>
        <w:t xml:space="preserve">quota cells. Initial sample quotas, set within each OUD treatment </w:t>
      </w:r>
      <w:r w:rsidRPr="00FD3564">
        <w:t>(MMT, BUP, NTX, and COUN)</w:t>
      </w:r>
      <w:r>
        <w:t xml:space="preserve">, reflect </w:t>
      </w:r>
      <w:r w:rsidR="00C325DA">
        <w:t xml:space="preserve">marginal </w:t>
      </w:r>
      <w:r>
        <w:t xml:space="preserve">distributions on the </w:t>
      </w:r>
      <w:r w:rsidRPr="009F6D65">
        <w:t xml:space="preserve">admissions file from the Treatment Episode Data Set </w:t>
      </w:r>
      <w:r>
        <w:t xml:space="preserve">(TEDS-A) such as those shown in </w:t>
      </w:r>
      <w:r>
        <w:rPr>
          <w:b/>
          <w:i/>
        </w:rPr>
        <w:t>Exhibit 2</w:t>
      </w:r>
      <w:r w:rsidR="00F94574" w:rsidRPr="00F94574">
        <w:t>,</w:t>
      </w:r>
      <w:r w:rsidR="00C325DA">
        <w:t xml:space="preserve"> in addition to the management of enrollment burden at each site</w:t>
      </w:r>
      <w:r>
        <w:t>.</w:t>
      </w:r>
      <w:r w:rsidR="00F94574">
        <w:t xml:space="preserve"> Quotas will be periodically reviewed </w:t>
      </w:r>
      <w:r w:rsidR="00C325DA">
        <w:t xml:space="preserve">for changes required based on distributions exhibited in and across the study sites and based on preliminary analysis of the Baseline Interview responses.  Once quotas are met for the characteristics of a particular patient type, they are no longer eligible for the study. </w:t>
      </w:r>
      <w:r w:rsidR="0014262B">
        <w:t xml:space="preserve">The participating staff members at the site will be </w:t>
      </w:r>
      <w:r w:rsidR="00C325DA">
        <w:t>informed of these characteristics</w:t>
      </w:r>
      <w:r w:rsidR="0014262B">
        <w:t>.</w:t>
      </w:r>
      <w:r w:rsidR="00C325DA">
        <w:t xml:space="preserve"> </w:t>
      </w:r>
    </w:p>
    <w:p w14:paraId="3B4CA865" w14:textId="5A1F3586" w:rsidR="00C325DA" w:rsidRDefault="00C325DA" w:rsidP="00C325DA">
      <w:pPr>
        <w:pStyle w:val="BodyText1"/>
      </w:pPr>
    </w:p>
    <w:p w14:paraId="4DDBC14A" w14:textId="77777777" w:rsidR="00706A2E" w:rsidRDefault="00706A2E" w:rsidP="00706A2E">
      <w:pPr>
        <w:pStyle w:val="FigureTitle"/>
      </w:pPr>
      <w:bookmarkStart w:id="15" w:name="_Toc505507452"/>
      <w:r>
        <w:t>Exhibit 2</w:t>
      </w:r>
      <w:r w:rsidRPr="00785152">
        <w:t>.</w:t>
      </w:r>
      <w:r>
        <w:tab/>
        <w:t xml:space="preserve">U.S. </w:t>
      </w:r>
      <w:r w:rsidRPr="00B81ADC">
        <w:t>Opioid-related substance abuse treatment admissions in 2014</w:t>
      </w:r>
      <w:r>
        <w:t>: TEDS-A</w:t>
      </w:r>
      <w:bookmarkEnd w:id="15"/>
      <w:r>
        <w:t xml:space="preserve"> </w:t>
      </w:r>
    </w:p>
    <w:tbl>
      <w:tblPr>
        <w:tblW w:w="9240" w:type="dxa"/>
        <w:tblInd w:w="85" w:type="dxa"/>
        <w:tblBorders>
          <w:top w:val="single" w:sz="12" w:space="0" w:color="auto"/>
          <w:bottom w:val="single" w:sz="12" w:space="0" w:color="auto"/>
        </w:tblBorders>
        <w:tblLook w:val="04A0" w:firstRow="1" w:lastRow="0" w:firstColumn="1" w:lastColumn="0" w:noHBand="0" w:noVBand="1"/>
      </w:tblPr>
      <w:tblGrid>
        <w:gridCol w:w="1980"/>
        <w:gridCol w:w="1904"/>
        <w:gridCol w:w="1560"/>
        <w:gridCol w:w="1936"/>
        <w:gridCol w:w="1860"/>
      </w:tblGrid>
      <w:tr w:rsidR="00706A2E" w:rsidRPr="00391E0F" w14:paraId="2D908475" w14:textId="77777777" w:rsidTr="003D1E39">
        <w:trPr>
          <w:trHeight w:val="300"/>
        </w:trPr>
        <w:tc>
          <w:tcPr>
            <w:tcW w:w="1980" w:type="dxa"/>
            <w:tcBorders>
              <w:top w:val="single" w:sz="12" w:space="0" w:color="auto"/>
              <w:bottom w:val="single" w:sz="4" w:space="0" w:color="auto"/>
            </w:tcBorders>
            <w:shd w:val="clear" w:color="000000" w:fill="FFFFFF"/>
            <w:noWrap/>
            <w:vAlign w:val="bottom"/>
            <w:hideMark/>
          </w:tcPr>
          <w:p w14:paraId="02930EA0" w14:textId="77777777" w:rsidR="00706A2E" w:rsidRPr="00391E0F" w:rsidRDefault="00706A2E" w:rsidP="003D1E39">
            <w:pPr>
              <w:spacing w:line="276" w:lineRule="auto"/>
              <w:rPr>
                <w:b/>
                <w:bCs/>
                <w:color w:val="000000"/>
                <w:sz w:val="22"/>
                <w:szCs w:val="22"/>
              </w:rPr>
            </w:pPr>
            <w:r w:rsidRPr="00391E0F">
              <w:rPr>
                <w:b/>
                <w:bCs/>
                <w:color w:val="000000"/>
                <w:sz w:val="22"/>
                <w:szCs w:val="22"/>
              </w:rPr>
              <w:t>Characteristic</w:t>
            </w:r>
          </w:p>
        </w:tc>
        <w:tc>
          <w:tcPr>
            <w:tcW w:w="1904" w:type="dxa"/>
            <w:tcBorders>
              <w:top w:val="single" w:sz="12" w:space="0" w:color="auto"/>
              <w:bottom w:val="single" w:sz="4" w:space="0" w:color="auto"/>
            </w:tcBorders>
            <w:shd w:val="clear" w:color="000000" w:fill="FFFFFF"/>
            <w:noWrap/>
            <w:vAlign w:val="bottom"/>
            <w:hideMark/>
          </w:tcPr>
          <w:p w14:paraId="5EA4C253" w14:textId="77777777" w:rsidR="00706A2E" w:rsidRPr="00391E0F" w:rsidRDefault="00706A2E" w:rsidP="003D1E39">
            <w:pPr>
              <w:spacing w:line="276" w:lineRule="auto"/>
              <w:jc w:val="center"/>
              <w:rPr>
                <w:b/>
                <w:color w:val="000000"/>
                <w:sz w:val="22"/>
                <w:szCs w:val="22"/>
              </w:rPr>
            </w:pPr>
            <w:r w:rsidRPr="00391E0F">
              <w:rPr>
                <w:b/>
                <w:color w:val="000000"/>
                <w:sz w:val="22"/>
                <w:szCs w:val="22"/>
              </w:rPr>
              <w:t>Distribution (%) </w:t>
            </w:r>
          </w:p>
        </w:tc>
        <w:tc>
          <w:tcPr>
            <w:tcW w:w="1560" w:type="dxa"/>
            <w:tcBorders>
              <w:top w:val="single" w:sz="12" w:space="0" w:color="auto"/>
              <w:bottom w:val="single" w:sz="4" w:space="0" w:color="auto"/>
            </w:tcBorders>
            <w:shd w:val="clear" w:color="000000" w:fill="FFFFFF"/>
            <w:vAlign w:val="bottom"/>
          </w:tcPr>
          <w:p w14:paraId="71BFDED1" w14:textId="77777777" w:rsidR="00706A2E" w:rsidRPr="00391E0F" w:rsidRDefault="00706A2E" w:rsidP="003D1E39">
            <w:pPr>
              <w:spacing w:line="276" w:lineRule="auto"/>
              <w:jc w:val="center"/>
              <w:rPr>
                <w:b/>
                <w:bCs/>
                <w:color w:val="000000"/>
                <w:sz w:val="22"/>
                <w:szCs w:val="22"/>
              </w:rPr>
            </w:pPr>
          </w:p>
        </w:tc>
        <w:tc>
          <w:tcPr>
            <w:tcW w:w="1936" w:type="dxa"/>
            <w:tcBorders>
              <w:top w:val="single" w:sz="12" w:space="0" w:color="auto"/>
              <w:bottom w:val="single" w:sz="4" w:space="0" w:color="auto"/>
            </w:tcBorders>
            <w:shd w:val="clear" w:color="000000" w:fill="FFFFFF"/>
            <w:vAlign w:val="bottom"/>
          </w:tcPr>
          <w:p w14:paraId="68D3E1A6" w14:textId="77777777" w:rsidR="00706A2E" w:rsidRPr="00391E0F" w:rsidRDefault="00706A2E" w:rsidP="003D1E39">
            <w:pPr>
              <w:spacing w:line="276" w:lineRule="auto"/>
              <w:rPr>
                <w:b/>
                <w:color w:val="000000"/>
                <w:sz w:val="22"/>
                <w:szCs w:val="22"/>
              </w:rPr>
            </w:pPr>
            <w:r w:rsidRPr="00391E0F">
              <w:rPr>
                <w:b/>
                <w:bCs/>
                <w:color w:val="000000"/>
                <w:sz w:val="22"/>
                <w:szCs w:val="22"/>
              </w:rPr>
              <w:t>Characteristic</w:t>
            </w:r>
          </w:p>
        </w:tc>
        <w:tc>
          <w:tcPr>
            <w:tcW w:w="1860" w:type="dxa"/>
            <w:tcBorders>
              <w:top w:val="single" w:sz="12" w:space="0" w:color="auto"/>
              <w:bottom w:val="single" w:sz="4" w:space="0" w:color="auto"/>
            </w:tcBorders>
            <w:shd w:val="clear" w:color="000000" w:fill="FFFFFF"/>
            <w:vAlign w:val="bottom"/>
          </w:tcPr>
          <w:p w14:paraId="23848289" w14:textId="77777777" w:rsidR="00706A2E" w:rsidRPr="00391E0F" w:rsidRDefault="00706A2E" w:rsidP="003D1E39">
            <w:pPr>
              <w:spacing w:line="276" w:lineRule="auto"/>
              <w:jc w:val="center"/>
              <w:rPr>
                <w:b/>
                <w:color w:val="000000"/>
                <w:sz w:val="22"/>
                <w:szCs w:val="22"/>
              </w:rPr>
            </w:pPr>
            <w:r w:rsidRPr="00391E0F">
              <w:rPr>
                <w:b/>
                <w:color w:val="000000"/>
                <w:sz w:val="22"/>
                <w:szCs w:val="22"/>
              </w:rPr>
              <w:t>Distribution (%) </w:t>
            </w:r>
          </w:p>
        </w:tc>
      </w:tr>
      <w:tr w:rsidR="00706A2E" w:rsidRPr="00391E0F" w14:paraId="35610AC1" w14:textId="77777777" w:rsidTr="003D1E39">
        <w:trPr>
          <w:trHeight w:val="300"/>
        </w:trPr>
        <w:tc>
          <w:tcPr>
            <w:tcW w:w="1980" w:type="dxa"/>
            <w:tcBorders>
              <w:top w:val="single" w:sz="4" w:space="0" w:color="auto"/>
            </w:tcBorders>
            <w:shd w:val="clear" w:color="000000" w:fill="FFFFFF"/>
            <w:noWrap/>
            <w:vAlign w:val="center"/>
          </w:tcPr>
          <w:p w14:paraId="1C36494F" w14:textId="77777777" w:rsidR="00706A2E" w:rsidRPr="00391E0F" w:rsidRDefault="00706A2E" w:rsidP="003D1E39">
            <w:pPr>
              <w:spacing w:line="276" w:lineRule="auto"/>
              <w:ind w:left="165"/>
              <w:rPr>
                <w:b/>
                <w:bCs/>
                <w:color w:val="000000"/>
                <w:sz w:val="22"/>
                <w:szCs w:val="22"/>
              </w:rPr>
            </w:pPr>
            <w:r w:rsidRPr="00391E0F">
              <w:rPr>
                <w:b/>
                <w:bCs/>
                <w:color w:val="000000"/>
                <w:sz w:val="22"/>
                <w:szCs w:val="22"/>
              </w:rPr>
              <w:t>Age</w:t>
            </w:r>
          </w:p>
        </w:tc>
        <w:tc>
          <w:tcPr>
            <w:tcW w:w="1904" w:type="dxa"/>
            <w:tcBorders>
              <w:top w:val="single" w:sz="4" w:space="0" w:color="auto"/>
            </w:tcBorders>
            <w:shd w:val="clear" w:color="000000" w:fill="FFFFFF"/>
            <w:noWrap/>
            <w:vAlign w:val="center"/>
          </w:tcPr>
          <w:p w14:paraId="69A71624" w14:textId="77777777" w:rsidR="00706A2E" w:rsidRPr="00391E0F" w:rsidRDefault="00706A2E" w:rsidP="003D1E39">
            <w:pPr>
              <w:spacing w:line="276" w:lineRule="auto"/>
              <w:jc w:val="center"/>
              <w:rPr>
                <w:color w:val="000000"/>
                <w:sz w:val="22"/>
                <w:szCs w:val="22"/>
              </w:rPr>
            </w:pPr>
          </w:p>
        </w:tc>
        <w:tc>
          <w:tcPr>
            <w:tcW w:w="1560" w:type="dxa"/>
            <w:tcBorders>
              <w:top w:val="single" w:sz="4" w:space="0" w:color="auto"/>
            </w:tcBorders>
            <w:shd w:val="clear" w:color="000000" w:fill="FFFFFF"/>
            <w:vAlign w:val="bottom"/>
          </w:tcPr>
          <w:p w14:paraId="4A0956FE" w14:textId="77777777" w:rsidR="00706A2E" w:rsidRPr="00391E0F" w:rsidRDefault="00706A2E" w:rsidP="003D1E39">
            <w:pPr>
              <w:spacing w:line="276" w:lineRule="auto"/>
              <w:jc w:val="center"/>
              <w:rPr>
                <w:color w:val="000000"/>
                <w:sz w:val="22"/>
                <w:szCs w:val="22"/>
              </w:rPr>
            </w:pPr>
          </w:p>
        </w:tc>
        <w:tc>
          <w:tcPr>
            <w:tcW w:w="1936" w:type="dxa"/>
            <w:tcBorders>
              <w:top w:val="single" w:sz="4" w:space="0" w:color="auto"/>
            </w:tcBorders>
            <w:shd w:val="clear" w:color="000000" w:fill="FFFFFF"/>
            <w:vAlign w:val="center"/>
          </w:tcPr>
          <w:p w14:paraId="635B2809" w14:textId="77777777" w:rsidR="00706A2E" w:rsidRPr="00391E0F" w:rsidRDefault="00706A2E" w:rsidP="003D1E39">
            <w:pPr>
              <w:spacing w:line="276" w:lineRule="auto"/>
              <w:ind w:left="121"/>
              <w:rPr>
                <w:color w:val="000000"/>
                <w:sz w:val="22"/>
                <w:szCs w:val="22"/>
              </w:rPr>
            </w:pPr>
            <w:r w:rsidRPr="00391E0F">
              <w:rPr>
                <w:b/>
                <w:bCs/>
                <w:color w:val="000000"/>
                <w:sz w:val="22"/>
                <w:szCs w:val="22"/>
              </w:rPr>
              <w:t>Race</w:t>
            </w:r>
          </w:p>
        </w:tc>
        <w:tc>
          <w:tcPr>
            <w:tcW w:w="1860" w:type="dxa"/>
            <w:tcBorders>
              <w:top w:val="single" w:sz="4" w:space="0" w:color="auto"/>
            </w:tcBorders>
            <w:shd w:val="clear" w:color="000000" w:fill="FFFFFF"/>
            <w:vAlign w:val="center"/>
          </w:tcPr>
          <w:p w14:paraId="3B1BD256" w14:textId="77777777" w:rsidR="00706A2E" w:rsidRPr="00391E0F" w:rsidRDefault="00706A2E" w:rsidP="003D1E39">
            <w:pPr>
              <w:spacing w:line="276" w:lineRule="auto"/>
              <w:jc w:val="center"/>
              <w:rPr>
                <w:color w:val="000000"/>
                <w:sz w:val="22"/>
                <w:szCs w:val="22"/>
              </w:rPr>
            </w:pPr>
            <w:r w:rsidRPr="00391E0F">
              <w:rPr>
                <w:color w:val="000000"/>
                <w:sz w:val="22"/>
                <w:szCs w:val="22"/>
              </w:rPr>
              <w:t> </w:t>
            </w:r>
          </w:p>
        </w:tc>
      </w:tr>
      <w:tr w:rsidR="00706A2E" w:rsidRPr="00391E0F" w14:paraId="30EF90DE" w14:textId="77777777" w:rsidTr="003D1E39">
        <w:trPr>
          <w:trHeight w:val="300"/>
        </w:trPr>
        <w:tc>
          <w:tcPr>
            <w:tcW w:w="1980" w:type="dxa"/>
            <w:shd w:val="clear" w:color="000000" w:fill="FFFFFF"/>
            <w:noWrap/>
            <w:vAlign w:val="center"/>
            <w:hideMark/>
          </w:tcPr>
          <w:p w14:paraId="66E65BF6" w14:textId="77777777" w:rsidR="00706A2E" w:rsidRPr="00391E0F" w:rsidRDefault="00706A2E" w:rsidP="003D1E39">
            <w:pPr>
              <w:spacing w:line="276" w:lineRule="auto"/>
              <w:ind w:left="165"/>
              <w:rPr>
                <w:color w:val="000000"/>
                <w:sz w:val="22"/>
                <w:szCs w:val="22"/>
              </w:rPr>
            </w:pPr>
            <w:bookmarkStart w:id="16" w:name="_Hlk505348688"/>
            <w:r w:rsidRPr="00391E0F">
              <w:rPr>
                <w:color w:val="000000"/>
                <w:sz w:val="22"/>
                <w:szCs w:val="22"/>
              </w:rPr>
              <w:t xml:space="preserve">    18-24</w:t>
            </w:r>
          </w:p>
        </w:tc>
        <w:tc>
          <w:tcPr>
            <w:tcW w:w="1904" w:type="dxa"/>
            <w:shd w:val="clear" w:color="000000" w:fill="FFFFFF"/>
            <w:noWrap/>
            <w:vAlign w:val="center"/>
            <w:hideMark/>
          </w:tcPr>
          <w:p w14:paraId="2E62E202" w14:textId="77777777" w:rsidR="00706A2E" w:rsidRPr="00391E0F" w:rsidRDefault="00706A2E" w:rsidP="003D1E39">
            <w:pPr>
              <w:spacing w:line="276" w:lineRule="auto"/>
              <w:ind w:right="360"/>
              <w:jc w:val="right"/>
              <w:rPr>
                <w:color w:val="000000"/>
                <w:sz w:val="22"/>
                <w:szCs w:val="22"/>
              </w:rPr>
            </w:pPr>
            <w:r w:rsidRPr="00391E0F">
              <w:rPr>
                <w:color w:val="000000"/>
                <w:sz w:val="22"/>
                <w:szCs w:val="22"/>
              </w:rPr>
              <w:t>13.3</w:t>
            </w:r>
          </w:p>
        </w:tc>
        <w:tc>
          <w:tcPr>
            <w:tcW w:w="1560" w:type="dxa"/>
            <w:shd w:val="clear" w:color="000000" w:fill="FFFFFF"/>
            <w:vAlign w:val="bottom"/>
          </w:tcPr>
          <w:p w14:paraId="228520F3"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684DC2EC" w14:textId="77777777" w:rsidR="00706A2E" w:rsidRPr="00391E0F" w:rsidRDefault="00706A2E" w:rsidP="003D1E39">
            <w:pPr>
              <w:spacing w:line="276" w:lineRule="auto"/>
              <w:ind w:left="121"/>
              <w:rPr>
                <w:color w:val="000000"/>
                <w:sz w:val="22"/>
                <w:szCs w:val="22"/>
              </w:rPr>
            </w:pPr>
            <w:r w:rsidRPr="00391E0F">
              <w:rPr>
                <w:color w:val="000000"/>
                <w:sz w:val="22"/>
                <w:szCs w:val="22"/>
              </w:rPr>
              <w:t xml:space="preserve">    White</w:t>
            </w:r>
          </w:p>
        </w:tc>
        <w:tc>
          <w:tcPr>
            <w:tcW w:w="1860" w:type="dxa"/>
            <w:shd w:val="clear" w:color="000000" w:fill="FFFFFF"/>
            <w:vAlign w:val="center"/>
          </w:tcPr>
          <w:p w14:paraId="0A3BBDDE" w14:textId="77777777" w:rsidR="00706A2E" w:rsidRPr="00391E0F" w:rsidRDefault="00706A2E" w:rsidP="003D1E39">
            <w:pPr>
              <w:spacing w:line="276" w:lineRule="auto"/>
              <w:ind w:right="316"/>
              <w:jc w:val="right"/>
              <w:rPr>
                <w:color w:val="000000"/>
                <w:sz w:val="22"/>
                <w:szCs w:val="22"/>
              </w:rPr>
            </w:pPr>
            <w:r w:rsidRPr="00391E0F">
              <w:rPr>
                <w:color w:val="000000"/>
                <w:sz w:val="22"/>
                <w:szCs w:val="22"/>
              </w:rPr>
              <w:t>71.1</w:t>
            </w:r>
          </w:p>
        </w:tc>
      </w:tr>
      <w:tr w:rsidR="00706A2E" w:rsidRPr="00391E0F" w14:paraId="072CF9DC" w14:textId="77777777" w:rsidTr="003D1E39">
        <w:trPr>
          <w:trHeight w:val="300"/>
        </w:trPr>
        <w:tc>
          <w:tcPr>
            <w:tcW w:w="1980" w:type="dxa"/>
            <w:shd w:val="clear" w:color="000000" w:fill="FFFFFF"/>
            <w:noWrap/>
            <w:vAlign w:val="center"/>
            <w:hideMark/>
          </w:tcPr>
          <w:p w14:paraId="7195565C"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25-34</w:t>
            </w:r>
          </w:p>
        </w:tc>
        <w:tc>
          <w:tcPr>
            <w:tcW w:w="1904" w:type="dxa"/>
            <w:shd w:val="clear" w:color="000000" w:fill="FFFFFF"/>
            <w:noWrap/>
            <w:vAlign w:val="center"/>
            <w:hideMark/>
          </w:tcPr>
          <w:p w14:paraId="091EECBB" w14:textId="77777777" w:rsidR="00706A2E" w:rsidRPr="00391E0F" w:rsidRDefault="00706A2E" w:rsidP="003D1E39">
            <w:pPr>
              <w:spacing w:line="276" w:lineRule="auto"/>
              <w:ind w:right="360"/>
              <w:jc w:val="right"/>
              <w:rPr>
                <w:color w:val="000000"/>
                <w:sz w:val="22"/>
                <w:szCs w:val="22"/>
              </w:rPr>
            </w:pPr>
            <w:r w:rsidRPr="00391E0F">
              <w:rPr>
                <w:color w:val="000000"/>
                <w:sz w:val="22"/>
                <w:szCs w:val="22"/>
              </w:rPr>
              <w:t>37.7</w:t>
            </w:r>
          </w:p>
        </w:tc>
        <w:tc>
          <w:tcPr>
            <w:tcW w:w="1560" w:type="dxa"/>
            <w:shd w:val="clear" w:color="000000" w:fill="FFFFFF"/>
            <w:vAlign w:val="bottom"/>
          </w:tcPr>
          <w:p w14:paraId="026C653B"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13742AC1" w14:textId="77777777" w:rsidR="00706A2E" w:rsidRPr="00391E0F" w:rsidRDefault="00706A2E" w:rsidP="003D1E39">
            <w:pPr>
              <w:spacing w:line="276" w:lineRule="auto"/>
              <w:ind w:left="121"/>
              <w:rPr>
                <w:color w:val="000000"/>
                <w:sz w:val="22"/>
                <w:szCs w:val="22"/>
              </w:rPr>
            </w:pPr>
            <w:r w:rsidRPr="00391E0F">
              <w:rPr>
                <w:color w:val="000000"/>
                <w:sz w:val="22"/>
                <w:szCs w:val="22"/>
              </w:rPr>
              <w:t xml:space="preserve">    Other</w:t>
            </w:r>
          </w:p>
        </w:tc>
        <w:tc>
          <w:tcPr>
            <w:tcW w:w="1860" w:type="dxa"/>
            <w:shd w:val="clear" w:color="000000" w:fill="FFFFFF"/>
            <w:vAlign w:val="center"/>
          </w:tcPr>
          <w:p w14:paraId="6A98E8EF" w14:textId="77777777" w:rsidR="00706A2E" w:rsidRPr="00391E0F" w:rsidRDefault="00706A2E" w:rsidP="003D1E39">
            <w:pPr>
              <w:spacing w:line="276" w:lineRule="auto"/>
              <w:ind w:right="316"/>
              <w:jc w:val="right"/>
              <w:rPr>
                <w:color w:val="000000"/>
                <w:sz w:val="22"/>
                <w:szCs w:val="22"/>
              </w:rPr>
            </w:pPr>
            <w:r w:rsidRPr="00391E0F">
              <w:rPr>
                <w:color w:val="000000"/>
                <w:sz w:val="22"/>
                <w:szCs w:val="22"/>
              </w:rPr>
              <w:t>29.0</w:t>
            </w:r>
          </w:p>
        </w:tc>
      </w:tr>
      <w:tr w:rsidR="00706A2E" w:rsidRPr="00391E0F" w14:paraId="167AE9AE" w14:textId="77777777" w:rsidTr="003D1E39">
        <w:trPr>
          <w:trHeight w:val="300"/>
        </w:trPr>
        <w:tc>
          <w:tcPr>
            <w:tcW w:w="1980" w:type="dxa"/>
            <w:shd w:val="clear" w:color="000000" w:fill="FFFFFF"/>
            <w:noWrap/>
            <w:vAlign w:val="center"/>
            <w:hideMark/>
          </w:tcPr>
          <w:p w14:paraId="637A2903"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35-44</w:t>
            </w:r>
          </w:p>
        </w:tc>
        <w:tc>
          <w:tcPr>
            <w:tcW w:w="1904" w:type="dxa"/>
            <w:shd w:val="clear" w:color="000000" w:fill="FFFFFF"/>
            <w:noWrap/>
            <w:vAlign w:val="center"/>
            <w:hideMark/>
          </w:tcPr>
          <w:p w14:paraId="60844BDA" w14:textId="77777777" w:rsidR="00706A2E" w:rsidRPr="00391E0F" w:rsidRDefault="00706A2E" w:rsidP="003D1E39">
            <w:pPr>
              <w:spacing w:line="276" w:lineRule="auto"/>
              <w:ind w:right="360"/>
              <w:jc w:val="right"/>
              <w:rPr>
                <w:color w:val="000000"/>
                <w:sz w:val="22"/>
                <w:szCs w:val="22"/>
              </w:rPr>
            </w:pPr>
            <w:r w:rsidRPr="00391E0F">
              <w:rPr>
                <w:color w:val="000000"/>
                <w:sz w:val="22"/>
                <w:szCs w:val="22"/>
              </w:rPr>
              <w:t>20.8</w:t>
            </w:r>
          </w:p>
        </w:tc>
        <w:tc>
          <w:tcPr>
            <w:tcW w:w="1560" w:type="dxa"/>
            <w:shd w:val="clear" w:color="000000" w:fill="FFFFFF"/>
            <w:vAlign w:val="bottom"/>
          </w:tcPr>
          <w:p w14:paraId="4E5EDC63"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283994EA" w14:textId="77777777" w:rsidR="00706A2E" w:rsidRPr="00391E0F" w:rsidRDefault="00706A2E" w:rsidP="003D1E39">
            <w:pPr>
              <w:spacing w:line="276" w:lineRule="auto"/>
              <w:ind w:left="121"/>
              <w:rPr>
                <w:color w:val="000000"/>
                <w:sz w:val="22"/>
                <w:szCs w:val="22"/>
              </w:rPr>
            </w:pPr>
            <w:r w:rsidRPr="00391E0F">
              <w:rPr>
                <w:b/>
                <w:bCs/>
                <w:color w:val="000000"/>
                <w:sz w:val="22"/>
                <w:szCs w:val="22"/>
              </w:rPr>
              <w:t>Ethnicity</w:t>
            </w:r>
          </w:p>
        </w:tc>
        <w:tc>
          <w:tcPr>
            <w:tcW w:w="1860" w:type="dxa"/>
            <w:shd w:val="clear" w:color="000000" w:fill="FFFFFF"/>
            <w:vAlign w:val="center"/>
          </w:tcPr>
          <w:p w14:paraId="44128B68" w14:textId="77777777" w:rsidR="00706A2E" w:rsidRPr="00391E0F" w:rsidRDefault="00706A2E" w:rsidP="003D1E39">
            <w:pPr>
              <w:spacing w:line="276" w:lineRule="auto"/>
              <w:ind w:right="316"/>
              <w:jc w:val="right"/>
              <w:rPr>
                <w:color w:val="000000"/>
                <w:sz w:val="22"/>
                <w:szCs w:val="22"/>
              </w:rPr>
            </w:pPr>
            <w:r w:rsidRPr="00391E0F">
              <w:rPr>
                <w:color w:val="000000"/>
                <w:sz w:val="22"/>
                <w:szCs w:val="22"/>
              </w:rPr>
              <w:t> </w:t>
            </w:r>
          </w:p>
        </w:tc>
      </w:tr>
      <w:tr w:rsidR="00706A2E" w:rsidRPr="00391E0F" w14:paraId="0D83CF5D" w14:textId="77777777" w:rsidTr="003D1E39">
        <w:trPr>
          <w:trHeight w:val="300"/>
        </w:trPr>
        <w:tc>
          <w:tcPr>
            <w:tcW w:w="1980" w:type="dxa"/>
            <w:shd w:val="clear" w:color="000000" w:fill="FFFFFF"/>
            <w:noWrap/>
            <w:vAlign w:val="center"/>
            <w:hideMark/>
          </w:tcPr>
          <w:p w14:paraId="046363F9"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45-54</w:t>
            </w:r>
          </w:p>
        </w:tc>
        <w:tc>
          <w:tcPr>
            <w:tcW w:w="1904" w:type="dxa"/>
            <w:shd w:val="clear" w:color="000000" w:fill="FFFFFF"/>
            <w:noWrap/>
            <w:vAlign w:val="center"/>
            <w:hideMark/>
          </w:tcPr>
          <w:p w14:paraId="73FEFDED" w14:textId="77777777" w:rsidR="00706A2E" w:rsidRPr="00391E0F" w:rsidRDefault="00706A2E" w:rsidP="003D1E39">
            <w:pPr>
              <w:spacing w:line="276" w:lineRule="auto"/>
              <w:ind w:right="360"/>
              <w:jc w:val="right"/>
              <w:rPr>
                <w:color w:val="000000"/>
                <w:sz w:val="22"/>
                <w:szCs w:val="22"/>
              </w:rPr>
            </w:pPr>
            <w:r w:rsidRPr="00391E0F">
              <w:rPr>
                <w:color w:val="000000"/>
                <w:sz w:val="22"/>
                <w:szCs w:val="22"/>
              </w:rPr>
              <w:t>17.8</w:t>
            </w:r>
          </w:p>
        </w:tc>
        <w:tc>
          <w:tcPr>
            <w:tcW w:w="1560" w:type="dxa"/>
            <w:shd w:val="clear" w:color="000000" w:fill="FFFFFF"/>
            <w:vAlign w:val="bottom"/>
          </w:tcPr>
          <w:p w14:paraId="18606F53"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469B914D" w14:textId="77777777" w:rsidR="00706A2E" w:rsidRPr="00391E0F" w:rsidRDefault="00706A2E" w:rsidP="003D1E39">
            <w:pPr>
              <w:spacing w:line="276" w:lineRule="auto"/>
              <w:ind w:left="121"/>
              <w:rPr>
                <w:color w:val="000000"/>
                <w:sz w:val="22"/>
                <w:szCs w:val="22"/>
              </w:rPr>
            </w:pPr>
            <w:r w:rsidRPr="00391E0F">
              <w:rPr>
                <w:color w:val="000000"/>
                <w:sz w:val="22"/>
                <w:szCs w:val="22"/>
              </w:rPr>
              <w:t xml:space="preserve">    Non-Hispanic</w:t>
            </w:r>
          </w:p>
        </w:tc>
        <w:tc>
          <w:tcPr>
            <w:tcW w:w="1860" w:type="dxa"/>
            <w:shd w:val="clear" w:color="000000" w:fill="FFFFFF"/>
            <w:vAlign w:val="center"/>
          </w:tcPr>
          <w:p w14:paraId="5922221E" w14:textId="77777777" w:rsidR="00706A2E" w:rsidRPr="00391E0F" w:rsidRDefault="00706A2E" w:rsidP="003D1E39">
            <w:pPr>
              <w:spacing w:line="276" w:lineRule="auto"/>
              <w:ind w:right="316"/>
              <w:jc w:val="right"/>
              <w:rPr>
                <w:color w:val="000000"/>
                <w:sz w:val="22"/>
                <w:szCs w:val="22"/>
              </w:rPr>
            </w:pPr>
            <w:r w:rsidRPr="00391E0F">
              <w:rPr>
                <w:color w:val="000000"/>
                <w:sz w:val="22"/>
                <w:szCs w:val="22"/>
              </w:rPr>
              <w:t>82.4</w:t>
            </w:r>
          </w:p>
        </w:tc>
      </w:tr>
      <w:tr w:rsidR="00706A2E" w:rsidRPr="00391E0F" w14:paraId="2010C7B5" w14:textId="77777777" w:rsidTr="003D1E39">
        <w:trPr>
          <w:trHeight w:val="300"/>
        </w:trPr>
        <w:tc>
          <w:tcPr>
            <w:tcW w:w="1980" w:type="dxa"/>
            <w:shd w:val="clear" w:color="000000" w:fill="FFFFFF"/>
            <w:noWrap/>
            <w:vAlign w:val="center"/>
            <w:hideMark/>
          </w:tcPr>
          <w:p w14:paraId="14B6DCEF"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55+</w:t>
            </w:r>
          </w:p>
        </w:tc>
        <w:tc>
          <w:tcPr>
            <w:tcW w:w="1904" w:type="dxa"/>
            <w:shd w:val="clear" w:color="000000" w:fill="FFFFFF"/>
            <w:noWrap/>
            <w:vAlign w:val="center"/>
            <w:hideMark/>
          </w:tcPr>
          <w:p w14:paraId="46466E80" w14:textId="77777777" w:rsidR="00706A2E" w:rsidRPr="00391E0F" w:rsidRDefault="00706A2E" w:rsidP="003D1E39">
            <w:pPr>
              <w:spacing w:line="276" w:lineRule="auto"/>
              <w:ind w:right="360"/>
              <w:jc w:val="right"/>
              <w:rPr>
                <w:color w:val="000000"/>
                <w:sz w:val="22"/>
                <w:szCs w:val="22"/>
              </w:rPr>
            </w:pPr>
            <w:r w:rsidRPr="00391E0F">
              <w:rPr>
                <w:color w:val="000000"/>
                <w:sz w:val="22"/>
                <w:szCs w:val="22"/>
              </w:rPr>
              <w:t>10.4</w:t>
            </w:r>
          </w:p>
        </w:tc>
        <w:tc>
          <w:tcPr>
            <w:tcW w:w="1560" w:type="dxa"/>
            <w:shd w:val="clear" w:color="000000" w:fill="FFFFFF"/>
            <w:vAlign w:val="bottom"/>
          </w:tcPr>
          <w:p w14:paraId="170A0EC0"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77E4A4F4" w14:textId="77777777" w:rsidR="00706A2E" w:rsidRPr="00391E0F" w:rsidRDefault="00706A2E" w:rsidP="003D1E39">
            <w:pPr>
              <w:spacing w:line="276" w:lineRule="auto"/>
              <w:ind w:left="121"/>
              <w:rPr>
                <w:color w:val="000000"/>
                <w:sz w:val="22"/>
                <w:szCs w:val="22"/>
              </w:rPr>
            </w:pPr>
            <w:r w:rsidRPr="00391E0F">
              <w:rPr>
                <w:color w:val="000000"/>
                <w:sz w:val="22"/>
                <w:szCs w:val="22"/>
              </w:rPr>
              <w:t xml:space="preserve">    Hispanic</w:t>
            </w:r>
          </w:p>
        </w:tc>
        <w:tc>
          <w:tcPr>
            <w:tcW w:w="1860" w:type="dxa"/>
            <w:shd w:val="clear" w:color="000000" w:fill="FFFFFF"/>
            <w:vAlign w:val="center"/>
          </w:tcPr>
          <w:p w14:paraId="1999103E" w14:textId="77777777" w:rsidR="00706A2E" w:rsidRPr="00391E0F" w:rsidRDefault="00706A2E" w:rsidP="003D1E39">
            <w:pPr>
              <w:spacing w:line="276" w:lineRule="auto"/>
              <w:ind w:right="316"/>
              <w:jc w:val="right"/>
              <w:rPr>
                <w:color w:val="000000"/>
                <w:sz w:val="22"/>
                <w:szCs w:val="22"/>
              </w:rPr>
            </w:pPr>
            <w:r w:rsidRPr="00391E0F">
              <w:rPr>
                <w:color w:val="000000"/>
                <w:sz w:val="22"/>
                <w:szCs w:val="22"/>
              </w:rPr>
              <w:t>17.6</w:t>
            </w:r>
          </w:p>
        </w:tc>
      </w:tr>
      <w:bookmarkEnd w:id="16"/>
      <w:tr w:rsidR="00706A2E" w:rsidRPr="00391E0F" w14:paraId="18081946" w14:textId="77777777" w:rsidTr="003D1E39">
        <w:trPr>
          <w:trHeight w:val="300"/>
        </w:trPr>
        <w:tc>
          <w:tcPr>
            <w:tcW w:w="1980" w:type="dxa"/>
            <w:shd w:val="clear" w:color="000000" w:fill="FFFFFF"/>
            <w:noWrap/>
            <w:vAlign w:val="center"/>
            <w:hideMark/>
          </w:tcPr>
          <w:p w14:paraId="3ECA3289" w14:textId="77777777" w:rsidR="00706A2E" w:rsidRPr="00391E0F" w:rsidRDefault="00706A2E" w:rsidP="003D1E39">
            <w:pPr>
              <w:spacing w:line="276" w:lineRule="auto"/>
              <w:ind w:left="165"/>
              <w:rPr>
                <w:b/>
                <w:bCs/>
                <w:color w:val="000000"/>
                <w:sz w:val="22"/>
                <w:szCs w:val="22"/>
              </w:rPr>
            </w:pPr>
            <w:r w:rsidRPr="00391E0F">
              <w:rPr>
                <w:b/>
                <w:bCs/>
                <w:color w:val="000000"/>
                <w:sz w:val="22"/>
                <w:szCs w:val="22"/>
              </w:rPr>
              <w:t>Gender</w:t>
            </w:r>
          </w:p>
        </w:tc>
        <w:tc>
          <w:tcPr>
            <w:tcW w:w="1904" w:type="dxa"/>
            <w:shd w:val="clear" w:color="000000" w:fill="FFFFFF"/>
            <w:noWrap/>
            <w:vAlign w:val="center"/>
            <w:hideMark/>
          </w:tcPr>
          <w:p w14:paraId="6E018C0E" w14:textId="77777777" w:rsidR="00706A2E" w:rsidRPr="00391E0F" w:rsidRDefault="00706A2E" w:rsidP="003D1E39">
            <w:pPr>
              <w:spacing w:line="276" w:lineRule="auto"/>
              <w:ind w:right="360"/>
              <w:jc w:val="right"/>
              <w:rPr>
                <w:color w:val="000000"/>
                <w:sz w:val="22"/>
                <w:szCs w:val="22"/>
              </w:rPr>
            </w:pPr>
            <w:r w:rsidRPr="00391E0F">
              <w:rPr>
                <w:color w:val="000000"/>
                <w:sz w:val="22"/>
                <w:szCs w:val="22"/>
              </w:rPr>
              <w:t> </w:t>
            </w:r>
          </w:p>
        </w:tc>
        <w:tc>
          <w:tcPr>
            <w:tcW w:w="1560" w:type="dxa"/>
            <w:shd w:val="clear" w:color="000000" w:fill="FFFFFF"/>
            <w:vAlign w:val="bottom"/>
          </w:tcPr>
          <w:p w14:paraId="4C66F091"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2427D1B4" w14:textId="77777777" w:rsidR="00706A2E" w:rsidRPr="00391E0F" w:rsidRDefault="00706A2E" w:rsidP="003D1E39">
            <w:pPr>
              <w:spacing w:line="276" w:lineRule="auto"/>
              <w:ind w:left="121"/>
              <w:rPr>
                <w:color w:val="000000"/>
                <w:sz w:val="22"/>
                <w:szCs w:val="22"/>
              </w:rPr>
            </w:pPr>
            <w:r w:rsidRPr="00391E0F">
              <w:rPr>
                <w:b/>
                <w:bCs/>
                <w:color w:val="000000"/>
                <w:sz w:val="22"/>
                <w:szCs w:val="22"/>
              </w:rPr>
              <w:t>Opioid Type</w:t>
            </w:r>
          </w:p>
        </w:tc>
        <w:tc>
          <w:tcPr>
            <w:tcW w:w="1860" w:type="dxa"/>
            <w:shd w:val="clear" w:color="000000" w:fill="FFFFFF"/>
            <w:vAlign w:val="center"/>
          </w:tcPr>
          <w:p w14:paraId="26A4B6DE" w14:textId="77777777" w:rsidR="00706A2E" w:rsidRPr="00391E0F" w:rsidRDefault="00706A2E" w:rsidP="003D1E39">
            <w:pPr>
              <w:spacing w:line="276" w:lineRule="auto"/>
              <w:ind w:right="316"/>
              <w:jc w:val="right"/>
              <w:rPr>
                <w:color w:val="000000"/>
                <w:sz w:val="22"/>
                <w:szCs w:val="22"/>
              </w:rPr>
            </w:pPr>
            <w:r w:rsidRPr="00391E0F">
              <w:rPr>
                <w:color w:val="000000"/>
                <w:sz w:val="22"/>
                <w:szCs w:val="22"/>
              </w:rPr>
              <w:t> </w:t>
            </w:r>
          </w:p>
        </w:tc>
      </w:tr>
      <w:tr w:rsidR="00706A2E" w:rsidRPr="00391E0F" w14:paraId="469EB7DC" w14:textId="77777777" w:rsidTr="003D1E39">
        <w:trPr>
          <w:trHeight w:val="300"/>
        </w:trPr>
        <w:tc>
          <w:tcPr>
            <w:tcW w:w="1980" w:type="dxa"/>
            <w:shd w:val="clear" w:color="000000" w:fill="FFFFFF"/>
            <w:noWrap/>
            <w:vAlign w:val="center"/>
            <w:hideMark/>
          </w:tcPr>
          <w:p w14:paraId="09BE55DE"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Male</w:t>
            </w:r>
          </w:p>
        </w:tc>
        <w:tc>
          <w:tcPr>
            <w:tcW w:w="1904" w:type="dxa"/>
            <w:shd w:val="clear" w:color="000000" w:fill="FFFFFF"/>
            <w:noWrap/>
            <w:vAlign w:val="center"/>
            <w:hideMark/>
          </w:tcPr>
          <w:p w14:paraId="65F0EB68" w14:textId="77777777" w:rsidR="00706A2E" w:rsidRPr="00391E0F" w:rsidRDefault="00706A2E" w:rsidP="003D1E39">
            <w:pPr>
              <w:spacing w:line="276" w:lineRule="auto"/>
              <w:ind w:right="360"/>
              <w:jc w:val="right"/>
              <w:rPr>
                <w:color w:val="000000"/>
                <w:sz w:val="22"/>
                <w:szCs w:val="22"/>
              </w:rPr>
            </w:pPr>
            <w:r w:rsidRPr="00391E0F">
              <w:rPr>
                <w:color w:val="000000"/>
                <w:sz w:val="22"/>
                <w:szCs w:val="22"/>
              </w:rPr>
              <w:t>59.5</w:t>
            </w:r>
          </w:p>
        </w:tc>
        <w:tc>
          <w:tcPr>
            <w:tcW w:w="1560" w:type="dxa"/>
            <w:shd w:val="clear" w:color="000000" w:fill="FFFFFF"/>
            <w:vAlign w:val="bottom"/>
          </w:tcPr>
          <w:p w14:paraId="6683D2BD"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6A389452" w14:textId="77777777" w:rsidR="00706A2E" w:rsidRPr="00391E0F" w:rsidRDefault="00706A2E" w:rsidP="003D1E39">
            <w:pPr>
              <w:spacing w:line="276" w:lineRule="auto"/>
              <w:ind w:left="121"/>
              <w:rPr>
                <w:color w:val="000000"/>
                <w:sz w:val="22"/>
                <w:szCs w:val="22"/>
              </w:rPr>
            </w:pPr>
            <w:r w:rsidRPr="00391E0F">
              <w:rPr>
                <w:color w:val="000000"/>
                <w:sz w:val="22"/>
                <w:szCs w:val="22"/>
              </w:rPr>
              <w:t xml:space="preserve">    Rx Opioids</w:t>
            </w:r>
          </w:p>
        </w:tc>
        <w:tc>
          <w:tcPr>
            <w:tcW w:w="1860" w:type="dxa"/>
            <w:shd w:val="clear" w:color="000000" w:fill="FFFFFF"/>
            <w:vAlign w:val="center"/>
          </w:tcPr>
          <w:p w14:paraId="179EEAB4" w14:textId="77777777" w:rsidR="00706A2E" w:rsidRPr="00391E0F" w:rsidRDefault="00706A2E" w:rsidP="003D1E39">
            <w:pPr>
              <w:spacing w:line="276" w:lineRule="auto"/>
              <w:ind w:right="316"/>
              <w:jc w:val="right"/>
              <w:rPr>
                <w:color w:val="000000"/>
                <w:sz w:val="22"/>
                <w:szCs w:val="22"/>
              </w:rPr>
            </w:pPr>
            <w:r w:rsidRPr="00391E0F">
              <w:rPr>
                <w:color w:val="000000"/>
                <w:sz w:val="22"/>
                <w:szCs w:val="22"/>
              </w:rPr>
              <w:t>33.0</w:t>
            </w:r>
          </w:p>
        </w:tc>
      </w:tr>
      <w:tr w:rsidR="00706A2E" w:rsidRPr="00391E0F" w14:paraId="72768E75" w14:textId="77777777" w:rsidTr="003D1E39">
        <w:trPr>
          <w:trHeight w:val="300"/>
        </w:trPr>
        <w:tc>
          <w:tcPr>
            <w:tcW w:w="1980" w:type="dxa"/>
            <w:shd w:val="clear" w:color="000000" w:fill="FFFFFF"/>
            <w:noWrap/>
            <w:vAlign w:val="center"/>
            <w:hideMark/>
          </w:tcPr>
          <w:p w14:paraId="52003CCD"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Female</w:t>
            </w:r>
          </w:p>
        </w:tc>
        <w:tc>
          <w:tcPr>
            <w:tcW w:w="1904" w:type="dxa"/>
            <w:shd w:val="clear" w:color="000000" w:fill="FFFFFF"/>
            <w:noWrap/>
            <w:vAlign w:val="center"/>
            <w:hideMark/>
          </w:tcPr>
          <w:p w14:paraId="6E29620E" w14:textId="77777777" w:rsidR="00706A2E" w:rsidRPr="00391E0F" w:rsidRDefault="00706A2E" w:rsidP="003D1E39">
            <w:pPr>
              <w:spacing w:line="276" w:lineRule="auto"/>
              <w:ind w:right="360"/>
              <w:jc w:val="right"/>
              <w:rPr>
                <w:color w:val="000000"/>
                <w:sz w:val="22"/>
                <w:szCs w:val="22"/>
              </w:rPr>
            </w:pPr>
            <w:r w:rsidRPr="00391E0F">
              <w:rPr>
                <w:color w:val="000000"/>
                <w:sz w:val="22"/>
                <w:szCs w:val="22"/>
              </w:rPr>
              <w:t>40.5</w:t>
            </w:r>
          </w:p>
        </w:tc>
        <w:tc>
          <w:tcPr>
            <w:tcW w:w="1560" w:type="dxa"/>
            <w:shd w:val="clear" w:color="000000" w:fill="FFFFFF"/>
            <w:vAlign w:val="bottom"/>
          </w:tcPr>
          <w:p w14:paraId="44A3AE45"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56615838" w14:textId="77777777" w:rsidR="00706A2E" w:rsidRPr="00391E0F" w:rsidRDefault="00706A2E" w:rsidP="003D1E39">
            <w:pPr>
              <w:spacing w:line="276" w:lineRule="auto"/>
              <w:ind w:left="121"/>
              <w:rPr>
                <w:color w:val="000000"/>
                <w:sz w:val="22"/>
                <w:szCs w:val="22"/>
              </w:rPr>
            </w:pPr>
            <w:r w:rsidRPr="00391E0F">
              <w:rPr>
                <w:color w:val="000000"/>
                <w:sz w:val="22"/>
                <w:szCs w:val="22"/>
              </w:rPr>
              <w:t xml:space="preserve">    Heroin</w:t>
            </w:r>
          </w:p>
        </w:tc>
        <w:tc>
          <w:tcPr>
            <w:tcW w:w="1860" w:type="dxa"/>
            <w:shd w:val="clear" w:color="000000" w:fill="FFFFFF"/>
            <w:vAlign w:val="center"/>
          </w:tcPr>
          <w:p w14:paraId="6F823D4C" w14:textId="77777777" w:rsidR="00706A2E" w:rsidRPr="00391E0F" w:rsidRDefault="00706A2E" w:rsidP="003D1E39">
            <w:pPr>
              <w:spacing w:line="276" w:lineRule="auto"/>
              <w:ind w:right="316"/>
              <w:jc w:val="right"/>
              <w:rPr>
                <w:color w:val="000000"/>
                <w:sz w:val="22"/>
                <w:szCs w:val="22"/>
              </w:rPr>
            </w:pPr>
            <w:r w:rsidRPr="00391E0F">
              <w:rPr>
                <w:color w:val="000000"/>
                <w:sz w:val="22"/>
                <w:szCs w:val="22"/>
              </w:rPr>
              <w:t>81.3</w:t>
            </w:r>
          </w:p>
        </w:tc>
      </w:tr>
      <w:tr w:rsidR="00706A2E" w:rsidRPr="00391E0F" w14:paraId="76AF663B" w14:textId="77777777" w:rsidTr="003D1E39">
        <w:trPr>
          <w:trHeight w:val="300"/>
        </w:trPr>
        <w:tc>
          <w:tcPr>
            <w:tcW w:w="1980" w:type="dxa"/>
            <w:shd w:val="clear" w:color="000000" w:fill="FFFFFF"/>
            <w:noWrap/>
            <w:vAlign w:val="center"/>
          </w:tcPr>
          <w:p w14:paraId="49441677" w14:textId="77777777" w:rsidR="00706A2E" w:rsidRPr="00F94574" w:rsidRDefault="00706A2E" w:rsidP="003D1E39">
            <w:pPr>
              <w:spacing w:line="276" w:lineRule="auto"/>
              <w:ind w:left="165"/>
              <w:rPr>
                <w:b/>
                <w:color w:val="000000"/>
                <w:sz w:val="22"/>
                <w:szCs w:val="22"/>
              </w:rPr>
            </w:pPr>
            <w:r w:rsidRPr="00F94574">
              <w:rPr>
                <w:b/>
                <w:color w:val="000000"/>
                <w:sz w:val="22"/>
                <w:szCs w:val="22"/>
              </w:rPr>
              <w:t>Region</w:t>
            </w:r>
          </w:p>
        </w:tc>
        <w:tc>
          <w:tcPr>
            <w:tcW w:w="1904" w:type="dxa"/>
            <w:shd w:val="clear" w:color="000000" w:fill="FFFFFF"/>
            <w:noWrap/>
            <w:vAlign w:val="center"/>
          </w:tcPr>
          <w:p w14:paraId="541EA5BA" w14:textId="77777777" w:rsidR="00706A2E" w:rsidRPr="00391E0F" w:rsidRDefault="00706A2E" w:rsidP="003D1E39">
            <w:pPr>
              <w:spacing w:line="276" w:lineRule="auto"/>
              <w:ind w:right="360"/>
              <w:jc w:val="right"/>
              <w:rPr>
                <w:color w:val="000000"/>
                <w:sz w:val="22"/>
                <w:szCs w:val="22"/>
              </w:rPr>
            </w:pPr>
          </w:p>
        </w:tc>
        <w:tc>
          <w:tcPr>
            <w:tcW w:w="1560" w:type="dxa"/>
            <w:shd w:val="clear" w:color="000000" w:fill="FFFFFF"/>
            <w:vAlign w:val="bottom"/>
          </w:tcPr>
          <w:p w14:paraId="36C8A9E3"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4B2A30B9" w14:textId="77777777" w:rsidR="00706A2E" w:rsidRPr="00391E0F" w:rsidRDefault="00706A2E" w:rsidP="003D1E39">
            <w:pPr>
              <w:spacing w:line="276" w:lineRule="auto"/>
              <w:ind w:left="121"/>
              <w:rPr>
                <w:color w:val="000000"/>
                <w:sz w:val="22"/>
                <w:szCs w:val="22"/>
              </w:rPr>
            </w:pPr>
          </w:p>
        </w:tc>
        <w:tc>
          <w:tcPr>
            <w:tcW w:w="1860" w:type="dxa"/>
            <w:shd w:val="clear" w:color="000000" w:fill="FFFFFF"/>
            <w:vAlign w:val="center"/>
          </w:tcPr>
          <w:p w14:paraId="2C9BF915" w14:textId="77777777" w:rsidR="00706A2E" w:rsidRPr="00391E0F" w:rsidRDefault="00706A2E" w:rsidP="003D1E39">
            <w:pPr>
              <w:spacing w:line="276" w:lineRule="auto"/>
              <w:ind w:right="316"/>
              <w:jc w:val="right"/>
              <w:rPr>
                <w:color w:val="000000"/>
                <w:sz w:val="22"/>
                <w:szCs w:val="22"/>
              </w:rPr>
            </w:pPr>
          </w:p>
        </w:tc>
      </w:tr>
      <w:tr w:rsidR="00706A2E" w:rsidRPr="00391E0F" w14:paraId="77151E65" w14:textId="77777777" w:rsidTr="003D1E39">
        <w:trPr>
          <w:trHeight w:val="300"/>
        </w:trPr>
        <w:tc>
          <w:tcPr>
            <w:tcW w:w="1980" w:type="dxa"/>
            <w:shd w:val="clear" w:color="000000" w:fill="FFFFFF"/>
            <w:noWrap/>
            <w:vAlign w:val="center"/>
          </w:tcPr>
          <w:p w14:paraId="41F1C9D6"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w:t>
            </w:r>
            <w:r>
              <w:rPr>
                <w:color w:val="000000"/>
                <w:sz w:val="22"/>
                <w:szCs w:val="22"/>
              </w:rPr>
              <w:t>Northeast</w:t>
            </w:r>
          </w:p>
        </w:tc>
        <w:tc>
          <w:tcPr>
            <w:tcW w:w="1904" w:type="dxa"/>
            <w:shd w:val="clear" w:color="000000" w:fill="FFFFFF"/>
            <w:noWrap/>
            <w:vAlign w:val="center"/>
          </w:tcPr>
          <w:p w14:paraId="73D8FFDD" w14:textId="77777777" w:rsidR="00706A2E" w:rsidRPr="00391E0F" w:rsidRDefault="00706A2E" w:rsidP="003D1E39">
            <w:pPr>
              <w:spacing w:line="276" w:lineRule="auto"/>
              <w:ind w:right="360"/>
              <w:jc w:val="right"/>
              <w:rPr>
                <w:color w:val="000000"/>
                <w:sz w:val="22"/>
                <w:szCs w:val="22"/>
              </w:rPr>
            </w:pPr>
            <w:r>
              <w:rPr>
                <w:color w:val="000000"/>
                <w:sz w:val="22"/>
                <w:szCs w:val="22"/>
              </w:rPr>
              <w:t>57.5</w:t>
            </w:r>
          </w:p>
        </w:tc>
        <w:tc>
          <w:tcPr>
            <w:tcW w:w="1560" w:type="dxa"/>
            <w:shd w:val="clear" w:color="000000" w:fill="FFFFFF"/>
            <w:vAlign w:val="bottom"/>
          </w:tcPr>
          <w:p w14:paraId="66DCBB6B"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3D0ED4B5" w14:textId="77777777" w:rsidR="00706A2E" w:rsidRPr="00391E0F" w:rsidRDefault="00706A2E" w:rsidP="003D1E39">
            <w:pPr>
              <w:spacing w:line="276" w:lineRule="auto"/>
              <w:ind w:left="121"/>
              <w:rPr>
                <w:color w:val="000000"/>
                <w:sz w:val="22"/>
                <w:szCs w:val="22"/>
              </w:rPr>
            </w:pPr>
          </w:p>
        </w:tc>
        <w:tc>
          <w:tcPr>
            <w:tcW w:w="1860" w:type="dxa"/>
            <w:shd w:val="clear" w:color="000000" w:fill="FFFFFF"/>
            <w:vAlign w:val="center"/>
          </w:tcPr>
          <w:p w14:paraId="7D02FF9D" w14:textId="77777777" w:rsidR="00706A2E" w:rsidRPr="00391E0F" w:rsidRDefault="00706A2E" w:rsidP="003D1E39">
            <w:pPr>
              <w:spacing w:line="276" w:lineRule="auto"/>
              <w:ind w:right="316"/>
              <w:jc w:val="right"/>
              <w:rPr>
                <w:color w:val="000000"/>
                <w:sz w:val="22"/>
                <w:szCs w:val="22"/>
              </w:rPr>
            </w:pPr>
          </w:p>
        </w:tc>
      </w:tr>
      <w:tr w:rsidR="00706A2E" w:rsidRPr="00391E0F" w14:paraId="19EEA515" w14:textId="77777777" w:rsidTr="003D1E39">
        <w:trPr>
          <w:trHeight w:val="300"/>
        </w:trPr>
        <w:tc>
          <w:tcPr>
            <w:tcW w:w="1980" w:type="dxa"/>
            <w:shd w:val="clear" w:color="000000" w:fill="FFFFFF"/>
            <w:noWrap/>
            <w:vAlign w:val="center"/>
          </w:tcPr>
          <w:p w14:paraId="003C0C58"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w:t>
            </w:r>
            <w:r>
              <w:rPr>
                <w:color w:val="000000"/>
                <w:sz w:val="22"/>
                <w:szCs w:val="22"/>
              </w:rPr>
              <w:t>Midwest</w:t>
            </w:r>
          </w:p>
        </w:tc>
        <w:tc>
          <w:tcPr>
            <w:tcW w:w="1904" w:type="dxa"/>
            <w:shd w:val="clear" w:color="000000" w:fill="FFFFFF"/>
            <w:noWrap/>
            <w:vAlign w:val="center"/>
          </w:tcPr>
          <w:p w14:paraId="1AB244FE" w14:textId="77777777" w:rsidR="00706A2E" w:rsidRPr="00391E0F" w:rsidRDefault="00706A2E" w:rsidP="003D1E39">
            <w:pPr>
              <w:spacing w:line="276" w:lineRule="auto"/>
              <w:ind w:right="360"/>
              <w:jc w:val="right"/>
              <w:rPr>
                <w:color w:val="000000"/>
                <w:sz w:val="22"/>
                <w:szCs w:val="22"/>
              </w:rPr>
            </w:pPr>
            <w:r>
              <w:rPr>
                <w:color w:val="000000"/>
                <w:sz w:val="22"/>
                <w:szCs w:val="22"/>
              </w:rPr>
              <w:t>2.9</w:t>
            </w:r>
          </w:p>
        </w:tc>
        <w:tc>
          <w:tcPr>
            <w:tcW w:w="1560" w:type="dxa"/>
            <w:shd w:val="clear" w:color="000000" w:fill="FFFFFF"/>
            <w:vAlign w:val="bottom"/>
          </w:tcPr>
          <w:p w14:paraId="440D8084"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550831AD" w14:textId="77777777" w:rsidR="00706A2E" w:rsidRPr="00391E0F" w:rsidRDefault="00706A2E" w:rsidP="003D1E39">
            <w:pPr>
              <w:spacing w:line="276" w:lineRule="auto"/>
              <w:ind w:left="121"/>
              <w:rPr>
                <w:color w:val="000000"/>
                <w:sz w:val="22"/>
                <w:szCs w:val="22"/>
              </w:rPr>
            </w:pPr>
          </w:p>
        </w:tc>
        <w:tc>
          <w:tcPr>
            <w:tcW w:w="1860" w:type="dxa"/>
            <w:shd w:val="clear" w:color="000000" w:fill="FFFFFF"/>
            <w:vAlign w:val="center"/>
          </w:tcPr>
          <w:p w14:paraId="36669F00" w14:textId="77777777" w:rsidR="00706A2E" w:rsidRPr="00391E0F" w:rsidRDefault="00706A2E" w:rsidP="003D1E39">
            <w:pPr>
              <w:spacing w:line="276" w:lineRule="auto"/>
              <w:ind w:right="316"/>
              <w:jc w:val="right"/>
              <w:rPr>
                <w:color w:val="000000"/>
                <w:sz w:val="22"/>
                <w:szCs w:val="22"/>
              </w:rPr>
            </w:pPr>
          </w:p>
        </w:tc>
      </w:tr>
      <w:tr w:rsidR="00706A2E" w:rsidRPr="00391E0F" w14:paraId="37BF5454" w14:textId="77777777" w:rsidTr="003D1E39">
        <w:trPr>
          <w:trHeight w:val="300"/>
        </w:trPr>
        <w:tc>
          <w:tcPr>
            <w:tcW w:w="1980" w:type="dxa"/>
            <w:shd w:val="clear" w:color="000000" w:fill="FFFFFF"/>
            <w:noWrap/>
            <w:vAlign w:val="center"/>
          </w:tcPr>
          <w:p w14:paraId="733FE78C"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w:t>
            </w:r>
            <w:r>
              <w:rPr>
                <w:color w:val="000000"/>
                <w:sz w:val="22"/>
                <w:szCs w:val="22"/>
              </w:rPr>
              <w:t>South</w:t>
            </w:r>
          </w:p>
        </w:tc>
        <w:tc>
          <w:tcPr>
            <w:tcW w:w="1904" w:type="dxa"/>
            <w:shd w:val="clear" w:color="000000" w:fill="FFFFFF"/>
            <w:noWrap/>
            <w:vAlign w:val="center"/>
          </w:tcPr>
          <w:p w14:paraId="75A2ECA7" w14:textId="77777777" w:rsidR="00706A2E" w:rsidRPr="00391E0F" w:rsidRDefault="00706A2E" w:rsidP="003D1E39">
            <w:pPr>
              <w:spacing w:line="276" w:lineRule="auto"/>
              <w:ind w:right="360"/>
              <w:jc w:val="right"/>
              <w:rPr>
                <w:color w:val="000000"/>
                <w:sz w:val="22"/>
                <w:szCs w:val="22"/>
              </w:rPr>
            </w:pPr>
            <w:r>
              <w:rPr>
                <w:color w:val="000000"/>
                <w:sz w:val="22"/>
                <w:szCs w:val="22"/>
              </w:rPr>
              <w:t>8.4</w:t>
            </w:r>
          </w:p>
        </w:tc>
        <w:tc>
          <w:tcPr>
            <w:tcW w:w="1560" w:type="dxa"/>
            <w:shd w:val="clear" w:color="000000" w:fill="FFFFFF"/>
            <w:vAlign w:val="bottom"/>
          </w:tcPr>
          <w:p w14:paraId="065DBA2F"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54BC45C2" w14:textId="77777777" w:rsidR="00706A2E" w:rsidRPr="00391E0F" w:rsidRDefault="00706A2E" w:rsidP="003D1E39">
            <w:pPr>
              <w:spacing w:line="276" w:lineRule="auto"/>
              <w:ind w:left="121"/>
              <w:rPr>
                <w:color w:val="000000"/>
                <w:sz w:val="22"/>
                <w:szCs w:val="22"/>
              </w:rPr>
            </w:pPr>
          </w:p>
        </w:tc>
        <w:tc>
          <w:tcPr>
            <w:tcW w:w="1860" w:type="dxa"/>
            <w:shd w:val="clear" w:color="000000" w:fill="FFFFFF"/>
            <w:vAlign w:val="center"/>
          </w:tcPr>
          <w:p w14:paraId="55CD1584" w14:textId="77777777" w:rsidR="00706A2E" w:rsidRPr="00391E0F" w:rsidRDefault="00706A2E" w:rsidP="003D1E39">
            <w:pPr>
              <w:spacing w:line="276" w:lineRule="auto"/>
              <w:ind w:right="316"/>
              <w:jc w:val="right"/>
              <w:rPr>
                <w:color w:val="000000"/>
                <w:sz w:val="22"/>
                <w:szCs w:val="22"/>
              </w:rPr>
            </w:pPr>
          </w:p>
        </w:tc>
      </w:tr>
      <w:tr w:rsidR="00706A2E" w:rsidRPr="00391E0F" w14:paraId="7C370228" w14:textId="77777777" w:rsidTr="003D1E39">
        <w:trPr>
          <w:trHeight w:val="300"/>
        </w:trPr>
        <w:tc>
          <w:tcPr>
            <w:tcW w:w="1980" w:type="dxa"/>
            <w:shd w:val="clear" w:color="000000" w:fill="FFFFFF"/>
            <w:noWrap/>
            <w:vAlign w:val="center"/>
          </w:tcPr>
          <w:p w14:paraId="4212D928" w14:textId="77777777" w:rsidR="00706A2E" w:rsidRPr="00391E0F" w:rsidRDefault="00706A2E" w:rsidP="003D1E39">
            <w:pPr>
              <w:spacing w:line="276" w:lineRule="auto"/>
              <w:ind w:left="165"/>
              <w:rPr>
                <w:color w:val="000000"/>
                <w:sz w:val="22"/>
                <w:szCs w:val="22"/>
              </w:rPr>
            </w:pPr>
            <w:r w:rsidRPr="00391E0F">
              <w:rPr>
                <w:color w:val="000000"/>
                <w:sz w:val="22"/>
                <w:szCs w:val="22"/>
              </w:rPr>
              <w:t xml:space="preserve">    </w:t>
            </w:r>
            <w:r>
              <w:rPr>
                <w:color w:val="000000"/>
                <w:sz w:val="22"/>
                <w:szCs w:val="22"/>
              </w:rPr>
              <w:t>W</w:t>
            </w:r>
            <w:r w:rsidRPr="00391E0F">
              <w:rPr>
                <w:color w:val="000000"/>
                <w:sz w:val="22"/>
                <w:szCs w:val="22"/>
              </w:rPr>
              <w:t>e</w:t>
            </w:r>
            <w:r>
              <w:rPr>
                <w:color w:val="000000"/>
                <w:sz w:val="22"/>
                <w:szCs w:val="22"/>
              </w:rPr>
              <w:t>st</w:t>
            </w:r>
          </w:p>
        </w:tc>
        <w:tc>
          <w:tcPr>
            <w:tcW w:w="1904" w:type="dxa"/>
            <w:shd w:val="clear" w:color="000000" w:fill="FFFFFF"/>
            <w:noWrap/>
            <w:vAlign w:val="center"/>
          </w:tcPr>
          <w:p w14:paraId="6821A7AC" w14:textId="77777777" w:rsidR="00706A2E" w:rsidRPr="00391E0F" w:rsidRDefault="00706A2E" w:rsidP="003D1E39">
            <w:pPr>
              <w:spacing w:line="276" w:lineRule="auto"/>
              <w:ind w:right="360"/>
              <w:jc w:val="right"/>
              <w:rPr>
                <w:color w:val="000000"/>
                <w:sz w:val="22"/>
                <w:szCs w:val="22"/>
              </w:rPr>
            </w:pPr>
            <w:r>
              <w:rPr>
                <w:color w:val="000000"/>
                <w:sz w:val="22"/>
                <w:szCs w:val="22"/>
              </w:rPr>
              <w:t>31.2</w:t>
            </w:r>
          </w:p>
        </w:tc>
        <w:tc>
          <w:tcPr>
            <w:tcW w:w="1560" w:type="dxa"/>
            <w:shd w:val="clear" w:color="000000" w:fill="FFFFFF"/>
            <w:vAlign w:val="bottom"/>
          </w:tcPr>
          <w:p w14:paraId="6E2A7103" w14:textId="77777777" w:rsidR="00706A2E" w:rsidRPr="00391E0F" w:rsidRDefault="00706A2E" w:rsidP="003D1E39">
            <w:pPr>
              <w:spacing w:line="276" w:lineRule="auto"/>
              <w:jc w:val="right"/>
              <w:rPr>
                <w:color w:val="000000"/>
                <w:sz w:val="22"/>
                <w:szCs w:val="22"/>
              </w:rPr>
            </w:pPr>
          </w:p>
        </w:tc>
        <w:tc>
          <w:tcPr>
            <w:tcW w:w="1936" w:type="dxa"/>
            <w:shd w:val="clear" w:color="000000" w:fill="FFFFFF"/>
            <w:vAlign w:val="center"/>
          </w:tcPr>
          <w:p w14:paraId="6D3E5FC5" w14:textId="77777777" w:rsidR="00706A2E" w:rsidRPr="00391E0F" w:rsidRDefault="00706A2E" w:rsidP="003D1E39">
            <w:pPr>
              <w:spacing w:line="276" w:lineRule="auto"/>
              <w:ind w:left="121"/>
              <w:rPr>
                <w:color w:val="000000"/>
                <w:sz w:val="22"/>
                <w:szCs w:val="22"/>
              </w:rPr>
            </w:pPr>
          </w:p>
        </w:tc>
        <w:tc>
          <w:tcPr>
            <w:tcW w:w="1860" w:type="dxa"/>
            <w:shd w:val="clear" w:color="000000" w:fill="FFFFFF"/>
            <w:vAlign w:val="center"/>
          </w:tcPr>
          <w:p w14:paraId="0CED0720" w14:textId="77777777" w:rsidR="00706A2E" w:rsidRPr="00391E0F" w:rsidRDefault="00706A2E" w:rsidP="003D1E39">
            <w:pPr>
              <w:spacing w:line="276" w:lineRule="auto"/>
              <w:ind w:right="316"/>
              <w:jc w:val="right"/>
              <w:rPr>
                <w:color w:val="000000"/>
                <w:sz w:val="22"/>
                <w:szCs w:val="22"/>
              </w:rPr>
            </w:pPr>
          </w:p>
        </w:tc>
      </w:tr>
    </w:tbl>
    <w:p w14:paraId="655AA6D3" w14:textId="77777777" w:rsidR="00706A2E" w:rsidRDefault="00706A2E" w:rsidP="00706A2E">
      <w:pPr>
        <w:pStyle w:val="BodyText1"/>
        <w:spacing w:before="40"/>
        <w:ind w:left="187" w:firstLine="0"/>
      </w:pPr>
      <w:r>
        <w:rPr>
          <w:rFonts w:eastAsia="MS Mincho"/>
          <w:snapToGrid w:val="0"/>
          <w:sz w:val="20"/>
        </w:rPr>
        <w:t xml:space="preserve">TEDS-A = </w:t>
      </w:r>
      <w:r w:rsidRPr="00B81ADC">
        <w:rPr>
          <w:rFonts w:eastAsia="MS Mincho"/>
          <w:snapToGrid w:val="0"/>
          <w:sz w:val="20"/>
        </w:rPr>
        <w:t>admissions file from the Treatment Episode Data Set</w:t>
      </w:r>
      <w:r>
        <w:rPr>
          <w:rFonts w:eastAsia="MS Mincho"/>
          <w:snapToGrid w:val="0"/>
          <w:sz w:val="20"/>
        </w:rPr>
        <w:t>, 2014.</w:t>
      </w:r>
    </w:p>
    <w:p w14:paraId="1AD4CDBD" w14:textId="2E318739" w:rsidR="00C325DA" w:rsidRDefault="00C325DA" w:rsidP="00C325DA">
      <w:pPr>
        <w:pStyle w:val="BodyText1"/>
      </w:pPr>
      <w:r>
        <w:t>The use of sample quotas has several advantages for The MAT Study.</w:t>
      </w:r>
      <w:r w:rsidR="0014262B">
        <w:t xml:space="preserve"> For example, the take-all approach will enable efficient recruiting of study participants within the compressed enrollment period. Second, sample quotas can be easily understood and implemented by FIs in the field, unlike advanced sampling methods that require interaction with project statisticians. Third, for satisfied quotas, site staff are told to stop referring patients with certain traits, thus reducing burden.  Finally, sample quotas are set in line with </w:t>
      </w:r>
      <w:r w:rsidR="001F38CC">
        <w:t xml:space="preserve">the MAT </w:t>
      </w:r>
      <w:r w:rsidR="0014262B">
        <w:t>analytic models in an effort to increase the statistical power of the analyses</w:t>
      </w:r>
      <w:r w:rsidR="001F38CC">
        <w:t xml:space="preserve"> (see, e.g., </w:t>
      </w:r>
      <w:r w:rsidR="001F38CC">
        <w:rPr>
          <w:rFonts w:cs="Arial"/>
        </w:rPr>
        <w:t>Brewer,</w:t>
      </w:r>
      <w:r w:rsidR="001F38CC" w:rsidRPr="0014262B">
        <w:rPr>
          <w:rFonts w:cs="Arial"/>
        </w:rPr>
        <w:t xml:space="preserve"> 1999)</w:t>
      </w:r>
      <w:r w:rsidR="0014262B">
        <w:t>.</w:t>
      </w:r>
    </w:p>
    <w:p w14:paraId="26938D20" w14:textId="022240CC" w:rsidR="009E2854" w:rsidRDefault="001F38CC" w:rsidP="00C325DA">
      <w:pPr>
        <w:pStyle w:val="BodyText1"/>
      </w:pPr>
      <w:r>
        <w:t xml:space="preserve">A major assumption behind the effective use of quota sampling is that there is no systematic bias in how patients are enrolled. Study training will emphasize the study eligibility criteria and the need for such level of unbiasedness. Additionally, </w:t>
      </w:r>
      <w:r w:rsidR="00E13487">
        <w:t xml:space="preserve">the </w:t>
      </w:r>
      <w:r>
        <w:t xml:space="preserve">relatively short </w:t>
      </w:r>
      <w:r w:rsidR="00E13487">
        <w:t xml:space="preserve">MAT </w:t>
      </w:r>
      <w:r>
        <w:t>enrollment period in our opinion precludes the concern for a seasonality effect that would</w:t>
      </w:r>
      <w:r w:rsidR="00E13487">
        <w:t xml:space="preserve"> require a </w:t>
      </w:r>
      <w:r>
        <w:t xml:space="preserve">consistent sampling </w:t>
      </w:r>
      <w:r w:rsidR="00E13487">
        <w:t>rate across the time period.</w:t>
      </w:r>
      <w:r w:rsidR="009E2854">
        <w:t xml:space="preserve"> </w:t>
      </w:r>
    </w:p>
    <w:p w14:paraId="677D584F" w14:textId="5A168302" w:rsidR="0082657F" w:rsidRDefault="00203444" w:rsidP="00EB7EA4">
      <w:pPr>
        <w:pStyle w:val="BodyText1"/>
        <w:rPr>
          <w:b/>
        </w:rPr>
      </w:pPr>
      <w:r>
        <w:t>T</w:t>
      </w:r>
      <w:r w:rsidR="00786946">
        <w:t xml:space="preserve">he study team anticipates receiving </w:t>
      </w:r>
      <w:r w:rsidR="00706A2E">
        <w:t xml:space="preserve">approximately </w:t>
      </w:r>
      <w:r w:rsidR="000801A8">
        <w:t>5,</w:t>
      </w:r>
      <w:r w:rsidR="00706A2E">
        <w:t>500</w:t>
      </w:r>
      <w:r w:rsidR="005D0E83">
        <w:t xml:space="preserve"> </w:t>
      </w:r>
      <w:r>
        <w:t xml:space="preserve">patient referrals </w:t>
      </w:r>
      <w:r w:rsidR="00786946">
        <w:t>of which 3,</w:t>
      </w:r>
      <w:r w:rsidR="005D0E83">
        <w:t xml:space="preserve">560 </w:t>
      </w:r>
      <w:r>
        <w:t xml:space="preserve">are confirmed </w:t>
      </w:r>
      <w:r w:rsidR="00EB7EA4">
        <w:t xml:space="preserve">to </w:t>
      </w:r>
      <w:r w:rsidR="00786946">
        <w:t>be eligible and agree to participate</w:t>
      </w:r>
      <w:r w:rsidR="00117177">
        <w:t>.</w:t>
      </w:r>
      <w:r w:rsidR="003311F0">
        <w:t xml:space="preserve"> </w:t>
      </w:r>
      <w:r w:rsidR="00117177">
        <w:t xml:space="preserve">The </w:t>
      </w:r>
      <w:r w:rsidR="00497034">
        <w:t xml:space="preserve">Study </w:t>
      </w:r>
      <w:r w:rsidR="00117177">
        <w:t>Check-In is expected to be completed by at least 80% of the 3,</w:t>
      </w:r>
      <w:r w:rsidR="005D0E83">
        <w:t xml:space="preserve">560 </w:t>
      </w:r>
      <w:r w:rsidR="006E78C6">
        <w:t xml:space="preserve">Baseline </w:t>
      </w:r>
      <w:r w:rsidR="007367F8">
        <w:t>Patient</w:t>
      </w:r>
      <w:r w:rsidR="00117177">
        <w:t xml:space="preserve"> Questionnaire respondents. Finally, expected </w:t>
      </w:r>
      <w:r w:rsidR="00A97E97">
        <w:t xml:space="preserve">participation </w:t>
      </w:r>
      <w:r w:rsidR="00117177">
        <w:t xml:space="preserve">rates for the </w:t>
      </w:r>
      <w:r w:rsidR="00FB7318">
        <w:t xml:space="preserve">baseline and 12- and 24-month follow-up </w:t>
      </w:r>
      <w:r w:rsidR="007367F8">
        <w:t>Patient</w:t>
      </w:r>
      <w:r w:rsidR="00117177">
        <w:t xml:space="preserve"> Questionnaire</w:t>
      </w:r>
      <w:r w:rsidR="00FB7318">
        <w:t>s</w:t>
      </w:r>
      <w:r w:rsidR="00117177">
        <w:t xml:space="preserve"> are shown in </w:t>
      </w:r>
      <w:r w:rsidR="00117177" w:rsidRPr="00B81ADC">
        <w:rPr>
          <w:b/>
          <w:i/>
        </w:rPr>
        <w:t xml:space="preserve">Exhibit </w:t>
      </w:r>
      <w:r w:rsidR="00B81ADC" w:rsidRPr="00B81ADC">
        <w:rPr>
          <w:b/>
          <w:i/>
        </w:rPr>
        <w:t>3</w:t>
      </w:r>
      <w:r w:rsidR="00117177">
        <w:rPr>
          <w:b/>
        </w:rPr>
        <w:t>.</w:t>
      </w:r>
      <w:r w:rsidR="003D506D">
        <w:rPr>
          <w:b/>
        </w:rPr>
        <w:t xml:space="preserve"> </w:t>
      </w:r>
    </w:p>
    <w:p w14:paraId="400B5B09" w14:textId="4A249473" w:rsidR="00411AB2" w:rsidRDefault="003D506D" w:rsidP="00411AB2">
      <w:pPr>
        <w:pStyle w:val="BodyText1"/>
      </w:pPr>
      <w:r>
        <w:t xml:space="preserve">The data collection approach outlined in </w:t>
      </w:r>
      <w:r w:rsidRPr="0043394F">
        <w:t>Section B.</w:t>
      </w:r>
      <w:r w:rsidR="00D95ECA" w:rsidRPr="0043394F">
        <w:t>3</w:t>
      </w:r>
      <w:r w:rsidRPr="0043394F">
        <w:t xml:space="preserve"> will support the expected </w:t>
      </w:r>
      <w:r w:rsidR="0082657F">
        <w:t>participation</w:t>
      </w:r>
      <w:r w:rsidR="00497034" w:rsidRPr="0043394F">
        <w:t xml:space="preserve"> </w:t>
      </w:r>
      <w:r w:rsidRPr="0043394F">
        <w:t>rate</w:t>
      </w:r>
      <w:r w:rsidR="00497034">
        <w:t xml:space="preserve">s shown in </w:t>
      </w:r>
      <w:r w:rsidR="009F6D65">
        <w:t>Exhibit 3</w:t>
      </w:r>
      <w:r w:rsidR="0082657F">
        <w:t>.</w:t>
      </w:r>
      <w:r w:rsidR="00A97E97">
        <w:t xml:space="preserve">  Participation rates instead of response rates are used in acknowledgment of the nonprobability sample design and of standard definitions recommended by The American Association for Public Opinion Research (AAPOR, 2016; </w:t>
      </w:r>
      <w:r w:rsidR="004D652E">
        <w:t xml:space="preserve">Baker et al., 2013). </w:t>
      </w:r>
      <w:r w:rsidR="0082657F">
        <w:t xml:space="preserve"> T</w:t>
      </w:r>
      <w:r w:rsidR="00497034">
        <w:t xml:space="preserve">hese rates are </w:t>
      </w:r>
      <w:r w:rsidR="00497034" w:rsidRPr="00497034">
        <w:t xml:space="preserve">based on past studies </w:t>
      </w:r>
      <w:r w:rsidR="00497034">
        <w:t xml:space="preserve">such as </w:t>
      </w:r>
      <w:r w:rsidR="00411AB2">
        <w:t>Hser</w:t>
      </w:r>
      <w:r w:rsidR="00411AB2" w:rsidRPr="00497034">
        <w:t xml:space="preserve"> </w:t>
      </w:r>
      <w:r w:rsidR="00497034" w:rsidRPr="00497034">
        <w:t>et al. (2015), and Desmond et al. (1995)</w:t>
      </w:r>
      <w:r w:rsidR="00411AB2">
        <w:t xml:space="preserve">. For example, Hser et al (2015) conducted a long-term follow-up among patients initially randomized to receive buprenorphine or methadone. They found 89.4% of their targeted sample over an average 4.5-year follow-up period. In a case study of best practices for recruitment, Desmond et al studied illicit opioid users starting in MMT.  Overall, 12-month follow-up was obtained for 98% of the sample. Broken down, 100% of those in treatment were followed up and 96% of those discharged. Of those discharged, 80% were followed up within 2 months of the anniversary window. </w:t>
      </w:r>
    </w:p>
    <w:p w14:paraId="0B6F56CB" w14:textId="77777777" w:rsidR="00411AB2" w:rsidRPr="00411AB2" w:rsidRDefault="00411AB2" w:rsidP="00411AB2">
      <w:pPr>
        <w:pStyle w:val="BodyText1"/>
      </w:pPr>
    </w:p>
    <w:p w14:paraId="2CCB7C6F" w14:textId="77777777" w:rsidR="00411AB2" w:rsidRDefault="00411AB2" w:rsidP="00EB7EA4">
      <w:pPr>
        <w:pStyle w:val="BodyText1"/>
      </w:pPr>
    </w:p>
    <w:p w14:paraId="02568DC6" w14:textId="77777777" w:rsidR="00706A2E" w:rsidRDefault="00706A2E" w:rsidP="00EB7EA4">
      <w:pPr>
        <w:pStyle w:val="BodyText1"/>
      </w:pPr>
    </w:p>
    <w:p w14:paraId="55E2AA2E" w14:textId="77777777" w:rsidR="00706A2E" w:rsidRDefault="00706A2E" w:rsidP="00EB7EA4">
      <w:pPr>
        <w:pStyle w:val="BodyText1"/>
      </w:pPr>
    </w:p>
    <w:p w14:paraId="5301AA58" w14:textId="77777777" w:rsidR="00706A2E" w:rsidRDefault="00706A2E" w:rsidP="00EB7EA4">
      <w:pPr>
        <w:pStyle w:val="BodyText1"/>
      </w:pPr>
    </w:p>
    <w:p w14:paraId="5C599976" w14:textId="77777777" w:rsidR="00706A2E" w:rsidRDefault="00706A2E" w:rsidP="00EB7EA4">
      <w:pPr>
        <w:pStyle w:val="BodyText1"/>
      </w:pPr>
    </w:p>
    <w:p w14:paraId="224497D5" w14:textId="77777777" w:rsidR="00706A2E" w:rsidRDefault="00706A2E" w:rsidP="00EB7EA4">
      <w:pPr>
        <w:pStyle w:val="BodyText1"/>
      </w:pPr>
    </w:p>
    <w:p w14:paraId="1FA7D66D" w14:textId="785FE78D" w:rsidR="00BE3378" w:rsidRPr="0043394F" w:rsidRDefault="00BE3378" w:rsidP="00EB7EA4">
      <w:pPr>
        <w:pStyle w:val="BodyText1"/>
      </w:pPr>
    </w:p>
    <w:p w14:paraId="3638CF1B" w14:textId="1242FC05" w:rsidR="00802D38" w:rsidRDefault="00802D38" w:rsidP="00802D38">
      <w:pPr>
        <w:pStyle w:val="FigureTitle"/>
      </w:pPr>
      <w:bookmarkStart w:id="17" w:name="_Toc475451158"/>
      <w:bookmarkStart w:id="18" w:name="_Toc505507453"/>
      <w:r>
        <w:t xml:space="preserve">Exhibit </w:t>
      </w:r>
      <w:r w:rsidR="002576CA">
        <w:t>3</w:t>
      </w:r>
      <w:r w:rsidRPr="00785152">
        <w:t>.</w:t>
      </w:r>
      <w:r w:rsidR="004A07AB">
        <w:tab/>
      </w:r>
      <w:r w:rsidR="007367F8">
        <w:t>Patient</w:t>
      </w:r>
      <w:r>
        <w:t xml:space="preserve"> </w:t>
      </w:r>
      <w:r w:rsidRPr="00785152">
        <w:t xml:space="preserve">Sampling for </w:t>
      </w:r>
      <w:bookmarkEnd w:id="17"/>
      <w:r w:rsidR="000752EE">
        <w:t>MAT Study</w:t>
      </w:r>
      <w:bookmarkEnd w:id="18"/>
    </w:p>
    <w:tbl>
      <w:tblPr>
        <w:tblStyle w:val="TableGrid"/>
        <w:tblW w:w="9757"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firstRow="1" w:lastRow="0" w:firstColumn="1" w:lastColumn="0" w:noHBand="0" w:noVBand="1"/>
      </w:tblPr>
      <w:tblGrid>
        <w:gridCol w:w="2984"/>
        <w:gridCol w:w="2247"/>
        <w:gridCol w:w="1879"/>
        <w:gridCol w:w="2647"/>
      </w:tblGrid>
      <w:tr w:rsidR="006577DB" w14:paraId="418E2210" w14:textId="77777777" w:rsidTr="002019DD">
        <w:tc>
          <w:tcPr>
            <w:tcW w:w="2984" w:type="dxa"/>
            <w:vMerge w:val="restart"/>
            <w:vAlign w:val="bottom"/>
          </w:tcPr>
          <w:p w14:paraId="7C667A1A" w14:textId="5AE180D1" w:rsidR="006577DB" w:rsidRDefault="006577DB" w:rsidP="00802D38">
            <w:pPr>
              <w:pStyle w:val="TableHeaders"/>
            </w:pPr>
            <w:bookmarkStart w:id="19" w:name="_Toc8007710"/>
            <w:bookmarkStart w:id="20" w:name="_Toc88033494"/>
            <w:bookmarkStart w:id="21" w:name="_Toc457852719"/>
            <w:r>
              <w:t xml:space="preserve">Patient Contact and </w:t>
            </w:r>
            <w:r w:rsidRPr="00802D38">
              <w:t>Questionnaire</w:t>
            </w:r>
          </w:p>
        </w:tc>
        <w:tc>
          <w:tcPr>
            <w:tcW w:w="2247" w:type="dxa"/>
            <w:vMerge w:val="restart"/>
            <w:vAlign w:val="bottom"/>
          </w:tcPr>
          <w:p w14:paraId="02673794" w14:textId="145B93BE" w:rsidR="006577DB" w:rsidRDefault="006577DB" w:rsidP="00802D38">
            <w:pPr>
              <w:pStyle w:val="TableHeaders"/>
            </w:pPr>
            <w:r w:rsidRPr="00802D38">
              <w:t xml:space="preserve">Target Number </w:t>
            </w:r>
            <w:r w:rsidRPr="00802D38">
              <w:br/>
              <w:t>of Interviews</w:t>
            </w:r>
          </w:p>
        </w:tc>
        <w:tc>
          <w:tcPr>
            <w:tcW w:w="4526" w:type="dxa"/>
            <w:gridSpan w:val="2"/>
            <w:tcBorders>
              <w:bottom w:val="single" w:sz="6" w:space="0" w:color="auto"/>
            </w:tcBorders>
          </w:tcPr>
          <w:p w14:paraId="4CCBCD41" w14:textId="255BA647" w:rsidR="006577DB" w:rsidRDefault="006577DB" w:rsidP="00802D38">
            <w:pPr>
              <w:pStyle w:val="TableHeaders"/>
            </w:pPr>
            <w:r w:rsidRPr="00802D38">
              <w:t xml:space="preserve">Target </w:t>
            </w:r>
            <w:r>
              <w:t>Participation Rate</w:t>
            </w:r>
            <w:r w:rsidR="00554570">
              <w:t>s</w:t>
            </w:r>
            <w:r w:rsidR="00554570" w:rsidRPr="00554570">
              <w:rPr>
                <w:b w:val="0"/>
                <w:vertAlign w:val="superscript"/>
              </w:rPr>
              <w:t>1</w:t>
            </w:r>
          </w:p>
        </w:tc>
      </w:tr>
      <w:tr w:rsidR="004D652E" w14:paraId="2F3410BC" w14:textId="77777777" w:rsidTr="004D652E">
        <w:tc>
          <w:tcPr>
            <w:tcW w:w="2984" w:type="dxa"/>
            <w:vMerge/>
            <w:tcBorders>
              <w:bottom w:val="single" w:sz="6" w:space="0" w:color="auto"/>
            </w:tcBorders>
            <w:vAlign w:val="bottom"/>
          </w:tcPr>
          <w:p w14:paraId="116C28B7" w14:textId="77777777" w:rsidR="006577DB" w:rsidRPr="00802D38" w:rsidDel="007367F8" w:rsidRDefault="006577DB" w:rsidP="00802D38">
            <w:pPr>
              <w:pStyle w:val="TableHeaders"/>
            </w:pPr>
          </w:p>
        </w:tc>
        <w:tc>
          <w:tcPr>
            <w:tcW w:w="2247" w:type="dxa"/>
            <w:vMerge/>
            <w:tcBorders>
              <w:bottom w:val="single" w:sz="6" w:space="0" w:color="auto"/>
            </w:tcBorders>
            <w:vAlign w:val="bottom"/>
          </w:tcPr>
          <w:p w14:paraId="7D62C194" w14:textId="77777777" w:rsidR="006577DB" w:rsidRPr="00802D38" w:rsidRDefault="006577DB" w:rsidP="00802D38">
            <w:pPr>
              <w:pStyle w:val="TableHeaders"/>
            </w:pPr>
          </w:p>
        </w:tc>
        <w:tc>
          <w:tcPr>
            <w:tcW w:w="1879" w:type="dxa"/>
            <w:tcBorders>
              <w:bottom w:val="single" w:sz="6" w:space="0" w:color="auto"/>
            </w:tcBorders>
          </w:tcPr>
          <w:p w14:paraId="50A94772" w14:textId="0CB9F4FD" w:rsidR="006577DB" w:rsidRPr="00802D38" w:rsidRDefault="006577DB" w:rsidP="00802D38">
            <w:pPr>
              <w:pStyle w:val="TableHeaders"/>
            </w:pPr>
            <w:r>
              <w:t>Referrals</w:t>
            </w:r>
            <w:r w:rsidR="00554570">
              <w:t xml:space="preserve"> (%)</w:t>
            </w:r>
            <w:r w:rsidR="004D652E">
              <w:rPr>
                <w:b w:val="0"/>
                <w:vertAlign w:val="superscript"/>
              </w:rPr>
              <w:t>2</w:t>
            </w:r>
          </w:p>
        </w:tc>
        <w:tc>
          <w:tcPr>
            <w:tcW w:w="2642" w:type="dxa"/>
            <w:tcBorders>
              <w:bottom w:val="single" w:sz="6" w:space="0" w:color="auto"/>
            </w:tcBorders>
            <w:vAlign w:val="bottom"/>
          </w:tcPr>
          <w:p w14:paraId="0926C3D9" w14:textId="2FED79A9" w:rsidR="006577DB" w:rsidRPr="00802D38" w:rsidRDefault="006577DB" w:rsidP="00802D38">
            <w:pPr>
              <w:pStyle w:val="TableHeaders"/>
            </w:pPr>
            <w:r>
              <w:t>Baseline</w:t>
            </w:r>
            <w:r w:rsidR="00554570">
              <w:t xml:space="preserve"> (%)</w:t>
            </w:r>
            <w:r w:rsidR="004D652E">
              <w:rPr>
                <w:b w:val="0"/>
                <w:vertAlign w:val="superscript"/>
              </w:rPr>
              <w:t>3</w:t>
            </w:r>
          </w:p>
        </w:tc>
      </w:tr>
      <w:tr w:rsidR="004D652E" w14:paraId="42E6BB19" w14:textId="77777777" w:rsidTr="002019DD">
        <w:tc>
          <w:tcPr>
            <w:tcW w:w="2984" w:type="dxa"/>
            <w:tcBorders>
              <w:top w:val="single" w:sz="6" w:space="0" w:color="auto"/>
              <w:bottom w:val="nil"/>
            </w:tcBorders>
            <w:vAlign w:val="bottom"/>
          </w:tcPr>
          <w:p w14:paraId="46486EE8" w14:textId="29CA1F7C" w:rsidR="006577DB" w:rsidRPr="00802D38" w:rsidRDefault="006577DB" w:rsidP="00554570">
            <w:pPr>
              <w:pStyle w:val="TableText"/>
              <w:spacing w:before="120"/>
              <w:ind w:left="0"/>
            </w:pPr>
            <w:r>
              <w:t>Patient referrals</w:t>
            </w:r>
          </w:p>
        </w:tc>
        <w:tc>
          <w:tcPr>
            <w:tcW w:w="2247" w:type="dxa"/>
            <w:tcBorders>
              <w:top w:val="single" w:sz="6" w:space="0" w:color="auto"/>
              <w:bottom w:val="nil"/>
            </w:tcBorders>
            <w:vAlign w:val="bottom"/>
          </w:tcPr>
          <w:p w14:paraId="63D385CF" w14:textId="23580173" w:rsidR="006577DB" w:rsidRPr="00802D38" w:rsidRDefault="006577DB" w:rsidP="00554570">
            <w:pPr>
              <w:pStyle w:val="TableDecTab"/>
              <w:framePr w:wrap="around"/>
              <w:spacing w:before="120"/>
              <w:ind w:right="600"/>
              <w:jc w:val="right"/>
            </w:pPr>
            <w:r>
              <w:t>5,</w:t>
            </w:r>
            <w:r w:rsidR="00706A2E">
              <w:t>567</w:t>
            </w:r>
          </w:p>
        </w:tc>
        <w:tc>
          <w:tcPr>
            <w:tcW w:w="1879" w:type="dxa"/>
            <w:tcBorders>
              <w:top w:val="single" w:sz="6" w:space="0" w:color="auto"/>
              <w:bottom w:val="nil"/>
            </w:tcBorders>
            <w:vAlign w:val="bottom"/>
          </w:tcPr>
          <w:p w14:paraId="2B08192B" w14:textId="7505401E" w:rsidR="006577DB" w:rsidRDefault="006577DB" w:rsidP="00554570">
            <w:pPr>
              <w:pStyle w:val="TableDecTab"/>
              <w:framePr w:wrap="around"/>
              <w:tabs>
                <w:tab w:val="clear" w:pos="720"/>
                <w:tab w:val="left" w:pos="30"/>
              </w:tabs>
              <w:spacing w:before="120"/>
              <w:ind w:right="255"/>
              <w:jc w:val="right"/>
            </w:pPr>
            <w:r>
              <w:t>100.0</w:t>
            </w:r>
          </w:p>
        </w:tc>
        <w:tc>
          <w:tcPr>
            <w:tcW w:w="2642" w:type="dxa"/>
            <w:tcBorders>
              <w:top w:val="single" w:sz="6" w:space="0" w:color="auto"/>
              <w:bottom w:val="nil"/>
            </w:tcBorders>
            <w:vAlign w:val="bottom"/>
          </w:tcPr>
          <w:p w14:paraId="44C133A3" w14:textId="1AE82DE6" w:rsidR="006577DB" w:rsidRPr="00802D38" w:rsidRDefault="006577DB" w:rsidP="00554570">
            <w:pPr>
              <w:pStyle w:val="TableDecTab"/>
              <w:framePr w:wrap="around"/>
              <w:tabs>
                <w:tab w:val="clear" w:pos="720"/>
                <w:tab w:val="left" w:pos="255"/>
              </w:tabs>
              <w:spacing w:before="120"/>
              <w:ind w:right="750"/>
              <w:jc w:val="right"/>
            </w:pPr>
          </w:p>
        </w:tc>
      </w:tr>
      <w:tr w:rsidR="004D652E" w14:paraId="2EBD9C4B" w14:textId="77777777" w:rsidTr="002019DD">
        <w:tc>
          <w:tcPr>
            <w:tcW w:w="2984" w:type="dxa"/>
            <w:tcBorders>
              <w:top w:val="nil"/>
              <w:bottom w:val="nil"/>
            </w:tcBorders>
            <w:vAlign w:val="bottom"/>
          </w:tcPr>
          <w:p w14:paraId="4B095AAC" w14:textId="70DA3A71" w:rsidR="006577DB" w:rsidRDefault="006577DB" w:rsidP="00F577EE">
            <w:pPr>
              <w:pStyle w:val="TableText"/>
              <w:ind w:left="165"/>
            </w:pPr>
            <w:r>
              <w:t>Screened patients</w:t>
            </w:r>
          </w:p>
        </w:tc>
        <w:tc>
          <w:tcPr>
            <w:tcW w:w="2247" w:type="dxa"/>
            <w:tcBorders>
              <w:top w:val="nil"/>
              <w:bottom w:val="nil"/>
            </w:tcBorders>
            <w:vAlign w:val="bottom"/>
          </w:tcPr>
          <w:p w14:paraId="40E84EBA" w14:textId="26808ED0" w:rsidR="006577DB" w:rsidRDefault="006577DB" w:rsidP="00554570">
            <w:pPr>
              <w:pStyle w:val="TableDecTab"/>
              <w:framePr w:wrap="around"/>
              <w:ind w:right="600"/>
              <w:jc w:val="right"/>
            </w:pPr>
            <w:r>
              <w:t>4,732</w:t>
            </w:r>
          </w:p>
        </w:tc>
        <w:tc>
          <w:tcPr>
            <w:tcW w:w="1879" w:type="dxa"/>
            <w:tcBorders>
              <w:top w:val="nil"/>
              <w:bottom w:val="nil"/>
            </w:tcBorders>
            <w:vAlign w:val="bottom"/>
          </w:tcPr>
          <w:p w14:paraId="34E8F085" w14:textId="18D6E2AD" w:rsidR="006577DB" w:rsidRDefault="00706A2E" w:rsidP="00554570">
            <w:pPr>
              <w:pStyle w:val="TableDecTab"/>
              <w:framePr w:wrap="around"/>
              <w:tabs>
                <w:tab w:val="left" w:pos="30"/>
              </w:tabs>
              <w:ind w:right="255"/>
              <w:jc w:val="right"/>
            </w:pPr>
            <w:r>
              <w:t>85</w:t>
            </w:r>
            <w:r w:rsidR="006577DB">
              <w:t>.0</w:t>
            </w:r>
          </w:p>
        </w:tc>
        <w:tc>
          <w:tcPr>
            <w:tcW w:w="2642" w:type="dxa"/>
            <w:tcBorders>
              <w:top w:val="nil"/>
              <w:bottom w:val="nil"/>
            </w:tcBorders>
            <w:vAlign w:val="bottom"/>
          </w:tcPr>
          <w:p w14:paraId="2B211209" w14:textId="583586A7" w:rsidR="006577DB" w:rsidRDefault="006577DB" w:rsidP="00554570">
            <w:pPr>
              <w:pStyle w:val="TableDecTab"/>
              <w:framePr w:wrap="around"/>
              <w:tabs>
                <w:tab w:val="clear" w:pos="720"/>
                <w:tab w:val="left" w:pos="255"/>
              </w:tabs>
              <w:ind w:right="750"/>
              <w:jc w:val="right"/>
            </w:pPr>
          </w:p>
        </w:tc>
      </w:tr>
      <w:tr w:rsidR="004D652E" w14:paraId="1DA52396" w14:textId="77777777" w:rsidTr="002019DD">
        <w:tc>
          <w:tcPr>
            <w:tcW w:w="2984" w:type="dxa"/>
            <w:tcBorders>
              <w:top w:val="nil"/>
              <w:bottom w:val="nil"/>
            </w:tcBorders>
            <w:vAlign w:val="bottom"/>
          </w:tcPr>
          <w:p w14:paraId="769A5DEC" w14:textId="3CC07D27" w:rsidR="006577DB" w:rsidRDefault="006577DB" w:rsidP="004A07AB">
            <w:pPr>
              <w:pStyle w:val="TableText"/>
              <w:ind w:left="342"/>
            </w:pPr>
            <w:r>
              <w:t>Study eligible</w:t>
            </w:r>
          </w:p>
        </w:tc>
        <w:tc>
          <w:tcPr>
            <w:tcW w:w="2247" w:type="dxa"/>
            <w:tcBorders>
              <w:top w:val="nil"/>
              <w:bottom w:val="nil"/>
            </w:tcBorders>
            <w:vAlign w:val="bottom"/>
          </w:tcPr>
          <w:p w14:paraId="1B121BB3" w14:textId="465CC1BD" w:rsidR="006577DB" w:rsidRDefault="006577DB" w:rsidP="00554570">
            <w:pPr>
              <w:pStyle w:val="TableDecTab"/>
              <w:framePr w:wrap="around"/>
              <w:ind w:right="600"/>
              <w:jc w:val="right"/>
            </w:pPr>
            <w:r>
              <w:t>4,684</w:t>
            </w:r>
          </w:p>
        </w:tc>
        <w:tc>
          <w:tcPr>
            <w:tcW w:w="1879" w:type="dxa"/>
            <w:tcBorders>
              <w:top w:val="nil"/>
              <w:bottom w:val="nil"/>
            </w:tcBorders>
            <w:vAlign w:val="bottom"/>
          </w:tcPr>
          <w:p w14:paraId="66D9F28C" w14:textId="121D4E2E" w:rsidR="006577DB" w:rsidRDefault="006577DB" w:rsidP="00554570">
            <w:pPr>
              <w:pStyle w:val="TableDecTab"/>
              <w:framePr w:wrap="around"/>
              <w:tabs>
                <w:tab w:val="left" w:pos="30"/>
              </w:tabs>
              <w:ind w:right="255"/>
              <w:jc w:val="right"/>
            </w:pPr>
            <w:r>
              <w:t>99.0</w:t>
            </w:r>
          </w:p>
        </w:tc>
        <w:tc>
          <w:tcPr>
            <w:tcW w:w="2642" w:type="dxa"/>
            <w:tcBorders>
              <w:top w:val="nil"/>
              <w:bottom w:val="nil"/>
            </w:tcBorders>
            <w:vAlign w:val="bottom"/>
          </w:tcPr>
          <w:p w14:paraId="20BD6A56" w14:textId="187B940E" w:rsidR="006577DB" w:rsidRDefault="006577DB" w:rsidP="00554570">
            <w:pPr>
              <w:pStyle w:val="TableDecTab"/>
              <w:framePr w:wrap="around"/>
              <w:tabs>
                <w:tab w:val="clear" w:pos="720"/>
                <w:tab w:val="left" w:pos="255"/>
              </w:tabs>
              <w:ind w:right="750"/>
              <w:jc w:val="right"/>
            </w:pPr>
          </w:p>
        </w:tc>
      </w:tr>
      <w:tr w:rsidR="004D652E" w14:paraId="0D03742A" w14:textId="77777777" w:rsidTr="002019DD">
        <w:tc>
          <w:tcPr>
            <w:tcW w:w="2984" w:type="dxa"/>
            <w:tcBorders>
              <w:top w:val="nil"/>
              <w:bottom w:val="nil"/>
            </w:tcBorders>
            <w:vAlign w:val="bottom"/>
          </w:tcPr>
          <w:p w14:paraId="36C6B335" w14:textId="17373A26" w:rsidR="006577DB" w:rsidRDefault="006577DB" w:rsidP="00F577EE">
            <w:pPr>
              <w:pStyle w:val="TableText"/>
              <w:ind w:left="615"/>
            </w:pPr>
            <w:r>
              <w:t>Consent</w:t>
            </w:r>
          </w:p>
        </w:tc>
        <w:tc>
          <w:tcPr>
            <w:tcW w:w="2247" w:type="dxa"/>
            <w:tcBorders>
              <w:top w:val="nil"/>
              <w:bottom w:val="nil"/>
            </w:tcBorders>
            <w:vAlign w:val="bottom"/>
          </w:tcPr>
          <w:p w14:paraId="7FD5CBB8" w14:textId="4CF66E4A" w:rsidR="006577DB" w:rsidRDefault="006577DB" w:rsidP="00554570">
            <w:pPr>
              <w:pStyle w:val="TableDecTab"/>
              <w:framePr w:wrap="around"/>
              <w:ind w:right="600"/>
              <w:jc w:val="right"/>
            </w:pPr>
            <w:r>
              <w:t>4,450</w:t>
            </w:r>
          </w:p>
        </w:tc>
        <w:tc>
          <w:tcPr>
            <w:tcW w:w="1879" w:type="dxa"/>
            <w:tcBorders>
              <w:top w:val="nil"/>
              <w:bottom w:val="nil"/>
            </w:tcBorders>
            <w:vAlign w:val="bottom"/>
          </w:tcPr>
          <w:p w14:paraId="360B4429" w14:textId="35CDE35C" w:rsidR="006577DB" w:rsidRDefault="006577DB" w:rsidP="00554570">
            <w:pPr>
              <w:pStyle w:val="TableDecTab"/>
              <w:framePr w:wrap="around"/>
              <w:tabs>
                <w:tab w:val="left" w:pos="30"/>
              </w:tabs>
              <w:ind w:right="255"/>
              <w:jc w:val="right"/>
            </w:pPr>
            <w:r>
              <w:t>95.0</w:t>
            </w:r>
          </w:p>
        </w:tc>
        <w:tc>
          <w:tcPr>
            <w:tcW w:w="2642" w:type="dxa"/>
            <w:tcBorders>
              <w:top w:val="nil"/>
              <w:bottom w:val="nil"/>
            </w:tcBorders>
            <w:vAlign w:val="bottom"/>
          </w:tcPr>
          <w:p w14:paraId="47F55F62" w14:textId="57EB9954" w:rsidR="006577DB" w:rsidRDefault="006577DB" w:rsidP="00554570">
            <w:pPr>
              <w:pStyle w:val="TableDecTab"/>
              <w:framePr w:wrap="around"/>
              <w:tabs>
                <w:tab w:val="clear" w:pos="720"/>
                <w:tab w:val="left" w:pos="255"/>
              </w:tabs>
              <w:ind w:right="750"/>
              <w:jc w:val="right"/>
            </w:pPr>
          </w:p>
        </w:tc>
      </w:tr>
      <w:tr w:rsidR="004D652E" w14:paraId="42F2E23C" w14:textId="77777777" w:rsidTr="002019DD">
        <w:trPr>
          <w:trHeight w:val="522"/>
        </w:trPr>
        <w:tc>
          <w:tcPr>
            <w:tcW w:w="2984" w:type="dxa"/>
            <w:tcBorders>
              <w:top w:val="nil"/>
              <w:bottom w:val="nil"/>
            </w:tcBorders>
            <w:vAlign w:val="bottom"/>
          </w:tcPr>
          <w:p w14:paraId="064D2B18" w14:textId="423496EC" w:rsidR="006577DB" w:rsidRDefault="006577DB" w:rsidP="00F577EE">
            <w:pPr>
              <w:pStyle w:val="TableText"/>
              <w:ind w:left="795"/>
            </w:pPr>
            <w:r>
              <w:t>Baseline</w:t>
            </w:r>
          </w:p>
        </w:tc>
        <w:tc>
          <w:tcPr>
            <w:tcW w:w="2247" w:type="dxa"/>
            <w:tcBorders>
              <w:top w:val="nil"/>
              <w:bottom w:val="nil"/>
            </w:tcBorders>
            <w:vAlign w:val="bottom"/>
          </w:tcPr>
          <w:p w14:paraId="597AFDA0" w14:textId="0D633326" w:rsidR="006577DB" w:rsidRDefault="006577DB" w:rsidP="00554570">
            <w:pPr>
              <w:pStyle w:val="TableDecTab"/>
              <w:framePr w:hSpace="0" w:wrap="auto" w:vAnchor="margin" w:hAnchor="text" w:yAlign="inline"/>
              <w:ind w:right="600"/>
              <w:suppressOverlap w:val="0"/>
              <w:jc w:val="right"/>
            </w:pPr>
            <w:r>
              <w:t>3,560</w:t>
            </w:r>
          </w:p>
        </w:tc>
        <w:tc>
          <w:tcPr>
            <w:tcW w:w="1879" w:type="dxa"/>
            <w:tcBorders>
              <w:top w:val="nil"/>
              <w:bottom w:val="nil"/>
            </w:tcBorders>
            <w:vAlign w:val="bottom"/>
          </w:tcPr>
          <w:p w14:paraId="797DD6D6" w14:textId="12E99EAF" w:rsidR="006577DB" w:rsidDel="006577DB" w:rsidRDefault="006577DB" w:rsidP="00554570">
            <w:pPr>
              <w:pStyle w:val="TableDecTab"/>
              <w:framePr w:hSpace="0" w:wrap="auto" w:vAnchor="margin" w:hAnchor="text" w:yAlign="inline"/>
              <w:tabs>
                <w:tab w:val="left" w:pos="30"/>
              </w:tabs>
              <w:ind w:right="255"/>
              <w:suppressOverlap w:val="0"/>
              <w:jc w:val="right"/>
            </w:pPr>
            <w:r>
              <w:t>80.0</w:t>
            </w:r>
          </w:p>
        </w:tc>
        <w:tc>
          <w:tcPr>
            <w:tcW w:w="2642" w:type="dxa"/>
            <w:tcBorders>
              <w:top w:val="nil"/>
              <w:bottom w:val="nil"/>
            </w:tcBorders>
            <w:vAlign w:val="bottom"/>
          </w:tcPr>
          <w:p w14:paraId="5E60CF05" w14:textId="17AA0E66" w:rsidR="006577DB" w:rsidRDefault="006577DB" w:rsidP="00554570">
            <w:pPr>
              <w:pStyle w:val="TableDecTab"/>
              <w:framePr w:hSpace="0" w:wrap="auto" w:vAnchor="margin" w:hAnchor="text" w:yAlign="inline"/>
              <w:tabs>
                <w:tab w:val="clear" w:pos="720"/>
                <w:tab w:val="left" w:pos="255"/>
              </w:tabs>
              <w:ind w:right="750"/>
              <w:suppressOverlap w:val="0"/>
              <w:jc w:val="right"/>
            </w:pPr>
            <w:r>
              <w:t>100.0</w:t>
            </w:r>
          </w:p>
        </w:tc>
      </w:tr>
      <w:tr w:rsidR="00554570" w14:paraId="34126395" w14:textId="77777777" w:rsidTr="002019DD">
        <w:tc>
          <w:tcPr>
            <w:tcW w:w="2984" w:type="dxa"/>
            <w:tcBorders>
              <w:top w:val="nil"/>
              <w:bottom w:val="nil"/>
            </w:tcBorders>
            <w:vAlign w:val="bottom"/>
          </w:tcPr>
          <w:p w14:paraId="01119C47" w14:textId="1BD12892" w:rsidR="006577DB" w:rsidRDefault="006577DB" w:rsidP="00F577EE">
            <w:pPr>
              <w:pStyle w:val="TableText"/>
              <w:ind w:left="795"/>
            </w:pPr>
            <w:r>
              <w:t>Check-In</w:t>
            </w:r>
          </w:p>
        </w:tc>
        <w:tc>
          <w:tcPr>
            <w:tcW w:w="2247" w:type="dxa"/>
            <w:tcBorders>
              <w:top w:val="nil"/>
              <w:bottom w:val="nil"/>
            </w:tcBorders>
            <w:vAlign w:val="bottom"/>
          </w:tcPr>
          <w:p w14:paraId="1BA4F004" w14:textId="64D46362" w:rsidR="006577DB" w:rsidRDefault="006577DB" w:rsidP="00554570">
            <w:pPr>
              <w:pStyle w:val="TableDecTab"/>
              <w:framePr w:hSpace="0" w:wrap="auto" w:vAnchor="margin" w:hAnchor="text" w:yAlign="inline"/>
              <w:ind w:right="600"/>
              <w:suppressOverlap w:val="0"/>
              <w:jc w:val="right"/>
            </w:pPr>
            <w:r>
              <w:t>2,848</w:t>
            </w:r>
          </w:p>
        </w:tc>
        <w:tc>
          <w:tcPr>
            <w:tcW w:w="1879" w:type="dxa"/>
            <w:tcBorders>
              <w:top w:val="nil"/>
              <w:bottom w:val="nil"/>
            </w:tcBorders>
            <w:vAlign w:val="bottom"/>
          </w:tcPr>
          <w:p w14:paraId="1E5A5A40" w14:textId="53A68E53" w:rsidR="006577DB" w:rsidRDefault="00554570" w:rsidP="00554570">
            <w:pPr>
              <w:pStyle w:val="TableDecTab"/>
              <w:framePr w:hSpace="0" w:wrap="auto" w:vAnchor="margin" w:hAnchor="text" w:yAlign="inline"/>
              <w:tabs>
                <w:tab w:val="left" w:pos="30"/>
              </w:tabs>
              <w:ind w:right="255"/>
              <w:suppressOverlap w:val="0"/>
              <w:jc w:val="right"/>
            </w:pPr>
            <w:r>
              <w:t>56.0</w:t>
            </w:r>
          </w:p>
        </w:tc>
        <w:tc>
          <w:tcPr>
            <w:tcW w:w="2642" w:type="dxa"/>
            <w:tcBorders>
              <w:top w:val="nil"/>
              <w:bottom w:val="nil"/>
            </w:tcBorders>
            <w:vAlign w:val="bottom"/>
          </w:tcPr>
          <w:p w14:paraId="219880FA" w14:textId="6BA7C5C0" w:rsidR="006577DB" w:rsidRDefault="006577DB" w:rsidP="00554570">
            <w:pPr>
              <w:pStyle w:val="TableDecTab"/>
              <w:framePr w:hSpace="0" w:wrap="auto" w:vAnchor="margin" w:hAnchor="text" w:yAlign="inline"/>
              <w:tabs>
                <w:tab w:val="clear" w:pos="720"/>
                <w:tab w:val="left" w:pos="255"/>
              </w:tabs>
              <w:ind w:right="750"/>
              <w:suppressOverlap w:val="0"/>
              <w:jc w:val="right"/>
            </w:pPr>
            <w:r>
              <w:t>80.0</w:t>
            </w:r>
          </w:p>
        </w:tc>
      </w:tr>
      <w:tr w:rsidR="004D652E" w14:paraId="26AB526C" w14:textId="77777777" w:rsidTr="002019DD">
        <w:tc>
          <w:tcPr>
            <w:tcW w:w="2984" w:type="dxa"/>
            <w:tcBorders>
              <w:top w:val="nil"/>
              <w:bottom w:val="nil"/>
            </w:tcBorders>
            <w:vAlign w:val="bottom"/>
          </w:tcPr>
          <w:p w14:paraId="760A2D3B" w14:textId="55F489EF" w:rsidR="006577DB" w:rsidRPr="00785152" w:rsidRDefault="006577DB" w:rsidP="00F577EE">
            <w:pPr>
              <w:pStyle w:val="TableText"/>
              <w:ind w:left="795"/>
            </w:pPr>
            <w:r>
              <w:t>12-month follow-up</w:t>
            </w:r>
          </w:p>
        </w:tc>
        <w:tc>
          <w:tcPr>
            <w:tcW w:w="2247" w:type="dxa"/>
            <w:tcBorders>
              <w:top w:val="nil"/>
              <w:bottom w:val="nil"/>
            </w:tcBorders>
            <w:vAlign w:val="bottom"/>
          </w:tcPr>
          <w:p w14:paraId="7F762206" w14:textId="554055B1" w:rsidR="006577DB" w:rsidRDefault="006577DB" w:rsidP="00554570">
            <w:pPr>
              <w:pStyle w:val="TableDecTab"/>
              <w:framePr w:hSpace="0" w:wrap="auto" w:vAnchor="margin" w:hAnchor="text" w:yAlign="inline"/>
              <w:ind w:right="600"/>
              <w:suppressOverlap w:val="0"/>
              <w:jc w:val="right"/>
            </w:pPr>
            <w:r>
              <w:t>2,791</w:t>
            </w:r>
          </w:p>
        </w:tc>
        <w:tc>
          <w:tcPr>
            <w:tcW w:w="1879" w:type="dxa"/>
            <w:tcBorders>
              <w:top w:val="nil"/>
              <w:bottom w:val="nil"/>
            </w:tcBorders>
            <w:vAlign w:val="bottom"/>
          </w:tcPr>
          <w:p w14:paraId="751E0982" w14:textId="6920BC2B" w:rsidR="006577DB" w:rsidRDefault="00554570" w:rsidP="00554570">
            <w:pPr>
              <w:pStyle w:val="TableDecTab"/>
              <w:framePr w:hSpace="0" w:wrap="auto" w:vAnchor="margin" w:hAnchor="text" w:yAlign="inline"/>
              <w:tabs>
                <w:tab w:val="left" w:pos="30"/>
              </w:tabs>
              <w:ind w:right="255"/>
              <w:suppressOverlap w:val="0"/>
              <w:jc w:val="right"/>
            </w:pPr>
            <w:r>
              <w:t>59.0</w:t>
            </w:r>
          </w:p>
        </w:tc>
        <w:tc>
          <w:tcPr>
            <w:tcW w:w="2642" w:type="dxa"/>
            <w:tcBorders>
              <w:top w:val="nil"/>
              <w:bottom w:val="nil"/>
            </w:tcBorders>
            <w:vAlign w:val="bottom"/>
          </w:tcPr>
          <w:p w14:paraId="7204367D" w14:textId="0B451AB3" w:rsidR="006577DB" w:rsidRDefault="006577DB" w:rsidP="00554570">
            <w:pPr>
              <w:pStyle w:val="TableDecTab"/>
              <w:framePr w:hSpace="0" w:wrap="auto" w:vAnchor="margin" w:hAnchor="text" w:yAlign="inline"/>
              <w:tabs>
                <w:tab w:val="clear" w:pos="720"/>
                <w:tab w:val="left" w:pos="255"/>
              </w:tabs>
              <w:ind w:right="750"/>
              <w:suppressOverlap w:val="0"/>
              <w:jc w:val="right"/>
            </w:pPr>
            <w:r>
              <w:t>78.4</w:t>
            </w:r>
          </w:p>
        </w:tc>
      </w:tr>
      <w:tr w:rsidR="004D652E" w14:paraId="2E13E902" w14:textId="77777777" w:rsidTr="002019DD">
        <w:tc>
          <w:tcPr>
            <w:tcW w:w="2984" w:type="dxa"/>
            <w:tcBorders>
              <w:top w:val="nil"/>
              <w:bottom w:val="single" w:sz="12" w:space="0" w:color="auto"/>
            </w:tcBorders>
          </w:tcPr>
          <w:p w14:paraId="2F59E1D3" w14:textId="03583623" w:rsidR="006577DB" w:rsidRDefault="006577DB" w:rsidP="00554570">
            <w:pPr>
              <w:pStyle w:val="TableText"/>
              <w:spacing w:after="120"/>
              <w:ind w:left="795"/>
            </w:pPr>
            <w:r>
              <w:t>24-month follow-up</w:t>
            </w:r>
          </w:p>
        </w:tc>
        <w:tc>
          <w:tcPr>
            <w:tcW w:w="2247" w:type="dxa"/>
            <w:tcBorders>
              <w:top w:val="nil"/>
              <w:bottom w:val="single" w:sz="12" w:space="0" w:color="auto"/>
            </w:tcBorders>
          </w:tcPr>
          <w:p w14:paraId="26391892" w14:textId="0DBEC890" w:rsidR="006577DB" w:rsidRDefault="006577DB" w:rsidP="00554570">
            <w:pPr>
              <w:pStyle w:val="TableDecTab"/>
              <w:framePr w:hSpace="0" w:wrap="auto" w:vAnchor="margin" w:hAnchor="text" w:yAlign="inline"/>
              <w:spacing w:after="120"/>
              <w:ind w:right="600"/>
              <w:suppressOverlap w:val="0"/>
              <w:jc w:val="right"/>
            </w:pPr>
            <w:r>
              <w:t>2,233</w:t>
            </w:r>
          </w:p>
        </w:tc>
        <w:tc>
          <w:tcPr>
            <w:tcW w:w="1879" w:type="dxa"/>
            <w:tcBorders>
              <w:top w:val="nil"/>
              <w:bottom w:val="single" w:sz="12" w:space="0" w:color="auto"/>
            </w:tcBorders>
          </w:tcPr>
          <w:p w14:paraId="2082CC6B" w14:textId="57D18956" w:rsidR="006577DB" w:rsidRDefault="00554570" w:rsidP="00554570">
            <w:pPr>
              <w:pStyle w:val="TableDecTab"/>
              <w:framePr w:hSpace="0" w:wrap="auto" w:vAnchor="margin" w:hAnchor="text" w:yAlign="inline"/>
              <w:tabs>
                <w:tab w:val="clear" w:pos="720"/>
                <w:tab w:val="clear" w:pos="1776"/>
                <w:tab w:val="clear" w:pos="4007"/>
              </w:tabs>
              <w:spacing w:after="120"/>
              <w:ind w:right="255"/>
              <w:suppressOverlap w:val="0"/>
              <w:jc w:val="right"/>
            </w:pPr>
            <w:r>
              <w:t>47.7</w:t>
            </w:r>
          </w:p>
        </w:tc>
        <w:tc>
          <w:tcPr>
            <w:tcW w:w="2642" w:type="dxa"/>
            <w:tcBorders>
              <w:top w:val="nil"/>
              <w:bottom w:val="single" w:sz="12" w:space="0" w:color="auto"/>
            </w:tcBorders>
          </w:tcPr>
          <w:p w14:paraId="7770665D" w14:textId="1817B2BC" w:rsidR="006577DB" w:rsidRDefault="004D652E" w:rsidP="002019DD">
            <w:pPr>
              <w:pStyle w:val="TableDecTab"/>
              <w:framePr w:hSpace="0" w:wrap="auto" w:vAnchor="margin" w:hAnchor="text" w:yAlign="inline"/>
              <w:tabs>
                <w:tab w:val="clear" w:pos="720"/>
                <w:tab w:val="clear" w:pos="1776"/>
                <w:tab w:val="clear" w:pos="4007"/>
              </w:tabs>
              <w:spacing w:after="120"/>
              <w:ind w:right="750"/>
              <w:suppressOverlap w:val="0"/>
              <w:jc w:val="right"/>
            </w:pPr>
            <w:r>
              <w:t>62.7</w:t>
            </w:r>
          </w:p>
        </w:tc>
      </w:tr>
    </w:tbl>
    <w:p w14:paraId="23D107EF" w14:textId="77777777" w:rsidR="00554570" w:rsidRDefault="00554570" w:rsidP="00554570">
      <w:pPr>
        <w:pStyle w:val="exhibitsource"/>
        <w:ind w:left="180" w:hanging="180"/>
      </w:pPr>
      <w:r>
        <w:t>MAT Study = Medication-Assisted Treatment Study.</w:t>
      </w:r>
    </w:p>
    <w:p w14:paraId="59F782A5" w14:textId="450A9599" w:rsidR="00554570" w:rsidRDefault="00554570" w:rsidP="00554570">
      <w:pPr>
        <w:pStyle w:val="exhibitsource"/>
      </w:pPr>
      <w:r>
        <w:rPr>
          <w:vertAlign w:val="superscript"/>
        </w:rPr>
        <w:t>1</w:t>
      </w:r>
      <w:r>
        <w:t xml:space="preserve"> </w:t>
      </w:r>
      <w:r w:rsidR="004D652E">
        <w:t xml:space="preserve">Participation </w:t>
      </w:r>
      <w:r>
        <w:t xml:space="preserve">rates are average </w:t>
      </w:r>
      <w:r w:rsidRPr="00662B53">
        <w:t>estimates obtained from prior experience, plus findings and protocols discussed in, for example, Novak et al.</w:t>
      </w:r>
      <w:r>
        <w:t xml:space="preserve"> (</w:t>
      </w:r>
      <w:r w:rsidRPr="00662B53">
        <w:t>2015</w:t>
      </w:r>
      <w:r>
        <w:t xml:space="preserve">), </w:t>
      </w:r>
      <w:r w:rsidRPr="00662B53">
        <w:t>Novak et al.</w:t>
      </w:r>
      <w:r>
        <w:t xml:space="preserve"> (</w:t>
      </w:r>
      <w:r w:rsidRPr="00662B53">
        <w:t>2009</w:t>
      </w:r>
      <w:r>
        <w:t xml:space="preserve">), and </w:t>
      </w:r>
      <w:r w:rsidRPr="00662B53">
        <w:t>Desmond et al. (1995). The rates are not assumed to vary significantly across treatment regimen.</w:t>
      </w:r>
    </w:p>
    <w:p w14:paraId="51F0CA42" w14:textId="2C977234" w:rsidR="004A07AB" w:rsidRDefault="00554570" w:rsidP="003311F0">
      <w:pPr>
        <w:pStyle w:val="exhibitsource"/>
        <w:ind w:left="180" w:hanging="180"/>
      </w:pPr>
      <w:r>
        <w:rPr>
          <w:vertAlign w:val="superscript"/>
        </w:rPr>
        <w:t>2</w:t>
      </w:r>
      <w:r w:rsidR="006577DB">
        <w:t xml:space="preserve"> Estimated participation rates </w:t>
      </w:r>
      <w:r>
        <w:t>based on</w:t>
      </w:r>
      <w:r w:rsidR="006577DB">
        <w:t xml:space="preserve"> the number of patient referrals.</w:t>
      </w:r>
    </w:p>
    <w:p w14:paraId="32C3B3CB" w14:textId="4D160017" w:rsidR="004A07AB" w:rsidRDefault="004D652E" w:rsidP="003311F0">
      <w:pPr>
        <w:pStyle w:val="exhibitsource"/>
        <w:ind w:left="180" w:hanging="180"/>
      </w:pPr>
      <w:r>
        <w:rPr>
          <w:vertAlign w:val="superscript"/>
        </w:rPr>
        <w:t>3</w:t>
      </w:r>
      <w:r w:rsidR="006577DB">
        <w:t xml:space="preserve"> </w:t>
      </w:r>
      <w:r w:rsidR="00554570">
        <w:t>Estimated participation rates based on the number of baseline interviews.  Note that participants are retained in the study even if they are unable to complete an interview between baseline and the 24-month follow-up</w:t>
      </w:r>
      <w:r w:rsidR="009437BC">
        <w:t>.</w:t>
      </w:r>
    </w:p>
    <w:p w14:paraId="303BCA5E" w14:textId="021C50A3" w:rsidR="009D33E3" w:rsidRDefault="009D33E3" w:rsidP="009A7920">
      <w:pPr>
        <w:pStyle w:val="Heading2"/>
        <w:spacing w:before="480"/>
      </w:pPr>
      <w:bookmarkStart w:id="22" w:name="_Toc505507441"/>
      <w:r w:rsidRPr="005C43A1">
        <w:t>B.2</w:t>
      </w:r>
      <w:r w:rsidRPr="005C43A1">
        <w:tab/>
      </w:r>
      <w:bookmarkEnd w:id="19"/>
      <w:bookmarkEnd w:id="20"/>
      <w:r w:rsidRPr="005C43A1">
        <w:t>Procedures for the Collection of Information</w:t>
      </w:r>
      <w:bookmarkEnd w:id="21"/>
      <w:bookmarkEnd w:id="22"/>
    </w:p>
    <w:p w14:paraId="717FBFA6" w14:textId="30F690FF" w:rsidR="003D1423" w:rsidRDefault="009D33E3" w:rsidP="00C95609">
      <w:pPr>
        <w:pStyle w:val="BodyText1"/>
      </w:pPr>
      <w:r>
        <w:t>Data collection from provider</w:t>
      </w:r>
      <w:r w:rsidR="00174D1D">
        <w:t>s</w:t>
      </w:r>
      <w:r>
        <w:t xml:space="preserve"> and </w:t>
      </w:r>
      <w:r w:rsidR="007367F8">
        <w:t>patient</w:t>
      </w:r>
      <w:r>
        <w:t xml:space="preserve">s will be centrally coordinated and supported by </w:t>
      </w:r>
      <w:r w:rsidR="00F521A7">
        <w:t>the Centers for Disease Control and Prevention’s (</w:t>
      </w:r>
      <w:r>
        <w:t>CDC’s</w:t>
      </w:r>
      <w:r w:rsidR="00F521A7">
        <w:t>)</w:t>
      </w:r>
      <w:r>
        <w:t xml:space="preserve"> contractor, RTI.</w:t>
      </w:r>
      <w:r w:rsidR="003D506D">
        <w:t xml:space="preserve"> In each </w:t>
      </w:r>
      <w:r w:rsidR="00CA3E4A">
        <w:rPr>
          <w:sz w:val="22"/>
          <w:szCs w:val="22"/>
        </w:rPr>
        <w:t>study area</w:t>
      </w:r>
      <w:r w:rsidR="003D506D">
        <w:t xml:space="preserve">, RTI will </w:t>
      </w:r>
      <w:r w:rsidR="00746CEF">
        <w:t>hire</w:t>
      </w:r>
      <w:r w:rsidR="003D506D">
        <w:t xml:space="preserve"> experienced</w:t>
      </w:r>
      <w:r w:rsidR="009B11F9">
        <w:t>,</w:t>
      </w:r>
      <w:r w:rsidR="003D506D">
        <w:t xml:space="preserve"> local </w:t>
      </w:r>
      <w:r w:rsidR="009B11F9">
        <w:t>FIs</w:t>
      </w:r>
      <w:r w:rsidR="003D506D">
        <w:t xml:space="preserve"> to contact </w:t>
      </w:r>
      <w:r w:rsidR="007367F8">
        <w:t>patient</w:t>
      </w:r>
      <w:r w:rsidR="003D506D">
        <w:t xml:space="preserve">s and collect data. </w:t>
      </w:r>
      <w:r w:rsidR="002A2F8B">
        <w:t xml:space="preserve"> </w:t>
      </w:r>
      <w:r w:rsidR="00FA7BE8">
        <w:t xml:space="preserve"> </w:t>
      </w:r>
    </w:p>
    <w:p w14:paraId="047EBED0" w14:textId="791B8F33" w:rsidR="00C95609" w:rsidRDefault="00746CEF" w:rsidP="00C95609">
      <w:pPr>
        <w:pStyle w:val="BodyText1"/>
      </w:pPr>
      <w:r>
        <w:rPr>
          <w:lang w:val="en"/>
        </w:rPr>
        <w:t>RTI will create a</w:t>
      </w:r>
      <w:r w:rsidR="003D1423">
        <w:rPr>
          <w:lang w:val="en"/>
        </w:rPr>
        <w:t xml:space="preserve"> Case Management System to support all data collection activities and will be </w:t>
      </w:r>
      <w:r w:rsidR="004D652E">
        <w:rPr>
          <w:lang w:val="en"/>
        </w:rPr>
        <w:t xml:space="preserve">housed </w:t>
      </w:r>
      <w:r w:rsidR="003D1423">
        <w:rPr>
          <w:lang w:val="en"/>
        </w:rPr>
        <w:t xml:space="preserve">on secure RTI servers. Information stored on the system will be accessible to RTI FIs and other RTI staff as needed. Identifying information will be collected and stored separately from all other data collected, and a random ID will be used to identify </w:t>
      </w:r>
      <w:r w:rsidR="007367F8">
        <w:rPr>
          <w:lang w:val="en"/>
        </w:rPr>
        <w:t>patient</w:t>
      </w:r>
      <w:r w:rsidR="003D1423">
        <w:rPr>
          <w:lang w:val="en"/>
        </w:rPr>
        <w:t xml:space="preserve"> and site records. </w:t>
      </w:r>
      <w:r w:rsidR="00F71A1A">
        <w:rPr>
          <w:lang w:val="en"/>
        </w:rPr>
        <w:t>The data</w:t>
      </w:r>
      <w:r w:rsidR="0043394F">
        <w:rPr>
          <w:lang w:val="en"/>
        </w:rPr>
        <w:t xml:space="preserve"> collection effort will use</w:t>
      </w:r>
      <w:r w:rsidR="003D1423">
        <w:rPr>
          <w:lang w:val="en"/>
        </w:rPr>
        <w:t xml:space="preserve"> a secure data collection </w:t>
      </w:r>
      <w:r w:rsidR="0043394F">
        <w:rPr>
          <w:lang w:val="en"/>
        </w:rPr>
        <w:t>web system</w:t>
      </w:r>
      <w:r w:rsidR="003D1423">
        <w:rPr>
          <w:lang w:val="en"/>
        </w:rPr>
        <w:t xml:space="preserve">, Voxco, hosted on RTI’s Enhanced Security Network (ESN), which meets federal requirements for </w:t>
      </w:r>
      <w:r w:rsidR="003D1423" w:rsidRPr="00174D1D">
        <w:rPr>
          <w:lang w:val="en"/>
        </w:rPr>
        <w:t>high</w:t>
      </w:r>
      <w:r w:rsidR="003D1423">
        <w:rPr>
          <w:lang w:val="en"/>
        </w:rPr>
        <w:t xml:space="preserve">-security risk data. Identifying information will only be hosted on the ESN. Non-identifying information will be collected through a separate web-based tool, also developed using Voxco, and a random </w:t>
      </w:r>
      <w:r w:rsidR="007367F8">
        <w:rPr>
          <w:lang w:val="en"/>
        </w:rPr>
        <w:t>patient</w:t>
      </w:r>
      <w:r w:rsidR="003D1423">
        <w:rPr>
          <w:lang w:val="en"/>
        </w:rPr>
        <w:t xml:space="preserve"> ID will be used to identify these records. </w:t>
      </w:r>
      <w:r w:rsidR="00706A2E">
        <w:rPr>
          <w:lang w:val="en"/>
        </w:rPr>
        <w:t xml:space="preserve">The secure data collection methods are summarized in </w:t>
      </w:r>
      <w:r w:rsidR="00706A2E" w:rsidRPr="009A7920">
        <w:rPr>
          <w:b/>
          <w:i/>
          <w:lang w:val="en"/>
        </w:rPr>
        <w:t>Exhibit 4</w:t>
      </w:r>
      <w:r w:rsidR="00706A2E">
        <w:rPr>
          <w:lang w:val="en"/>
        </w:rPr>
        <w:t>.</w:t>
      </w:r>
    </w:p>
    <w:p w14:paraId="19693A16" w14:textId="08CC60BA" w:rsidR="00FA7BE8" w:rsidRDefault="009F6D65" w:rsidP="009F6D65">
      <w:pPr>
        <w:pStyle w:val="FigureTitle"/>
      </w:pPr>
      <w:bookmarkStart w:id="23" w:name="_Toc505507454"/>
      <w:r>
        <w:t>Exhibit 4</w:t>
      </w:r>
      <w:r w:rsidRPr="00785152">
        <w:t>.</w:t>
      </w:r>
      <w:r>
        <w:tab/>
      </w:r>
      <w:r w:rsidRPr="009F6D65">
        <w:t>Respondent and Data Collection Methods</w:t>
      </w:r>
      <w:bookmarkEnd w:id="23"/>
    </w:p>
    <w:tbl>
      <w:tblPr>
        <w:tblStyle w:val="TableGrid"/>
        <w:tblW w:w="9350" w:type="dxa"/>
        <w:tblBorders>
          <w:top w:val="single" w:sz="12" w:space="0" w:color="auto"/>
          <w:bottom w:val="single" w:sz="12" w:space="0" w:color="auto"/>
        </w:tblBorders>
        <w:tblLook w:val="04A0" w:firstRow="1" w:lastRow="0" w:firstColumn="1" w:lastColumn="0" w:noHBand="0" w:noVBand="1"/>
      </w:tblPr>
      <w:tblGrid>
        <w:gridCol w:w="3042"/>
        <w:gridCol w:w="3178"/>
        <w:gridCol w:w="3130"/>
      </w:tblGrid>
      <w:tr w:rsidR="003D1423" w14:paraId="10B7850F" w14:textId="77777777" w:rsidTr="006823B5">
        <w:trPr>
          <w:tblHeader/>
        </w:trPr>
        <w:tc>
          <w:tcPr>
            <w:tcW w:w="3042" w:type="dxa"/>
            <w:tcBorders>
              <w:top w:val="single" w:sz="12" w:space="0" w:color="auto"/>
              <w:bottom w:val="single" w:sz="4" w:space="0" w:color="auto"/>
              <w:right w:val="nil"/>
            </w:tcBorders>
          </w:tcPr>
          <w:p w14:paraId="72F38C47" w14:textId="275D560F" w:rsidR="003D1423" w:rsidRPr="00925D86" w:rsidRDefault="00175652" w:rsidP="00AD5167">
            <w:pPr>
              <w:pStyle w:val="BodyText1"/>
              <w:ind w:firstLine="0"/>
              <w:jc w:val="center"/>
              <w:rPr>
                <w:b/>
                <w:sz w:val="22"/>
                <w:szCs w:val="22"/>
              </w:rPr>
            </w:pPr>
            <w:r w:rsidRPr="00925D86">
              <w:rPr>
                <w:b/>
                <w:sz w:val="22"/>
                <w:szCs w:val="22"/>
              </w:rPr>
              <w:t>Tool</w:t>
            </w:r>
          </w:p>
        </w:tc>
        <w:tc>
          <w:tcPr>
            <w:tcW w:w="3178" w:type="dxa"/>
            <w:tcBorders>
              <w:top w:val="single" w:sz="12" w:space="0" w:color="auto"/>
              <w:left w:val="nil"/>
            </w:tcBorders>
          </w:tcPr>
          <w:p w14:paraId="0459840C" w14:textId="66A96664" w:rsidR="003D1423" w:rsidRDefault="003D1423" w:rsidP="00AD5167">
            <w:pPr>
              <w:pStyle w:val="BodyText1"/>
              <w:ind w:firstLine="0"/>
              <w:jc w:val="center"/>
              <w:rPr>
                <w:b/>
                <w:sz w:val="22"/>
                <w:szCs w:val="22"/>
              </w:rPr>
            </w:pPr>
            <w:r>
              <w:rPr>
                <w:b/>
                <w:sz w:val="22"/>
                <w:szCs w:val="22"/>
              </w:rPr>
              <w:t>Respondent</w:t>
            </w:r>
          </w:p>
        </w:tc>
        <w:tc>
          <w:tcPr>
            <w:tcW w:w="3130" w:type="dxa"/>
            <w:tcBorders>
              <w:top w:val="single" w:sz="12" w:space="0" w:color="auto"/>
              <w:left w:val="nil"/>
            </w:tcBorders>
          </w:tcPr>
          <w:p w14:paraId="792B6466" w14:textId="0B0D7D52" w:rsidR="003D1423" w:rsidRDefault="003D1423" w:rsidP="00AD5167">
            <w:pPr>
              <w:pStyle w:val="BodyText1"/>
              <w:ind w:firstLine="0"/>
              <w:jc w:val="center"/>
              <w:rPr>
                <w:b/>
                <w:sz w:val="22"/>
                <w:szCs w:val="22"/>
              </w:rPr>
            </w:pPr>
            <w:r>
              <w:rPr>
                <w:b/>
                <w:sz w:val="22"/>
                <w:szCs w:val="22"/>
              </w:rPr>
              <w:t>Method</w:t>
            </w:r>
          </w:p>
        </w:tc>
      </w:tr>
      <w:tr w:rsidR="003D1423" w14:paraId="14BA8CA5" w14:textId="0909B12A" w:rsidTr="00AB01B4">
        <w:tc>
          <w:tcPr>
            <w:tcW w:w="3042" w:type="dxa"/>
            <w:tcBorders>
              <w:top w:val="single" w:sz="4" w:space="0" w:color="auto"/>
              <w:bottom w:val="single" w:sz="4" w:space="0" w:color="auto"/>
              <w:right w:val="nil"/>
            </w:tcBorders>
          </w:tcPr>
          <w:p w14:paraId="51709AA4" w14:textId="42285C0E" w:rsidR="003D1423" w:rsidRDefault="007367F8" w:rsidP="003D1423">
            <w:pPr>
              <w:pStyle w:val="BodyText1"/>
              <w:ind w:firstLine="0"/>
              <w:rPr>
                <w:rFonts w:eastAsia="Batang"/>
                <w:b/>
                <w:sz w:val="20"/>
              </w:rPr>
            </w:pPr>
            <w:r>
              <w:rPr>
                <w:rFonts w:eastAsia="Batang"/>
                <w:b/>
                <w:sz w:val="20"/>
              </w:rPr>
              <w:t>Patient</w:t>
            </w:r>
            <w:r w:rsidR="003D1423" w:rsidRPr="005F60FC">
              <w:rPr>
                <w:rFonts w:eastAsia="Batang"/>
                <w:b/>
                <w:sz w:val="20"/>
              </w:rPr>
              <w:t xml:space="preserve"> Screener Form</w:t>
            </w:r>
          </w:p>
          <w:p w14:paraId="3C97F92A" w14:textId="77777777" w:rsidR="00175652" w:rsidRDefault="00175652" w:rsidP="003D1423">
            <w:pPr>
              <w:pStyle w:val="BodyText1"/>
              <w:ind w:firstLine="0"/>
              <w:rPr>
                <w:rFonts w:eastAsia="Batang"/>
                <w:b/>
                <w:sz w:val="20"/>
              </w:rPr>
            </w:pPr>
          </w:p>
          <w:p w14:paraId="4C2C8F25" w14:textId="3DDE0B11" w:rsidR="00175652" w:rsidRPr="00175652" w:rsidRDefault="00175652" w:rsidP="003D1423">
            <w:pPr>
              <w:pStyle w:val="BodyText1"/>
              <w:ind w:firstLine="0"/>
              <w:rPr>
                <w:rFonts w:eastAsia="Batang"/>
                <w:i/>
                <w:sz w:val="20"/>
              </w:rPr>
            </w:pPr>
          </w:p>
        </w:tc>
        <w:tc>
          <w:tcPr>
            <w:tcW w:w="3178" w:type="dxa"/>
            <w:tcBorders>
              <w:left w:val="nil"/>
            </w:tcBorders>
          </w:tcPr>
          <w:p w14:paraId="647C6EFB" w14:textId="7B80BBE0" w:rsidR="003D1423" w:rsidRPr="005F60FC" w:rsidRDefault="003D1423" w:rsidP="003D1423">
            <w:pPr>
              <w:pStyle w:val="BodyText1"/>
              <w:ind w:firstLine="0"/>
              <w:rPr>
                <w:sz w:val="20"/>
              </w:rPr>
            </w:pPr>
            <w:r>
              <w:rPr>
                <w:sz w:val="20"/>
              </w:rPr>
              <w:t xml:space="preserve">RTI FI ask prospective </w:t>
            </w:r>
            <w:r w:rsidR="007367F8">
              <w:rPr>
                <w:sz w:val="20"/>
              </w:rPr>
              <w:t>patient</w:t>
            </w:r>
            <w:r>
              <w:rPr>
                <w:sz w:val="20"/>
              </w:rPr>
              <w:t>s screening questions and complete the form</w:t>
            </w:r>
            <w:r w:rsidR="00F71A1A">
              <w:rPr>
                <w:sz w:val="20"/>
              </w:rPr>
              <w:t>, typically via telephone</w:t>
            </w:r>
            <w:r>
              <w:rPr>
                <w:sz w:val="20"/>
              </w:rPr>
              <w:t xml:space="preserve">. </w:t>
            </w:r>
          </w:p>
        </w:tc>
        <w:tc>
          <w:tcPr>
            <w:tcW w:w="3130" w:type="dxa"/>
            <w:tcBorders>
              <w:left w:val="nil"/>
            </w:tcBorders>
          </w:tcPr>
          <w:p w14:paraId="6A911022" w14:textId="77777777" w:rsidR="003D1423" w:rsidRDefault="003D1423" w:rsidP="003D1423">
            <w:pPr>
              <w:pStyle w:val="BodyText1"/>
              <w:ind w:firstLine="0"/>
              <w:rPr>
                <w:sz w:val="20"/>
              </w:rPr>
            </w:pPr>
            <w:r>
              <w:rPr>
                <w:sz w:val="20"/>
              </w:rPr>
              <w:t xml:space="preserve">Secure web-based Voxco tool. </w:t>
            </w:r>
          </w:p>
          <w:p w14:paraId="53DE600A" w14:textId="7AEFA12E" w:rsidR="003D1423" w:rsidRPr="005F60FC" w:rsidRDefault="003D1423" w:rsidP="003D1423">
            <w:pPr>
              <w:pStyle w:val="BodyText1"/>
              <w:ind w:firstLine="0"/>
              <w:rPr>
                <w:sz w:val="20"/>
              </w:rPr>
            </w:pPr>
          </w:p>
        </w:tc>
      </w:tr>
      <w:tr w:rsidR="003D1423" w14:paraId="76BC4248" w14:textId="151739ED" w:rsidTr="00AB01B4">
        <w:tc>
          <w:tcPr>
            <w:tcW w:w="3042" w:type="dxa"/>
            <w:tcBorders>
              <w:top w:val="single" w:sz="4" w:space="0" w:color="auto"/>
              <w:bottom w:val="single" w:sz="4" w:space="0" w:color="auto"/>
              <w:right w:val="nil"/>
            </w:tcBorders>
          </w:tcPr>
          <w:p w14:paraId="53B25A46" w14:textId="68FB8DA7" w:rsidR="003D1423" w:rsidRPr="005F60FC" w:rsidRDefault="007367F8" w:rsidP="003D1423">
            <w:pPr>
              <w:pStyle w:val="BodyText1"/>
              <w:ind w:firstLine="0"/>
              <w:rPr>
                <w:rFonts w:eastAsia="Batang"/>
                <w:b/>
                <w:sz w:val="20"/>
              </w:rPr>
            </w:pPr>
            <w:r>
              <w:rPr>
                <w:rFonts w:eastAsia="Batang"/>
                <w:b/>
                <w:sz w:val="20"/>
              </w:rPr>
              <w:t>Patient</w:t>
            </w:r>
            <w:r w:rsidR="003D1423" w:rsidRPr="005F60FC">
              <w:rPr>
                <w:rFonts w:eastAsia="Batang"/>
                <w:b/>
                <w:sz w:val="20"/>
              </w:rPr>
              <w:t xml:space="preserve"> Check-In</w:t>
            </w:r>
          </w:p>
        </w:tc>
        <w:tc>
          <w:tcPr>
            <w:tcW w:w="3178" w:type="dxa"/>
            <w:tcBorders>
              <w:left w:val="nil"/>
            </w:tcBorders>
          </w:tcPr>
          <w:p w14:paraId="7C3E2271" w14:textId="51CA8DE9" w:rsidR="003D1423" w:rsidRPr="005F60FC" w:rsidRDefault="007367F8" w:rsidP="003D1423">
            <w:pPr>
              <w:pStyle w:val="BodyText1"/>
              <w:ind w:firstLine="0"/>
              <w:rPr>
                <w:sz w:val="20"/>
              </w:rPr>
            </w:pPr>
            <w:r>
              <w:rPr>
                <w:sz w:val="20"/>
              </w:rPr>
              <w:t>Patient</w:t>
            </w:r>
            <w:r w:rsidR="003D1423">
              <w:rPr>
                <w:sz w:val="20"/>
              </w:rPr>
              <w:t xml:space="preserve"> self-report with RTI FI support if needed.</w:t>
            </w:r>
          </w:p>
        </w:tc>
        <w:tc>
          <w:tcPr>
            <w:tcW w:w="3130" w:type="dxa"/>
            <w:tcBorders>
              <w:left w:val="nil"/>
            </w:tcBorders>
          </w:tcPr>
          <w:p w14:paraId="3715E7DB" w14:textId="03B7D7CB" w:rsidR="003D1423" w:rsidRPr="005F60FC" w:rsidRDefault="003D1423" w:rsidP="003D1423">
            <w:pPr>
              <w:pStyle w:val="BodyText1"/>
              <w:ind w:firstLine="0"/>
              <w:rPr>
                <w:sz w:val="20"/>
              </w:rPr>
            </w:pPr>
            <w:r>
              <w:rPr>
                <w:sz w:val="20"/>
              </w:rPr>
              <w:t>Secure web-based Voxco tool.</w:t>
            </w:r>
          </w:p>
        </w:tc>
      </w:tr>
      <w:tr w:rsidR="003D1423" w14:paraId="577F02AA" w14:textId="5E6C7D38" w:rsidTr="00AB01B4">
        <w:tc>
          <w:tcPr>
            <w:tcW w:w="3042" w:type="dxa"/>
            <w:tcBorders>
              <w:top w:val="single" w:sz="4" w:space="0" w:color="auto"/>
              <w:bottom w:val="single" w:sz="4" w:space="0" w:color="auto"/>
              <w:right w:val="nil"/>
            </w:tcBorders>
          </w:tcPr>
          <w:p w14:paraId="2F47C077" w14:textId="00E9F106" w:rsidR="003D1423" w:rsidRPr="00681321" w:rsidRDefault="007367F8" w:rsidP="003D1423">
            <w:pPr>
              <w:pStyle w:val="BodyText1"/>
              <w:ind w:firstLine="0"/>
              <w:rPr>
                <w:rFonts w:eastAsia="Batang"/>
                <w:b/>
                <w:sz w:val="20"/>
              </w:rPr>
            </w:pPr>
            <w:r>
              <w:rPr>
                <w:rFonts w:eastAsia="Batang"/>
                <w:b/>
                <w:sz w:val="20"/>
              </w:rPr>
              <w:t>Patient</w:t>
            </w:r>
            <w:r w:rsidR="003D1423" w:rsidRPr="00681321">
              <w:rPr>
                <w:rFonts w:eastAsia="Batang"/>
                <w:b/>
                <w:sz w:val="20"/>
              </w:rPr>
              <w:t xml:space="preserve"> Questionnaire: Baseline and 12-Month and 24-Month Follow-Ups</w:t>
            </w:r>
          </w:p>
        </w:tc>
        <w:tc>
          <w:tcPr>
            <w:tcW w:w="3178" w:type="dxa"/>
            <w:tcBorders>
              <w:left w:val="nil"/>
            </w:tcBorders>
          </w:tcPr>
          <w:p w14:paraId="6038E6B7" w14:textId="1BB5341B" w:rsidR="00F71A1A" w:rsidRDefault="007367F8" w:rsidP="003D1423">
            <w:pPr>
              <w:pStyle w:val="BodyText1"/>
              <w:ind w:firstLine="0"/>
              <w:rPr>
                <w:sz w:val="20"/>
              </w:rPr>
            </w:pPr>
            <w:r>
              <w:rPr>
                <w:sz w:val="20"/>
              </w:rPr>
              <w:t>Patient</w:t>
            </w:r>
            <w:r w:rsidR="003D1423">
              <w:rPr>
                <w:sz w:val="20"/>
              </w:rPr>
              <w:t xml:space="preserve"> self-report with RTI FI support if needed.</w:t>
            </w:r>
            <w:r w:rsidR="00F71A1A">
              <w:rPr>
                <w:sz w:val="20"/>
              </w:rPr>
              <w:t xml:space="preserve"> </w:t>
            </w:r>
          </w:p>
          <w:p w14:paraId="6EAF55E4" w14:textId="110F6C2B" w:rsidR="003D1423" w:rsidRPr="00681321" w:rsidRDefault="00F71A1A" w:rsidP="003D1423">
            <w:pPr>
              <w:pStyle w:val="BodyText1"/>
              <w:ind w:firstLine="0"/>
              <w:rPr>
                <w:sz w:val="20"/>
              </w:rPr>
            </w:pPr>
            <w:r>
              <w:rPr>
                <w:sz w:val="20"/>
              </w:rPr>
              <w:t xml:space="preserve">For consenting </w:t>
            </w:r>
            <w:r w:rsidR="007367F8">
              <w:rPr>
                <w:sz w:val="20"/>
              </w:rPr>
              <w:t>patient</w:t>
            </w:r>
            <w:r>
              <w:rPr>
                <w:sz w:val="20"/>
              </w:rPr>
              <w:t>s, Social Security Numbers (SSNs) are separately collected</w:t>
            </w:r>
            <w:r w:rsidR="007F3D8A">
              <w:rPr>
                <w:sz w:val="20"/>
              </w:rPr>
              <w:t xml:space="preserve"> in conjunction with the </w:t>
            </w:r>
            <w:r w:rsidR="007367F8">
              <w:rPr>
                <w:sz w:val="20"/>
              </w:rPr>
              <w:t>Patient</w:t>
            </w:r>
            <w:r w:rsidR="007F3D8A">
              <w:rPr>
                <w:sz w:val="20"/>
              </w:rPr>
              <w:t xml:space="preserve"> Questionnaire Baseline.</w:t>
            </w:r>
          </w:p>
        </w:tc>
        <w:tc>
          <w:tcPr>
            <w:tcW w:w="3130" w:type="dxa"/>
            <w:tcBorders>
              <w:left w:val="nil"/>
            </w:tcBorders>
          </w:tcPr>
          <w:p w14:paraId="14011A63" w14:textId="77777777" w:rsidR="003D1423" w:rsidRDefault="003D1423" w:rsidP="003D1423">
            <w:pPr>
              <w:pStyle w:val="BodyText1"/>
              <w:ind w:firstLine="0"/>
              <w:rPr>
                <w:sz w:val="20"/>
              </w:rPr>
            </w:pPr>
            <w:r>
              <w:rPr>
                <w:sz w:val="20"/>
              </w:rPr>
              <w:t>Secure web-based Voxco tool.</w:t>
            </w:r>
          </w:p>
          <w:p w14:paraId="030CC42F" w14:textId="7931F5B8" w:rsidR="00F71A1A" w:rsidRPr="00681321" w:rsidRDefault="00F71A1A" w:rsidP="003D1423">
            <w:pPr>
              <w:pStyle w:val="BodyText1"/>
              <w:ind w:firstLine="0"/>
              <w:rPr>
                <w:sz w:val="20"/>
              </w:rPr>
            </w:pPr>
            <w:r>
              <w:rPr>
                <w:sz w:val="20"/>
              </w:rPr>
              <w:t>For SSNs, a separate secure web-based Voxco tool with storage in RTI’s ESN.</w:t>
            </w:r>
          </w:p>
        </w:tc>
      </w:tr>
      <w:tr w:rsidR="003D1423" w14:paraId="57F06231" w14:textId="1BCEF5B3" w:rsidTr="00797394">
        <w:tc>
          <w:tcPr>
            <w:tcW w:w="3042" w:type="dxa"/>
            <w:tcBorders>
              <w:top w:val="single" w:sz="4" w:space="0" w:color="auto"/>
              <w:bottom w:val="single" w:sz="4" w:space="0" w:color="auto"/>
              <w:right w:val="nil"/>
            </w:tcBorders>
          </w:tcPr>
          <w:p w14:paraId="3E9610E5" w14:textId="17B57B1A" w:rsidR="003D1423" w:rsidRPr="00681321" w:rsidRDefault="007367F8" w:rsidP="003D1423">
            <w:pPr>
              <w:pStyle w:val="BodyText1"/>
              <w:ind w:firstLine="0"/>
              <w:rPr>
                <w:rFonts w:eastAsia="Batang"/>
                <w:b/>
                <w:sz w:val="20"/>
              </w:rPr>
            </w:pPr>
            <w:r>
              <w:rPr>
                <w:rFonts w:eastAsia="Batang"/>
                <w:b/>
                <w:sz w:val="20"/>
              </w:rPr>
              <w:t>Patient</w:t>
            </w:r>
            <w:r w:rsidR="003D1423" w:rsidRPr="00681321">
              <w:rPr>
                <w:rFonts w:eastAsia="Batang"/>
                <w:b/>
                <w:sz w:val="20"/>
              </w:rPr>
              <w:t xml:space="preserve"> Focus Group Protocol</w:t>
            </w:r>
          </w:p>
        </w:tc>
        <w:tc>
          <w:tcPr>
            <w:tcW w:w="3178" w:type="dxa"/>
            <w:tcBorders>
              <w:left w:val="nil"/>
            </w:tcBorders>
          </w:tcPr>
          <w:p w14:paraId="1E12F291" w14:textId="284040E1" w:rsidR="003D1423" w:rsidRPr="00681321" w:rsidRDefault="007367F8" w:rsidP="003D1423">
            <w:pPr>
              <w:pStyle w:val="BodyText1"/>
              <w:ind w:firstLine="0"/>
              <w:rPr>
                <w:sz w:val="20"/>
              </w:rPr>
            </w:pPr>
            <w:r>
              <w:rPr>
                <w:sz w:val="20"/>
              </w:rPr>
              <w:t>Patient</w:t>
            </w:r>
            <w:r w:rsidR="003D1423">
              <w:rPr>
                <w:sz w:val="20"/>
              </w:rPr>
              <w:t xml:space="preserve">s recruited by RTI FI and treatment facility staff. </w:t>
            </w:r>
          </w:p>
        </w:tc>
        <w:tc>
          <w:tcPr>
            <w:tcW w:w="3130" w:type="dxa"/>
            <w:tcBorders>
              <w:left w:val="nil"/>
            </w:tcBorders>
          </w:tcPr>
          <w:p w14:paraId="6DB49776" w14:textId="580E2C7E" w:rsidR="003D1423" w:rsidRPr="00681321" w:rsidRDefault="003D1423" w:rsidP="003D1423">
            <w:pPr>
              <w:pStyle w:val="BodyText1"/>
              <w:ind w:firstLine="0"/>
              <w:rPr>
                <w:sz w:val="20"/>
              </w:rPr>
            </w:pPr>
            <w:r>
              <w:rPr>
                <w:sz w:val="20"/>
              </w:rPr>
              <w:t>Secure tele-conference.</w:t>
            </w:r>
          </w:p>
        </w:tc>
      </w:tr>
      <w:tr w:rsidR="0043394F" w14:paraId="3E3CF7EA" w14:textId="77777777" w:rsidTr="00AB01B4">
        <w:tc>
          <w:tcPr>
            <w:tcW w:w="3042" w:type="dxa"/>
            <w:tcBorders>
              <w:top w:val="single" w:sz="4" w:space="0" w:color="auto"/>
              <w:bottom w:val="single" w:sz="12" w:space="0" w:color="auto"/>
              <w:right w:val="nil"/>
            </w:tcBorders>
          </w:tcPr>
          <w:p w14:paraId="0ED2FA20" w14:textId="4B02AB7E" w:rsidR="0043394F" w:rsidRPr="00681321" w:rsidRDefault="0043394F" w:rsidP="0043394F">
            <w:pPr>
              <w:pStyle w:val="BodyText1"/>
              <w:ind w:firstLine="0"/>
              <w:rPr>
                <w:rFonts w:eastAsia="Batang"/>
                <w:b/>
                <w:sz w:val="20"/>
              </w:rPr>
            </w:pPr>
            <w:r w:rsidRPr="005F60FC">
              <w:rPr>
                <w:rFonts w:eastAsia="Batang"/>
                <w:b/>
                <w:sz w:val="20"/>
              </w:rPr>
              <w:t>Provider Focus Group Protocol</w:t>
            </w:r>
          </w:p>
        </w:tc>
        <w:tc>
          <w:tcPr>
            <w:tcW w:w="3178" w:type="dxa"/>
            <w:tcBorders>
              <w:left w:val="nil"/>
            </w:tcBorders>
          </w:tcPr>
          <w:p w14:paraId="4ED25419" w14:textId="0DBC25B5" w:rsidR="0043394F" w:rsidRDefault="0043394F" w:rsidP="0043394F">
            <w:pPr>
              <w:pStyle w:val="BodyText1"/>
              <w:ind w:firstLine="0"/>
              <w:rPr>
                <w:sz w:val="20"/>
              </w:rPr>
            </w:pPr>
            <w:r>
              <w:rPr>
                <w:sz w:val="20"/>
              </w:rPr>
              <w:t xml:space="preserve">Treatment facility staff recommended by the </w:t>
            </w:r>
            <w:r w:rsidR="00797394">
              <w:rPr>
                <w:sz w:val="20"/>
              </w:rPr>
              <w:t>facility’s</w:t>
            </w:r>
            <w:r>
              <w:rPr>
                <w:sz w:val="20"/>
              </w:rPr>
              <w:t xml:space="preserve"> key contact for the MAT study.</w:t>
            </w:r>
          </w:p>
        </w:tc>
        <w:tc>
          <w:tcPr>
            <w:tcW w:w="3130" w:type="dxa"/>
            <w:tcBorders>
              <w:left w:val="nil"/>
            </w:tcBorders>
          </w:tcPr>
          <w:p w14:paraId="75F11EF1" w14:textId="1CF873E4" w:rsidR="0043394F" w:rsidRDefault="0043394F" w:rsidP="0043394F">
            <w:pPr>
              <w:pStyle w:val="BodyText1"/>
              <w:ind w:firstLine="0"/>
              <w:rPr>
                <w:sz w:val="20"/>
              </w:rPr>
            </w:pPr>
            <w:r>
              <w:rPr>
                <w:sz w:val="20"/>
              </w:rPr>
              <w:t xml:space="preserve">Secure tele-conference. </w:t>
            </w:r>
          </w:p>
        </w:tc>
      </w:tr>
    </w:tbl>
    <w:p w14:paraId="336912BA" w14:textId="77777777" w:rsidR="00FA7BE8" w:rsidRPr="00E406DB" w:rsidRDefault="00FA7BE8" w:rsidP="00C95609">
      <w:pPr>
        <w:pStyle w:val="BodyText1"/>
      </w:pPr>
    </w:p>
    <w:p w14:paraId="5E046372" w14:textId="1FF7CC8C" w:rsidR="009D33E3" w:rsidRDefault="009D33E3" w:rsidP="004A07AB">
      <w:pPr>
        <w:pStyle w:val="Heading2"/>
      </w:pPr>
      <w:bookmarkStart w:id="24" w:name="_Toc8007720"/>
      <w:bookmarkStart w:id="25" w:name="_Toc88033501"/>
      <w:bookmarkStart w:id="26" w:name="_Toc457852720"/>
      <w:bookmarkStart w:id="27" w:name="_Toc505507442"/>
      <w:r w:rsidRPr="005C43A1">
        <w:t>B.3</w:t>
      </w:r>
      <w:r w:rsidRPr="005C43A1">
        <w:tab/>
      </w:r>
      <w:bookmarkEnd w:id="24"/>
      <w:bookmarkEnd w:id="25"/>
      <w:r w:rsidRPr="005C43A1">
        <w:t xml:space="preserve">Methods to Maximize </w:t>
      </w:r>
      <w:r w:rsidR="004D652E">
        <w:t>Participation</w:t>
      </w:r>
      <w:r w:rsidR="004D652E" w:rsidRPr="005C43A1">
        <w:t xml:space="preserve"> </w:t>
      </w:r>
      <w:r w:rsidRPr="005C43A1">
        <w:t>Rates</w:t>
      </w:r>
      <w:bookmarkEnd w:id="26"/>
      <w:bookmarkEnd w:id="27"/>
    </w:p>
    <w:p w14:paraId="515544A8" w14:textId="0DC45037" w:rsidR="009D33E3" w:rsidRPr="004A07AB" w:rsidRDefault="00B864FD" w:rsidP="004A07AB">
      <w:pPr>
        <w:pStyle w:val="Heading3"/>
      </w:pPr>
      <w:bookmarkStart w:id="28" w:name="_Toc505507443"/>
      <w:r>
        <w:t>B.3.1</w:t>
      </w:r>
      <w:r>
        <w:tab/>
      </w:r>
      <w:r w:rsidR="004D652E">
        <w:t>Participation</w:t>
      </w:r>
      <w:r w:rsidR="009D33E3">
        <w:t xml:space="preserve"> Rates</w:t>
      </w:r>
      <w:bookmarkEnd w:id="28"/>
    </w:p>
    <w:p w14:paraId="2E4EB025" w14:textId="00D99738" w:rsidR="00FE4857" w:rsidRDefault="009D33E3" w:rsidP="009A7920">
      <w:pPr>
        <w:pStyle w:val="BodyText1"/>
      </w:pPr>
      <w:r>
        <w:t xml:space="preserve">Various procedures will be used to help maximize </w:t>
      </w:r>
      <w:r w:rsidR="004D652E">
        <w:t xml:space="preserve">participation </w:t>
      </w:r>
      <w:r>
        <w:t>rates across the study</w:t>
      </w:r>
      <w:r w:rsidR="00FE4857">
        <w:t>; RTI FIs will be central in implementing the</w:t>
      </w:r>
      <w:r w:rsidR="004D652E">
        <w:t xml:space="preserve">se well-tested </w:t>
      </w:r>
      <w:r w:rsidR="00FE4857">
        <w:t xml:space="preserve">procedures. </w:t>
      </w:r>
      <w:r w:rsidR="00F455AE">
        <w:t xml:space="preserve">The procedures will help ensure </w:t>
      </w:r>
      <w:r w:rsidR="004D652E">
        <w:t xml:space="preserve">the following interview-specific participation rates among participants who complete the Baseline interview:  (1) 80.0% for </w:t>
      </w:r>
      <w:r w:rsidR="00F455AE">
        <w:t xml:space="preserve">the </w:t>
      </w:r>
      <w:r w:rsidR="007367F8">
        <w:t>Patient</w:t>
      </w:r>
      <w:r w:rsidR="00CF72D5">
        <w:t xml:space="preserve"> Check-In</w:t>
      </w:r>
      <w:r w:rsidR="004D652E">
        <w:t>, (2)</w:t>
      </w:r>
      <w:r w:rsidR="00CF72D5">
        <w:t xml:space="preserve"> </w:t>
      </w:r>
      <w:r w:rsidR="004D652E">
        <w:t xml:space="preserve">78.4% for </w:t>
      </w:r>
      <w:r w:rsidR="00CF72D5">
        <w:t xml:space="preserve">the </w:t>
      </w:r>
      <w:r w:rsidR="00F455AE">
        <w:t>12-</w:t>
      </w:r>
      <w:r w:rsidR="00563B57">
        <w:t>m</w:t>
      </w:r>
      <w:r w:rsidR="00F455AE">
        <w:t xml:space="preserve">onth </w:t>
      </w:r>
      <w:r w:rsidR="00563B57">
        <w:t>f</w:t>
      </w:r>
      <w:r w:rsidR="00F455AE">
        <w:t>ollow-up</w:t>
      </w:r>
      <w:r w:rsidR="004D652E">
        <w:t xml:space="preserve">, and (3) 62.7% for the </w:t>
      </w:r>
      <w:r w:rsidR="00F455AE">
        <w:t>24-</w:t>
      </w:r>
      <w:r w:rsidR="00563B57">
        <w:t>month follow</w:t>
      </w:r>
      <w:r w:rsidR="00F455AE">
        <w:t>-up</w:t>
      </w:r>
      <w:r w:rsidR="00563B57">
        <w:t>.</w:t>
      </w:r>
      <w:r w:rsidR="002D20C1">
        <w:t xml:space="preserve"> Additionally, the analysis techniques used will </w:t>
      </w:r>
      <w:r w:rsidR="002D20C1" w:rsidRPr="003B786B">
        <w:t>incorporate methods to account for nonresponse; analysis approaches are discussed in B.3.3.</w:t>
      </w:r>
      <w:r w:rsidR="002D20C1">
        <w:t xml:space="preserve"> </w:t>
      </w:r>
      <w:r w:rsidR="00FE4857">
        <w:t xml:space="preserve">For </w:t>
      </w:r>
      <w:r w:rsidR="007367F8">
        <w:t>patient</w:t>
      </w:r>
      <w:r w:rsidR="00FE4857">
        <w:t>s, FI</w:t>
      </w:r>
      <w:r w:rsidR="00563B57">
        <w:t>s</w:t>
      </w:r>
      <w:r w:rsidR="00FE4857">
        <w:t xml:space="preserve"> will</w:t>
      </w:r>
    </w:p>
    <w:p w14:paraId="1BC8421A" w14:textId="276494FD" w:rsidR="00FE4857" w:rsidRDefault="00FE4857" w:rsidP="004A07AB">
      <w:pPr>
        <w:pStyle w:val="bullets"/>
      </w:pPr>
      <w:r>
        <w:t xml:space="preserve">engage </w:t>
      </w:r>
      <w:r w:rsidR="007367F8">
        <w:t>patient</w:t>
      </w:r>
      <w:r>
        <w:t xml:space="preserve"> interest in </w:t>
      </w:r>
      <w:r w:rsidRPr="00B37499">
        <w:t>MAT</w:t>
      </w:r>
      <w:r w:rsidR="00B37499">
        <w:t xml:space="preserve"> study</w:t>
      </w:r>
      <w:r>
        <w:t>;</w:t>
      </w:r>
    </w:p>
    <w:p w14:paraId="6C9C9DEF" w14:textId="33D54DD2" w:rsidR="00FE4857" w:rsidRDefault="00FE4857" w:rsidP="004A07AB">
      <w:pPr>
        <w:pStyle w:val="bullets"/>
      </w:pPr>
      <w:r>
        <w:t xml:space="preserve">build a relationship through calls, emails, and </w:t>
      </w:r>
      <w:r w:rsidR="00AE67E7">
        <w:t xml:space="preserve">in person </w:t>
      </w:r>
      <w:r>
        <w:t>visits;</w:t>
      </w:r>
    </w:p>
    <w:p w14:paraId="4F63C665" w14:textId="33C74553" w:rsidR="00FE4857" w:rsidRDefault="00FE4857" w:rsidP="004A07AB">
      <w:pPr>
        <w:pStyle w:val="bullets"/>
      </w:pPr>
      <w:r>
        <w:t xml:space="preserve">be responsible for </w:t>
      </w:r>
      <w:r w:rsidR="00D37AC9">
        <w:t>ensuring informed consent of participants</w:t>
      </w:r>
      <w:r>
        <w:t>;</w:t>
      </w:r>
    </w:p>
    <w:p w14:paraId="41BEF22C" w14:textId="7088D171" w:rsidR="00FE4857" w:rsidRDefault="00FE4857" w:rsidP="004A07AB">
      <w:pPr>
        <w:pStyle w:val="bullets"/>
      </w:pPr>
      <w:r>
        <w:t xml:space="preserve">observe all other needed measures to protect </w:t>
      </w:r>
      <w:r w:rsidR="007367F8">
        <w:t>patient</w:t>
      </w:r>
      <w:r w:rsidR="007B0011">
        <w:t>s’</w:t>
      </w:r>
      <w:r>
        <w:t xml:space="preserve"> rights as research subjects, their privacy, and the confidentiality of their data;</w:t>
      </w:r>
    </w:p>
    <w:p w14:paraId="555D67E3" w14:textId="1CE487BB" w:rsidR="00FE4857" w:rsidRDefault="00FE4857" w:rsidP="004A07AB">
      <w:pPr>
        <w:pStyle w:val="bullets"/>
      </w:pPr>
      <w:r>
        <w:t xml:space="preserve">assist </w:t>
      </w:r>
      <w:r w:rsidR="007367F8">
        <w:t>patient</w:t>
      </w:r>
      <w:r>
        <w:t xml:space="preserve">s to complete the </w:t>
      </w:r>
      <w:r w:rsidR="00AE67E7">
        <w:t xml:space="preserve">Baseline </w:t>
      </w:r>
      <w:r w:rsidR="007367F8">
        <w:t>Patient</w:t>
      </w:r>
      <w:r>
        <w:t xml:space="preserve"> Questionnaire (in person) and provide </w:t>
      </w:r>
      <w:r w:rsidRPr="00B37499">
        <w:t>incentives;</w:t>
      </w:r>
      <w:r>
        <w:t xml:space="preserve"> </w:t>
      </w:r>
    </w:p>
    <w:p w14:paraId="7B674A80" w14:textId="0637C46A" w:rsidR="00FE4857" w:rsidRDefault="00FE4857" w:rsidP="004A07AB">
      <w:pPr>
        <w:pStyle w:val="bullets"/>
      </w:pPr>
      <w:r>
        <w:t xml:space="preserve">respond appropriately to </w:t>
      </w:r>
      <w:r w:rsidR="007367F8">
        <w:t>patient</w:t>
      </w:r>
      <w:r>
        <w:t xml:space="preserve"> distress;</w:t>
      </w:r>
    </w:p>
    <w:p w14:paraId="44A204F0" w14:textId="7AF64850" w:rsidR="00FE4857" w:rsidRDefault="00FE4857" w:rsidP="004A07AB">
      <w:pPr>
        <w:pStyle w:val="bullets"/>
      </w:pPr>
      <w:r>
        <w:t xml:space="preserve">follow up with </w:t>
      </w:r>
      <w:r w:rsidR="007367F8">
        <w:t>patient</w:t>
      </w:r>
      <w:r>
        <w:t xml:space="preserve">s should they not respond to email requests to complete the Check-In and </w:t>
      </w:r>
      <w:r w:rsidR="0031398F">
        <w:t>follow-up</w:t>
      </w:r>
      <w:r>
        <w:t xml:space="preserve"> </w:t>
      </w:r>
      <w:r w:rsidR="007367F8">
        <w:t>Patient</w:t>
      </w:r>
      <w:r>
        <w:t xml:space="preserve"> Questionnaires; and</w:t>
      </w:r>
    </w:p>
    <w:p w14:paraId="16A44F85" w14:textId="554119A6" w:rsidR="00FE4857" w:rsidRDefault="00FE4857" w:rsidP="004A07AB">
      <w:pPr>
        <w:pStyle w:val="bullets"/>
        <w:spacing w:after="360"/>
      </w:pPr>
      <w:r>
        <w:t xml:space="preserve">be available to </w:t>
      </w:r>
      <w:r w:rsidR="007367F8">
        <w:t>patient</w:t>
      </w:r>
      <w:r>
        <w:t xml:space="preserve">s </w:t>
      </w:r>
      <w:r w:rsidR="0031398F">
        <w:t>via</w:t>
      </w:r>
      <w:r>
        <w:t xml:space="preserve"> phone should they have any questions. </w:t>
      </w:r>
    </w:p>
    <w:p w14:paraId="5F6AFFE4" w14:textId="7615E542" w:rsidR="00FE4857" w:rsidRDefault="00FE4857" w:rsidP="00FE4857">
      <w:pPr>
        <w:pStyle w:val="BodyText1"/>
      </w:pPr>
      <w:r w:rsidRPr="00440242">
        <w:t xml:space="preserve">If </w:t>
      </w:r>
      <w:r w:rsidR="00AE67E7">
        <w:t>FIs</w:t>
      </w:r>
      <w:r w:rsidR="00AE67E7" w:rsidRPr="00440242">
        <w:t xml:space="preserve"> </w:t>
      </w:r>
      <w:r w:rsidRPr="00440242">
        <w:t xml:space="preserve">lose contact with a </w:t>
      </w:r>
      <w:r w:rsidR="007367F8">
        <w:t>patient</w:t>
      </w:r>
      <w:r w:rsidRPr="00440242">
        <w:t xml:space="preserve">, the </w:t>
      </w:r>
      <w:r w:rsidR="00AE67E7">
        <w:t>FI</w:t>
      </w:r>
      <w:r w:rsidR="00AE67E7" w:rsidRPr="00440242">
        <w:t xml:space="preserve"> </w:t>
      </w:r>
      <w:r w:rsidRPr="00440242">
        <w:t xml:space="preserve">will seek to relocate the </w:t>
      </w:r>
      <w:r w:rsidR="007367F8">
        <w:t>patient</w:t>
      </w:r>
      <w:r w:rsidRPr="00440242">
        <w:t xml:space="preserve"> and reestablish contact. Methods </w:t>
      </w:r>
      <w:r>
        <w:t xml:space="preserve">used </w:t>
      </w:r>
      <w:r w:rsidRPr="00440242">
        <w:t xml:space="preserve">to relocate subjects include reaching out to alternative contacts (e.g., parent, friend) obtained during enrollment; and checking local data sources (e.g., newspapers, court dockets). The </w:t>
      </w:r>
      <w:r w:rsidR="007367F8">
        <w:t>patient</w:t>
      </w:r>
      <w:r w:rsidRPr="00440242">
        <w:t xml:space="preserve"> will also be referred to RTI’s Tracing Unit, which conducts online searches (e.g., </w:t>
      </w:r>
      <w:r w:rsidR="0031398F" w:rsidRPr="00440242">
        <w:t>U</w:t>
      </w:r>
      <w:r w:rsidR="0031398F">
        <w:t>.S. Postal Service</w:t>
      </w:r>
      <w:r w:rsidR="0031398F" w:rsidRPr="00440242">
        <w:t xml:space="preserve"> </w:t>
      </w:r>
      <w:r w:rsidRPr="00440242">
        <w:t xml:space="preserve">change-of-address records, </w:t>
      </w:r>
      <w:r w:rsidR="0031398F">
        <w:t>Department of Motor Vehicles</w:t>
      </w:r>
      <w:r w:rsidR="0031398F" w:rsidRPr="00440242">
        <w:t xml:space="preserve"> </w:t>
      </w:r>
      <w:r w:rsidRPr="00440242">
        <w:t>records, credit reports). Tracking and tracing efforts have succeeded in retaining up to 10</w:t>
      </w:r>
      <w:r w:rsidR="0031398F">
        <w:t>%</w:t>
      </w:r>
      <w:r w:rsidRPr="00440242">
        <w:t xml:space="preserve"> of</w:t>
      </w:r>
      <w:r>
        <w:t xml:space="preserve"> subjects lost to follow-up</w:t>
      </w:r>
      <w:r w:rsidRPr="00440242">
        <w:t xml:space="preserve"> </w:t>
      </w:r>
      <w:r>
        <w:t>i</w:t>
      </w:r>
      <w:r w:rsidRPr="00440242">
        <w:t>n other similar studies.</w:t>
      </w:r>
    </w:p>
    <w:p w14:paraId="66338BCA" w14:textId="368B0255" w:rsidR="009D33E3" w:rsidRDefault="00B864FD" w:rsidP="00B864FD">
      <w:pPr>
        <w:pStyle w:val="Heading3"/>
      </w:pPr>
      <w:bookmarkStart w:id="29" w:name="_Toc505507444"/>
      <w:r>
        <w:t>B.3.2</w:t>
      </w:r>
      <w:r>
        <w:tab/>
      </w:r>
      <w:r w:rsidR="00F4278B">
        <w:t>Nonparticipation</w:t>
      </w:r>
      <w:bookmarkEnd w:id="29"/>
    </w:p>
    <w:p w14:paraId="6505B91F" w14:textId="292BBDE3" w:rsidR="009D33E3" w:rsidRDefault="009D33E3" w:rsidP="001A7DA7">
      <w:pPr>
        <w:pStyle w:val="BodyText1"/>
      </w:pPr>
      <w:r>
        <w:t xml:space="preserve">At the </w:t>
      </w:r>
      <w:r w:rsidR="003150E0">
        <w:t xml:space="preserve">treatment facility </w:t>
      </w:r>
      <w:r>
        <w:t xml:space="preserve">level, nonresponse may occur if a </w:t>
      </w:r>
      <w:r w:rsidR="003150E0">
        <w:t xml:space="preserve">facility </w:t>
      </w:r>
      <w:r>
        <w:t xml:space="preserve">does not agree to participate. Here, the sampling team will </w:t>
      </w:r>
      <w:r w:rsidR="00E429AE">
        <w:t xml:space="preserve">review </w:t>
      </w:r>
      <w:r>
        <w:t xml:space="preserve">our list of </w:t>
      </w:r>
      <w:r w:rsidR="003150E0">
        <w:t xml:space="preserve">facilities </w:t>
      </w:r>
      <w:r>
        <w:t xml:space="preserve">for another </w:t>
      </w:r>
      <w:r w:rsidR="003150E0">
        <w:t>facility</w:t>
      </w:r>
      <w:r>
        <w:t xml:space="preserve"> to invite that is similar in regard to type of treatment offered and volume of </w:t>
      </w:r>
      <w:r w:rsidR="007367F8">
        <w:t>patient</w:t>
      </w:r>
      <w:r>
        <w:t xml:space="preserve"> flow. Our initial </w:t>
      </w:r>
      <w:r w:rsidR="005360F6">
        <w:t xml:space="preserve">and replacement </w:t>
      </w:r>
      <w:r w:rsidR="003150E0">
        <w:t xml:space="preserve">facility </w:t>
      </w:r>
      <w:r w:rsidR="005360F6">
        <w:t>selection</w:t>
      </w:r>
      <w:r>
        <w:t xml:space="preserve"> will keep an e</w:t>
      </w:r>
      <w:r w:rsidRPr="003B786B">
        <w:t xml:space="preserve">ye toward achieving the primary sampling objectives of </w:t>
      </w:r>
      <w:r w:rsidR="008D04AF" w:rsidRPr="003B786B">
        <w:t xml:space="preserve">approximately </w:t>
      </w:r>
      <w:r w:rsidR="003150E0" w:rsidRPr="003B786B">
        <w:t xml:space="preserve">66 </w:t>
      </w:r>
      <w:r w:rsidR="007367F8" w:rsidRPr="003B786B">
        <w:t>patient</w:t>
      </w:r>
      <w:r w:rsidRPr="003B786B">
        <w:t xml:space="preserve">s </w:t>
      </w:r>
      <w:r w:rsidR="003B786B" w:rsidRPr="003B786B">
        <w:t xml:space="preserve">completing a Baseline </w:t>
      </w:r>
      <w:r w:rsidR="006E49A2" w:rsidRPr="003B786B">
        <w:t>interview</w:t>
      </w:r>
      <w:r w:rsidR="003B786B" w:rsidRPr="003B786B">
        <w:t xml:space="preserve"> </w:t>
      </w:r>
      <w:r w:rsidRPr="003B786B">
        <w:t xml:space="preserve">from each </w:t>
      </w:r>
      <w:r w:rsidR="003150E0" w:rsidRPr="003B786B">
        <w:t xml:space="preserve">treatment facility </w:t>
      </w:r>
      <w:r w:rsidRPr="003B786B">
        <w:t xml:space="preserve">in each </w:t>
      </w:r>
      <w:r w:rsidR="00CA3E4A">
        <w:rPr>
          <w:sz w:val="22"/>
          <w:szCs w:val="22"/>
        </w:rPr>
        <w:t>study area</w:t>
      </w:r>
      <w:r w:rsidR="003B786B" w:rsidRPr="003B786B">
        <w:t xml:space="preserve"> (assuming 60 study sites)</w:t>
      </w:r>
      <w:r w:rsidR="00CD058F" w:rsidRPr="003B786B">
        <w:t>,</w:t>
      </w:r>
      <w:r w:rsidRPr="003B786B">
        <w:t xml:space="preserve"> and </w:t>
      </w:r>
      <w:r w:rsidR="003150E0" w:rsidRPr="003B786B">
        <w:t xml:space="preserve">890 </w:t>
      </w:r>
      <w:r w:rsidR="007367F8" w:rsidRPr="003B786B">
        <w:t>patient</w:t>
      </w:r>
      <w:r w:rsidRPr="003B786B">
        <w:t>s fro</w:t>
      </w:r>
      <w:r w:rsidR="0049243C" w:rsidRPr="003B786B">
        <w:t xml:space="preserve">m each treatment modality (i.e., MMT, BUP, </w:t>
      </w:r>
      <w:r w:rsidR="00E72F19" w:rsidRPr="003B786B">
        <w:t>NTX, COUN)</w:t>
      </w:r>
      <w:r w:rsidRPr="003B786B">
        <w:t xml:space="preserve"> across all </w:t>
      </w:r>
      <w:r w:rsidR="00CA3E4A">
        <w:t>the</w:t>
      </w:r>
      <w:r w:rsidR="00F4278B" w:rsidRPr="003B786B">
        <w:t xml:space="preserve"> </w:t>
      </w:r>
      <w:r w:rsidR="00CA3E4A">
        <w:rPr>
          <w:sz w:val="22"/>
          <w:szCs w:val="22"/>
        </w:rPr>
        <w:t>study area</w:t>
      </w:r>
      <w:r w:rsidRPr="003B786B">
        <w:t>s (</w:t>
      </w:r>
      <w:r w:rsidR="00F455AE" w:rsidRPr="003B786B">
        <w:t>3</w:t>
      </w:r>
      <w:r w:rsidRPr="003B786B">
        <w:t>,</w:t>
      </w:r>
      <w:r w:rsidR="003150E0" w:rsidRPr="003B786B">
        <w:t>560</w:t>
      </w:r>
      <w:r w:rsidRPr="003B786B">
        <w:t xml:space="preserve"> total </w:t>
      </w:r>
      <w:r w:rsidR="007367F8" w:rsidRPr="003B786B">
        <w:t>patient</w:t>
      </w:r>
      <w:r w:rsidRPr="003B786B">
        <w:t xml:space="preserve">s across all </w:t>
      </w:r>
      <w:r w:rsidR="00CA3E4A">
        <w:t xml:space="preserve">4 </w:t>
      </w:r>
      <w:r w:rsidR="00E72F19" w:rsidRPr="003B786B">
        <w:t>modalities</w:t>
      </w:r>
      <w:r w:rsidRPr="003B786B">
        <w:t xml:space="preserve"> and all </w:t>
      </w:r>
      <w:r w:rsidR="00F4278B" w:rsidRPr="003B786B">
        <w:t xml:space="preserve">11 </w:t>
      </w:r>
      <w:r w:rsidR="00CA3E4A">
        <w:rPr>
          <w:sz w:val="22"/>
          <w:szCs w:val="22"/>
        </w:rPr>
        <w:t>study area</w:t>
      </w:r>
      <w:r w:rsidRPr="003B786B">
        <w:t>s). Secondary sampling objectives include reaching our targeted distribution of sub</w:t>
      </w:r>
      <w:r>
        <w:t>jects by</w:t>
      </w:r>
      <w:r w:rsidR="00706A2E">
        <w:t xml:space="preserve"> characteristics such as </w:t>
      </w:r>
      <w:r>
        <w:t>age, gender, race</w:t>
      </w:r>
      <w:r w:rsidR="008D70F9">
        <w:t xml:space="preserve"> or </w:t>
      </w:r>
      <w:r>
        <w:t>ethnicity, and OUD characteristics</w:t>
      </w:r>
      <w:r w:rsidR="00706A2E">
        <w:t xml:space="preserve"> </w:t>
      </w:r>
      <w:r w:rsidR="00FC4934">
        <w:t>implemented via sample quotas (see Section B.1.2)</w:t>
      </w:r>
      <w:r>
        <w:t xml:space="preserve">. </w:t>
      </w:r>
    </w:p>
    <w:p w14:paraId="279BCFC0" w14:textId="297FE67D" w:rsidR="009D33E3" w:rsidRDefault="009D33E3" w:rsidP="003A68ED">
      <w:pPr>
        <w:pStyle w:val="BodyText1"/>
      </w:pPr>
      <w:r>
        <w:t xml:space="preserve">For </w:t>
      </w:r>
      <w:r w:rsidR="00F4278B">
        <w:t>study participants</w:t>
      </w:r>
      <w:r>
        <w:t xml:space="preserve">, nonresponse will first be limited by the various </w:t>
      </w:r>
      <w:r w:rsidR="007367F8">
        <w:t>patient</w:t>
      </w:r>
      <w:r>
        <w:t xml:space="preserve"> recruitment and retention strategies discussed </w:t>
      </w:r>
      <w:r w:rsidR="00F455AE">
        <w:t xml:space="preserve">in </w:t>
      </w:r>
      <w:r w:rsidR="00F455AE" w:rsidRPr="00CF72D5">
        <w:rPr>
          <w:i/>
        </w:rPr>
        <w:t>Section B.3.1</w:t>
      </w:r>
      <w:r>
        <w:t xml:space="preserve">. </w:t>
      </w:r>
      <w:r w:rsidR="003A68ED">
        <w:t xml:space="preserve">Negative effects linked to nonresponse will be examined through information collected in the Patient Screen former; if found, such characteristics will be included in the analytic models to mitigate any such biasing factors. In addition to unit nonresponse, imputation is another tool examined to address item nonresponse.  </w:t>
      </w:r>
      <w:r w:rsidRPr="00DA30DE">
        <w:t>The RTI team will plan to incorporate models for non</w:t>
      </w:r>
      <w:r w:rsidR="00D37AC9">
        <w:t>-random</w:t>
      </w:r>
      <w:r w:rsidRPr="00DA30DE">
        <w:t xml:space="preserve"> missingness</w:t>
      </w:r>
      <w:r>
        <w:t xml:space="preserve"> </w:t>
      </w:r>
      <w:r w:rsidRPr="00DA30DE">
        <w:t xml:space="preserve">into </w:t>
      </w:r>
      <w:r>
        <w:t>quantitative</w:t>
      </w:r>
      <w:r w:rsidRPr="00DA30DE">
        <w:t xml:space="preserve"> analyses to assess sensitivity to different assumptions about missing data.</w:t>
      </w:r>
      <w:r>
        <w:t xml:space="preserve"> </w:t>
      </w:r>
      <w:r w:rsidR="007C41F8">
        <w:t>N</w:t>
      </w:r>
      <w:r w:rsidRPr="00DA30DE">
        <w:t>on</w:t>
      </w:r>
      <w:r w:rsidR="00B35B2E">
        <w:t>-</w:t>
      </w:r>
      <w:r w:rsidRPr="00DA30DE">
        <w:t>ignorable</w:t>
      </w:r>
      <w:r w:rsidR="008146EC">
        <w:t xml:space="preserve"> </w:t>
      </w:r>
      <w:r w:rsidRPr="00DA30DE">
        <w:t>missing</w:t>
      </w:r>
      <w:r>
        <w:t xml:space="preserve"> at</w:t>
      </w:r>
      <w:r w:rsidR="008D70F9">
        <w:t xml:space="preserve"> </w:t>
      </w:r>
      <w:r>
        <w:t>random</w:t>
      </w:r>
      <w:r w:rsidRPr="00FA77B5">
        <w:t xml:space="preserve"> methods generally fall under two </w:t>
      </w:r>
      <w:r w:rsidR="00106297">
        <w:t>categories</w:t>
      </w:r>
      <w:r w:rsidRPr="00FA77B5">
        <w:t xml:space="preserve">: selection models (e.g., Heckman, </w:t>
      </w:r>
      <w:r w:rsidR="002750B6" w:rsidRPr="00FA77B5">
        <w:t>197</w:t>
      </w:r>
      <w:r w:rsidR="002750B6">
        <w:t>9</w:t>
      </w:r>
      <w:r w:rsidRPr="00FA77B5">
        <w:t>) and pattern mixture m</w:t>
      </w:r>
      <w:r w:rsidR="00C95609">
        <w:t>odels (Hedeker &amp; Gibbons, 1997)</w:t>
      </w:r>
      <w:r w:rsidR="008D70F9">
        <w:t>,</w:t>
      </w:r>
      <w:r w:rsidR="00C95609">
        <w:t xml:space="preserve"> and both will be incorporated as appropriate during data analysis.</w:t>
      </w:r>
      <w:r w:rsidRPr="00FA77B5">
        <w:t xml:space="preserve"> </w:t>
      </w:r>
    </w:p>
    <w:p w14:paraId="06BE1A7E" w14:textId="670A1C04" w:rsidR="002D20C1" w:rsidRPr="00CF72D5" w:rsidRDefault="002D20C1" w:rsidP="00CF72D5">
      <w:pPr>
        <w:pStyle w:val="Heading3"/>
      </w:pPr>
      <w:bookmarkStart w:id="30" w:name="_Toc505507445"/>
      <w:bookmarkStart w:id="31" w:name="_Toc275433780"/>
      <w:r w:rsidRPr="00CF72D5">
        <w:t>B.3.3 Analysis</w:t>
      </w:r>
      <w:bookmarkEnd w:id="30"/>
      <w:r w:rsidRPr="00CF72D5">
        <w:t xml:space="preserve"> </w:t>
      </w:r>
    </w:p>
    <w:p w14:paraId="4A1337FE" w14:textId="77777777" w:rsidR="002D20C1" w:rsidRPr="002D20C1" w:rsidRDefault="002D20C1" w:rsidP="00CF72D5"/>
    <w:p w14:paraId="460AF7AA" w14:textId="77777777" w:rsidR="002D20C1" w:rsidRPr="00CF72D5" w:rsidRDefault="002D20C1" w:rsidP="00665CF8">
      <w:pPr>
        <w:pStyle w:val="Heading4"/>
        <w:spacing w:after="120"/>
        <w:ind w:left="-86"/>
        <w:rPr>
          <w:rFonts w:ascii="Times New Roman" w:hAnsi="Times New Roman" w:cs="Times New Roman"/>
          <w:b w:val="0"/>
          <w:i/>
          <w:sz w:val="24"/>
          <w:szCs w:val="24"/>
        </w:rPr>
      </w:pPr>
      <w:r w:rsidRPr="00CF72D5">
        <w:rPr>
          <w:rFonts w:ascii="Times New Roman" w:hAnsi="Times New Roman" w:cs="Times New Roman"/>
          <w:b w:val="0"/>
          <w:i/>
          <w:sz w:val="24"/>
          <w:szCs w:val="24"/>
        </w:rPr>
        <w:t xml:space="preserve">Descriptive Statistics                                                                          </w:t>
      </w:r>
    </w:p>
    <w:p w14:paraId="2DCC0ED3" w14:textId="60569068" w:rsidR="002D20C1" w:rsidRPr="009B1505" w:rsidRDefault="002D20C1" w:rsidP="002D20C1">
      <w:pPr>
        <w:pStyle w:val="BodyText1"/>
        <w:rPr>
          <w:b/>
          <w:i/>
        </w:rPr>
      </w:pPr>
      <w:r w:rsidRPr="009B1505">
        <w:t>Our analyses will begin by examining descriptive statistics for key variables. Specifically, descriptive statistics will include frequencies (e.g., sample sizes)</w:t>
      </w:r>
      <w:r>
        <w:t>,</w:t>
      </w:r>
      <w:r w:rsidRPr="009B1505">
        <w:t xml:space="preserve"> measures of dispersion (e.g., standard deviation) and central tendency (e.g., mean, proportion), </w:t>
      </w:r>
      <w:r>
        <w:t xml:space="preserve">and an </w:t>
      </w:r>
      <w:r w:rsidRPr="009B1505">
        <w:t xml:space="preserve">assessment of </w:t>
      </w:r>
      <w:r w:rsidR="003E2E19">
        <w:t xml:space="preserve">the </w:t>
      </w:r>
      <w:r w:rsidRPr="009B1505">
        <w:t xml:space="preserve">variation </w:t>
      </w:r>
      <w:r w:rsidR="003E2E19">
        <w:t>within and among</w:t>
      </w:r>
      <w:r w:rsidR="003E2E19" w:rsidRPr="009B1505">
        <w:t xml:space="preserve"> </w:t>
      </w:r>
      <w:r w:rsidRPr="009B1505">
        <w:t xml:space="preserve">the </w:t>
      </w:r>
      <w:r>
        <w:t>treatment facilit</w:t>
      </w:r>
      <w:r w:rsidR="003E2E19">
        <w:t xml:space="preserve">ies </w:t>
      </w:r>
      <w:r w:rsidRPr="009B1505">
        <w:t>(</w:t>
      </w:r>
      <w:r>
        <w:t xml:space="preserve">e.g., </w:t>
      </w:r>
      <w:r w:rsidRPr="009B1505">
        <w:t xml:space="preserve">intraclass correlations). Key variables will include </w:t>
      </w:r>
      <w:r w:rsidR="007367F8">
        <w:t>patient</w:t>
      </w:r>
      <w:r w:rsidRPr="009B1505">
        <w:t>s</w:t>
      </w:r>
      <w:r w:rsidRPr="0041000F">
        <w:t>’</w:t>
      </w:r>
      <w:r w:rsidRPr="009B1505">
        <w:t xml:space="preserve"> social, economic, clinical, and demographic characteristics and </w:t>
      </w:r>
      <w:r>
        <w:t>treatment facility’s</w:t>
      </w:r>
      <w:r w:rsidRPr="009B1505">
        <w:t xml:space="preserve"> operational structure, service focus, and approach to care. </w:t>
      </w:r>
    </w:p>
    <w:p w14:paraId="086174DF" w14:textId="2953E745" w:rsidR="002D20C1" w:rsidRPr="00CF72D5" w:rsidRDefault="000137AA" w:rsidP="00665CF8">
      <w:pPr>
        <w:pStyle w:val="Heading4"/>
        <w:spacing w:after="120"/>
        <w:ind w:left="-86"/>
        <w:rPr>
          <w:rFonts w:ascii="Times New Roman" w:hAnsi="Times New Roman" w:cs="Times New Roman"/>
          <w:b w:val="0"/>
          <w:i/>
        </w:rPr>
      </w:pPr>
      <w:r>
        <w:rPr>
          <w:rFonts w:ascii="Times New Roman" w:hAnsi="Times New Roman" w:cs="Times New Roman"/>
          <w:b w:val="0"/>
          <w:i/>
        </w:rPr>
        <w:t xml:space="preserve">Multilevel </w:t>
      </w:r>
      <w:r w:rsidR="002D20C1" w:rsidRPr="00CF72D5">
        <w:rPr>
          <w:rFonts w:ascii="Times New Roman" w:hAnsi="Times New Roman" w:cs="Times New Roman"/>
          <w:b w:val="0"/>
          <w:i/>
        </w:rPr>
        <w:t>Analysis</w:t>
      </w:r>
    </w:p>
    <w:p w14:paraId="56CE7636" w14:textId="2149E367" w:rsidR="008C5BD6" w:rsidRDefault="002D20C1" w:rsidP="008C5BD6">
      <w:pPr>
        <w:pStyle w:val="BodyText1"/>
      </w:pPr>
      <w:r w:rsidRPr="009B1505">
        <w:t xml:space="preserve">We propose to estimate a variety of advanced statistical models for the population at large and for relevant subpopulations that consider key health, quality of life, and socioeconomic outcomes and that control for a rich set of </w:t>
      </w:r>
      <w:r w:rsidR="007367F8">
        <w:t>patient</w:t>
      </w:r>
      <w:r>
        <w:t>-</w:t>
      </w:r>
      <w:r w:rsidRPr="009B1505">
        <w:t xml:space="preserve"> and </w:t>
      </w:r>
      <w:r>
        <w:t>treatment facility</w:t>
      </w:r>
      <w:r w:rsidRPr="009B1505">
        <w:t xml:space="preserve">-level covariates. This </w:t>
      </w:r>
      <w:r>
        <w:t>study</w:t>
      </w:r>
      <w:r w:rsidRPr="009B1505">
        <w:t xml:space="preserve"> will be conducted in real-world settings and will rely on longitudinal primary data sources. Therefore, our approach can result in a </w:t>
      </w:r>
      <w:r w:rsidRPr="00665CF8">
        <w:rPr>
          <w:i/>
        </w:rPr>
        <w:t>more</w:t>
      </w:r>
      <w:r w:rsidRPr="009B1505">
        <w:t xml:space="preserve"> comprehensive, </w:t>
      </w:r>
      <w:r w:rsidRPr="00954B14">
        <w:rPr>
          <w:highlight w:val="yellow"/>
        </w:rPr>
        <w:t>generalizable, and representative</w:t>
      </w:r>
      <w:r w:rsidRPr="009B1505">
        <w:t xml:space="preserve"> analysis and can </w:t>
      </w:r>
      <w:r>
        <w:t xml:space="preserve">therefore </w:t>
      </w:r>
      <w:r w:rsidRPr="009B1505">
        <w:t xml:space="preserve">be more relevant to the health care decisions of policymakers, </w:t>
      </w:r>
      <w:r>
        <w:t>treatment facilities</w:t>
      </w:r>
      <w:r w:rsidRPr="009B1505">
        <w:t xml:space="preserve">, and </w:t>
      </w:r>
      <w:r w:rsidR="007367F8">
        <w:t>patient</w:t>
      </w:r>
      <w:r w:rsidRPr="009B1505">
        <w:t>s. The observational nature of our research design and the multilevel structure of our longitudinal data sources also presents challenges that will require statistical tools to ensure appropriate estimation and inference.</w:t>
      </w:r>
    </w:p>
    <w:p w14:paraId="6490FD32" w14:textId="2AA5B4B8" w:rsidR="002D20C1" w:rsidRDefault="002D20C1" w:rsidP="002D20C1">
      <w:pPr>
        <w:pStyle w:val="BodyText1"/>
      </w:pPr>
      <w:r w:rsidRPr="009B1505">
        <w:t xml:space="preserve">The primary quantitative analysis methods will focus </w:t>
      </w:r>
      <w:r>
        <w:t xml:space="preserve">on </w:t>
      </w:r>
      <w:r w:rsidRPr="009B1505">
        <w:t>multilevel latent growth models</w:t>
      </w:r>
      <w:r>
        <w:t>,</w:t>
      </w:r>
      <w:r w:rsidRPr="009B1505">
        <w:t xml:space="preserve"> which will incorporate the longitudinal data collected by the </w:t>
      </w:r>
      <w:r w:rsidR="007367F8">
        <w:t>Patient</w:t>
      </w:r>
      <w:r w:rsidR="00CF72D5">
        <w:t xml:space="preserve"> Check-In and </w:t>
      </w:r>
      <w:r w:rsidR="007367F8">
        <w:t>Patient</w:t>
      </w:r>
      <w:r w:rsidRPr="009B1505">
        <w:t xml:space="preserve"> </w:t>
      </w:r>
      <w:r>
        <w:t>Q</w:t>
      </w:r>
      <w:r w:rsidRPr="009B1505">
        <w:t xml:space="preserve">uestionnaires. This approach will allow for repeated </w:t>
      </w:r>
      <w:r w:rsidR="007367F8">
        <w:t>patient</w:t>
      </w:r>
      <w:r w:rsidRPr="009B1505">
        <w:t xml:space="preserve"> measures to be linked from baseline, </w:t>
      </w:r>
      <w:r w:rsidR="00CF72D5">
        <w:t xml:space="preserve">3, 6, </w:t>
      </w:r>
      <w:r w:rsidRPr="009B1505">
        <w:t>12 months</w:t>
      </w:r>
      <w:r>
        <w:t>,</w:t>
      </w:r>
      <w:r w:rsidRPr="009B1505">
        <w:t xml:space="preserve"> and 24 months in a model that also accounts for hierarchal data structure (e.g., </w:t>
      </w:r>
      <w:r w:rsidR="007367F8">
        <w:t>patient</w:t>
      </w:r>
      <w:r w:rsidRPr="009B1505">
        <w:t xml:space="preserve">, treatment, site, </w:t>
      </w:r>
      <w:r w:rsidR="00CA3E4A">
        <w:rPr>
          <w:sz w:val="22"/>
          <w:szCs w:val="22"/>
        </w:rPr>
        <w:t>study area</w:t>
      </w:r>
      <w:r w:rsidRPr="009B1505">
        <w:t xml:space="preserve">). </w:t>
      </w:r>
      <w:r w:rsidR="00CF72D5">
        <w:t xml:space="preserve">This </w:t>
      </w:r>
      <w:r w:rsidRPr="009B1505">
        <w:t xml:space="preserve">longitudinal data will be used in the model by adding a regression parameter for each </w:t>
      </w:r>
      <w:r w:rsidR="007367F8">
        <w:t>patient</w:t>
      </w:r>
      <w:r w:rsidRPr="009B1505">
        <w:t xml:space="preserve"> </w:t>
      </w:r>
      <w:r>
        <w:t>that</w:t>
      </w:r>
      <w:r w:rsidRPr="009B1505">
        <w:t xml:space="preserve"> captures the relation</w:t>
      </w:r>
      <w:r>
        <w:t>ship</w:t>
      </w:r>
      <w:r w:rsidRPr="009B1505">
        <w:t xml:space="preserve"> between the risk factor (e.g., depression) and the outcome for that </w:t>
      </w:r>
      <w:r w:rsidR="007367F8">
        <w:t>patient</w:t>
      </w:r>
      <w:r w:rsidRPr="009B1505">
        <w:t>.</w:t>
      </w:r>
    </w:p>
    <w:p w14:paraId="294E4EB7" w14:textId="4F550706" w:rsidR="002D20C1" w:rsidRDefault="002D20C1" w:rsidP="002D20C1">
      <w:pPr>
        <w:pStyle w:val="BodyText1"/>
      </w:pPr>
      <w:r w:rsidRPr="009244E8">
        <w:t xml:space="preserve">Our aim is understanding which type of </w:t>
      </w:r>
      <w:r w:rsidR="007367F8">
        <w:t>patient</w:t>
      </w:r>
      <w:r w:rsidRPr="009244E8">
        <w:t xml:space="preserve">s do better in which type of treatment, and which treatment program characteristics matter for </w:t>
      </w:r>
      <w:r w:rsidR="007367F8">
        <w:t>patient</w:t>
      </w:r>
      <w:r w:rsidRPr="009244E8">
        <w:t xml:space="preserve"> success. To that end, we will estimate separate multivariate regression models for </w:t>
      </w:r>
      <w:r w:rsidR="007367F8">
        <w:t>patient</w:t>
      </w:r>
      <w:r w:rsidRPr="009244E8">
        <w:t xml:space="preserve">s in each treatment type (MMT, BUP, </w:t>
      </w:r>
      <w:r>
        <w:t>NTX</w:t>
      </w:r>
      <w:r w:rsidRPr="009244E8">
        <w:t xml:space="preserve">, and COUN). The dependent variables of interest will include relevant outcomes such as opioid </w:t>
      </w:r>
      <w:r w:rsidR="00411AB2">
        <w:t xml:space="preserve">misuse and </w:t>
      </w:r>
      <w:r w:rsidRPr="009244E8">
        <w:t xml:space="preserve">abuse, overdose, and mortality, among others. The independent variables will include relevant </w:t>
      </w:r>
      <w:r w:rsidR="007367F8">
        <w:t>patient</w:t>
      </w:r>
      <w:r w:rsidRPr="009244E8">
        <w:t xml:space="preserve"> and program characteristics that could matter for </w:t>
      </w:r>
      <w:r w:rsidR="007367F8">
        <w:t>patient</w:t>
      </w:r>
      <w:r w:rsidRPr="009244E8">
        <w:t xml:space="preserve"> success.</w:t>
      </w:r>
    </w:p>
    <w:p w14:paraId="3C2E9D5E" w14:textId="3212C991" w:rsidR="002D20C1" w:rsidRPr="009244E8" w:rsidRDefault="002D20C1" w:rsidP="002D20C1">
      <w:pPr>
        <w:pStyle w:val="BodyText1"/>
      </w:pPr>
      <w:r w:rsidRPr="009244E8">
        <w:t xml:space="preserve">Several quantitative methods will be implemented to help address the challenges raised by conducting an observational study, including </w:t>
      </w:r>
      <w:r w:rsidR="003E2E19" w:rsidRPr="009244E8">
        <w:t>propensity</w:t>
      </w:r>
      <w:r w:rsidR="003E2E19">
        <w:t>-</w:t>
      </w:r>
      <w:r w:rsidRPr="009244E8">
        <w:t>score matching, and advanced mediation analysis. Propensity scoring approaches may be used to estimate the probability of being captured in our study and to align our sample with the population seeking OUD treatment using known characteristics. These scores can then be used to weight outcome analyses to produce estimates with the intended goal of improving their statistical properties (e.g., lower bias), given the study design (Harder, Stuart, &amp; Anthony, 2010; McCaffrey, Ridgeway, &amp; Morral, 2004; Rosenbaum &amp; Rubin, 1983; Shadish, 2010). Where appropriate, we will compare the study estimates with external data sources to assess the effectiveness of this procedure.</w:t>
      </w:r>
    </w:p>
    <w:p w14:paraId="635805A6" w14:textId="77777777" w:rsidR="002D20C1" w:rsidRPr="009B1505" w:rsidRDefault="002D20C1" w:rsidP="002D20C1">
      <w:pPr>
        <w:pStyle w:val="BodyText1"/>
      </w:pPr>
      <w:r w:rsidRPr="0039785A">
        <w:rPr>
          <w:snapToGrid w:val="0"/>
          <w:szCs w:val="24"/>
        </w:rPr>
        <w:t>Advanced mediation analysis will support the assessment of indirect linkages between treatment and the outcome variables. OUD outcomes will be modeled as growth processes, with random intercepts and slopes over time for both the mediator and outcomes under the longitudinal mediation framework of Cheong, MacKinnon, and Khoo (2003).</w:t>
      </w:r>
    </w:p>
    <w:p w14:paraId="42DD9DBA" w14:textId="77777777" w:rsidR="002D20C1" w:rsidRPr="00797394" w:rsidRDefault="002D20C1" w:rsidP="002D20C1">
      <w:pPr>
        <w:pStyle w:val="Heading4"/>
        <w:rPr>
          <w:rFonts w:ascii="Times New Roman" w:hAnsi="Times New Roman" w:cs="Times New Roman"/>
          <w:i/>
          <w:sz w:val="24"/>
          <w:szCs w:val="24"/>
        </w:rPr>
      </w:pPr>
      <w:r w:rsidRPr="00797394">
        <w:rPr>
          <w:rFonts w:ascii="Times New Roman" w:hAnsi="Times New Roman" w:cs="Times New Roman"/>
          <w:i/>
          <w:sz w:val="24"/>
          <w:szCs w:val="24"/>
        </w:rPr>
        <w:t>Qualitative Analysis</w:t>
      </w:r>
    </w:p>
    <w:p w14:paraId="4AF8BC0A" w14:textId="3C1B4DAA" w:rsidR="002D20C1" w:rsidRPr="009B1505" w:rsidRDefault="002D20C1" w:rsidP="002D20C1">
      <w:pPr>
        <w:pStyle w:val="BodyText1"/>
      </w:pPr>
      <w:r w:rsidRPr="009B1505">
        <w:t>Upon completion of each Focus Group, transcripts will be extracted</w:t>
      </w:r>
      <w:r>
        <w:t xml:space="preserve"> by RTI qualitative analysts</w:t>
      </w:r>
      <w:r w:rsidRPr="009B1505">
        <w:t xml:space="preserve"> and compared with the recordings for verification. Members of the team will upload the data into NVivo, a qualitative analysis software program. The study’s qualitative analysis approach will be based on coding or categorizing data using carefully defined and tested codes. Each focus group transcript will be independently double coded with an established list of codes and then checked for reliability between analysts. During the initial stages of coding, codes will </w:t>
      </w:r>
      <w:r>
        <w:t xml:space="preserve">be </w:t>
      </w:r>
      <w:r w:rsidRPr="009B1505">
        <w:t xml:space="preserve">tested and refined in process expected to follow the Miles and Huberman (1994) interactive model of qualitative data review, in which we simultaneously collect, display, and reduce data; draw conclusions; and verify our assertions. </w:t>
      </w:r>
      <w:bookmarkStart w:id="32" w:name="_Toc375046361"/>
      <w:r w:rsidRPr="009B1505">
        <w:t xml:space="preserve">The final version of the qualitative data will be a condensed set of themes, one for the </w:t>
      </w:r>
      <w:r>
        <w:t>treatment facility staff</w:t>
      </w:r>
      <w:r w:rsidRPr="009B1505">
        <w:t xml:space="preserve"> and another for </w:t>
      </w:r>
      <w:r w:rsidR="007367F8">
        <w:t>patient</w:t>
      </w:r>
      <w:r w:rsidRPr="009B1505">
        <w:t xml:space="preserve">s, which will highlight the factors that influence </w:t>
      </w:r>
      <w:r>
        <w:t>OUD treatment outcomes</w:t>
      </w:r>
      <w:r w:rsidRPr="009B1505">
        <w:t>.</w:t>
      </w:r>
      <w:bookmarkEnd w:id="32"/>
    </w:p>
    <w:p w14:paraId="6BD1F467" w14:textId="27467739" w:rsidR="005A4B29" w:rsidRDefault="005A4B29" w:rsidP="005A4B29">
      <w:pPr>
        <w:pStyle w:val="Heading2"/>
      </w:pPr>
      <w:bookmarkStart w:id="33" w:name="_Toc505507446"/>
      <w:bookmarkStart w:id="34" w:name="_Toc8007728"/>
      <w:bookmarkStart w:id="35" w:name="_Toc88033505"/>
      <w:bookmarkStart w:id="36" w:name="_Toc457852721"/>
      <w:bookmarkEnd w:id="31"/>
      <w:r>
        <w:t>B.4</w:t>
      </w:r>
      <w:r>
        <w:tab/>
        <w:t>Justification for Target Sample Sizes</w:t>
      </w:r>
      <w:bookmarkEnd w:id="33"/>
    </w:p>
    <w:p w14:paraId="24012B69" w14:textId="77777777" w:rsidR="009A7920" w:rsidRDefault="005A4B29" w:rsidP="009A7920">
      <w:pPr>
        <w:pStyle w:val="BodyText1"/>
      </w:pPr>
      <w:r>
        <w:t xml:space="preserve">   </w:t>
      </w:r>
      <w:r w:rsidR="009A7920">
        <w:t xml:space="preserve">The goal of the study is to conduct an epidemiologic, mixed-methods evaluation of MAT in real-world outpatient settings, incorporating characteristics for the area and site along with patient-level covariates. The study is not designed to conduct site-level comparisons nor comparisons across areas. </w:t>
      </w:r>
    </w:p>
    <w:p w14:paraId="5BEB276C" w14:textId="1680C47B" w:rsidR="009A7920" w:rsidRDefault="009A7920" w:rsidP="009A7920">
      <w:pPr>
        <w:pStyle w:val="BodyText1"/>
      </w:pPr>
      <w:r>
        <w:t>A conservative approach was used for the power calculation to determine the number of patients needed to remain in the study at the end of the 2-year observation period, i.e., 2,233 shown in Exhibit 3. Inputs to the power calculation for the four MAT treatments included a 50-percent abstinence rate and descriptive instead of model-based statistics; without the benefits of covariates to lower the model errors, our approach resulted slightly larger variance than expected.  The study was established to detect a 10-percentage point difference in two-sided statistical tests to evaluate pairwise comparisons across the treatments; the tests were set at 0.05 significance and 90-percent power. The sensitivity of site-level intracluster correlations (ICC) was evaluated; ICC=0.01 was consistent with prior studies of a similar nature (see discussion in Section B.1.2). Though the treatments will not be directly compared</w:t>
      </w:r>
      <w:r w:rsidR="004404CF">
        <w:t xml:space="preserve"> to identify the “best” regimen</w:t>
      </w:r>
      <w:r>
        <w:t>, the sample size targets will ensure efficient estimates for each regimen.</w:t>
      </w:r>
    </w:p>
    <w:p w14:paraId="709A11BF" w14:textId="675430A0" w:rsidR="005A4B29" w:rsidRDefault="009A7920" w:rsidP="009A7920">
      <w:pPr>
        <w:pStyle w:val="BodyText1"/>
      </w:pPr>
      <w:r>
        <w:t>We will examine descriptive statistics by subgroups such as gender, age, race/ethnicity, urban/rural, and insurance coverage; those subgroups with at least 450 participants are projected to have sufficient size to produce reliable estimates. Estimates with a percent coefficient of variation (CV, calculated as the square root of the estimated variance / estimated statistic) exceeding 30 percent will be labeled as unstable and interpreted with caution. In keeping with CDC guidelines, estimates with a CV at or above 50 percent are unreliable and will be suppressed from publication.</w:t>
      </w:r>
    </w:p>
    <w:p w14:paraId="37F0C8F2" w14:textId="7E7F43C0" w:rsidR="009D33E3" w:rsidRDefault="009D33E3" w:rsidP="001A7DA7">
      <w:pPr>
        <w:pStyle w:val="Heading2"/>
      </w:pPr>
      <w:bookmarkStart w:id="37" w:name="_Toc505507447"/>
      <w:r w:rsidRPr="005C43A1">
        <w:t>B.</w:t>
      </w:r>
      <w:r w:rsidR="005A4B29">
        <w:t>5</w:t>
      </w:r>
      <w:r w:rsidRPr="005C43A1">
        <w:tab/>
      </w:r>
      <w:bookmarkEnd w:id="34"/>
      <w:bookmarkEnd w:id="35"/>
      <w:r w:rsidRPr="005C43A1">
        <w:t xml:space="preserve">Test of Procedures or Methods to </w:t>
      </w:r>
      <w:r w:rsidR="002D6249" w:rsidRPr="005C43A1">
        <w:t xml:space="preserve">Be </w:t>
      </w:r>
      <w:r w:rsidRPr="005C43A1">
        <w:t>Undertaken</w:t>
      </w:r>
      <w:bookmarkEnd w:id="36"/>
      <w:bookmarkEnd w:id="37"/>
    </w:p>
    <w:p w14:paraId="2B59AAEE" w14:textId="1E9AB056" w:rsidR="009D33E3" w:rsidRPr="00DA30DE" w:rsidRDefault="00C95609" w:rsidP="001A7DA7">
      <w:pPr>
        <w:pStyle w:val="BodyText1"/>
      </w:pPr>
      <w:r>
        <w:t>D</w:t>
      </w:r>
      <w:r w:rsidR="009D33E3">
        <w:t>ata collection tools used in this study have been adapted from previously administered tools</w:t>
      </w:r>
      <w:r w:rsidR="00BD520D">
        <w:t xml:space="preserve"> and instruments available from the literature</w:t>
      </w:r>
      <w:r w:rsidR="009D33E3">
        <w:t xml:space="preserve"> (see </w:t>
      </w:r>
      <w:r w:rsidR="009D33E3" w:rsidRPr="008864F1">
        <w:rPr>
          <w:b/>
          <w:i/>
        </w:rPr>
        <w:t>Section A</w:t>
      </w:r>
      <w:r w:rsidRPr="008864F1">
        <w:rPr>
          <w:b/>
          <w:i/>
        </w:rPr>
        <w:t>.</w:t>
      </w:r>
      <w:r w:rsidR="008E4CA1">
        <w:rPr>
          <w:b/>
          <w:i/>
        </w:rPr>
        <w:t>2</w:t>
      </w:r>
      <w:r w:rsidR="00797394">
        <w:t>).</w:t>
      </w:r>
      <w:r w:rsidR="009D33E3">
        <w:t xml:space="preserve"> Similarly, the </w:t>
      </w:r>
      <w:r w:rsidR="00F455AE">
        <w:t xml:space="preserve">Focus Group </w:t>
      </w:r>
      <w:r w:rsidR="009D33E3">
        <w:t xml:space="preserve">guides for both </w:t>
      </w:r>
      <w:r w:rsidR="007367F8">
        <w:t>patient</w:t>
      </w:r>
      <w:r w:rsidR="009D33E3">
        <w:t>s and</w:t>
      </w:r>
      <w:r w:rsidR="00CF72D5">
        <w:t xml:space="preserve"> staff </w:t>
      </w:r>
      <w:r w:rsidR="009D33E3">
        <w:t>have</w:t>
      </w:r>
      <w:r w:rsidR="000C7DE8">
        <w:t xml:space="preserve"> been</w:t>
      </w:r>
      <w:r w:rsidR="009D33E3">
        <w:t xml:space="preserve"> developed from questionnaires used in similar studies and </w:t>
      </w:r>
      <w:r w:rsidR="00817741">
        <w:t xml:space="preserve">have been </w:t>
      </w:r>
      <w:r w:rsidR="009D33E3">
        <w:t xml:space="preserve">adapted to fit the specific needs of this study. </w:t>
      </w:r>
    </w:p>
    <w:p w14:paraId="29FF3D16" w14:textId="5D2B3D89" w:rsidR="009D33E3" w:rsidRDefault="009D33E3" w:rsidP="009D33E3">
      <w:pPr>
        <w:pStyle w:val="Heading2"/>
        <w:rPr>
          <w:rFonts w:cs="Times New Roman"/>
        </w:rPr>
      </w:pPr>
      <w:bookmarkStart w:id="38" w:name="_Toc8007732"/>
      <w:bookmarkStart w:id="39" w:name="_Toc88033508"/>
      <w:bookmarkStart w:id="40" w:name="_Toc457852722"/>
      <w:bookmarkStart w:id="41" w:name="_Toc505507448"/>
      <w:r w:rsidRPr="005C43A1">
        <w:t>B.</w:t>
      </w:r>
      <w:r w:rsidR="005A4B29">
        <w:t>6</w:t>
      </w:r>
      <w:r w:rsidRPr="005C43A1">
        <w:tab/>
      </w:r>
      <w:bookmarkStart w:id="42" w:name="_Toc144286851"/>
      <w:bookmarkStart w:id="43" w:name="_Toc178651716"/>
      <w:bookmarkStart w:id="44" w:name="_Toc273451077"/>
      <w:bookmarkStart w:id="45" w:name="_Toc275433789"/>
      <w:bookmarkEnd w:id="38"/>
      <w:bookmarkEnd w:id="39"/>
      <w:r w:rsidRPr="0019504A">
        <w:rPr>
          <w:rFonts w:cs="Times New Roman"/>
        </w:rPr>
        <w:t>Individuals Consulted on Statistical Aspects and/or Analyzing Data</w:t>
      </w:r>
      <w:bookmarkEnd w:id="40"/>
      <w:bookmarkEnd w:id="42"/>
      <w:bookmarkEnd w:id="43"/>
      <w:bookmarkEnd w:id="44"/>
      <w:bookmarkEnd w:id="45"/>
      <w:bookmarkEnd w:id="41"/>
    </w:p>
    <w:p w14:paraId="487AC8F7" w14:textId="59276AAB" w:rsidR="00797394" w:rsidRDefault="009D33E3" w:rsidP="00954B14">
      <w:pPr>
        <w:pStyle w:val="BodyText1"/>
      </w:pPr>
      <w:r w:rsidRPr="008C607D">
        <w:t xml:space="preserve">As noted in </w:t>
      </w:r>
      <w:r w:rsidRPr="00CF72D5">
        <w:t>Section A.8</w:t>
      </w:r>
      <w:r w:rsidRPr="008C607D">
        <w:t xml:space="preserve">, </w:t>
      </w:r>
      <w:r w:rsidRPr="00DC4D29">
        <w:t xml:space="preserve">CDC has consulted extensively with a federal expert panel who will continue to provide expert advice throughout the course of the evaluation. In addition, the contractor team is </w:t>
      </w:r>
      <w:r w:rsidR="00402EF0">
        <w:t>composed</w:t>
      </w:r>
      <w:r w:rsidR="00402EF0" w:rsidRPr="00DC4D29">
        <w:t xml:space="preserve"> </w:t>
      </w:r>
      <w:r w:rsidRPr="00DC4D29">
        <w:t>of several experts who will be directly involved in the data collection and statistical analysis. In addition, contract</w:t>
      </w:r>
      <w:r w:rsidR="008D70F9">
        <w:t>ing</w:t>
      </w:r>
      <w:r w:rsidRPr="00DC4D29">
        <w:t xml:space="preserve"> in-house experts will be consulted throughout the program on various statistical aspects of the design, methodological issues, economic analysis, database management, and data analysis. </w:t>
      </w:r>
      <w:r w:rsidR="009F6D65">
        <w:t>Exhibit 5</w:t>
      </w:r>
      <w:r w:rsidRPr="00DC4D29">
        <w:t xml:space="preserve"> provides details of these team members and advisors.</w:t>
      </w:r>
      <w:r w:rsidRPr="008C607D">
        <w:t xml:space="preserve"> </w:t>
      </w:r>
      <w:bookmarkStart w:id="46" w:name="_Toc93987698"/>
      <w:bookmarkStart w:id="47" w:name="_Toc131566262"/>
      <w:bookmarkStart w:id="48" w:name="_Toc473633485"/>
      <w:bookmarkStart w:id="49" w:name="_Toc474853883"/>
      <w:bookmarkStart w:id="50" w:name="_Toc475451159"/>
      <w:r w:rsidR="00797394">
        <w:br w:type="page"/>
      </w:r>
    </w:p>
    <w:p w14:paraId="0EE23A2B" w14:textId="5FB7429F" w:rsidR="009D33E3" w:rsidRPr="00DC4D29" w:rsidRDefault="009F6D65" w:rsidP="001A7DA7">
      <w:pPr>
        <w:pStyle w:val="FigureTitle"/>
        <w:rPr>
          <w:i/>
        </w:rPr>
      </w:pPr>
      <w:bookmarkStart w:id="51" w:name="_Toc505507455"/>
      <w:r>
        <w:t>Exhibit 5</w:t>
      </w:r>
      <w:r w:rsidR="009D33E3" w:rsidRPr="00DC4D29">
        <w:t xml:space="preserve">. </w:t>
      </w:r>
      <w:bookmarkEnd w:id="46"/>
      <w:bookmarkEnd w:id="47"/>
      <w:r w:rsidR="004A07AB">
        <w:tab/>
      </w:r>
      <w:r w:rsidR="009D33E3" w:rsidRPr="00DC4D29">
        <w:t>Data Collection and Analysis Team Members and Advisors</w:t>
      </w:r>
      <w:bookmarkEnd w:id="48"/>
      <w:bookmarkEnd w:id="49"/>
      <w:bookmarkEnd w:id="50"/>
      <w:bookmarkEnd w:id="51"/>
    </w:p>
    <w:tbl>
      <w:tblPr>
        <w:tblW w:w="9098" w:type="dxa"/>
        <w:tblInd w:w="172" w:type="dxa"/>
        <w:tblBorders>
          <w:top w:val="double" w:sz="6" w:space="0" w:color="auto"/>
          <w:bottom w:val="doub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4511"/>
        <w:gridCol w:w="4587"/>
      </w:tblGrid>
      <w:tr w:rsidR="00C95609" w:rsidRPr="00880F78" w:rsidDel="00CC7210" w14:paraId="45566A21" w14:textId="77777777" w:rsidTr="00C95609">
        <w:trPr>
          <w:cantSplit/>
        </w:trPr>
        <w:tc>
          <w:tcPr>
            <w:tcW w:w="4511" w:type="dxa"/>
            <w:tcBorders>
              <w:top w:val="single" w:sz="12" w:space="0" w:color="auto"/>
              <w:bottom w:val="single" w:sz="6" w:space="0" w:color="auto"/>
              <w:right w:val="nil"/>
            </w:tcBorders>
          </w:tcPr>
          <w:p w14:paraId="62AB4C39" w14:textId="25B6511B" w:rsidR="00C95609" w:rsidRPr="00880F78" w:rsidRDefault="00C95609" w:rsidP="004A07AB">
            <w:pPr>
              <w:pStyle w:val="TableHeaders"/>
              <w:jc w:val="left"/>
            </w:pPr>
            <w:r w:rsidRPr="00880F78">
              <w:t>MAT Staff</w:t>
            </w:r>
          </w:p>
        </w:tc>
        <w:tc>
          <w:tcPr>
            <w:tcW w:w="4587" w:type="dxa"/>
            <w:tcBorders>
              <w:top w:val="single" w:sz="12" w:space="0" w:color="auto"/>
              <w:left w:val="nil"/>
              <w:bottom w:val="single" w:sz="6" w:space="0" w:color="auto"/>
              <w:right w:val="nil"/>
            </w:tcBorders>
          </w:tcPr>
          <w:p w14:paraId="6098147A" w14:textId="77777777" w:rsidR="00C95609" w:rsidRPr="00880F78" w:rsidRDefault="00C95609" w:rsidP="004A07AB">
            <w:pPr>
              <w:pStyle w:val="TableHeaders"/>
            </w:pPr>
          </w:p>
        </w:tc>
      </w:tr>
      <w:tr w:rsidR="00C95609" w:rsidRPr="00880F78" w:rsidDel="00CC7210" w14:paraId="1A119927" w14:textId="77777777" w:rsidTr="00C95609">
        <w:trPr>
          <w:cantSplit/>
        </w:trPr>
        <w:tc>
          <w:tcPr>
            <w:tcW w:w="4511" w:type="dxa"/>
            <w:tcBorders>
              <w:top w:val="single" w:sz="6" w:space="0" w:color="auto"/>
              <w:bottom w:val="nil"/>
              <w:right w:val="nil"/>
            </w:tcBorders>
          </w:tcPr>
          <w:p w14:paraId="5EDD1A6F" w14:textId="1ADE50D3" w:rsidR="00C95609" w:rsidRPr="00880F78" w:rsidRDefault="004A07AB" w:rsidP="004A07AB">
            <w:pPr>
              <w:pStyle w:val="TableParagraph"/>
              <w:spacing w:before="80"/>
              <w:ind w:left="202" w:right="1253"/>
            </w:pPr>
            <w:r>
              <w:rPr>
                <w:rFonts w:ascii="Times New Roman" w:hAnsi="Times New Roman" w:cs="Times New Roman"/>
                <w:b/>
              </w:rPr>
              <w:t>Laura Dunlap, PhD</w:t>
            </w:r>
            <w:r>
              <w:rPr>
                <w:rFonts w:ascii="Times New Roman" w:hAnsi="Times New Roman" w:cs="Times New Roman"/>
                <w:b/>
              </w:rPr>
              <w:br/>
            </w:r>
            <w:r w:rsidR="00C95609" w:rsidRPr="00880F78">
              <w:rPr>
                <w:rFonts w:ascii="Times New Roman" w:hAnsi="Times New Roman" w:cs="Times New Roman"/>
              </w:rPr>
              <w:t xml:space="preserve">Project Director </w:t>
            </w:r>
            <w:r>
              <w:rPr>
                <w:rFonts w:ascii="Times New Roman" w:hAnsi="Times New Roman" w:cs="Times New Roman"/>
              </w:rPr>
              <w:br/>
            </w:r>
            <w:r w:rsidR="00C95609" w:rsidRPr="00880F78">
              <w:rPr>
                <w:rFonts w:ascii="Times New Roman" w:hAnsi="Times New Roman" w:cs="Times New Roman"/>
              </w:rPr>
              <w:t xml:space="preserve">Behavioral Economics </w:t>
            </w:r>
            <w:r>
              <w:rPr>
                <w:rFonts w:ascii="Times New Roman" w:hAnsi="Times New Roman" w:cs="Times New Roman"/>
              </w:rPr>
              <w:br/>
            </w:r>
            <w:r w:rsidR="00C95609" w:rsidRPr="00880F78">
              <w:rPr>
                <w:rFonts w:ascii="Times New Roman" w:hAnsi="Times New Roman" w:cs="Times New Roman"/>
              </w:rPr>
              <w:t xml:space="preserve">RTI International </w:t>
            </w:r>
            <w:r>
              <w:rPr>
                <w:rFonts w:ascii="Times New Roman" w:hAnsi="Times New Roman" w:cs="Times New Roman"/>
              </w:rPr>
              <w:br/>
            </w:r>
            <w:r w:rsidR="00C95609" w:rsidRPr="00880F78">
              <w:rPr>
                <w:rFonts w:ascii="Times New Roman" w:hAnsi="Times New Roman" w:cs="Times New Roman"/>
              </w:rPr>
              <w:t>Research Triangle Park, N</w:t>
            </w:r>
            <w:r>
              <w:rPr>
                <w:rFonts w:ascii="Times New Roman" w:hAnsi="Times New Roman" w:cs="Times New Roman"/>
              </w:rPr>
              <w:t>C</w:t>
            </w:r>
            <w:r>
              <w:rPr>
                <w:rFonts w:ascii="Times New Roman" w:hAnsi="Times New Roman" w:cs="Times New Roman"/>
              </w:rPr>
              <w:br/>
            </w:r>
            <w:r w:rsidR="00C95609">
              <w:rPr>
                <w:rFonts w:ascii="Times New Roman" w:hAnsi="Times New Roman" w:cs="Times New Roman"/>
              </w:rPr>
              <w:t>Phone:</w:t>
            </w:r>
            <w:r w:rsidR="00C95609">
              <w:t xml:space="preserve"> </w:t>
            </w:r>
            <w:r w:rsidR="00C95609" w:rsidRPr="00386CC5">
              <w:rPr>
                <w:rFonts w:ascii="Times New Roman" w:hAnsi="Times New Roman" w:cs="Times New Roman"/>
              </w:rPr>
              <w:t>919-541-7310</w:t>
            </w:r>
            <w:r w:rsidR="00C95609">
              <w:rPr>
                <w:rFonts w:ascii="Times New Roman" w:hAnsi="Times New Roman" w:cs="Times New Roman"/>
              </w:rPr>
              <w:t xml:space="preserve"> </w:t>
            </w:r>
          </w:p>
          <w:p w14:paraId="634C02B1" w14:textId="77777777" w:rsidR="00C95609" w:rsidRPr="00880F78" w:rsidRDefault="00C95609" w:rsidP="00EF6F59">
            <w:pPr>
              <w:pStyle w:val="TableParagraph"/>
              <w:spacing w:after="80"/>
              <w:ind w:left="202" w:right="158"/>
            </w:pPr>
          </w:p>
        </w:tc>
        <w:tc>
          <w:tcPr>
            <w:tcW w:w="4587" w:type="dxa"/>
            <w:tcBorders>
              <w:top w:val="single" w:sz="6" w:space="0" w:color="auto"/>
              <w:left w:val="nil"/>
              <w:bottom w:val="nil"/>
              <w:right w:val="nil"/>
            </w:tcBorders>
          </w:tcPr>
          <w:p w14:paraId="58ED600D" w14:textId="77777777" w:rsidR="007B0011" w:rsidRDefault="005A1566" w:rsidP="004A07AB">
            <w:pPr>
              <w:pStyle w:val="TableParagraph"/>
              <w:ind w:left="202"/>
              <w:rPr>
                <w:rFonts w:ascii="Times New Roman" w:hAnsi="Times New Roman" w:cs="Times New Roman"/>
                <w:b/>
              </w:rPr>
            </w:pPr>
            <w:r>
              <w:rPr>
                <w:rFonts w:ascii="Times New Roman" w:hAnsi="Times New Roman" w:cs="Times New Roman"/>
                <w:b/>
              </w:rPr>
              <w:t>Victoria Albright, MA</w:t>
            </w:r>
          </w:p>
          <w:p w14:paraId="76D70C08" w14:textId="77777777" w:rsidR="007B0011" w:rsidRDefault="005A1566" w:rsidP="004A07AB">
            <w:pPr>
              <w:pStyle w:val="TableParagraph"/>
              <w:ind w:left="202"/>
              <w:rPr>
                <w:rFonts w:ascii="Times New Roman" w:hAnsi="Times New Roman" w:cs="Times New Roman"/>
              </w:rPr>
            </w:pPr>
            <w:r>
              <w:rPr>
                <w:rFonts w:ascii="Times New Roman" w:hAnsi="Times New Roman" w:cs="Times New Roman"/>
              </w:rPr>
              <w:t>Senior Survey Researcher and Analyst</w:t>
            </w:r>
          </w:p>
          <w:p w14:paraId="031364E0" w14:textId="66CD8E40" w:rsidR="00C95609" w:rsidRPr="00880F78" w:rsidRDefault="00C95609" w:rsidP="004A07AB">
            <w:pPr>
              <w:pStyle w:val="TableParagraph"/>
              <w:ind w:left="202"/>
              <w:rPr>
                <w:rFonts w:ascii="Times New Roman" w:hAnsi="Times New Roman" w:cs="Times New Roman"/>
              </w:rPr>
            </w:pPr>
            <w:r w:rsidRPr="00880F78">
              <w:rPr>
                <w:rFonts w:ascii="Times New Roman" w:hAnsi="Times New Roman" w:cs="Times New Roman"/>
              </w:rPr>
              <w:t>RTI International</w:t>
            </w:r>
            <w:r w:rsidR="004A07AB">
              <w:rPr>
                <w:rFonts w:ascii="Times New Roman" w:hAnsi="Times New Roman" w:cs="Times New Roman"/>
              </w:rPr>
              <w:br/>
            </w:r>
            <w:r w:rsidRPr="00880F78">
              <w:rPr>
                <w:rFonts w:ascii="Times New Roman" w:hAnsi="Times New Roman" w:cs="Times New Roman"/>
              </w:rPr>
              <w:t>Research Triangle Park, N</w:t>
            </w:r>
            <w:r w:rsidR="004A07AB">
              <w:rPr>
                <w:rFonts w:ascii="Times New Roman" w:hAnsi="Times New Roman" w:cs="Times New Roman"/>
              </w:rPr>
              <w:t>C</w:t>
            </w:r>
            <w:r w:rsidR="004A07AB">
              <w:rPr>
                <w:rFonts w:ascii="Times New Roman" w:hAnsi="Times New Roman" w:cs="Times New Roman"/>
              </w:rPr>
              <w:br/>
            </w:r>
            <w:r>
              <w:rPr>
                <w:rFonts w:ascii="Times New Roman" w:hAnsi="Times New Roman" w:cs="Times New Roman"/>
              </w:rPr>
              <w:t xml:space="preserve">Phone: </w:t>
            </w:r>
            <w:r w:rsidRPr="00386CC5">
              <w:rPr>
                <w:rFonts w:ascii="Times New Roman" w:hAnsi="Times New Roman" w:cs="Times New Roman"/>
              </w:rPr>
              <w:t>919-541-7129</w:t>
            </w:r>
          </w:p>
        </w:tc>
      </w:tr>
      <w:tr w:rsidR="00C95609" w:rsidRPr="00880F78" w:rsidDel="00CC7210" w14:paraId="1070F415" w14:textId="77777777" w:rsidTr="00C95609">
        <w:trPr>
          <w:cantSplit/>
        </w:trPr>
        <w:tc>
          <w:tcPr>
            <w:tcW w:w="4511" w:type="dxa"/>
            <w:tcBorders>
              <w:top w:val="nil"/>
              <w:bottom w:val="single" w:sz="6" w:space="0" w:color="auto"/>
              <w:right w:val="nil"/>
            </w:tcBorders>
          </w:tcPr>
          <w:p w14:paraId="2814CEDF" w14:textId="77777777" w:rsidR="00A128E8" w:rsidRDefault="00C95609" w:rsidP="004A07AB">
            <w:pPr>
              <w:pStyle w:val="TableParagraph"/>
              <w:spacing w:before="80"/>
              <w:ind w:left="173" w:right="259"/>
              <w:rPr>
                <w:rFonts w:ascii="Times New Roman" w:hAnsi="Times New Roman" w:cs="Times New Roman"/>
              </w:rPr>
            </w:pPr>
            <w:r w:rsidRPr="00880F78">
              <w:rPr>
                <w:rFonts w:ascii="Times New Roman" w:hAnsi="Times New Roman" w:cs="Times New Roman"/>
                <w:b/>
              </w:rPr>
              <w:t>Mark Edlund, MD, PhD</w:t>
            </w:r>
            <w:r w:rsidR="004A07AB">
              <w:rPr>
                <w:rFonts w:ascii="Times New Roman" w:hAnsi="Times New Roman" w:cs="Times New Roman"/>
                <w:b/>
              </w:rPr>
              <w:br/>
            </w:r>
            <w:r>
              <w:rPr>
                <w:rFonts w:ascii="Times New Roman" w:hAnsi="Times New Roman" w:cs="Times New Roman"/>
              </w:rPr>
              <w:t>Associate Project Director</w:t>
            </w:r>
            <w:r w:rsidRPr="00880F78">
              <w:rPr>
                <w:rFonts w:ascii="Times New Roman" w:hAnsi="Times New Roman" w:cs="Times New Roman"/>
              </w:rPr>
              <w:t xml:space="preserve"> </w:t>
            </w:r>
          </w:p>
          <w:p w14:paraId="402FC8B3" w14:textId="25361D75" w:rsidR="00C95609" w:rsidRPr="00880F78" w:rsidRDefault="00C95609" w:rsidP="009A7920">
            <w:pPr>
              <w:pStyle w:val="TableParagraph"/>
              <w:ind w:left="173" w:right="259"/>
            </w:pPr>
            <w:r w:rsidRPr="00880F78">
              <w:rPr>
                <w:rFonts w:ascii="Times New Roman" w:hAnsi="Times New Roman" w:cs="Times New Roman"/>
              </w:rPr>
              <w:t xml:space="preserve">Epidemiologist </w:t>
            </w:r>
            <w:r w:rsidR="004A07AB">
              <w:rPr>
                <w:rFonts w:ascii="Times New Roman" w:hAnsi="Times New Roman" w:cs="Times New Roman"/>
              </w:rPr>
              <w:br/>
            </w:r>
            <w:r w:rsidRPr="00880F78">
              <w:rPr>
                <w:rFonts w:ascii="Times New Roman" w:hAnsi="Times New Roman" w:cs="Times New Roman"/>
              </w:rPr>
              <w:t>RTI International</w:t>
            </w:r>
            <w:r w:rsidR="004A07AB">
              <w:rPr>
                <w:rFonts w:ascii="Times New Roman" w:hAnsi="Times New Roman" w:cs="Times New Roman"/>
              </w:rPr>
              <w:br/>
            </w:r>
            <w:r w:rsidRPr="00880F78">
              <w:rPr>
                <w:rFonts w:ascii="Times New Roman" w:hAnsi="Times New Roman" w:cs="Times New Roman"/>
              </w:rPr>
              <w:t>Research Triangle Park, N</w:t>
            </w:r>
            <w:r w:rsidR="004A07AB">
              <w:rPr>
                <w:rFonts w:ascii="Times New Roman" w:hAnsi="Times New Roman" w:cs="Times New Roman"/>
              </w:rPr>
              <w:t>C</w:t>
            </w:r>
            <w:r w:rsidR="004A07AB">
              <w:rPr>
                <w:rFonts w:ascii="Times New Roman" w:hAnsi="Times New Roman" w:cs="Times New Roman"/>
              </w:rPr>
              <w:br/>
            </w:r>
            <w:r>
              <w:rPr>
                <w:rFonts w:ascii="Times New Roman" w:hAnsi="Times New Roman" w:cs="Times New Roman"/>
              </w:rPr>
              <w:t xml:space="preserve">Phone: </w:t>
            </w:r>
            <w:r w:rsidRPr="00386CC5">
              <w:rPr>
                <w:rFonts w:ascii="Times New Roman" w:hAnsi="Times New Roman" w:cs="Times New Roman"/>
              </w:rPr>
              <w:t>919-597-5132</w:t>
            </w:r>
          </w:p>
        </w:tc>
        <w:tc>
          <w:tcPr>
            <w:tcW w:w="4587" w:type="dxa"/>
            <w:tcBorders>
              <w:top w:val="nil"/>
              <w:left w:val="nil"/>
              <w:bottom w:val="single" w:sz="6" w:space="0" w:color="auto"/>
              <w:right w:val="nil"/>
            </w:tcBorders>
          </w:tcPr>
          <w:p w14:paraId="2D96E236" w14:textId="15A834DB" w:rsidR="00C95609" w:rsidRPr="00880F78" w:rsidRDefault="00C95609" w:rsidP="004A07AB">
            <w:pPr>
              <w:pStyle w:val="TableParagraph"/>
              <w:spacing w:before="80"/>
              <w:ind w:left="202" w:right="979"/>
            </w:pPr>
            <w:r w:rsidRPr="00880F78">
              <w:rPr>
                <w:rFonts w:ascii="Times New Roman" w:hAnsi="Times New Roman" w:cs="Times New Roman"/>
                <w:b/>
              </w:rPr>
              <w:t>Hannah Knudsen, PhD</w:t>
            </w:r>
            <w:r w:rsidR="004A07AB">
              <w:rPr>
                <w:rFonts w:ascii="Times New Roman" w:hAnsi="Times New Roman" w:cs="Times New Roman"/>
                <w:b/>
              </w:rPr>
              <w:br/>
            </w:r>
            <w:r w:rsidRPr="00880F78">
              <w:rPr>
                <w:rFonts w:ascii="Times New Roman" w:hAnsi="Times New Roman" w:cs="Times New Roman"/>
              </w:rPr>
              <w:t>Associate Professor</w:t>
            </w:r>
            <w:r w:rsidR="004A07AB">
              <w:rPr>
                <w:rFonts w:ascii="Times New Roman" w:hAnsi="Times New Roman" w:cs="Times New Roman"/>
              </w:rPr>
              <w:br/>
            </w:r>
            <w:r w:rsidRPr="00880F78">
              <w:rPr>
                <w:rFonts w:ascii="Times New Roman" w:hAnsi="Times New Roman" w:cs="Times New Roman"/>
              </w:rPr>
              <w:t>University of Kentucky</w:t>
            </w:r>
            <w:r w:rsidR="004A07AB">
              <w:rPr>
                <w:rFonts w:ascii="Times New Roman" w:hAnsi="Times New Roman" w:cs="Times New Roman"/>
              </w:rPr>
              <w:br/>
            </w:r>
            <w:r w:rsidRPr="00880F78">
              <w:rPr>
                <w:rFonts w:ascii="Times New Roman" w:hAnsi="Times New Roman" w:cs="Times New Roman"/>
              </w:rPr>
              <w:t>Lexington, K</w:t>
            </w:r>
            <w:r w:rsidR="004A07AB">
              <w:rPr>
                <w:rFonts w:ascii="Times New Roman" w:hAnsi="Times New Roman" w:cs="Times New Roman"/>
              </w:rPr>
              <w:t>Y</w:t>
            </w:r>
            <w:r w:rsidR="004A07AB">
              <w:rPr>
                <w:rFonts w:ascii="Times New Roman" w:hAnsi="Times New Roman" w:cs="Times New Roman"/>
              </w:rPr>
              <w:br/>
            </w:r>
            <w:r w:rsidRPr="00411AB2">
              <w:rPr>
                <w:rFonts w:ascii="Times New Roman" w:hAnsi="Times New Roman" w:cs="Times New Roman"/>
              </w:rPr>
              <w:t>Phone:</w:t>
            </w:r>
            <w:r w:rsidR="00411AB2">
              <w:rPr>
                <w:rFonts w:ascii="Times New Roman" w:hAnsi="Times New Roman" w:cs="Times New Roman"/>
              </w:rPr>
              <w:t xml:space="preserve"> 859-323-3947</w:t>
            </w:r>
          </w:p>
        </w:tc>
      </w:tr>
      <w:tr w:rsidR="00C95609" w:rsidRPr="00880F78" w:rsidDel="002554AE" w14:paraId="61C31D9F" w14:textId="77777777" w:rsidTr="00C95609">
        <w:trPr>
          <w:cantSplit/>
        </w:trPr>
        <w:tc>
          <w:tcPr>
            <w:tcW w:w="4511" w:type="dxa"/>
            <w:tcBorders>
              <w:top w:val="single" w:sz="6" w:space="0" w:color="auto"/>
              <w:bottom w:val="single" w:sz="4" w:space="0" w:color="auto"/>
              <w:right w:val="nil"/>
            </w:tcBorders>
          </w:tcPr>
          <w:p w14:paraId="58508186" w14:textId="770F211C" w:rsidR="00C95609" w:rsidRPr="00880F78" w:rsidDel="002554AE" w:rsidRDefault="00C95609" w:rsidP="004A07AB">
            <w:pPr>
              <w:pStyle w:val="TableHeaders"/>
              <w:jc w:val="left"/>
            </w:pPr>
            <w:r w:rsidRPr="00880F78">
              <w:t xml:space="preserve">CDC </w:t>
            </w:r>
            <w:r w:rsidR="00A128E8">
              <w:t>Project Leadership</w:t>
            </w:r>
            <w:r w:rsidR="00A128E8" w:rsidRPr="00880F78">
              <w:t xml:space="preserve"> </w:t>
            </w:r>
          </w:p>
        </w:tc>
        <w:tc>
          <w:tcPr>
            <w:tcW w:w="4587" w:type="dxa"/>
            <w:tcBorders>
              <w:top w:val="single" w:sz="6" w:space="0" w:color="auto"/>
              <w:left w:val="nil"/>
              <w:bottom w:val="single" w:sz="4" w:space="0" w:color="auto"/>
              <w:right w:val="nil"/>
            </w:tcBorders>
          </w:tcPr>
          <w:p w14:paraId="2385DEDA" w14:textId="77777777" w:rsidR="00C95609" w:rsidRPr="00880F78" w:rsidDel="002554AE" w:rsidRDefault="00C95609" w:rsidP="004A07AB">
            <w:pPr>
              <w:pStyle w:val="TableHeaders"/>
              <w:jc w:val="left"/>
            </w:pPr>
          </w:p>
        </w:tc>
      </w:tr>
      <w:tr w:rsidR="00C95609" w:rsidRPr="00880F78" w:rsidDel="002554AE" w14:paraId="21E31FCC" w14:textId="77777777" w:rsidTr="00C95609">
        <w:trPr>
          <w:cantSplit/>
        </w:trPr>
        <w:tc>
          <w:tcPr>
            <w:tcW w:w="4511" w:type="dxa"/>
            <w:tcBorders>
              <w:top w:val="single" w:sz="4" w:space="0" w:color="auto"/>
              <w:bottom w:val="single" w:sz="12" w:space="0" w:color="auto"/>
              <w:right w:val="nil"/>
            </w:tcBorders>
          </w:tcPr>
          <w:p w14:paraId="6F6A2CC8" w14:textId="7C295EAC" w:rsidR="00AE67E7" w:rsidRDefault="00C95609" w:rsidP="004A07AB">
            <w:pPr>
              <w:pStyle w:val="TableParagraph"/>
              <w:spacing w:before="80"/>
              <w:ind w:left="173" w:right="259"/>
              <w:rPr>
                <w:rFonts w:ascii="Times New Roman" w:hAnsi="Times New Roman" w:cs="Times New Roman"/>
                <w:b/>
              </w:rPr>
            </w:pPr>
            <w:r w:rsidRPr="00880F78">
              <w:rPr>
                <w:rFonts w:ascii="Times New Roman" w:hAnsi="Times New Roman" w:cs="Times New Roman"/>
                <w:b/>
              </w:rPr>
              <w:t>Marci Hertz, MSEd</w:t>
            </w:r>
          </w:p>
          <w:p w14:paraId="4304307A" w14:textId="04DC52B5" w:rsidR="00C95609" w:rsidRPr="00880F78" w:rsidDel="002554AE" w:rsidRDefault="00AE67E7" w:rsidP="004A07AB">
            <w:pPr>
              <w:pStyle w:val="TableParagraph"/>
              <w:spacing w:before="80"/>
              <w:ind w:left="173" w:right="259"/>
            </w:pPr>
            <w:r>
              <w:rPr>
                <w:rFonts w:ascii="Times New Roman" w:hAnsi="Times New Roman" w:cs="Times New Roman"/>
                <w:b/>
              </w:rPr>
              <w:t>Technical Contracting Officer’s Representative/</w:t>
            </w:r>
            <w:r>
              <w:rPr>
                <w:rFonts w:ascii="Times New Roman" w:hAnsi="Times New Roman" w:cs="Times New Roman"/>
              </w:rPr>
              <w:t xml:space="preserve"> </w:t>
            </w:r>
            <w:r w:rsidR="00C95609" w:rsidRPr="00880F78">
              <w:rPr>
                <w:rFonts w:ascii="Times New Roman" w:hAnsi="Times New Roman" w:cs="Times New Roman"/>
              </w:rPr>
              <w:t xml:space="preserve">Lead Health Scientist </w:t>
            </w:r>
            <w:r w:rsidR="004A07AB">
              <w:rPr>
                <w:rFonts w:ascii="Times New Roman" w:hAnsi="Times New Roman" w:cs="Times New Roman"/>
              </w:rPr>
              <w:br/>
            </w:r>
            <w:r w:rsidR="00C95609" w:rsidRPr="00880F78">
              <w:rPr>
                <w:rFonts w:ascii="Times New Roman" w:hAnsi="Times New Roman" w:cs="Times New Roman"/>
              </w:rPr>
              <w:t>Division of Analysis, Res</w:t>
            </w:r>
            <w:r w:rsidR="004A07AB">
              <w:rPr>
                <w:rFonts w:ascii="Times New Roman" w:hAnsi="Times New Roman" w:cs="Times New Roman"/>
              </w:rPr>
              <w:t>earch, and Practice Integration</w:t>
            </w:r>
            <w:r w:rsidR="004A07AB">
              <w:rPr>
                <w:rFonts w:ascii="Times New Roman" w:hAnsi="Times New Roman" w:cs="Times New Roman"/>
              </w:rPr>
              <w:br/>
            </w:r>
            <w:r w:rsidR="00C95609" w:rsidRPr="00880F78">
              <w:rPr>
                <w:rFonts w:ascii="Times New Roman" w:hAnsi="Times New Roman" w:cs="Times New Roman"/>
              </w:rPr>
              <w:t xml:space="preserve">Centers for Disease Control and Prevention </w:t>
            </w:r>
            <w:r w:rsidR="004A07AB">
              <w:rPr>
                <w:rFonts w:ascii="Times New Roman" w:hAnsi="Times New Roman" w:cs="Times New Roman"/>
              </w:rPr>
              <w:br/>
            </w:r>
            <w:r w:rsidR="00C95609" w:rsidRPr="0006679F">
              <w:rPr>
                <w:rFonts w:ascii="Times New Roman" w:hAnsi="Times New Roman" w:cs="Times New Roman"/>
              </w:rPr>
              <w:t>Atlanta, G</w:t>
            </w:r>
            <w:r w:rsidR="004A07AB">
              <w:rPr>
                <w:rFonts w:ascii="Times New Roman" w:hAnsi="Times New Roman" w:cs="Times New Roman"/>
              </w:rPr>
              <w:t>A</w:t>
            </w:r>
            <w:r w:rsidR="004A07AB">
              <w:rPr>
                <w:rFonts w:ascii="Times New Roman" w:hAnsi="Times New Roman" w:cs="Times New Roman"/>
              </w:rPr>
              <w:br/>
            </w:r>
            <w:r w:rsidR="00C95609">
              <w:rPr>
                <w:rFonts w:ascii="Times New Roman" w:hAnsi="Times New Roman" w:cs="Times New Roman"/>
              </w:rPr>
              <w:t xml:space="preserve">Phone: </w:t>
            </w:r>
            <w:r w:rsidR="00C95609" w:rsidRPr="00386CC5">
              <w:rPr>
                <w:rFonts w:ascii="Times New Roman" w:hAnsi="Times New Roman" w:cs="Times New Roman"/>
              </w:rPr>
              <w:t>770</w:t>
            </w:r>
            <w:r w:rsidR="00C95609">
              <w:rPr>
                <w:rFonts w:ascii="Times New Roman" w:hAnsi="Times New Roman" w:cs="Times New Roman"/>
              </w:rPr>
              <w:t>-</w:t>
            </w:r>
            <w:r w:rsidR="00C95609" w:rsidRPr="00386CC5">
              <w:rPr>
                <w:rFonts w:ascii="Times New Roman" w:hAnsi="Times New Roman" w:cs="Times New Roman"/>
              </w:rPr>
              <w:t>488</w:t>
            </w:r>
            <w:r w:rsidR="00C95609">
              <w:rPr>
                <w:rFonts w:ascii="Times New Roman" w:hAnsi="Times New Roman" w:cs="Times New Roman"/>
              </w:rPr>
              <w:t>-</w:t>
            </w:r>
            <w:r w:rsidR="00C95609" w:rsidRPr="00386CC5">
              <w:rPr>
                <w:rFonts w:ascii="Times New Roman" w:hAnsi="Times New Roman" w:cs="Times New Roman"/>
              </w:rPr>
              <w:t>2547</w:t>
            </w:r>
          </w:p>
        </w:tc>
        <w:tc>
          <w:tcPr>
            <w:tcW w:w="4587" w:type="dxa"/>
            <w:tcBorders>
              <w:top w:val="single" w:sz="4" w:space="0" w:color="auto"/>
              <w:left w:val="nil"/>
              <w:bottom w:val="single" w:sz="12" w:space="0" w:color="auto"/>
              <w:right w:val="nil"/>
            </w:tcBorders>
          </w:tcPr>
          <w:p w14:paraId="5B75F000" w14:textId="77777777" w:rsidR="00AE67E7" w:rsidRDefault="00C95609" w:rsidP="004A07AB">
            <w:pPr>
              <w:pStyle w:val="TableParagraph"/>
              <w:spacing w:before="80"/>
              <w:ind w:left="173" w:right="259"/>
              <w:rPr>
                <w:rFonts w:ascii="Times New Roman" w:hAnsi="Times New Roman" w:cs="Times New Roman"/>
                <w:b/>
              </w:rPr>
            </w:pPr>
            <w:r w:rsidRPr="00880F78">
              <w:rPr>
                <w:rFonts w:ascii="Times New Roman" w:hAnsi="Times New Roman" w:cs="Times New Roman"/>
                <w:b/>
              </w:rPr>
              <w:t>D</w:t>
            </w:r>
            <w:r w:rsidR="004A07AB">
              <w:rPr>
                <w:rFonts w:ascii="Times New Roman" w:hAnsi="Times New Roman" w:cs="Times New Roman"/>
                <w:b/>
              </w:rPr>
              <w:t>onovan Newton, MPA</w:t>
            </w:r>
          </w:p>
          <w:p w14:paraId="5A6AB6F8" w14:textId="616E9D8F" w:rsidR="00C95609" w:rsidRPr="00880F78" w:rsidRDefault="00AE67E7" w:rsidP="004A07AB">
            <w:pPr>
              <w:pStyle w:val="TableParagraph"/>
              <w:spacing w:before="80"/>
              <w:ind w:left="173" w:right="259"/>
              <w:rPr>
                <w:rFonts w:ascii="Times New Roman" w:hAnsi="Times New Roman" w:cs="Times New Roman"/>
              </w:rPr>
            </w:pPr>
            <w:r>
              <w:rPr>
                <w:rFonts w:ascii="Times New Roman" w:hAnsi="Times New Roman" w:cs="Times New Roman"/>
                <w:b/>
              </w:rPr>
              <w:t>Contracting Officer’s Representative</w:t>
            </w:r>
            <w:r w:rsidR="004A07AB">
              <w:rPr>
                <w:rFonts w:ascii="Times New Roman" w:hAnsi="Times New Roman" w:cs="Times New Roman"/>
                <w:b/>
              </w:rPr>
              <w:br/>
            </w:r>
            <w:r w:rsidR="00C95609" w:rsidRPr="00880F78">
              <w:rPr>
                <w:rFonts w:ascii="Times New Roman" w:hAnsi="Times New Roman" w:cs="Times New Roman"/>
              </w:rPr>
              <w:t>Division of Analysis, Res</w:t>
            </w:r>
            <w:r w:rsidR="004A07AB">
              <w:rPr>
                <w:rFonts w:ascii="Times New Roman" w:hAnsi="Times New Roman" w:cs="Times New Roman"/>
              </w:rPr>
              <w:t>earch, and Practice Integration</w:t>
            </w:r>
            <w:r w:rsidR="004A07AB">
              <w:rPr>
                <w:rFonts w:ascii="Times New Roman" w:hAnsi="Times New Roman" w:cs="Times New Roman"/>
              </w:rPr>
              <w:br/>
            </w:r>
            <w:r w:rsidR="00C95609" w:rsidRPr="00880F78">
              <w:rPr>
                <w:rFonts w:ascii="Times New Roman" w:hAnsi="Times New Roman" w:cs="Times New Roman"/>
              </w:rPr>
              <w:t xml:space="preserve">Centers for Disease Control and Prevention </w:t>
            </w:r>
          </w:p>
          <w:p w14:paraId="7D868ADB" w14:textId="537DC64A" w:rsidR="00C95609" w:rsidRPr="00880F78" w:rsidRDefault="00C95609" w:rsidP="00EF6F59">
            <w:pPr>
              <w:pStyle w:val="TableParagraph"/>
              <w:ind w:left="178" w:right="256"/>
              <w:rPr>
                <w:rFonts w:ascii="Times New Roman" w:hAnsi="Times New Roman" w:cs="Times New Roman"/>
              </w:rPr>
            </w:pPr>
            <w:r w:rsidRPr="00880F78">
              <w:rPr>
                <w:rFonts w:ascii="Times New Roman" w:hAnsi="Times New Roman" w:cs="Times New Roman"/>
              </w:rPr>
              <w:t>Atlanta, G</w:t>
            </w:r>
            <w:r w:rsidR="004A07AB">
              <w:rPr>
                <w:rFonts w:ascii="Times New Roman" w:hAnsi="Times New Roman" w:cs="Times New Roman"/>
              </w:rPr>
              <w:t>A</w:t>
            </w:r>
            <w:r w:rsidR="004A07AB">
              <w:rPr>
                <w:rFonts w:ascii="Times New Roman" w:hAnsi="Times New Roman" w:cs="Times New Roman"/>
              </w:rPr>
              <w:br/>
            </w:r>
            <w:r>
              <w:rPr>
                <w:rFonts w:ascii="Times New Roman" w:hAnsi="Times New Roman" w:cs="Times New Roman"/>
              </w:rPr>
              <w:t xml:space="preserve">Phone: </w:t>
            </w:r>
            <w:r w:rsidRPr="00386CC5">
              <w:rPr>
                <w:rFonts w:ascii="Times New Roman" w:hAnsi="Times New Roman" w:cs="Times New Roman"/>
              </w:rPr>
              <w:t>770</w:t>
            </w:r>
            <w:r>
              <w:rPr>
                <w:rFonts w:ascii="Times New Roman" w:hAnsi="Times New Roman" w:cs="Times New Roman"/>
              </w:rPr>
              <w:t>-</w:t>
            </w:r>
            <w:r w:rsidRPr="00386CC5">
              <w:rPr>
                <w:rFonts w:ascii="Times New Roman" w:hAnsi="Times New Roman" w:cs="Times New Roman"/>
              </w:rPr>
              <w:t>488</w:t>
            </w:r>
            <w:r>
              <w:rPr>
                <w:rFonts w:ascii="Times New Roman" w:hAnsi="Times New Roman" w:cs="Times New Roman"/>
              </w:rPr>
              <w:t>-</w:t>
            </w:r>
            <w:r w:rsidRPr="00386CC5">
              <w:rPr>
                <w:rFonts w:ascii="Times New Roman" w:hAnsi="Times New Roman" w:cs="Times New Roman"/>
              </w:rPr>
              <w:t>3987</w:t>
            </w:r>
          </w:p>
          <w:p w14:paraId="2D89FE07" w14:textId="77777777" w:rsidR="00C95609" w:rsidRPr="00880F78" w:rsidDel="002554AE" w:rsidRDefault="00C95609" w:rsidP="00EF6F59">
            <w:pPr>
              <w:rPr>
                <w:sz w:val="22"/>
                <w:szCs w:val="22"/>
              </w:rPr>
            </w:pPr>
          </w:p>
        </w:tc>
      </w:tr>
    </w:tbl>
    <w:p w14:paraId="56B35BA5" w14:textId="677BCE6F" w:rsidR="0038401B" w:rsidRDefault="0038401B" w:rsidP="004A07AB">
      <w:pPr>
        <w:pStyle w:val="exhibitsource"/>
        <w:spacing w:after="360"/>
      </w:pPr>
      <w:bookmarkStart w:id="52" w:name="_Toc88033509"/>
    </w:p>
    <w:p w14:paraId="13AB6BF1" w14:textId="77777777" w:rsidR="0038401B" w:rsidRDefault="0038401B">
      <w:pPr>
        <w:rPr>
          <w:sz w:val="20"/>
          <w:szCs w:val="22"/>
        </w:rPr>
      </w:pPr>
      <w:r>
        <w:br w:type="page"/>
      </w:r>
    </w:p>
    <w:p w14:paraId="4593F53A" w14:textId="39CFAED8" w:rsidR="004920B6" w:rsidRDefault="004920B6" w:rsidP="00F20A34">
      <w:pPr>
        <w:pStyle w:val="Heading1"/>
      </w:pPr>
      <w:bookmarkStart w:id="53" w:name="_Toc505507449"/>
      <w:r>
        <w:t>References</w:t>
      </w:r>
      <w:bookmarkEnd w:id="52"/>
      <w:bookmarkEnd w:id="53"/>
    </w:p>
    <w:p w14:paraId="7A6C52FB" w14:textId="3A11035B" w:rsidR="00A97E97" w:rsidRDefault="00A97E97" w:rsidP="00A97E97">
      <w:pPr>
        <w:spacing w:after="120" w:line="276" w:lineRule="auto"/>
        <w:ind w:left="360" w:hanging="360"/>
      </w:pPr>
      <w:r>
        <w:t xml:space="preserve">The American Association for Public Opinion Research (2016). Standard Definitions: Final Dispositions of Case Codes and Outcome Rates for Surveys. 9th edition. AAPOR. </w:t>
      </w:r>
      <w:hyperlink r:id="rId10" w:history="1">
        <w:r w:rsidRPr="00EE2A31">
          <w:rPr>
            <w:rStyle w:val="Hyperlink"/>
          </w:rPr>
          <w:t>http://www.aapor.org/AAPOR_Main/media/publications/Standard-Definitions20169theditionfinal.pdf</w:t>
        </w:r>
      </w:hyperlink>
      <w:r>
        <w:t>, accessed 02 February 2018.</w:t>
      </w:r>
    </w:p>
    <w:p w14:paraId="60216A04" w14:textId="6B34811C" w:rsidR="0082657F" w:rsidRDefault="0082657F" w:rsidP="008B450B">
      <w:pPr>
        <w:spacing w:after="120" w:line="276" w:lineRule="auto"/>
        <w:ind w:left="360" w:hanging="360"/>
      </w:pPr>
      <w:r w:rsidRPr="0082657F">
        <w:t xml:space="preserve">Baker, R., Brick, J. M., Bates, N. A., Battaglia, M., Couper, M. P., Dever, J. A., et al. (2013). </w:t>
      </w:r>
      <w:r w:rsidRPr="0082405E">
        <w:rPr>
          <w:i/>
        </w:rPr>
        <w:t>Report of the AAPOR task force on non-probability sampling (June 2013)</w:t>
      </w:r>
      <w:r w:rsidRPr="0082657F">
        <w:t xml:space="preserve">. </w:t>
      </w:r>
      <w:r>
        <w:t>Available at</w:t>
      </w:r>
      <w:r w:rsidRPr="0082657F">
        <w:t xml:space="preserve"> </w:t>
      </w:r>
      <w:hyperlink r:id="rId11" w:history="1">
        <w:r w:rsidRPr="00EE2A31">
          <w:rPr>
            <w:rStyle w:val="Hyperlink"/>
          </w:rPr>
          <w:t>http://www.aapor.org/AM/Template.cfm?Section=Reports1&amp;Template=/CM/ContentDisplay.cfm&amp;ContentID=6055</w:t>
        </w:r>
      </w:hyperlink>
      <w:r>
        <w:t xml:space="preserve">. </w:t>
      </w:r>
    </w:p>
    <w:p w14:paraId="1ED04847" w14:textId="34DFEC2A" w:rsidR="0014262B" w:rsidRDefault="0014262B" w:rsidP="008B450B">
      <w:pPr>
        <w:spacing w:after="120" w:line="276" w:lineRule="auto"/>
        <w:ind w:left="360" w:hanging="360"/>
        <w:rPr>
          <w:rFonts w:cs="Arial"/>
          <w:szCs w:val="20"/>
        </w:rPr>
      </w:pPr>
      <w:r w:rsidRPr="0014262B">
        <w:rPr>
          <w:rFonts w:cs="Arial"/>
          <w:szCs w:val="20"/>
        </w:rPr>
        <w:t xml:space="preserve">Brewer, K.R. (1999). Design-based or Prediction-based Inference? Stratified Random vs Stratified Balanced Sampling. </w:t>
      </w:r>
      <w:r w:rsidRPr="0082405E">
        <w:rPr>
          <w:rFonts w:cs="Arial"/>
          <w:i/>
          <w:szCs w:val="20"/>
        </w:rPr>
        <w:t>International Statistical Review</w:t>
      </w:r>
      <w:r w:rsidR="0082405E">
        <w:rPr>
          <w:rFonts w:cs="Arial"/>
          <w:szCs w:val="20"/>
        </w:rPr>
        <w:t xml:space="preserve">, </w:t>
      </w:r>
      <w:r w:rsidR="0082405E" w:rsidRPr="0082405E">
        <w:rPr>
          <w:rFonts w:cs="Arial"/>
          <w:i/>
          <w:szCs w:val="20"/>
        </w:rPr>
        <w:t>67</w:t>
      </w:r>
      <w:r w:rsidR="0082405E">
        <w:rPr>
          <w:rFonts w:cs="Arial"/>
          <w:szCs w:val="20"/>
        </w:rPr>
        <w:t>(1): 35-47.</w:t>
      </w:r>
    </w:p>
    <w:p w14:paraId="67B38AD5" w14:textId="701633DB" w:rsidR="000A2624" w:rsidRDefault="000A2624" w:rsidP="008B450B">
      <w:pPr>
        <w:spacing w:after="120" w:line="276" w:lineRule="auto"/>
        <w:ind w:left="360" w:hanging="360"/>
      </w:pPr>
      <w:r w:rsidRPr="002C4B44">
        <w:rPr>
          <w:rFonts w:cs="Arial"/>
          <w:szCs w:val="20"/>
        </w:rPr>
        <w:t xml:space="preserve">Cheong, J., MacKinnon, D. P., &amp; Khoo, S. T. (2003). Investigation of mediational processes using parallel process latent growth curve modeling. </w:t>
      </w:r>
      <w:r w:rsidRPr="002C4B44">
        <w:rPr>
          <w:rFonts w:cs="Arial"/>
          <w:i/>
          <w:iCs/>
          <w:szCs w:val="20"/>
        </w:rPr>
        <w:t>Structural Equation Modeling</w:t>
      </w:r>
      <w:r w:rsidRPr="002C4B44">
        <w:rPr>
          <w:rFonts w:cs="Arial"/>
          <w:szCs w:val="20"/>
        </w:rPr>
        <w:t xml:space="preserve">, </w:t>
      </w:r>
      <w:r w:rsidRPr="002C4B44">
        <w:rPr>
          <w:rFonts w:cs="Arial"/>
          <w:i/>
          <w:iCs/>
          <w:szCs w:val="20"/>
        </w:rPr>
        <w:t>10</w:t>
      </w:r>
      <w:r w:rsidRPr="002C4B44">
        <w:rPr>
          <w:rFonts w:cs="Arial"/>
          <w:szCs w:val="20"/>
        </w:rPr>
        <w:t>(2), 238-262.</w:t>
      </w:r>
    </w:p>
    <w:p w14:paraId="43A04642" w14:textId="1A762D5B" w:rsidR="000A2624" w:rsidRPr="002C4B44" w:rsidRDefault="009C0724" w:rsidP="0082405E">
      <w:pPr>
        <w:spacing w:after="120" w:line="276" w:lineRule="auto"/>
        <w:ind w:left="360" w:hanging="360"/>
        <w:rPr>
          <w:rFonts w:cs="Arial"/>
        </w:rPr>
      </w:pPr>
      <w:r w:rsidRPr="00BF40D0">
        <w:t xml:space="preserve">Desmond, D.P., Maddux, J.F., Johnson, T.H., and Confer, B.A. (1995). Obtaining Follow-Up Interviews for Treatment Evaluation. </w:t>
      </w:r>
      <w:r w:rsidRPr="00BF40D0">
        <w:rPr>
          <w:i/>
        </w:rPr>
        <w:t>Journal of Substance Abuse Treatment</w:t>
      </w:r>
      <w:r w:rsidRPr="00BF40D0">
        <w:t xml:space="preserve">, </w:t>
      </w:r>
      <w:r w:rsidRPr="009C0724">
        <w:rPr>
          <w:i/>
        </w:rPr>
        <w:t>12</w:t>
      </w:r>
      <w:r w:rsidRPr="00BF40D0">
        <w:t>(2): 95-102.</w:t>
      </w:r>
      <w:r w:rsidR="000A2624" w:rsidRPr="002C4B44">
        <w:t>H</w:t>
      </w:r>
      <w:r w:rsidR="000A2624" w:rsidRPr="002C4B44">
        <w:rPr>
          <w:rFonts w:cs="Arial"/>
        </w:rPr>
        <w:t xml:space="preserve">arder, V. S., Stuart, E. A., &amp; Anthony, J. C. (2010). Propensity score techniques and the assessment of measured covariate balance to test causal associations in psychological research. </w:t>
      </w:r>
      <w:r w:rsidR="000A2624" w:rsidRPr="002C4B44">
        <w:rPr>
          <w:rFonts w:cs="Arial"/>
          <w:i/>
          <w:iCs/>
        </w:rPr>
        <w:t>Psychological methods</w:t>
      </w:r>
      <w:r w:rsidR="000A2624" w:rsidRPr="002C4B44">
        <w:rPr>
          <w:rFonts w:cs="Arial"/>
        </w:rPr>
        <w:t xml:space="preserve">, </w:t>
      </w:r>
      <w:r w:rsidR="000A2624" w:rsidRPr="002C4B44">
        <w:rPr>
          <w:rFonts w:cs="Arial"/>
          <w:i/>
          <w:iCs/>
        </w:rPr>
        <w:t>15</w:t>
      </w:r>
      <w:r w:rsidR="000A2624" w:rsidRPr="002C4B44">
        <w:rPr>
          <w:rFonts w:cs="Arial"/>
        </w:rPr>
        <w:t>(3)</w:t>
      </w:r>
      <w:r w:rsidR="000A2624">
        <w:rPr>
          <w:rFonts w:cs="Arial"/>
        </w:rPr>
        <w:t>:</w:t>
      </w:r>
      <w:r w:rsidR="000A2624" w:rsidRPr="002C4B44">
        <w:rPr>
          <w:rFonts w:cs="Arial"/>
        </w:rPr>
        <w:t xml:space="preserve"> 234.</w:t>
      </w:r>
    </w:p>
    <w:p w14:paraId="0553F690" w14:textId="74CC7433" w:rsidR="006F5CF8" w:rsidRPr="00C81D0B" w:rsidRDefault="009D33E3" w:rsidP="008B450B">
      <w:pPr>
        <w:pStyle w:val="biblio"/>
      </w:pPr>
      <w:r>
        <w:t>Heckman, J.J. 197</w:t>
      </w:r>
      <w:r w:rsidR="00C81D0B">
        <w:t>9</w:t>
      </w:r>
      <w:r>
        <w:t xml:space="preserve">. Sample </w:t>
      </w:r>
      <w:r w:rsidR="00067317">
        <w:t xml:space="preserve">Selection Bias </w:t>
      </w:r>
      <w:r>
        <w:t xml:space="preserve">as a </w:t>
      </w:r>
      <w:r w:rsidR="00067317">
        <w:t>Specification Error</w:t>
      </w:r>
      <w:r>
        <w:t>.</w:t>
      </w:r>
      <w:r w:rsidR="00C81D0B">
        <w:t xml:space="preserve"> </w:t>
      </w:r>
      <w:r w:rsidR="00C81D0B">
        <w:rPr>
          <w:i/>
        </w:rPr>
        <w:t>Econometrica</w:t>
      </w:r>
      <w:r w:rsidR="00C81D0B">
        <w:t xml:space="preserve"> 47(1):</w:t>
      </w:r>
      <w:r w:rsidR="000A2624">
        <w:t xml:space="preserve"> </w:t>
      </w:r>
      <w:r w:rsidR="00C81D0B">
        <w:t>153-162</w:t>
      </w:r>
      <w:r w:rsidR="006F5CF8">
        <w:t>.</w:t>
      </w:r>
    </w:p>
    <w:p w14:paraId="7FC2F901" w14:textId="62A9A7A2" w:rsidR="006F5CF8" w:rsidRDefault="009D33E3" w:rsidP="008B450B">
      <w:pPr>
        <w:pStyle w:val="biblio"/>
      </w:pPr>
      <w:r>
        <w:t xml:space="preserve">Hedeker, D., </w:t>
      </w:r>
      <w:r w:rsidR="00067317">
        <w:t xml:space="preserve">and R.D. </w:t>
      </w:r>
      <w:r>
        <w:t>Gibbons</w:t>
      </w:r>
      <w:r w:rsidR="00067317">
        <w:t>.</w:t>
      </w:r>
      <w:r>
        <w:t xml:space="preserve"> 1997. </w:t>
      </w:r>
      <w:r w:rsidR="00067317">
        <w:t>“</w:t>
      </w:r>
      <w:r>
        <w:t xml:space="preserve">Application of </w:t>
      </w:r>
      <w:r w:rsidR="00067317">
        <w:t>Random</w:t>
      </w:r>
      <w:r>
        <w:t xml:space="preserve">-effects </w:t>
      </w:r>
      <w:r w:rsidR="00067317">
        <w:t>Pattern</w:t>
      </w:r>
      <w:r>
        <w:t xml:space="preserve">-mixture </w:t>
      </w:r>
      <w:r w:rsidR="00067317">
        <w:t xml:space="preserve">Models </w:t>
      </w:r>
      <w:r>
        <w:t xml:space="preserve">for </w:t>
      </w:r>
      <w:r w:rsidR="00067317">
        <w:t xml:space="preserve">Missing Data </w:t>
      </w:r>
      <w:r>
        <w:t xml:space="preserve">in </w:t>
      </w:r>
      <w:r w:rsidR="00067317">
        <w:t>Longitudinal Studies</w:t>
      </w:r>
      <w:r>
        <w:t>.</w:t>
      </w:r>
      <w:r w:rsidR="00067317">
        <w:t>”</w:t>
      </w:r>
      <w:r>
        <w:t xml:space="preserve"> </w:t>
      </w:r>
      <w:r>
        <w:rPr>
          <w:i/>
          <w:iCs/>
        </w:rPr>
        <w:t xml:space="preserve">Psychological </w:t>
      </w:r>
      <w:r w:rsidR="00067317">
        <w:rPr>
          <w:i/>
          <w:iCs/>
        </w:rPr>
        <w:t>Methods</w:t>
      </w:r>
      <w:r>
        <w:t xml:space="preserve"> </w:t>
      </w:r>
      <w:r>
        <w:rPr>
          <w:i/>
          <w:iCs/>
        </w:rPr>
        <w:t>2</w:t>
      </w:r>
      <w:r>
        <w:t>(1)</w:t>
      </w:r>
      <w:r w:rsidR="00067317">
        <w:t>:</w:t>
      </w:r>
      <w:r w:rsidR="000A2624">
        <w:t xml:space="preserve"> </w:t>
      </w:r>
      <w:r>
        <w:t>64.</w:t>
      </w:r>
    </w:p>
    <w:p w14:paraId="75E5F402" w14:textId="6E94E808" w:rsidR="000A2624" w:rsidRDefault="000A2624" w:rsidP="008B450B">
      <w:pPr>
        <w:pStyle w:val="biblio"/>
      </w:pPr>
      <w:r w:rsidRPr="000A2624">
        <w:t>McCaffrey, D. F., Ridgeway, G., &amp; Morral, A. R. (2004). Propensity score estimation with boosted regression for evaluating causal effects in observational studies. Psychological methods, 9(4)</w:t>
      </w:r>
      <w:r>
        <w:t>:</w:t>
      </w:r>
      <w:r w:rsidRPr="000A2624">
        <w:t xml:space="preserve"> 403.</w:t>
      </w:r>
    </w:p>
    <w:p w14:paraId="61966407" w14:textId="64F2B499" w:rsidR="000A2624" w:rsidRDefault="000A2624" w:rsidP="008B450B">
      <w:pPr>
        <w:pStyle w:val="biblio"/>
      </w:pPr>
      <w:r w:rsidRPr="000A2624">
        <w:t xml:space="preserve">Miles, M. B., Huberman, A. M. &amp; Saldana, J. (2003). </w:t>
      </w:r>
      <w:r w:rsidRPr="0082405E">
        <w:rPr>
          <w:i/>
        </w:rPr>
        <w:t>Qualitative data analysis</w:t>
      </w:r>
      <w:r w:rsidRPr="000A2624">
        <w:t>. Sage: Los Angeles, CA.</w:t>
      </w:r>
    </w:p>
    <w:p w14:paraId="29FFDB0B" w14:textId="6292B300" w:rsidR="006F5CF8" w:rsidRPr="00BF40D0" w:rsidRDefault="009C0724" w:rsidP="008B450B">
      <w:pPr>
        <w:spacing w:after="120" w:line="276" w:lineRule="auto"/>
        <w:ind w:left="450" w:hanging="450"/>
      </w:pPr>
      <w:r w:rsidRPr="00BF40D0">
        <w:t xml:space="preserve">Novak, S. P., Herman-Stahl, M., Flannery, B., &amp; Zimmerman, M. (2009). Physical pain, common psychiatric and substance use disorders, and the non-medical use of prescription analgesics in the United States. </w:t>
      </w:r>
      <w:r w:rsidRPr="00BF40D0">
        <w:rPr>
          <w:i/>
        </w:rPr>
        <w:t>Drug and alcohol dependence</w:t>
      </w:r>
      <w:r w:rsidRPr="00BF40D0">
        <w:t xml:space="preserve">, </w:t>
      </w:r>
      <w:r w:rsidRPr="009C0724">
        <w:rPr>
          <w:i/>
        </w:rPr>
        <w:t>100</w:t>
      </w:r>
      <w:r w:rsidRPr="00BF40D0">
        <w:t>(1)</w:t>
      </w:r>
      <w:r w:rsidR="000A2624">
        <w:t>:</w:t>
      </w:r>
      <w:r w:rsidRPr="00BF40D0">
        <w:t xml:space="preserve"> 63-70.</w:t>
      </w:r>
    </w:p>
    <w:p w14:paraId="092FCD04" w14:textId="0B40E886" w:rsidR="009C0724" w:rsidRDefault="009C0724" w:rsidP="009C0724">
      <w:pPr>
        <w:spacing w:after="120" w:line="276" w:lineRule="auto"/>
        <w:ind w:left="450" w:hanging="450"/>
      </w:pPr>
      <w:r w:rsidRPr="00BF40D0">
        <w:t xml:space="preserve">Novak, S. P., Wenger, L., Lorvick, J., &amp; Kral, A. (2015). The misuse, abuse and diversion of opioid replacement therapies among street abusers. </w:t>
      </w:r>
      <w:r w:rsidRPr="00BF40D0">
        <w:rPr>
          <w:i/>
        </w:rPr>
        <w:t>Drug &amp; Alcohol Dependence</w:t>
      </w:r>
      <w:r w:rsidRPr="00BF40D0">
        <w:t xml:space="preserve">, </w:t>
      </w:r>
      <w:r w:rsidRPr="009C0724">
        <w:rPr>
          <w:i/>
        </w:rPr>
        <w:t>146</w:t>
      </w:r>
      <w:r w:rsidRPr="00BF40D0">
        <w:t>, e54.</w:t>
      </w:r>
    </w:p>
    <w:p w14:paraId="565E54B1" w14:textId="1AC422A5" w:rsidR="000A2624" w:rsidRDefault="000A2624" w:rsidP="003E2E19">
      <w:pPr>
        <w:spacing w:after="120" w:line="276" w:lineRule="auto"/>
        <w:ind w:left="450" w:hanging="450"/>
      </w:pPr>
      <w:r w:rsidRPr="000A2624">
        <w:t xml:space="preserve">Rosenbaum, P. R., &amp; Rubin, D. B. (1983). The central role of the propensity score in observational studies for causal effects. </w:t>
      </w:r>
      <w:r w:rsidRPr="001F38CC">
        <w:rPr>
          <w:i/>
        </w:rPr>
        <w:t>Biometrika</w:t>
      </w:r>
      <w:r w:rsidRPr="000A2624">
        <w:t>, 41-55.</w:t>
      </w:r>
    </w:p>
    <w:p w14:paraId="2954E473" w14:textId="30E9E530" w:rsidR="009C0724" w:rsidRDefault="00AA6A82" w:rsidP="003B786B">
      <w:pPr>
        <w:spacing w:after="120" w:line="276" w:lineRule="auto"/>
        <w:ind w:left="450" w:hanging="450"/>
      </w:pPr>
      <w:r w:rsidRPr="00AA6A82">
        <w:t xml:space="preserve">Shadish, W. R., &amp; Steiner, P. M. (2010). A primer on propensity score analysis. </w:t>
      </w:r>
      <w:r w:rsidRPr="003B786B">
        <w:rPr>
          <w:i/>
        </w:rPr>
        <w:t>Newborn and Infant Nursing Reviews</w:t>
      </w:r>
      <w:r w:rsidRPr="00AA6A82">
        <w:t xml:space="preserve">, </w:t>
      </w:r>
      <w:r w:rsidRPr="003B786B">
        <w:rPr>
          <w:i/>
        </w:rPr>
        <w:t>10</w:t>
      </w:r>
      <w:r w:rsidRPr="00AA6A82">
        <w:t>(1)</w:t>
      </w:r>
      <w:r w:rsidR="000A2624">
        <w:t>:</w:t>
      </w:r>
      <w:r w:rsidRPr="00AA6A82">
        <w:t xml:space="preserve"> 19-26.</w:t>
      </w:r>
    </w:p>
    <w:sectPr w:rsidR="009C0724" w:rsidSect="00E67EB8">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640C6A" w16cid:durableId="1E1EAAEE"/>
  <w16cid:commentId w16cid:paraId="714A1D37" w16cid:durableId="1E1EAAEF"/>
  <w16cid:commentId w16cid:paraId="390C3D4B" w16cid:durableId="1E1EAAF0"/>
  <w16cid:commentId w16cid:paraId="5CBAA7E5" w16cid:durableId="1E1EAAF1"/>
  <w16cid:commentId w16cid:paraId="263F885B" w16cid:durableId="1E1EAAF2"/>
  <w16cid:commentId w16cid:paraId="0A67F18F" w16cid:durableId="1E1EAAF3"/>
  <w16cid:commentId w16cid:paraId="2C3B0DB5" w16cid:durableId="1E1EAAF4"/>
  <w16cid:commentId w16cid:paraId="56F7C35C" w16cid:durableId="1E1EAAF5"/>
  <w16cid:commentId w16cid:paraId="6814C1C6" w16cid:durableId="1E1EAAF7"/>
  <w16cid:commentId w16cid:paraId="20487937" w16cid:durableId="1E1EAAF6"/>
  <w16cid:commentId w16cid:paraId="05F8CD5F" w16cid:durableId="1E1EAAF8"/>
  <w16cid:commentId w16cid:paraId="6D0E8E9F" w16cid:durableId="1E1EAAF9"/>
  <w16cid:commentId w16cid:paraId="501B8427" w16cid:durableId="1E1EAAFA"/>
  <w16cid:commentId w16cid:paraId="277B468D" w16cid:durableId="1E1EAAFB"/>
  <w16cid:commentId w16cid:paraId="335121CF" w16cid:durableId="1E1EAA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D0323" w14:textId="77777777" w:rsidR="00106F9B" w:rsidRDefault="00106F9B">
      <w:r>
        <w:separator/>
      </w:r>
    </w:p>
  </w:endnote>
  <w:endnote w:type="continuationSeparator" w:id="0">
    <w:p w14:paraId="19BBCBDF" w14:textId="77777777" w:rsidR="00106F9B" w:rsidRDefault="0010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222D9" w14:textId="36015C13" w:rsidR="00106F9B" w:rsidRDefault="00106F9B">
    <w:pPr>
      <w:pStyle w:val="Footer"/>
      <w:jc w:val="center"/>
    </w:pPr>
    <w:r>
      <w:rPr>
        <w:rStyle w:val="PageNumber"/>
      </w:rPr>
      <w:fldChar w:fldCharType="begin"/>
    </w:r>
    <w:r>
      <w:rPr>
        <w:rStyle w:val="PageNumber"/>
      </w:rPr>
      <w:instrText xml:space="preserve"> PAGE </w:instrText>
    </w:r>
    <w:r>
      <w:rPr>
        <w:rStyle w:val="PageNumber"/>
      </w:rPr>
      <w:fldChar w:fldCharType="separate"/>
    </w:r>
    <w:r w:rsidR="005322E7">
      <w:rPr>
        <w:rStyle w:val="PageNumber"/>
        <w:noProof/>
      </w:rPr>
      <w:t>iv</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84AFD" w14:textId="5C948AC8" w:rsidR="00106F9B" w:rsidRPr="00906F6F" w:rsidRDefault="00106F9B"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7D41D0">
      <w:rPr>
        <w:rStyle w:val="PageNumber"/>
        <w:noProof/>
      </w:rPr>
      <w:t>14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6DB3F" w14:textId="5D01DC9C" w:rsidR="00106F9B" w:rsidRDefault="00106F9B"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7D41D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13140" w14:textId="77777777" w:rsidR="00106F9B" w:rsidRDefault="00106F9B">
      <w:r>
        <w:separator/>
      </w:r>
    </w:p>
  </w:footnote>
  <w:footnote w:type="continuationSeparator" w:id="0">
    <w:p w14:paraId="0DF4F8A5" w14:textId="77777777" w:rsidR="00106F9B" w:rsidRDefault="00106F9B">
      <w:r>
        <w:continuationSeparator/>
      </w:r>
    </w:p>
  </w:footnote>
  <w:footnote w:id="1">
    <w:p w14:paraId="6BD39089" w14:textId="180A2247" w:rsidR="00106F9B" w:rsidRPr="00192C30" w:rsidRDefault="00106F9B" w:rsidP="00CC2390">
      <w:pPr>
        <w:pStyle w:val="FootnoteText"/>
        <w:rPr>
          <w:rFonts w:ascii="Times New Roman" w:hAnsi="Times New Roman" w:cs="Times New Roman"/>
          <w:sz w:val="16"/>
          <w:szCs w:val="20"/>
        </w:rPr>
      </w:pPr>
      <w:r w:rsidRPr="0043394F">
        <w:rPr>
          <w:rStyle w:val="FootnoteReference"/>
          <w:rFonts w:cs="Times New Roman"/>
          <w:sz w:val="20"/>
          <w:szCs w:val="20"/>
          <w:vertAlign w:val="superscript"/>
        </w:rPr>
        <w:footnoteRef/>
      </w:r>
      <w:r w:rsidRPr="00692036">
        <w:rPr>
          <w:rFonts w:ascii="Times New Roman" w:hAnsi="Times New Roman" w:cs="Times New Roman"/>
          <w:sz w:val="20"/>
          <w:szCs w:val="20"/>
        </w:rPr>
        <w:t xml:space="preserve"> Initiating OUD treatment, for the purposes of this study</w:t>
      </w:r>
      <w:r>
        <w:rPr>
          <w:rFonts w:ascii="Times New Roman" w:hAnsi="Times New Roman" w:cs="Times New Roman"/>
          <w:sz w:val="20"/>
          <w:szCs w:val="20"/>
        </w:rPr>
        <w:t>,</w:t>
      </w:r>
      <w:r w:rsidRPr="00692036">
        <w:rPr>
          <w:rFonts w:ascii="Times New Roman" w:hAnsi="Times New Roman" w:cs="Times New Roman"/>
          <w:sz w:val="20"/>
          <w:szCs w:val="20"/>
        </w:rPr>
        <w:t xml:space="preserve"> will be defined as start</w:t>
      </w:r>
      <w:r>
        <w:rPr>
          <w:rFonts w:ascii="Times New Roman" w:hAnsi="Times New Roman" w:cs="Times New Roman"/>
          <w:sz w:val="20"/>
          <w:szCs w:val="20"/>
        </w:rPr>
        <w:t>ing</w:t>
      </w:r>
      <w:r w:rsidRPr="00692036">
        <w:rPr>
          <w:rFonts w:ascii="Times New Roman" w:hAnsi="Times New Roman" w:cs="Times New Roman"/>
          <w:sz w:val="20"/>
          <w:szCs w:val="20"/>
        </w:rPr>
        <w:t xml:space="preserve"> an OUD treatment not </w:t>
      </w:r>
      <w:r>
        <w:rPr>
          <w:rFonts w:ascii="Times New Roman" w:hAnsi="Times New Roman" w:cs="Times New Roman"/>
          <w:sz w:val="20"/>
          <w:szCs w:val="20"/>
        </w:rPr>
        <w:t>received</w:t>
      </w:r>
      <w:r w:rsidRPr="00692036">
        <w:rPr>
          <w:rFonts w:ascii="Times New Roman" w:hAnsi="Times New Roman" w:cs="Times New Roman"/>
          <w:sz w:val="20"/>
          <w:szCs w:val="20"/>
        </w:rPr>
        <w:t xml:space="preserve"> by the </w:t>
      </w:r>
      <w:r>
        <w:rPr>
          <w:rFonts w:ascii="Times New Roman" w:hAnsi="Times New Roman" w:cs="Times New Roman"/>
          <w:sz w:val="20"/>
          <w:szCs w:val="20"/>
        </w:rPr>
        <w:t>patient</w:t>
      </w:r>
      <w:r w:rsidRPr="00692036">
        <w:rPr>
          <w:rFonts w:ascii="Times New Roman" w:hAnsi="Times New Roman" w:cs="Times New Roman"/>
          <w:sz w:val="20"/>
          <w:szCs w:val="20"/>
        </w:rPr>
        <w:t xml:space="preserve"> in the </w:t>
      </w:r>
      <w:r>
        <w:rPr>
          <w:rFonts w:ascii="Times New Roman" w:hAnsi="Times New Roman" w:cs="Times New Roman"/>
          <w:sz w:val="20"/>
          <w:szCs w:val="20"/>
        </w:rPr>
        <w:t>prior</w:t>
      </w:r>
      <w:r w:rsidRPr="00692036">
        <w:rPr>
          <w:rFonts w:ascii="Times New Roman" w:hAnsi="Times New Roman" w:cs="Times New Roman"/>
          <w:sz w:val="20"/>
          <w:szCs w:val="20"/>
        </w:rPr>
        <w:t xml:space="preserve"> three months.</w:t>
      </w:r>
      <w:r w:rsidRPr="00192C30">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3D2"/>
    <w:multiLevelType w:val="hybridMultilevel"/>
    <w:tmpl w:val="5C685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D73C8"/>
    <w:multiLevelType w:val="hybridMultilevel"/>
    <w:tmpl w:val="62F6CE20"/>
    <w:lvl w:ilvl="0" w:tplc="3D6E3466">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20852"/>
    <w:multiLevelType w:val="hybridMultilevel"/>
    <w:tmpl w:val="8C1A43A8"/>
    <w:lvl w:ilvl="0" w:tplc="0BEEE616">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E183E99"/>
    <w:multiLevelType w:val="hybridMultilevel"/>
    <w:tmpl w:val="B6345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677CE7"/>
    <w:multiLevelType w:val="hybridMultilevel"/>
    <w:tmpl w:val="6F045C36"/>
    <w:lvl w:ilvl="0" w:tplc="AD507A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E76E93"/>
    <w:multiLevelType w:val="hybridMultilevel"/>
    <w:tmpl w:val="B0C6169A"/>
    <w:lvl w:ilvl="0" w:tplc="0BEEE616">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7E4F6320"/>
    <w:multiLevelType w:val="hybridMultilevel"/>
    <w:tmpl w:val="0CD4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1"/>
  </w:num>
  <w:num w:numId="5">
    <w:abstractNumId w:val="0"/>
  </w:num>
  <w:num w:numId="6">
    <w:abstractNumId w:val="2"/>
  </w:num>
  <w:num w:numId="7">
    <w:abstractNumId w:val="6"/>
  </w:num>
  <w:num w:numId="8">
    <w:abstractNumId w:val="4"/>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1"/>
  <w:activeWritingStyle w:appName="MSWord" w:lang="en-CA" w:vendorID="64" w:dllVersion="0" w:nlCheck="1" w:checkStyle="1"/>
  <w:activeWritingStyle w:appName="MSWord" w:lang="en-US" w:vendorID="64" w:dllVersion="6" w:nlCheck="1" w:checkStyle="1"/>
  <w:activeWritingStyle w:appName="MSWord" w:lang="en-CA" w:vendorID="64" w:dllVersion="6" w:nlCheck="1" w:checkStyle="1"/>
  <w:activeWritingStyle w:appName="MSWord" w:lang="en-US"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D2"/>
    <w:rsid w:val="00001ECD"/>
    <w:rsid w:val="00010285"/>
    <w:rsid w:val="00010A0D"/>
    <w:rsid w:val="00011447"/>
    <w:rsid w:val="00011975"/>
    <w:rsid w:val="000137AA"/>
    <w:rsid w:val="00014439"/>
    <w:rsid w:val="00016E5D"/>
    <w:rsid w:val="0001715E"/>
    <w:rsid w:val="00021B81"/>
    <w:rsid w:val="0002286A"/>
    <w:rsid w:val="00034A27"/>
    <w:rsid w:val="00053D33"/>
    <w:rsid w:val="00055BD4"/>
    <w:rsid w:val="00056850"/>
    <w:rsid w:val="00060099"/>
    <w:rsid w:val="0006128E"/>
    <w:rsid w:val="000627FB"/>
    <w:rsid w:val="0006679F"/>
    <w:rsid w:val="00067317"/>
    <w:rsid w:val="00071C81"/>
    <w:rsid w:val="00071E0F"/>
    <w:rsid w:val="00072C63"/>
    <w:rsid w:val="000746C2"/>
    <w:rsid w:val="000752EE"/>
    <w:rsid w:val="00076442"/>
    <w:rsid w:val="000801A8"/>
    <w:rsid w:val="000862B7"/>
    <w:rsid w:val="0008686A"/>
    <w:rsid w:val="00095B10"/>
    <w:rsid w:val="000965F4"/>
    <w:rsid w:val="000A1467"/>
    <w:rsid w:val="000A1BC4"/>
    <w:rsid w:val="000A2624"/>
    <w:rsid w:val="000A3D71"/>
    <w:rsid w:val="000A609C"/>
    <w:rsid w:val="000B3FD5"/>
    <w:rsid w:val="000B5B19"/>
    <w:rsid w:val="000C0BF4"/>
    <w:rsid w:val="000C7DE8"/>
    <w:rsid w:val="000D7F7A"/>
    <w:rsid w:val="000E395A"/>
    <w:rsid w:val="000E479A"/>
    <w:rsid w:val="000E6546"/>
    <w:rsid w:val="000F3D28"/>
    <w:rsid w:val="000F5A9D"/>
    <w:rsid w:val="0010522F"/>
    <w:rsid w:val="00105644"/>
    <w:rsid w:val="00106297"/>
    <w:rsid w:val="00106F9B"/>
    <w:rsid w:val="001109B7"/>
    <w:rsid w:val="001110FB"/>
    <w:rsid w:val="001124CB"/>
    <w:rsid w:val="00112C2B"/>
    <w:rsid w:val="0011387B"/>
    <w:rsid w:val="0011486A"/>
    <w:rsid w:val="001149F7"/>
    <w:rsid w:val="00117177"/>
    <w:rsid w:val="00124032"/>
    <w:rsid w:val="001302E1"/>
    <w:rsid w:val="00136C59"/>
    <w:rsid w:val="0014262B"/>
    <w:rsid w:val="00143EC8"/>
    <w:rsid w:val="00151395"/>
    <w:rsid w:val="00152DFC"/>
    <w:rsid w:val="00155573"/>
    <w:rsid w:val="00160F14"/>
    <w:rsid w:val="00162E9D"/>
    <w:rsid w:val="001669CD"/>
    <w:rsid w:val="0017124A"/>
    <w:rsid w:val="00171303"/>
    <w:rsid w:val="00174D1D"/>
    <w:rsid w:val="00175652"/>
    <w:rsid w:val="00175EE3"/>
    <w:rsid w:val="00176584"/>
    <w:rsid w:val="00180162"/>
    <w:rsid w:val="00182ED7"/>
    <w:rsid w:val="001832DE"/>
    <w:rsid w:val="0018563E"/>
    <w:rsid w:val="00192C30"/>
    <w:rsid w:val="00194A21"/>
    <w:rsid w:val="00194FDF"/>
    <w:rsid w:val="00196926"/>
    <w:rsid w:val="00197507"/>
    <w:rsid w:val="001A140A"/>
    <w:rsid w:val="001A190A"/>
    <w:rsid w:val="001A1A89"/>
    <w:rsid w:val="001A2240"/>
    <w:rsid w:val="001A3B81"/>
    <w:rsid w:val="001A7793"/>
    <w:rsid w:val="001A7D8B"/>
    <w:rsid w:val="001A7DA7"/>
    <w:rsid w:val="001B2BC8"/>
    <w:rsid w:val="001B2F93"/>
    <w:rsid w:val="001B4ADE"/>
    <w:rsid w:val="001B6122"/>
    <w:rsid w:val="001B78C1"/>
    <w:rsid w:val="001C4BD6"/>
    <w:rsid w:val="001C4E6E"/>
    <w:rsid w:val="001D1D91"/>
    <w:rsid w:val="001D2029"/>
    <w:rsid w:val="001D2CB1"/>
    <w:rsid w:val="001D33C9"/>
    <w:rsid w:val="001D3F98"/>
    <w:rsid w:val="001D5EC8"/>
    <w:rsid w:val="001D7C68"/>
    <w:rsid w:val="001E2C0E"/>
    <w:rsid w:val="001E63EF"/>
    <w:rsid w:val="001E736B"/>
    <w:rsid w:val="001F38CC"/>
    <w:rsid w:val="002019DD"/>
    <w:rsid w:val="0020303E"/>
    <w:rsid w:val="00203444"/>
    <w:rsid w:val="002037BC"/>
    <w:rsid w:val="00207E8F"/>
    <w:rsid w:val="002107AE"/>
    <w:rsid w:val="00213567"/>
    <w:rsid w:val="0021669A"/>
    <w:rsid w:val="002179E0"/>
    <w:rsid w:val="00221D72"/>
    <w:rsid w:val="00223327"/>
    <w:rsid w:val="00223CDD"/>
    <w:rsid w:val="00225272"/>
    <w:rsid w:val="00236BC0"/>
    <w:rsid w:val="00237321"/>
    <w:rsid w:val="00242C8F"/>
    <w:rsid w:val="00242D2C"/>
    <w:rsid w:val="002451B1"/>
    <w:rsid w:val="00246CCD"/>
    <w:rsid w:val="0025209F"/>
    <w:rsid w:val="002576CA"/>
    <w:rsid w:val="00260BAF"/>
    <w:rsid w:val="00260EAB"/>
    <w:rsid w:val="002677ED"/>
    <w:rsid w:val="00271222"/>
    <w:rsid w:val="0027322B"/>
    <w:rsid w:val="00274C42"/>
    <w:rsid w:val="002750B6"/>
    <w:rsid w:val="002772A2"/>
    <w:rsid w:val="0028617F"/>
    <w:rsid w:val="0029307A"/>
    <w:rsid w:val="0029362A"/>
    <w:rsid w:val="002974B3"/>
    <w:rsid w:val="00297CB1"/>
    <w:rsid w:val="002A1235"/>
    <w:rsid w:val="002A2F8B"/>
    <w:rsid w:val="002A38E7"/>
    <w:rsid w:val="002B12D1"/>
    <w:rsid w:val="002B7361"/>
    <w:rsid w:val="002C1CBF"/>
    <w:rsid w:val="002C3412"/>
    <w:rsid w:val="002C5B5A"/>
    <w:rsid w:val="002C60A4"/>
    <w:rsid w:val="002C78C3"/>
    <w:rsid w:val="002D20C1"/>
    <w:rsid w:val="002D30CA"/>
    <w:rsid w:val="002D611F"/>
    <w:rsid w:val="002D6249"/>
    <w:rsid w:val="002E139E"/>
    <w:rsid w:val="002E39B8"/>
    <w:rsid w:val="002E45E0"/>
    <w:rsid w:val="002E5AF4"/>
    <w:rsid w:val="002F13DB"/>
    <w:rsid w:val="002F2D71"/>
    <w:rsid w:val="002F3B3B"/>
    <w:rsid w:val="002F3FC7"/>
    <w:rsid w:val="002F48EC"/>
    <w:rsid w:val="002F6523"/>
    <w:rsid w:val="00302FC2"/>
    <w:rsid w:val="00305805"/>
    <w:rsid w:val="00306F6E"/>
    <w:rsid w:val="0031221B"/>
    <w:rsid w:val="0031398F"/>
    <w:rsid w:val="003150E0"/>
    <w:rsid w:val="003270D3"/>
    <w:rsid w:val="003278F4"/>
    <w:rsid w:val="00327FF0"/>
    <w:rsid w:val="003311F0"/>
    <w:rsid w:val="00331E3B"/>
    <w:rsid w:val="00334B7A"/>
    <w:rsid w:val="003378A5"/>
    <w:rsid w:val="00343192"/>
    <w:rsid w:val="00347889"/>
    <w:rsid w:val="00347EBC"/>
    <w:rsid w:val="003506F4"/>
    <w:rsid w:val="0035337E"/>
    <w:rsid w:val="00353D07"/>
    <w:rsid w:val="003540A9"/>
    <w:rsid w:val="00354255"/>
    <w:rsid w:val="00354793"/>
    <w:rsid w:val="00354E4F"/>
    <w:rsid w:val="00357746"/>
    <w:rsid w:val="00357AF0"/>
    <w:rsid w:val="00362409"/>
    <w:rsid w:val="003657D9"/>
    <w:rsid w:val="00371F8E"/>
    <w:rsid w:val="0037320E"/>
    <w:rsid w:val="0038401B"/>
    <w:rsid w:val="0038519E"/>
    <w:rsid w:val="00391914"/>
    <w:rsid w:val="00391E0F"/>
    <w:rsid w:val="003A68ED"/>
    <w:rsid w:val="003B4450"/>
    <w:rsid w:val="003B4C9B"/>
    <w:rsid w:val="003B786B"/>
    <w:rsid w:val="003C0D79"/>
    <w:rsid w:val="003C1B04"/>
    <w:rsid w:val="003D1423"/>
    <w:rsid w:val="003D1E39"/>
    <w:rsid w:val="003D506D"/>
    <w:rsid w:val="003D536B"/>
    <w:rsid w:val="003D5746"/>
    <w:rsid w:val="003D5F0F"/>
    <w:rsid w:val="003D640D"/>
    <w:rsid w:val="003D6EC3"/>
    <w:rsid w:val="003E0A59"/>
    <w:rsid w:val="003E2E19"/>
    <w:rsid w:val="003E5463"/>
    <w:rsid w:val="003E5576"/>
    <w:rsid w:val="003F02AD"/>
    <w:rsid w:val="003F1E5B"/>
    <w:rsid w:val="003F7917"/>
    <w:rsid w:val="00400488"/>
    <w:rsid w:val="004023F1"/>
    <w:rsid w:val="00402BAD"/>
    <w:rsid w:val="00402EF0"/>
    <w:rsid w:val="00403B80"/>
    <w:rsid w:val="004059D1"/>
    <w:rsid w:val="00411AB2"/>
    <w:rsid w:val="0041691A"/>
    <w:rsid w:val="0042198D"/>
    <w:rsid w:val="00423334"/>
    <w:rsid w:val="00427554"/>
    <w:rsid w:val="004316FE"/>
    <w:rsid w:val="00432338"/>
    <w:rsid w:val="00432E63"/>
    <w:rsid w:val="0043394F"/>
    <w:rsid w:val="00434BC5"/>
    <w:rsid w:val="00434DFE"/>
    <w:rsid w:val="004404CF"/>
    <w:rsid w:val="00451757"/>
    <w:rsid w:val="00453377"/>
    <w:rsid w:val="0045406A"/>
    <w:rsid w:val="0046319B"/>
    <w:rsid w:val="00463AEE"/>
    <w:rsid w:val="00463DD1"/>
    <w:rsid w:val="00466CA9"/>
    <w:rsid w:val="0047358D"/>
    <w:rsid w:val="00473ADC"/>
    <w:rsid w:val="00473DAD"/>
    <w:rsid w:val="00475CDB"/>
    <w:rsid w:val="00475E78"/>
    <w:rsid w:val="0047674A"/>
    <w:rsid w:val="004920B6"/>
    <w:rsid w:val="0049243C"/>
    <w:rsid w:val="00492EA5"/>
    <w:rsid w:val="00492F67"/>
    <w:rsid w:val="00495ADF"/>
    <w:rsid w:val="00497034"/>
    <w:rsid w:val="004A07AB"/>
    <w:rsid w:val="004A2778"/>
    <w:rsid w:val="004B3583"/>
    <w:rsid w:val="004B3E35"/>
    <w:rsid w:val="004C0743"/>
    <w:rsid w:val="004C0E0E"/>
    <w:rsid w:val="004C114F"/>
    <w:rsid w:val="004C2450"/>
    <w:rsid w:val="004C439D"/>
    <w:rsid w:val="004C56A3"/>
    <w:rsid w:val="004D0161"/>
    <w:rsid w:val="004D197C"/>
    <w:rsid w:val="004D3C37"/>
    <w:rsid w:val="004D4C19"/>
    <w:rsid w:val="004D652E"/>
    <w:rsid w:val="004E0E8D"/>
    <w:rsid w:val="004E330F"/>
    <w:rsid w:val="004E573F"/>
    <w:rsid w:val="004F167F"/>
    <w:rsid w:val="004F4DEA"/>
    <w:rsid w:val="0050115D"/>
    <w:rsid w:val="00501CCB"/>
    <w:rsid w:val="00504DCF"/>
    <w:rsid w:val="00511375"/>
    <w:rsid w:val="005123F4"/>
    <w:rsid w:val="00512F04"/>
    <w:rsid w:val="00513836"/>
    <w:rsid w:val="00513E02"/>
    <w:rsid w:val="0051577F"/>
    <w:rsid w:val="00516D68"/>
    <w:rsid w:val="00517264"/>
    <w:rsid w:val="005217EF"/>
    <w:rsid w:val="00531587"/>
    <w:rsid w:val="005322E7"/>
    <w:rsid w:val="00534DAB"/>
    <w:rsid w:val="005360F6"/>
    <w:rsid w:val="005375D0"/>
    <w:rsid w:val="00541CA2"/>
    <w:rsid w:val="00544752"/>
    <w:rsid w:val="005453DD"/>
    <w:rsid w:val="00546209"/>
    <w:rsid w:val="00550EA3"/>
    <w:rsid w:val="00551F4D"/>
    <w:rsid w:val="00554570"/>
    <w:rsid w:val="00557329"/>
    <w:rsid w:val="0055752E"/>
    <w:rsid w:val="00563B57"/>
    <w:rsid w:val="00570282"/>
    <w:rsid w:val="005749DD"/>
    <w:rsid w:val="0057707D"/>
    <w:rsid w:val="0058360B"/>
    <w:rsid w:val="005838C1"/>
    <w:rsid w:val="0058763F"/>
    <w:rsid w:val="005909A3"/>
    <w:rsid w:val="00590C43"/>
    <w:rsid w:val="005928C4"/>
    <w:rsid w:val="0059317F"/>
    <w:rsid w:val="005A1566"/>
    <w:rsid w:val="005A4B29"/>
    <w:rsid w:val="005A4FA4"/>
    <w:rsid w:val="005A7F97"/>
    <w:rsid w:val="005B21C5"/>
    <w:rsid w:val="005B2FDB"/>
    <w:rsid w:val="005B4154"/>
    <w:rsid w:val="005C255F"/>
    <w:rsid w:val="005C54A8"/>
    <w:rsid w:val="005D0E83"/>
    <w:rsid w:val="005E1462"/>
    <w:rsid w:val="005E153C"/>
    <w:rsid w:val="005E217C"/>
    <w:rsid w:val="005E62F2"/>
    <w:rsid w:val="005F0EAD"/>
    <w:rsid w:val="005F11AA"/>
    <w:rsid w:val="005F348F"/>
    <w:rsid w:val="005F3E92"/>
    <w:rsid w:val="005F4F17"/>
    <w:rsid w:val="006040A6"/>
    <w:rsid w:val="006048A8"/>
    <w:rsid w:val="00605B8B"/>
    <w:rsid w:val="00606CAC"/>
    <w:rsid w:val="00613A18"/>
    <w:rsid w:val="00613DEF"/>
    <w:rsid w:val="00622A6F"/>
    <w:rsid w:val="006269EB"/>
    <w:rsid w:val="00626DBA"/>
    <w:rsid w:val="00632AAE"/>
    <w:rsid w:val="00633569"/>
    <w:rsid w:val="00635CB0"/>
    <w:rsid w:val="0063681F"/>
    <w:rsid w:val="006576F9"/>
    <w:rsid w:val="006577DB"/>
    <w:rsid w:val="00657935"/>
    <w:rsid w:val="0065799B"/>
    <w:rsid w:val="006616A3"/>
    <w:rsid w:val="00661A68"/>
    <w:rsid w:val="00662BD9"/>
    <w:rsid w:val="00663D09"/>
    <w:rsid w:val="00665CF8"/>
    <w:rsid w:val="0067088C"/>
    <w:rsid w:val="006713F3"/>
    <w:rsid w:val="006763FF"/>
    <w:rsid w:val="00682082"/>
    <w:rsid w:val="006823B5"/>
    <w:rsid w:val="00692036"/>
    <w:rsid w:val="00695829"/>
    <w:rsid w:val="006A10BF"/>
    <w:rsid w:val="006A2387"/>
    <w:rsid w:val="006A4B0E"/>
    <w:rsid w:val="006A604F"/>
    <w:rsid w:val="006A70D3"/>
    <w:rsid w:val="006B14CF"/>
    <w:rsid w:val="006B2FAC"/>
    <w:rsid w:val="006B3CB0"/>
    <w:rsid w:val="006B4955"/>
    <w:rsid w:val="006C7732"/>
    <w:rsid w:val="006D3678"/>
    <w:rsid w:val="006D4600"/>
    <w:rsid w:val="006D50FA"/>
    <w:rsid w:val="006D69AB"/>
    <w:rsid w:val="006E2440"/>
    <w:rsid w:val="006E49A2"/>
    <w:rsid w:val="006E5049"/>
    <w:rsid w:val="006E6CB6"/>
    <w:rsid w:val="006E78C6"/>
    <w:rsid w:val="006F2341"/>
    <w:rsid w:val="006F2566"/>
    <w:rsid w:val="006F5CF8"/>
    <w:rsid w:val="006F5F5D"/>
    <w:rsid w:val="006F64C8"/>
    <w:rsid w:val="00706653"/>
    <w:rsid w:val="00706A2E"/>
    <w:rsid w:val="00707527"/>
    <w:rsid w:val="0070791E"/>
    <w:rsid w:val="00707F96"/>
    <w:rsid w:val="00712259"/>
    <w:rsid w:val="0071443E"/>
    <w:rsid w:val="00717571"/>
    <w:rsid w:val="00720E5F"/>
    <w:rsid w:val="00722078"/>
    <w:rsid w:val="00726255"/>
    <w:rsid w:val="00736568"/>
    <w:rsid w:val="00736695"/>
    <w:rsid w:val="007367F8"/>
    <w:rsid w:val="00737857"/>
    <w:rsid w:val="00737E36"/>
    <w:rsid w:val="007404C6"/>
    <w:rsid w:val="00746CEF"/>
    <w:rsid w:val="00747F72"/>
    <w:rsid w:val="0075331E"/>
    <w:rsid w:val="00755297"/>
    <w:rsid w:val="0075787E"/>
    <w:rsid w:val="00762204"/>
    <w:rsid w:val="0076448A"/>
    <w:rsid w:val="00764529"/>
    <w:rsid w:val="00773689"/>
    <w:rsid w:val="00775802"/>
    <w:rsid w:val="00781CD7"/>
    <w:rsid w:val="00782650"/>
    <w:rsid w:val="007838EC"/>
    <w:rsid w:val="00783F6C"/>
    <w:rsid w:val="00785152"/>
    <w:rsid w:val="007863A5"/>
    <w:rsid w:val="00786946"/>
    <w:rsid w:val="00786C85"/>
    <w:rsid w:val="00787D03"/>
    <w:rsid w:val="00797394"/>
    <w:rsid w:val="007B0011"/>
    <w:rsid w:val="007B18BA"/>
    <w:rsid w:val="007B276C"/>
    <w:rsid w:val="007B5258"/>
    <w:rsid w:val="007C3C05"/>
    <w:rsid w:val="007C41F8"/>
    <w:rsid w:val="007C47F1"/>
    <w:rsid w:val="007C4997"/>
    <w:rsid w:val="007C4A4E"/>
    <w:rsid w:val="007C5C17"/>
    <w:rsid w:val="007C5DCF"/>
    <w:rsid w:val="007C7074"/>
    <w:rsid w:val="007C780C"/>
    <w:rsid w:val="007D3125"/>
    <w:rsid w:val="007D41D0"/>
    <w:rsid w:val="007D505B"/>
    <w:rsid w:val="007E095A"/>
    <w:rsid w:val="007E15BB"/>
    <w:rsid w:val="007E16F1"/>
    <w:rsid w:val="007E4A5C"/>
    <w:rsid w:val="007E6753"/>
    <w:rsid w:val="007F293F"/>
    <w:rsid w:val="007F2F9B"/>
    <w:rsid w:val="007F3D8A"/>
    <w:rsid w:val="007F50C9"/>
    <w:rsid w:val="007F5101"/>
    <w:rsid w:val="007F576C"/>
    <w:rsid w:val="007F7D99"/>
    <w:rsid w:val="00802D38"/>
    <w:rsid w:val="0080470E"/>
    <w:rsid w:val="00804E98"/>
    <w:rsid w:val="00807D01"/>
    <w:rsid w:val="00807E0E"/>
    <w:rsid w:val="00810192"/>
    <w:rsid w:val="00811C2D"/>
    <w:rsid w:val="008146EC"/>
    <w:rsid w:val="00816157"/>
    <w:rsid w:val="0081656F"/>
    <w:rsid w:val="00817741"/>
    <w:rsid w:val="00821BF9"/>
    <w:rsid w:val="0082405E"/>
    <w:rsid w:val="008241F7"/>
    <w:rsid w:val="0082657F"/>
    <w:rsid w:val="00832BA3"/>
    <w:rsid w:val="00832F11"/>
    <w:rsid w:val="008357CC"/>
    <w:rsid w:val="008423C2"/>
    <w:rsid w:val="00844FC2"/>
    <w:rsid w:val="00847929"/>
    <w:rsid w:val="00855447"/>
    <w:rsid w:val="00856CF5"/>
    <w:rsid w:val="00857732"/>
    <w:rsid w:val="0086043F"/>
    <w:rsid w:val="00870307"/>
    <w:rsid w:val="0087417D"/>
    <w:rsid w:val="00874B4A"/>
    <w:rsid w:val="008807B7"/>
    <w:rsid w:val="008808FA"/>
    <w:rsid w:val="00880F78"/>
    <w:rsid w:val="008815DF"/>
    <w:rsid w:val="008864F1"/>
    <w:rsid w:val="008973BD"/>
    <w:rsid w:val="008A0231"/>
    <w:rsid w:val="008A0A0F"/>
    <w:rsid w:val="008A3CF6"/>
    <w:rsid w:val="008A4C91"/>
    <w:rsid w:val="008B0025"/>
    <w:rsid w:val="008B3BC8"/>
    <w:rsid w:val="008B450B"/>
    <w:rsid w:val="008B61A1"/>
    <w:rsid w:val="008B79CD"/>
    <w:rsid w:val="008C3FC1"/>
    <w:rsid w:val="008C5BD6"/>
    <w:rsid w:val="008D04AF"/>
    <w:rsid w:val="008D0635"/>
    <w:rsid w:val="008D1165"/>
    <w:rsid w:val="008D43BE"/>
    <w:rsid w:val="008D460B"/>
    <w:rsid w:val="008D70F9"/>
    <w:rsid w:val="008E0EF2"/>
    <w:rsid w:val="008E30F5"/>
    <w:rsid w:val="008E4CA1"/>
    <w:rsid w:val="008E7D6E"/>
    <w:rsid w:val="008F5037"/>
    <w:rsid w:val="008F55FE"/>
    <w:rsid w:val="00900586"/>
    <w:rsid w:val="009051AA"/>
    <w:rsid w:val="00906F6F"/>
    <w:rsid w:val="009164CC"/>
    <w:rsid w:val="0092164B"/>
    <w:rsid w:val="00924407"/>
    <w:rsid w:val="009259F9"/>
    <w:rsid w:val="00926D45"/>
    <w:rsid w:val="00930261"/>
    <w:rsid w:val="00932612"/>
    <w:rsid w:val="00932B36"/>
    <w:rsid w:val="00937302"/>
    <w:rsid w:val="009437BC"/>
    <w:rsid w:val="00944BB4"/>
    <w:rsid w:val="00946D72"/>
    <w:rsid w:val="00947647"/>
    <w:rsid w:val="00947A84"/>
    <w:rsid w:val="0095131C"/>
    <w:rsid w:val="00954B14"/>
    <w:rsid w:val="009617DF"/>
    <w:rsid w:val="00970F6E"/>
    <w:rsid w:val="009716D5"/>
    <w:rsid w:val="009752B7"/>
    <w:rsid w:val="00975B68"/>
    <w:rsid w:val="00977A46"/>
    <w:rsid w:val="00981374"/>
    <w:rsid w:val="00982182"/>
    <w:rsid w:val="009875AE"/>
    <w:rsid w:val="00993BE0"/>
    <w:rsid w:val="009960C6"/>
    <w:rsid w:val="009979B6"/>
    <w:rsid w:val="00997B58"/>
    <w:rsid w:val="00997F2B"/>
    <w:rsid w:val="009A0D93"/>
    <w:rsid w:val="009A230F"/>
    <w:rsid w:val="009A41A4"/>
    <w:rsid w:val="009A5D09"/>
    <w:rsid w:val="009A703B"/>
    <w:rsid w:val="009A7920"/>
    <w:rsid w:val="009A7DB5"/>
    <w:rsid w:val="009B11F9"/>
    <w:rsid w:val="009B66BB"/>
    <w:rsid w:val="009C0724"/>
    <w:rsid w:val="009C1BE3"/>
    <w:rsid w:val="009C6EA2"/>
    <w:rsid w:val="009D0E6A"/>
    <w:rsid w:val="009D33E3"/>
    <w:rsid w:val="009E0FB3"/>
    <w:rsid w:val="009E2854"/>
    <w:rsid w:val="009E335E"/>
    <w:rsid w:val="009E4DC5"/>
    <w:rsid w:val="009F174C"/>
    <w:rsid w:val="009F1792"/>
    <w:rsid w:val="009F3BBD"/>
    <w:rsid w:val="009F448A"/>
    <w:rsid w:val="009F4661"/>
    <w:rsid w:val="009F6C56"/>
    <w:rsid w:val="009F6D65"/>
    <w:rsid w:val="00A00226"/>
    <w:rsid w:val="00A00CAE"/>
    <w:rsid w:val="00A113C1"/>
    <w:rsid w:val="00A128E8"/>
    <w:rsid w:val="00A138C0"/>
    <w:rsid w:val="00A14087"/>
    <w:rsid w:val="00A15F7A"/>
    <w:rsid w:val="00A177C0"/>
    <w:rsid w:val="00A234D4"/>
    <w:rsid w:val="00A23F2B"/>
    <w:rsid w:val="00A24170"/>
    <w:rsid w:val="00A32B08"/>
    <w:rsid w:val="00A34899"/>
    <w:rsid w:val="00A35FD5"/>
    <w:rsid w:val="00A40208"/>
    <w:rsid w:val="00A4117E"/>
    <w:rsid w:val="00A43ED4"/>
    <w:rsid w:val="00A45B43"/>
    <w:rsid w:val="00A531F7"/>
    <w:rsid w:val="00A53954"/>
    <w:rsid w:val="00A61241"/>
    <w:rsid w:val="00A65419"/>
    <w:rsid w:val="00A718D2"/>
    <w:rsid w:val="00A71DDD"/>
    <w:rsid w:val="00A861AA"/>
    <w:rsid w:val="00A86AB6"/>
    <w:rsid w:val="00A87D81"/>
    <w:rsid w:val="00A90888"/>
    <w:rsid w:val="00A92395"/>
    <w:rsid w:val="00A935D1"/>
    <w:rsid w:val="00A95E62"/>
    <w:rsid w:val="00A97E97"/>
    <w:rsid w:val="00AA295A"/>
    <w:rsid w:val="00AA4B30"/>
    <w:rsid w:val="00AA573E"/>
    <w:rsid w:val="00AA601E"/>
    <w:rsid w:val="00AA6A82"/>
    <w:rsid w:val="00AB01B4"/>
    <w:rsid w:val="00AB18D6"/>
    <w:rsid w:val="00AB26EE"/>
    <w:rsid w:val="00AB3928"/>
    <w:rsid w:val="00AB6D73"/>
    <w:rsid w:val="00AC6ACE"/>
    <w:rsid w:val="00AC6F14"/>
    <w:rsid w:val="00AD5167"/>
    <w:rsid w:val="00AD5D12"/>
    <w:rsid w:val="00AD755E"/>
    <w:rsid w:val="00AE5483"/>
    <w:rsid w:val="00AE6202"/>
    <w:rsid w:val="00AE67E7"/>
    <w:rsid w:val="00AF367A"/>
    <w:rsid w:val="00AF376C"/>
    <w:rsid w:val="00B030C7"/>
    <w:rsid w:val="00B05D91"/>
    <w:rsid w:val="00B104F7"/>
    <w:rsid w:val="00B14DA8"/>
    <w:rsid w:val="00B20569"/>
    <w:rsid w:val="00B231F5"/>
    <w:rsid w:val="00B234E3"/>
    <w:rsid w:val="00B26B7B"/>
    <w:rsid w:val="00B26EC9"/>
    <w:rsid w:val="00B3350A"/>
    <w:rsid w:val="00B35B2E"/>
    <w:rsid w:val="00B37499"/>
    <w:rsid w:val="00B37A70"/>
    <w:rsid w:val="00B4037E"/>
    <w:rsid w:val="00B41E5F"/>
    <w:rsid w:val="00B432D0"/>
    <w:rsid w:val="00B4410E"/>
    <w:rsid w:val="00B50CA6"/>
    <w:rsid w:val="00B53E72"/>
    <w:rsid w:val="00B57FE7"/>
    <w:rsid w:val="00B7271C"/>
    <w:rsid w:val="00B76002"/>
    <w:rsid w:val="00B77A91"/>
    <w:rsid w:val="00B80442"/>
    <w:rsid w:val="00B81407"/>
    <w:rsid w:val="00B81ADC"/>
    <w:rsid w:val="00B854D4"/>
    <w:rsid w:val="00B864FD"/>
    <w:rsid w:val="00BA52EC"/>
    <w:rsid w:val="00BA5E5B"/>
    <w:rsid w:val="00BB1492"/>
    <w:rsid w:val="00BB5EAA"/>
    <w:rsid w:val="00BB7CFA"/>
    <w:rsid w:val="00BC27F0"/>
    <w:rsid w:val="00BC3470"/>
    <w:rsid w:val="00BC378F"/>
    <w:rsid w:val="00BD1420"/>
    <w:rsid w:val="00BD520D"/>
    <w:rsid w:val="00BD60B3"/>
    <w:rsid w:val="00BE206D"/>
    <w:rsid w:val="00BE2D02"/>
    <w:rsid w:val="00BE3378"/>
    <w:rsid w:val="00BE4187"/>
    <w:rsid w:val="00BE4639"/>
    <w:rsid w:val="00BE50F7"/>
    <w:rsid w:val="00BF3388"/>
    <w:rsid w:val="00BF72E1"/>
    <w:rsid w:val="00C056FE"/>
    <w:rsid w:val="00C149ED"/>
    <w:rsid w:val="00C156AA"/>
    <w:rsid w:val="00C162E9"/>
    <w:rsid w:val="00C207AD"/>
    <w:rsid w:val="00C30EA5"/>
    <w:rsid w:val="00C325DA"/>
    <w:rsid w:val="00C32C39"/>
    <w:rsid w:val="00C40D2F"/>
    <w:rsid w:val="00C5015B"/>
    <w:rsid w:val="00C54030"/>
    <w:rsid w:val="00C56316"/>
    <w:rsid w:val="00C57DB3"/>
    <w:rsid w:val="00C57DF3"/>
    <w:rsid w:val="00C606F0"/>
    <w:rsid w:val="00C62587"/>
    <w:rsid w:val="00C62900"/>
    <w:rsid w:val="00C634F2"/>
    <w:rsid w:val="00C65FD6"/>
    <w:rsid w:val="00C66B15"/>
    <w:rsid w:val="00C74528"/>
    <w:rsid w:val="00C74643"/>
    <w:rsid w:val="00C764DD"/>
    <w:rsid w:val="00C81A36"/>
    <w:rsid w:val="00C81D0B"/>
    <w:rsid w:val="00C844D6"/>
    <w:rsid w:val="00C86C05"/>
    <w:rsid w:val="00C93F07"/>
    <w:rsid w:val="00C95609"/>
    <w:rsid w:val="00CA0C55"/>
    <w:rsid w:val="00CA1153"/>
    <w:rsid w:val="00CA3E4A"/>
    <w:rsid w:val="00CA4F62"/>
    <w:rsid w:val="00CA5CCF"/>
    <w:rsid w:val="00CA6A7F"/>
    <w:rsid w:val="00CB0350"/>
    <w:rsid w:val="00CB6FA9"/>
    <w:rsid w:val="00CC2139"/>
    <w:rsid w:val="00CC2390"/>
    <w:rsid w:val="00CD058F"/>
    <w:rsid w:val="00CD0CA0"/>
    <w:rsid w:val="00CD3575"/>
    <w:rsid w:val="00CD5B39"/>
    <w:rsid w:val="00CD6A6D"/>
    <w:rsid w:val="00CF22F5"/>
    <w:rsid w:val="00CF260B"/>
    <w:rsid w:val="00CF6FFE"/>
    <w:rsid w:val="00CF72D5"/>
    <w:rsid w:val="00D03C09"/>
    <w:rsid w:val="00D045B8"/>
    <w:rsid w:val="00D11CC1"/>
    <w:rsid w:val="00D2145A"/>
    <w:rsid w:val="00D25293"/>
    <w:rsid w:val="00D27169"/>
    <w:rsid w:val="00D34D18"/>
    <w:rsid w:val="00D358C3"/>
    <w:rsid w:val="00D37AC9"/>
    <w:rsid w:val="00D428B5"/>
    <w:rsid w:val="00D42CD4"/>
    <w:rsid w:val="00D43F13"/>
    <w:rsid w:val="00D4534A"/>
    <w:rsid w:val="00D46A91"/>
    <w:rsid w:val="00D46D1A"/>
    <w:rsid w:val="00D47208"/>
    <w:rsid w:val="00D557BC"/>
    <w:rsid w:val="00D6238E"/>
    <w:rsid w:val="00D6798C"/>
    <w:rsid w:val="00D70C31"/>
    <w:rsid w:val="00D70D55"/>
    <w:rsid w:val="00D7688C"/>
    <w:rsid w:val="00D820DC"/>
    <w:rsid w:val="00D8693B"/>
    <w:rsid w:val="00D901E3"/>
    <w:rsid w:val="00D924E3"/>
    <w:rsid w:val="00D92D78"/>
    <w:rsid w:val="00D946CC"/>
    <w:rsid w:val="00D95ECA"/>
    <w:rsid w:val="00D96218"/>
    <w:rsid w:val="00DA0C0D"/>
    <w:rsid w:val="00DB4B60"/>
    <w:rsid w:val="00DB5E1A"/>
    <w:rsid w:val="00DC1339"/>
    <w:rsid w:val="00DC20D7"/>
    <w:rsid w:val="00DC304E"/>
    <w:rsid w:val="00DC69D5"/>
    <w:rsid w:val="00DD248A"/>
    <w:rsid w:val="00DD3188"/>
    <w:rsid w:val="00DD36B8"/>
    <w:rsid w:val="00DD39B1"/>
    <w:rsid w:val="00DD549C"/>
    <w:rsid w:val="00DE2328"/>
    <w:rsid w:val="00DE3FBE"/>
    <w:rsid w:val="00DE445B"/>
    <w:rsid w:val="00DE5245"/>
    <w:rsid w:val="00DF4417"/>
    <w:rsid w:val="00DF5887"/>
    <w:rsid w:val="00DF693C"/>
    <w:rsid w:val="00DF6E59"/>
    <w:rsid w:val="00E021DF"/>
    <w:rsid w:val="00E04C62"/>
    <w:rsid w:val="00E0651E"/>
    <w:rsid w:val="00E07659"/>
    <w:rsid w:val="00E1300D"/>
    <w:rsid w:val="00E13487"/>
    <w:rsid w:val="00E23456"/>
    <w:rsid w:val="00E26A30"/>
    <w:rsid w:val="00E429AE"/>
    <w:rsid w:val="00E46D97"/>
    <w:rsid w:val="00E5341B"/>
    <w:rsid w:val="00E55082"/>
    <w:rsid w:val="00E62A23"/>
    <w:rsid w:val="00E65D46"/>
    <w:rsid w:val="00E666E3"/>
    <w:rsid w:val="00E66F29"/>
    <w:rsid w:val="00E67599"/>
    <w:rsid w:val="00E67EB8"/>
    <w:rsid w:val="00E717B2"/>
    <w:rsid w:val="00E719CF"/>
    <w:rsid w:val="00E72F19"/>
    <w:rsid w:val="00E81C80"/>
    <w:rsid w:val="00E8217C"/>
    <w:rsid w:val="00E82257"/>
    <w:rsid w:val="00E85F80"/>
    <w:rsid w:val="00E87A1C"/>
    <w:rsid w:val="00E90293"/>
    <w:rsid w:val="00E933EC"/>
    <w:rsid w:val="00E93544"/>
    <w:rsid w:val="00E96025"/>
    <w:rsid w:val="00E97BAB"/>
    <w:rsid w:val="00EA62C7"/>
    <w:rsid w:val="00EA6BB6"/>
    <w:rsid w:val="00EB4CBA"/>
    <w:rsid w:val="00EB7EA4"/>
    <w:rsid w:val="00EC13CD"/>
    <w:rsid w:val="00EC2E8F"/>
    <w:rsid w:val="00EC4C91"/>
    <w:rsid w:val="00ED16CD"/>
    <w:rsid w:val="00ED4D70"/>
    <w:rsid w:val="00ED6693"/>
    <w:rsid w:val="00ED69DB"/>
    <w:rsid w:val="00EE09FE"/>
    <w:rsid w:val="00EE3E63"/>
    <w:rsid w:val="00EE42E3"/>
    <w:rsid w:val="00EE48B4"/>
    <w:rsid w:val="00EE7763"/>
    <w:rsid w:val="00EF2984"/>
    <w:rsid w:val="00EF3F85"/>
    <w:rsid w:val="00EF6F59"/>
    <w:rsid w:val="00F044A8"/>
    <w:rsid w:val="00F11E6B"/>
    <w:rsid w:val="00F13BC1"/>
    <w:rsid w:val="00F177AE"/>
    <w:rsid w:val="00F17889"/>
    <w:rsid w:val="00F17979"/>
    <w:rsid w:val="00F2057C"/>
    <w:rsid w:val="00F20A34"/>
    <w:rsid w:val="00F22932"/>
    <w:rsid w:val="00F26C05"/>
    <w:rsid w:val="00F30967"/>
    <w:rsid w:val="00F34137"/>
    <w:rsid w:val="00F35E39"/>
    <w:rsid w:val="00F41479"/>
    <w:rsid w:val="00F4278B"/>
    <w:rsid w:val="00F430D3"/>
    <w:rsid w:val="00F455AE"/>
    <w:rsid w:val="00F47939"/>
    <w:rsid w:val="00F512D4"/>
    <w:rsid w:val="00F521A7"/>
    <w:rsid w:val="00F53EA6"/>
    <w:rsid w:val="00F5457C"/>
    <w:rsid w:val="00F553C3"/>
    <w:rsid w:val="00F563BE"/>
    <w:rsid w:val="00F577EE"/>
    <w:rsid w:val="00F612E9"/>
    <w:rsid w:val="00F66166"/>
    <w:rsid w:val="00F6655A"/>
    <w:rsid w:val="00F71A1A"/>
    <w:rsid w:val="00F72F56"/>
    <w:rsid w:val="00F768BA"/>
    <w:rsid w:val="00F82706"/>
    <w:rsid w:val="00F82D5A"/>
    <w:rsid w:val="00F84D13"/>
    <w:rsid w:val="00F86544"/>
    <w:rsid w:val="00F87497"/>
    <w:rsid w:val="00F90C83"/>
    <w:rsid w:val="00F91FB1"/>
    <w:rsid w:val="00F93470"/>
    <w:rsid w:val="00F94574"/>
    <w:rsid w:val="00F97687"/>
    <w:rsid w:val="00F97D00"/>
    <w:rsid w:val="00FA525B"/>
    <w:rsid w:val="00FA5BD2"/>
    <w:rsid w:val="00FA7085"/>
    <w:rsid w:val="00FA7BE8"/>
    <w:rsid w:val="00FB2D30"/>
    <w:rsid w:val="00FB2E0C"/>
    <w:rsid w:val="00FB7267"/>
    <w:rsid w:val="00FB7318"/>
    <w:rsid w:val="00FC2724"/>
    <w:rsid w:val="00FC28BA"/>
    <w:rsid w:val="00FC2CAE"/>
    <w:rsid w:val="00FC4934"/>
    <w:rsid w:val="00FC704F"/>
    <w:rsid w:val="00FD3564"/>
    <w:rsid w:val="00FD3AB4"/>
    <w:rsid w:val="00FD4747"/>
    <w:rsid w:val="00FD7883"/>
    <w:rsid w:val="00FD7F4C"/>
    <w:rsid w:val="00FE3C52"/>
    <w:rsid w:val="00FE4857"/>
    <w:rsid w:val="00FE75FE"/>
    <w:rsid w:val="00FF1902"/>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D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04"/>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A07AB"/>
    <w:pPr>
      <w:numPr>
        <w:numId w:val="4"/>
      </w:numPr>
      <w:spacing w:after="120" w:line="360" w:lineRule="auto"/>
      <w:ind w:left="1080"/>
    </w:pPr>
    <w:rPr>
      <w:color w:val="000000"/>
    </w:rPr>
  </w:style>
  <w:style w:type="paragraph" w:customStyle="1" w:styleId="exhibitsource">
    <w:name w:val="exhibit source"/>
    <w:basedOn w:val="Normal"/>
    <w:rsid w:val="004A07AB"/>
    <w:pPr>
      <w:spacing w:before="120"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75802"/>
  </w:style>
  <w:style w:type="character" w:styleId="FollowedHyperlink">
    <w:name w:val="FollowedHyperlink"/>
    <w:rsid w:val="00682082"/>
    <w:rPr>
      <w:color w:val="6F57B5"/>
      <w:u w:val="none"/>
    </w:rPr>
  </w:style>
  <w:style w:type="paragraph" w:customStyle="1" w:styleId="Author">
    <w:name w:val="Author"/>
    <w:basedOn w:val="Normal"/>
    <w:rsid w:val="009D33E3"/>
    <w:pPr>
      <w:jc w:val="right"/>
    </w:pPr>
    <w:rPr>
      <w:rFonts w:ascii="Verdana" w:eastAsia="MS Mincho" w:hAnsi="Verdana"/>
      <w:b/>
      <w:sz w:val="22"/>
      <w:szCs w:val="20"/>
    </w:rPr>
  </w:style>
  <w:style w:type="paragraph" w:customStyle="1" w:styleId="Address2">
    <w:name w:val="Address2"/>
    <w:basedOn w:val="Normal"/>
    <w:rsid w:val="009D33E3"/>
    <w:pPr>
      <w:jc w:val="right"/>
    </w:pPr>
    <w:rPr>
      <w:rFonts w:ascii="Verdana" w:eastAsia="MS Mincho" w:hAnsi="Verdana"/>
      <w:sz w:val="22"/>
      <w:szCs w:val="20"/>
    </w:rPr>
  </w:style>
  <w:style w:type="paragraph" w:customStyle="1" w:styleId="paragraph">
    <w:name w:val="paragraph"/>
    <w:basedOn w:val="Normal"/>
    <w:rsid w:val="00BC378F"/>
    <w:pPr>
      <w:spacing w:before="200" w:line="320" w:lineRule="exact"/>
      <w:ind w:left="1440"/>
    </w:pPr>
  </w:style>
  <w:style w:type="character" w:customStyle="1" w:styleId="Heading2Char">
    <w:name w:val="Heading 2 Char"/>
    <w:aliases w:val="l2 Char"/>
    <w:link w:val="Heading2"/>
    <w:rsid w:val="009D33E3"/>
    <w:rPr>
      <w:rFonts w:cs="Arial"/>
      <w:b/>
      <w:bCs/>
      <w:iCs/>
      <w:sz w:val="24"/>
      <w:szCs w:val="28"/>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rsid w:val="00176584"/>
    <w:rPr>
      <w:rFonts w:ascii="Times New Roman" w:hAnsi="Times New Roman" w:cs="Courier New"/>
      <w:color w:val="auto"/>
      <w:sz w:val="24"/>
      <w:szCs w:val="24"/>
    </w:rPr>
  </w:style>
  <w:style w:type="paragraph" w:styleId="ListParagraph">
    <w:name w:val="List Paragraph"/>
    <w:basedOn w:val="Normal"/>
    <w:uiPriority w:val="34"/>
    <w:qFormat/>
    <w:rsid w:val="009D33E3"/>
    <w:pPr>
      <w:spacing w:after="240"/>
      <w:ind w:left="1080" w:hanging="360"/>
    </w:pPr>
    <w:rPr>
      <w:szCs w:val="20"/>
    </w:rPr>
  </w:style>
  <w:style w:type="paragraph" w:styleId="CommentText">
    <w:name w:val="annotation text"/>
    <w:basedOn w:val="Normal"/>
    <w:link w:val="CommentTextChar"/>
    <w:rsid w:val="009D33E3"/>
    <w:rPr>
      <w:sz w:val="20"/>
      <w:szCs w:val="20"/>
    </w:rPr>
  </w:style>
  <w:style w:type="character" w:customStyle="1" w:styleId="CommentTextChar">
    <w:name w:val="Comment Text Char"/>
    <w:basedOn w:val="DefaultParagraphFont"/>
    <w:link w:val="CommentText"/>
    <w:rsid w:val="009D33E3"/>
  </w:style>
  <w:style w:type="paragraph" w:customStyle="1" w:styleId="heading10">
    <w:name w:val="heading1"/>
    <w:basedOn w:val="Normal"/>
    <w:next w:val="Normal"/>
    <w:semiHidden/>
    <w:rsid w:val="00BC378F"/>
    <w:pPr>
      <w:spacing w:before="120" w:after="120"/>
    </w:pPr>
    <w:rPr>
      <w:b/>
      <w:bCs/>
      <w:sz w:val="22"/>
      <w:szCs w:val="22"/>
    </w:rPr>
  </w:style>
  <w:style w:type="character" w:styleId="CommentReference">
    <w:name w:val="annotation reference"/>
    <w:unhideWhenUsed/>
    <w:rsid w:val="009D33E3"/>
    <w:rPr>
      <w:sz w:val="16"/>
      <w:szCs w:val="16"/>
    </w:rPr>
  </w:style>
  <w:style w:type="paragraph" w:customStyle="1" w:styleId="heading20">
    <w:name w:val="heading2"/>
    <w:basedOn w:val="Heading3"/>
    <w:next w:val="Normal"/>
    <w:semiHidden/>
    <w:rsid w:val="00BC378F"/>
    <w:pPr>
      <w:spacing w:before="120"/>
    </w:pPr>
    <w:rPr>
      <w:rFonts w:cs="Times New Roman"/>
    </w:rPr>
  </w:style>
  <w:style w:type="character" w:customStyle="1" w:styleId="Heading3Char">
    <w:name w:val="Heading 3 Char"/>
    <w:link w:val="Heading3"/>
    <w:uiPriority w:val="9"/>
    <w:rsid w:val="009D33E3"/>
    <w:rPr>
      <w:rFonts w:cs="Arial"/>
      <w:b/>
      <w:bCs/>
      <w:i/>
      <w:iCs/>
      <w:sz w:val="24"/>
      <w:szCs w:val="22"/>
      <w:lang w:val="en-CA"/>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link w:val="Heading1"/>
    <w:rsid w:val="009D33E3"/>
    <w:rPr>
      <w:rFonts w:ascii="Times New Roman Bold" w:hAnsi="Times New Roman Bold"/>
      <w:b/>
      <w:bCs/>
      <w:caps/>
      <w:sz w:val="24"/>
      <w:szCs w:val="24"/>
    </w:rPr>
  </w:style>
  <w:style w:type="paragraph" w:styleId="BodyText">
    <w:name w:val="Body Text"/>
    <w:basedOn w:val="Normal"/>
    <w:link w:val="BodyTextChar1"/>
    <w:rsid w:val="009D33E3"/>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rsid w:val="009D33E3"/>
    <w:rPr>
      <w:sz w:val="24"/>
      <w:szCs w:val="24"/>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BodyTextChar1">
    <w:name w:val="Body Text Char1"/>
    <w:link w:val="BodyText"/>
    <w:rsid w:val="009D33E3"/>
    <w:rPr>
      <w:rFonts w:ascii="Verdana" w:eastAsia="MS Mincho" w:hAnsi="Verdana"/>
      <w:snapToGrid w:val="0"/>
    </w:rPr>
  </w:style>
  <w:style w:type="paragraph" w:customStyle="1" w:styleId="TableParagraph">
    <w:name w:val="Table Paragraph"/>
    <w:basedOn w:val="Normal"/>
    <w:uiPriority w:val="1"/>
    <w:qFormat/>
    <w:rsid w:val="009D33E3"/>
    <w:pPr>
      <w:widowControl w:val="0"/>
      <w:ind w:left="200"/>
    </w:pPr>
    <w:rPr>
      <w:rFonts w:ascii="Arial" w:eastAsia="Arial" w:hAnsi="Arial" w:cs="Arial"/>
      <w:sz w:val="22"/>
      <w:szCs w:val="22"/>
    </w:rPr>
  </w:style>
  <w:style w:type="paragraph" w:styleId="CommentSubject">
    <w:name w:val="annotation subject"/>
    <w:basedOn w:val="CommentText"/>
    <w:next w:val="CommentText"/>
    <w:link w:val="CommentSubjectChar"/>
    <w:rsid w:val="00B4037E"/>
    <w:rPr>
      <w:b/>
      <w:bCs/>
    </w:rPr>
  </w:style>
  <w:style w:type="character" w:customStyle="1" w:styleId="CommentSubjectChar">
    <w:name w:val="Comment Subject Char"/>
    <w:basedOn w:val="CommentTextChar"/>
    <w:link w:val="CommentSubject"/>
    <w:rsid w:val="00B4037E"/>
    <w:rPr>
      <w:b/>
      <w:bCs/>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071E0F"/>
    <w:rPr>
      <w:color w:val="3333FF"/>
      <w:u w:val="non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0"/>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Revision">
    <w:name w:val="Revision"/>
    <w:hidden/>
    <w:uiPriority w:val="99"/>
    <w:semiHidden/>
    <w:rsid w:val="00B41E5F"/>
    <w:rPr>
      <w:sz w:val="24"/>
      <w:szCs w:val="24"/>
    </w:rPr>
  </w:style>
  <w:style w:type="paragraph" w:customStyle="1" w:styleId="TableHeaders">
    <w:name w:val="Table Headers"/>
    <w:qFormat/>
    <w:rsid w:val="00802D38"/>
    <w:pPr>
      <w:spacing w:before="80" w:after="80"/>
      <w:jc w:val="center"/>
    </w:pPr>
    <w:rPr>
      <w:b/>
      <w:sz w:val="24"/>
    </w:rPr>
  </w:style>
  <w:style w:type="paragraph" w:customStyle="1" w:styleId="TableDecTab">
    <w:name w:val="Table Dec Tab"/>
    <w:basedOn w:val="Normal"/>
    <w:qFormat/>
    <w:rsid w:val="00802D38"/>
    <w:pPr>
      <w:keepNext/>
      <w:keepLines/>
      <w:framePr w:hSpace="180" w:wrap="around" w:vAnchor="text" w:hAnchor="margin" w:y="390"/>
      <w:tabs>
        <w:tab w:val="left" w:pos="720"/>
        <w:tab w:val="decimal" w:pos="1776"/>
        <w:tab w:val="left" w:pos="4007"/>
      </w:tabs>
      <w:spacing w:line="276" w:lineRule="auto"/>
      <w:contextualSpacing/>
      <w:suppressOverlap/>
    </w:pPr>
  </w:style>
  <w:style w:type="paragraph" w:customStyle="1" w:styleId="TableText">
    <w:name w:val="Table Text"/>
    <w:basedOn w:val="Normal"/>
    <w:qFormat/>
    <w:rsid w:val="00802D38"/>
    <w:pPr>
      <w:keepNext/>
      <w:keepLines/>
      <w:spacing w:line="276" w:lineRule="auto"/>
      <w:ind w:left="522"/>
      <w:contextualSpacing/>
    </w:pPr>
  </w:style>
  <w:style w:type="paragraph" w:styleId="TableofFigures">
    <w:name w:val="table of figures"/>
    <w:basedOn w:val="Normal"/>
    <w:next w:val="Normal"/>
    <w:uiPriority w:val="99"/>
    <w:rsid w:val="004A07AB"/>
  </w:style>
  <w:style w:type="character" w:customStyle="1" w:styleId="E-mailSignatureChar">
    <w:name w:val="E-mail Signature Char"/>
    <w:basedOn w:val="DefaultParagraphFont"/>
    <w:link w:val="E-mailSignature"/>
    <w:rsid w:val="00BF72E1"/>
    <w:rPr>
      <w:sz w:val="24"/>
      <w:szCs w:val="24"/>
    </w:rPr>
  </w:style>
  <w:style w:type="character" w:customStyle="1" w:styleId="bodytextChar0">
    <w:name w:val="body text Char"/>
    <w:basedOn w:val="DefaultParagraphFont"/>
    <w:link w:val="BodyText1"/>
    <w:rsid w:val="00FA7BE8"/>
    <w:rPr>
      <w:sz w:val="24"/>
    </w:rPr>
  </w:style>
  <w:style w:type="character" w:customStyle="1" w:styleId="UnresolvedMention">
    <w:name w:val="Unresolved Mention"/>
    <w:basedOn w:val="DefaultParagraphFont"/>
    <w:uiPriority w:val="99"/>
    <w:semiHidden/>
    <w:unhideWhenUsed/>
    <w:rsid w:val="0082657F"/>
    <w:rPr>
      <w:color w:val="808080"/>
      <w:shd w:val="clear" w:color="auto" w:fill="E6E6E6"/>
    </w:rPr>
  </w:style>
  <w:style w:type="paragraph" w:styleId="Bibliography">
    <w:name w:val="Bibliography"/>
    <w:basedOn w:val="Normal"/>
    <w:next w:val="Normal"/>
    <w:uiPriority w:val="37"/>
    <w:semiHidden/>
    <w:unhideWhenUsed/>
    <w:rsid w:val="000A2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04"/>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A07AB"/>
    <w:pPr>
      <w:numPr>
        <w:numId w:val="4"/>
      </w:numPr>
      <w:spacing w:after="120" w:line="360" w:lineRule="auto"/>
      <w:ind w:left="1080"/>
    </w:pPr>
    <w:rPr>
      <w:color w:val="000000"/>
    </w:rPr>
  </w:style>
  <w:style w:type="paragraph" w:customStyle="1" w:styleId="exhibitsource">
    <w:name w:val="exhibit source"/>
    <w:basedOn w:val="Normal"/>
    <w:rsid w:val="004A07AB"/>
    <w:pPr>
      <w:spacing w:before="120"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75802"/>
  </w:style>
  <w:style w:type="character" w:styleId="FollowedHyperlink">
    <w:name w:val="FollowedHyperlink"/>
    <w:rsid w:val="00682082"/>
    <w:rPr>
      <w:color w:val="6F57B5"/>
      <w:u w:val="none"/>
    </w:rPr>
  </w:style>
  <w:style w:type="paragraph" w:customStyle="1" w:styleId="Author">
    <w:name w:val="Author"/>
    <w:basedOn w:val="Normal"/>
    <w:rsid w:val="009D33E3"/>
    <w:pPr>
      <w:jc w:val="right"/>
    </w:pPr>
    <w:rPr>
      <w:rFonts w:ascii="Verdana" w:eastAsia="MS Mincho" w:hAnsi="Verdana"/>
      <w:b/>
      <w:sz w:val="22"/>
      <w:szCs w:val="20"/>
    </w:rPr>
  </w:style>
  <w:style w:type="paragraph" w:customStyle="1" w:styleId="Address2">
    <w:name w:val="Address2"/>
    <w:basedOn w:val="Normal"/>
    <w:rsid w:val="009D33E3"/>
    <w:pPr>
      <w:jc w:val="right"/>
    </w:pPr>
    <w:rPr>
      <w:rFonts w:ascii="Verdana" w:eastAsia="MS Mincho" w:hAnsi="Verdana"/>
      <w:sz w:val="22"/>
      <w:szCs w:val="20"/>
    </w:rPr>
  </w:style>
  <w:style w:type="paragraph" w:customStyle="1" w:styleId="paragraph">
    <w:name w:val="paragraph"/>
    <w:basedOn w:val="Normal"/>
    <w:rsid w:val="00BC378F"/>
    <w:pPr>
      <w:spacing w:before="200" w:line="320" w:lineRule="exact"/>
      <w:ind w:left="1440"/>
    </w:pPr>
  </w:style>
  <w:style w:type="character" w:customStyle="1" w:styleId="Heading2Char">
    <w:name w:val="Heading 2 Char"/>
    <w:aliases w:val="l2 Char"/>
    <w:link w:val="Heading2"/>
    <w:rsid w:val="009D33E3"/>
    <w:rPr>
      <w:rFonts w:cs="Arial"/>
      <w:b/>
      <w:bCs/>
      <w:iCs/>
      <w:sz w:val="24"/>
      <w:szCs w:val="28"/>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rsid w:val="00176584"/>
    <w:rPr>
      <w:rFonts w:ascii="Times New Roman" w:hAnsi="Times New Roman" w:cs="Courier New"/>
      <w:color w:val="auto"/>
      <w:sz w:val="24"/>
      <w:szCs w:val="24"/>
    </w:rPr>
  </w:style>
  <w:style w:type="paragraph" w:styleId="ListParagraph">
    <w:name w:val="List Paragraph"/>
    <w:basedOn w:val="Normal"/>
    <w:uiPriority w:val="34"/>
    <w:qFormat/>
    <w:rsid w:val="009D33E3"/>
    <w:pPr>
      <w:spacing w:after="240"/>
      <w:ind w:left="1080" w:hanging="360"/>
    </w:pPr>
    <w:rPr>
      <w:szCs w:val="20"/>
    </w:rPr>
  </w:style>
  <w:style w:type="paragraph" w:styleId="CommentText">
    <w:name w:val="annotation text"/>
    <w:basedOn w:val="Normal"/>
    <w:link w:val="CommentTextChar"/>
    <w:rsid w:val="009D33E3"/>
    <w:rPr>
      <w:sz w:val="20"/>
      <w:szCs w:val="20"/>
    </w:rPr>
  </w:style>
  <w:style w:type="character" w:customStyle="1" w:styleId="CommentTextChar">
    <w:name w:val="Comment Text Char"/>
    <w:basedOn w:val="DefaultParagraphFont"/>
    <w:link w:val="CommentText"/>
    <w:rsid w:val="009D33E3"/>
  </w:style>
  <w:style w:type="paragraph" w:customStyle="1" w:styleId="heading10">
    <w:name w:val="heading1"/>
    <w:basedOn w:val="Normal"/>
    <w:next w:val="Normal"/>
    <w:semiHidden/>
    <w:rsid w:val="00BC378F"/>
    <w:pPr>
      <w:spacing w:before="120" w:after="120"/>
    </w:pPr>
    <w:rPr>
      <w:b/>
      <w:bCs/>
      <w:sz w:val="22"/>
      <w:szCs w:val="22"/>
    </w:rPr>
  </w:style>
  <w:style w:type="character" w:styleId="CommentReference">
    <w:name w:val="annotation reference"/>
    <w:unhideWhenUsed/>
    <w:rsid w:val="009D33E3"/>
    <w:rPr>
      <w:sz w:val="16"/>
      <w:szCs w:val="16"/>
    </w:rPr>
  </w:style>
  <w:style w:type="paragraph" w:customStyle="1" w:styleId="heading20">
    <w:name w:val="heading2"/>
    <w:basedOn w:val="Heading3"/>
    <w:next w:val="Normal"/>
    <w:semiHidden/>
    <w:rsid w:val="00BC378F"/>
    <w:pPr>
      <w:spacing w:before="120"/>
    </w:pPr>
    <w:rPr>
      <w:rFonts w:cs="Times New Roman"/>
    </w:rPr>
  </w:style>
  <w:style w:type="character" w:customStyle="1" w:styleId="Heading3Char">
    <w:name w:val="Heading 3 Char"/>
    <w:link w:val="Heading3"/>
    <w:uiPriority w:val="9"/>
    <w:rsid w:val="009D33E3"/>
    <w:rPr>
      <w:rFonts w:cs="Arial"/>
      <w:b/>
      <w:bCs/>
      <w:i/>
      <w:iCs/>
      <w:sz w:val="24"/>
      <w:szCs w:val="22"/>
      <w:lang w:val="en-CA"/>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link w:val="Heading1"/>
    <w:rsid w:val="009D33E3"/>
    <w:rPr>
      <w:rFonts w:ascii="Times New Roman Bold" w:hAnsi="Times New Roman Bold"/>
      <w:b/>
      <w:bCs/>
      <w:caps/>
      <w:sz w:val="24"/>
      <w:szCs w:val="24"/>
    </w:rPr>
  </w:style>
  <w:style w:type="paragraph" w:styleId="BodyText">
    <w:name w:val="Body Text"/>
    <w:basedOn w:val="Normal"/>
    <w:link w:val="BodyTextChar1"/>
    <w:rsid w:val="009D33E3"/>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rsid w:val="009D33E3"/>
    <w:rPr>
      <w:sz w:val="24"/>
      <w:szCs w:val="24"/>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BodyTextChar1">
    <w:name w:val="Body Text Char1"/>
    <w:link w:val="BodyText"/>
    <w:rsid w:val="009D33E3"/>
    <w:rPr>
      <w:rFonts w:ascii="Verdana" w:eastAsia="MS Mincho" w:hAnsi="Verdana"/>
      <w:snapToGrid w:val="0"/>
    </w:rPr>
  </w:style>
  <w:style w:type="paragraph" w:customStyle="1" w:styleId="TableParagraph">
    <w:name w:val="Table Paragraph"/>
    <w:basedOn w:val="Normal"/>
    <w:uiPriority w:val="1"/>
    <w:qFormat/>
    <w:rsid w:val="009D33E3"/>
    <w:pPr>
      <w:widowControl w:val="0"/>
      <w:ind w:left="200"/>
    </w:pPr>
    <w:rPr>
      <w:rFonts w:ascii="Arial" w:eastAsia="Arial" w:hAnsi="Arial" w:cs="Arial"/>
      <w:sz w:val="22"/>
      <w:szCs w:val="22"/>
    </w:rPr>
  </w:style>
  <w:style w:type="paragraph" w:styleId="CommentSubject">
    <w:name w:val="annotation subject"/>
    <w:basedOn w:val="CommentText"/>
    <w:next w:val="CommentText"/>
    <w:link w:val="CommentSubjectChar"/>
    <w:rsid w:val="00B4037E"/>
    <w:rPr>
      <w:b/>
      <w:bCs/>
    </w:rPr>
  </w:style>
  <w:style w:type="character" w:customStyle="1" w:styleId="CommentSubjectChar">
    <w:name w:val="Comment Subject Char"/>
    <w:basedOn w:val="CommentTextChar"/>
    <w:link w:val="CommentSubject"/>
    <w:rsid w:val="00B4037E"/>
    <w:rPr>
      <w:b/>
      <w:bCs/>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071E0F"/>
    <w:rPr>
      <w:color w:val="3333FF"/>
      <w:u w:val="non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0"/>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Revision">
    <w:name w:val="Revision"/>
    <w:hidden/>
    <w:uiPriority w:val="99"/>
    <w:semiHidden/>
    <w:rsid w:val="00B41E5F"/>
    <w:rPr>
      <w:sz w:val="24"/>
      <w:szCs w:val="24"/>
    </w:rPr>
  </w:style>
  <w:style w:type="paragraph" w:customStyle="1" w:styleId="TableHeaders">
    <w:name w:val="Table Headers"/>
    <w:qFormat/>
    <w:rsid w:val="00802D38"/>
    <w:pPr>
      <w:spacing w:before="80" w:after="80"/>
      <w:jc w:val="center"/>
    </w:pPr>
    <w:rPr>
      <w:b/>
      <w:sz w:val="24"/>
    </w:rPr>
  </w:style>
  <w:style w:type="paragraph" w:customStyle="1" w:styleId="TableDecTab">
    <w:name w:val="Table Dec Tab"/>
    <w:basedOn w:val="Normal"/>
    <w:qFormat/>
    <w:rsid w:val="00802D38"/>
    <w:pPr>
      <w:keepNext/>
      <w:keepLines/>
      <w:framePr w:hSpace="180" w:wrap="around" w:vAnchor="text" w:hAnchor="margin" w:y="390"/>
      <w:tabs>
        <w:tab w:val="left" w:pos="720"/>
        <w:tab w:val="decimal" w:pos="1776"/>
        <w:tab w:val="left" w:pos="4007"/>
      </w:tabs>
      <w:spacing w:line="276" w:lineRule="auto"/>
      <w:contextualSpacing/>
      <w:suppressOverlap/>
    </w:pPr>
  </w:style>
  <w:style w:type="paragraph" w:customStyle="1" w:styleId="TableText">
    <w:name w:val="Table Text"/>
    <w:basedOn w:val="Normal"/>
    <w:qFormat/>
    <w:rsid w:val="00802D38"/>
    <w:pPr>
      <w:keepNext/>
      <w:keepLines/>
      <w:spacing w:line="276" w:lineRule="auto"/>
      <w:ind w:left="522"/>
      <w:contextualSpacing/>
    </w:pPr>
  </w:style>
  <w:style w:type="paragraph" w:styleId="TableofFigures">
    <w:name w:val="table of figures"/>
    <w:basedOn w:val="Normal"/>
    <w:next w:val="Normal"/>
    <w:uiPriority w:val="99"/>
    <w:rsid w:val="004A07AB"/>
  </w:style>
  <w:style w:type="character" w:customStyle="1" w:styleId="E-mailSignatureChar">
    <w:name w:val="E-mail Signature Char"/>
    <w:basedOn w:val="DefaultParagraphFont"/>
    <w:link w:val="E-mailSignature"/>
    <w:rsid w:val="00BF72E1"/>
    <w:rPr>
      <w:sz w:val="24"/>
      <w:szCs w:val="24"/>
    </w:rPr>
  </w:style>
  <w:style w:type="character" w:customStyle="1" w:styleId="bodytextChar0">
    <w:name w:val="body text Char"/>
    <w:basedOn w:val="DefaultParagraphFont"/>
    <w:link w:val="BodyText1"/>
    <w:rsid w:val="00FA7BE8"/>
    <w:rPr>
      <w:sz w:val="24"/>
    </w:rPr>
  </w:style>
  <w:style w:type="character" w:customStyle="1" w:styleId="UnresolvedMention">
    <w:name w:val="Unresolved Mention"/>
    <w:basedOn w:val="DefaultParagraphFont"/>
    <w:uiPriority w:val="99"/>
    <w:semiHidden/>
    <w:unhideWhenUsed/>
    <w:rsid w:val="0082657F"/>
    <w:rPr>
      <w:color w:val="808080"/>
      <w:shd w:val="clear" w:color="auto" w:fill="E6E6E6"/>
    </w:rPr>
  </w:style>
  <w:style w:type="paragraph" w:styleId="Bibliography">
    <w:name w:val="Bibliography"/>
    <w:basedOn w:val="Normal"/>
    <w:next w:val="Normal"/>
    <w:uiPriority w:val="37"/>
    <w:semiHidden/>
    <w:unhideWhenUsed/>
    <w:rsid w:val="000A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88872169">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91154377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18567">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84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por.org/AM/Template.cfm?Section=Reports1&amp;Template=/CM/ContentDisplay.cfm&amp;ContentID=605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apor.org/AAPOR_Main/media/publications/Standard-Definitions20169theditionfinal.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E022A-4C63-4F3E-A95B-7AF196A6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4389</Words>
  <Characters>25019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29350</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SYSTEM</cp:lastModifiedBy>
  <cp:revision>2</cp:revision>
  <cp:lastPrinted>2018-01-30T23:48:00Z</cp:lastPrinted>
  <dcterms:created xsi:type="dcterms:W3CDTF">2018-02-12T14:12:00Z</dcterms:created>
  <dcterms:modified xsi:type="dcterms:W3CDTF">2018-02-12T14:12:00Z</dcterms:modified>
</cp:coreProperties>
</file>