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7B0EB" w14:textId="77777777" w:rsidR="003C3B92" w:rsidRPr="00D2299E" w:rsidRDefault="003C3B92" w:rsidP="003C3B92">
      <w:pPr>
        <w:tabs>
          <w:tab w:val="left" w:pos="-720"/>
          <w:tab w:val="right" w:pos="8622"/>
        </w:tabs>
        <w:jc w:val="center"/>
        <w:rPr>
          <w:rFonts w:ascii="Times New Roman" w:hAnsi="Times New Roman"/>
          <w:b/>
        </w:rPr>
      </w:pPr>
      <w:bookmarkStart w:id="0" w:name="_GoBack"/>
      <w:bookmarkEnd w:id="0"/>
      <w:r w:rsidRPr="00D2299E">
        <w:rPr>
          <w:rFonts w:ascii="Times New Roman" w:hAnsi="Times New Roman"/>
          <w:b/>
        </w:rPr>
        <w:t>Health Resources and Services Administration</w:t>
      </w:r>
    </w:p>
    <w:p w14:paraId="52FADC7F" w14:textId="77777777" w:rsidR="003C3B92" w:rsidRPr="00D346E9" w:rsidRDefault="003C3B92" w:rsidP="003C3B92">
      <w:pPr>
        <w:tabs>
          <w:tab w:val="left" w:pos="-720"/>
          <w:tab w:val="right" w:pos="8622"/>
        </w:tabs>
        <w:jc w:val="center"/>
        <w:rPr>
          <w:rFonts w:ascii="Times New Roman" w:hAnsi="Times New Roman"/>
          <w:b/>
          <w:bCs/>
        </w:rPr>
      </w:pPr>
      <w:r w:rsidRPr="00D346E9">
        <w:rPr>
          <w:rFonts w:ascii="Times New Roman" w:hAnsi="Times New Roman"/>
          <w:b/>
          <w:bCs/>
        </w:rPr>
        <w:t xml:space="preserve">SUPPORTING STATEMENT </w:t>
      </w:r>
    </w:p>
    <w:p w14:paraId="7CE9C5A8" w14:textId="4E5725EF" w:rsidR="003C3B92" w:rsidRDefault="003C3B92" w:rsidP="003C3B92">
      <w:pPr>
        <w:tabs>
          <w:tab w:val="left" w:pos="-720"/>
          <w:tab w:val="right" w:pos="8622"/>
        </w:tabs>
        <w:jc w:val="center"/>
        <w:rPr>
          <w:rFonts w:ascii="Times New Roman" w:hAnsi="Times New Roman"/>
          <w:b/>
        </w:rPr>
      </w:pPr>
      <w:r w:rsidRPr="00D346E9">
        <w:rPr>
          <w:rFonts w:ascii="Times New Roman" w:hAnsi="Times New Roman"/>
          <w:b/>
        </w:rPr>
        <w:t xml:space="preserve">HRSA AIDS Education and </w:t>
      </w:r>
      <w:r w:rsidRPr="000376ED">
        <w:rPr>
          <w:rFonts w:ascii="Times New Roman" w:hAnsi="Times New Roman"/>
          <w:b/>
        </w:rPr>
        <w:t>Training Centers Evaluation Activities</w:t>
      </w:r>
    </w:p>
    <w:p w14:paraId="00570FAE" w14:textId="47544CFE" w:rsidR="00C96CD5" w:rsidRDefault="00C96CD5" w:rsidP="003C3B92">
      <w:pPr>
        <w:tabs>
          <w:tab w:val="left" w:pos="-720"/>
          <w:tab w:val="right" w:pos="8622"/>
        </w:tabs>
        <w:jc w:val="center"/>
        <w:rPr>
          <w:rFonts w:ascii="Times New Roman" w:hAnsi="Times New Roman"/>
          <w:b/>
        </w:rPr>
      </w:pPr>
      <w:r>
        <w:rPr>
          <w:rFonts w:ascii="Times New Roman" w:hAnsi="Times New Roman"/>
          <w:b/>
        </w:rPr>
        <w:t>0915-</w:t>
      </w:r>
      <w:r w:rsidR="00E448AD">
        <w:rPr>
          <w:rFonts w:ascii="Times New Roman" w:hAnsi="Times New Roman"/>
          <w:b/>
        </w:rPr>
        <w:t>0281 Revision</w:t>
      </w:r>
    </w:p>
    <w:p w14:paraId="4576EE60" w14:textId="77777777" w:rsidR="00420051" w:rsidRPr="008E0BBA" w:rsidRDefault="00420051" w:rsidP="00B20F82">
      <w:pPr>
        <w:pStyle w:val="Heading1"/>
        <w:tabs>
          <w:tab w:val="left" w:pos="720"/>
        </w:tabs>
      </w:pPr>
      <w:bookmarkStart w:id="1" w:name="_Toc46022708"/>
      <w:r w:rsidRPr="008E0BBA">
        <w:t>A.</w:t>
      </w:r>
      <w:r w:rsidRPr="008E0BBA">
        <w:tab/>
        <w:t>Justification</w:t>
      </w:r>
      <w:bookmarkEnd w:id="1"/>
      <w:r w:rsidR="0057143A" w:rsidRPr="008E0BBA">
        <w:t xml:space="preserve">  </w:t>
      </w:r>
      <w:r w:rsidR="00E6210E" w:rsidRPr="008E0BBA">
        <w:t xml:space="preserve">   </w:t>
      </w:r>
      <w:r w:rsidR="00A85B7F" w:rsidRPr="008E0BBA">
        <w:t xml:space="preserve">  </w:t>
      </w:r>
    </w:p>
    <w:p w14:paraId="7EA3AAD8" w14:textId="77777777" w:rsidR="00BB463F" w:rsidRDefault="008E0BBA" w:rsidP="00BA6638">
      <w:pPr>
        <w:pStyle w:val="Heading2"/>
        <w:rPr>
          <w:b w:val="0"/>
          <w:u w:val="single"/>
        </w:rPr>
      </w:pPr>
      <w:r w:rsidRPr="00B20F82">
        <w:rPr>
          <w:b w:val="0"/>
        </w:rPr>
        <w:t xml:space="preserve">1. </w:t>
      </w:r>
      <w:r w:rsidR="00B20F82">
        <w:rPr>
          <w:b w:val="0"/>
        </w:rPr>
        <w:tab/>
      </w:r>
      <w:r w:rsidR="00B20F82">
        <w:rPr>
          <w:b w:val="0"/>
        </w:rPr>
        <w:tab/>
      </w:r>
      <w:r w:rsidR="00BB463F" w:rsidRPr="00B20F82">
        <w:rPr>
          <w:b w:val="0"/>
          <w:u w:val="single"/>
        </w:rPr>
        <w:t>Circumstances Making the Collection of Information Necessary</w:t>
      </w:r>
    </w:p>
    <w:p w14:paraId="67DE15BB" w14:textId="77777777" w:rsidR="00B20F82" w:rsidRPr="00B20F82" w:rsidRDefault="00B20F82" w:rsidP="00B20F82"/>
    <w:p w14:paraId="4DF48B1D" w14:textId="63ACFA7F" w:rsidR="00477382" w:rsidRDefault="002C72FA" w:rsidP="00477382">
      <w:pPr>
        <w:autoSpaceDE w:val="0"/>
        <w:autoSpaceDN w:val="0"/>
        <w:adjustRightInd w:val="0"/>
        <w:rPr>
          <w:rStyle w:val="BodyTextFi"/>
        </w:rPr>
      </w:pPr>
      <w:r>
        <w:rPr>
          <w:rStyle w:val="BodyTextFi"/>
        </w:rPr>
        <w:t>The</w:t>
      </w:r>
      <w:r w:rsidR="0037420B">
        <w:rPr>
          <w:rStyle w:val="BodyTextFi"/>
        </w:rPr>
        <w:t xml:space="preserve"> Health Resources and Services Administration (HRSA) </w:t>
      </w:r>
      <w:r w:rsidR="00CD79A8">
        <w:rPr>
          <w:rStyle w:val="BodyTextFi"/>
        </w:rPr>
        <w:t xml:space="preserve">is requesting </w:t>
      </w:r>
      <w:r w:rsidR="00220441">
        <w:rPr>
          <w:rStyle w:val="BodyTextFi"/>
        </w:rPr>
        <w:t xml:space="preserve">continued </w:t>
      </w:r>
      <w:r w:rsidR="00420051">
        <w:rPr>
          <w:rStyle w:val="BodyTextFi"/>
        </w:rPr>
        <w:t xml:space="preserve">OMB approval </w:t>
      </w:r>
      <w:r w:rsidR="0037420B">
        <w:rPr>
          <w:rStyle w:val="BodyTextFi"/>
        </w:rPr>
        <w:t xml:space="preserve">to collect information </w:t>
      </w:r>
      <w:r w:rsidR="00713D56">
        <w:rPr>
          <w:rStyle w:val="BodyTextFi"/>
        </w:rPr>
        <w:t xml:space="preserve">to monitor the activities of </w:t>
      </w:r>
      <w:r w:rsidR="00754BD4">
        <w:rPr>
          <w:rStyle w:val="BodyTextFi"/>
        </w:rPr>
        <w:t xml:space="preserve">the </w:t>
      </w:r>
      <w:r w:rsidR="00420051">
        <w:rPr>
          <w:rStyle w:val="BodyTextFi"/>
        </w:rPr>
        <w:t>AIDS Education and Training Center</w:t>
      </w:r>
      <w:r w:rsidR="00C50599">
        <w:rPr>
          <w:rStyle w:val="BodyTextFi"/>
        </w:rPr>
        <w:t>s</w:t>
      </w:r>
      <w:r w:rsidR="00442339">
        <w:rPr>
          <w:rStyle w:val="BodyTextFi"/>
        </w:rPr>
        <w:t xml:space="preserve"> (AETCs)</w:t>
      </w:r>
      <w:r w:rsidR="00420051">
        <w:rPr>
          <w:rStyle w:val="BodyTextFi"/>
        </w:rPr>
        <w:t xml:space="preserve"> Program</w:t>
      </w:r>
      <w:r w:rsidR="005A12E5">
        <w:rPr>
          <w:rStyle w:val="BodyTextFi"/>
        </w:rPr>
        <w:t xml:space="preserve">. </w:t>
      </w:r>
      <w:r w:rsidR="00CD79A8">
        <w:rPr>
          <w:rStyle w:val="BodyTextFi"/>
        </w:rPr>
        <w:t>The AETC Evaluation Activities</w:t>
      </w:r>
      <w:r w:rsidR="00C96CD5">
        <w:rPr>
          <w:rStyle w:val="BodyTextFi"/>
        </w:rPr>
        <w:t xml:space="preserve"> information collection request</w:t>
      </w:r>
      <w:r w:rsidR="00477382">
        <w:rPr>
          <w:rStyle w:val="BodyTextFi"/>
        </w:rPr>
        <w:t xml:space="preserve">, which expires </w:t>
      </w:r>
      <w:r w:rsidR="00477382" w:rsidRPr="0005424F">
        <w:rPr>
          <w:rStyle w:val="BodyTextFi"/>
        </w:rPr>
        <w:t>on July 31, 2019, is</w:t>
      </w:r>
      <w:r w:rsidR="00477382" w:rsidRPr="003D6BAE">
        <w:rPr>
          <w:rStyle w:val="BodyTextFi"/>
        </w:rPr>
        <w:t xml:space="preserve"> currently used to collect information from </w:t>
      </w:r>
      <w:r w:rsidR="00477382">
        <w:rPr>
          <w:rStyle w:val="BodyTextFi"/>
        </w:rPr>
        <w:t xml:space="preserve">grant recipients </w:t>
      </w:r>
      <w:r w:rsidR="00477382">
        <w:rPr>
          <w:rFonts w:ascii="Times New Roman" w:hAnsi="Times New Roman"/>
          <w:lang w:val="en"/>
        </w:rPr>
        <w:t>to</w:t>
      </w:r>
      <w:r w:rsidR="00EB5E53">
        <w:rPr>
          <w:rStyle w:val="BodyTextFi"/>
        </w:rPr>
        <w:t xml:space="preserve"> provide targeted, multidisciplinary training to the health care professionals who provide clinical and support services u</w:t>
      </w:r>
      <w:r w:rsidR="002C4D23">
        <w:rPr>
          <w:rStyle w:val="BodyTextFi"/>
        </w:rPr>
        <w:t>nder Parts A</w:t>
      </w:r>
      <w:r w:rsidR="00477382">
        <w:rPr>
          <w:rStyle w:val="BodyTextFi"/>
        </w:rPr>
        <w:t xml:space="preserve">, B, C, and </w:t>
      </w:r>
      <w:r w:rsidR="002C4D23">
        <w:rPr>
          <w:rStyle w:val="BodyTextFi"/>
        </w:rPr>
        <w:t>D</w:t>
      </w:r>
      <w:r w:rsidR="00477382">
        <w:rPr>
          <w:rStyle w:val="BodyTextFi"/>
        </w:rPr>
        <w:t xml:space="preserve"> of the</w:t>
      </w:r>
      <w:r w:rsidR="00477382" w:rsidRPr="00477382">
        <w:rPr>
          <w:rStyle w:val="BodyTextFi"/>
        </w:rPr>
        <w:t xml:space="preserve"> </w:t>
      </w:r>
      <w:r w:rsidR="00477382">
        <w:rPr>
          <w:rStyle w:val="BodyTextFi"/>
        </w:rPr>
        <w:t>Ryan White HIV/AIDS Program (RWHAP)</w:t>
      </w:r>
      <w:r w:rsidR="00EB5E53">
        <w:rPr>
          <w:rStyle w:val="BodyTextFi"/>
        </w:rPr>
        <w:t xml:space="preserve">.  </w:t>
      </w:r>
      <w:r w:rsidR="00477382" w:rsidRPr="003D6BAE">
        <w:t xml:space="preserve">The </w:t>
      </w:r>
      <w:r w:rsidR="00477382" w:rsidRPr="003D6BAE">
        <w:rPr>
          <w:rStyle w:val="BodyTextFi"/>
        </w:rPr>
        <w:t>RWHAP</w:t>
      </w:r>
      <w:r w:rsidR="00477382">
        <w:rPr>
          <w:rStyle w:val="BodyTextFi"/>
        </w:rPr>
        <w:t>,</w:t>
      </w:r>
      <w:r w:rsidR="00477382">
        <w:t xml:space="preserve"> </w:t>
      </w:r>
      <w:r w:rsidR="00477382" w:rsidRPr="003D6BAE">
        <w:t>authorized under Title XXVI of the Public Health Service Act, as amended by the R</w:t>
      </w:r>
      <w:r w:rsidR="00477382" w:rsidRPr="000244D4">
        <w:t>yan White HIV/AIDS Treatment Extension Act of 2009</w:t>
      </w:r>
      <w:r w:rsidR="00477382">
        <w:t xml:space="preserve">, </w:t>
      </w:r>
      <w:r w:rsidR="00477382" w:rsidRPr="000C2ACD">
        <w:t xml:space="preserve">funds and coordinates with cities, states, and local clinics/community-based organizations to deliver efficient and effective HIV care, treatment, and support to low-income people living with HIV (PLWH). </w:t>
      </w:r>
      <w:r w:rsidR="00477382" w:rsidRPr="000244D4">
        <w:t xml:space="preserve"> </w:t>
      </w:r>
      <w:r w:rsidR="00477382" w:rsidRPr="00696C81">
        <w:rPr>
          <w:rStyle w:val="BodyTextFi"/>
        </w:rPr>
        <w:t xml:space="preserve">See </w:t>
      </w:r>
      <w:r w:rsidR="00627CA6" w:rsidRPr="00696C81">
        <w:rPr>
          <w:rStyle w:val="BodyTextFi"/>
        </w:rPr>
        <w:t>Attachment</w:t>
      </w:r>
      <w:r w:rsidR="00477382" w:rsidRPr="00696C81">
        <w:rPr>
          <w:rStyle w:val="BodyTextFi"/>
        </w:rPr>
        <w:t xml:space="preserve"> A for a copy of the 2009 legislation.</w:t>
      </w:r>
      <w:r w:rsidR="00477382" w:rsidRPr="000244D4">
        <w:rPr>
          <w:rStyle w:val="BodyTextFi"/>
        </w:rPr>
        <w:t xml:space="preserve"> </w:t>
      </w:r>
      <w:r w:rsidR="00477382" w:rsidRPr="000C2ACD">
        <w:rPr>
          <w:rStyle w:val="BodyTextFi"/>
        </w:rPr>
        <w:t xml:space="preserve">The Department of Health and Human Services (HHS) HRSA administers funds for the RWHAP. </w:t>
      </w:r>
    </w:p>
    <w:p w14:paraId="3989ABC1" w14:textId="77777777" w:rsidR="00477382" w:rsidRDefault="00477382" w:rsidP="00477382">
      <w:pPr>
        <w:autoSpaceDE w:val="0"/>
        <w:autoSpaceDN w:val="0"/>
        <w:adjustRightInd w:val="0"/>
        <w:rPr>
          <w:rStyle w:val="BodyTextFi"/>
        </w:rPr>
      </w:pPr>
    </w:p>
    <w:p w14:paraId="718EEB3E" w14:textId="77777777" w:rsidR="00477382" w:rsidRDefault="00477382" w:rsidP="00477382">
      <w:pPr>
        <w:pStyle w:val="BodyText2"/>
        <w:spacing w:before="0" w:after="0" w:line="240" w:lineRule="auto"/>
      </w:pPr>
      <w:r w:rsidRPr="004656CA">
        <w:rPr>
          <w:rFonts w:eastAsia="Calibri"/>
        </w:rPr>
        <w:t>T</w:t>
      </w:r>
      <w:r>
        <w:rPr>
          <w:rFonts w:eastAsia="Calibri"/>
        </w:rPr>
        <w:t>he HRSA RWHAP</w:t>
      </w:r>
      <w:r w:rsidRPr="004656CA">
        <w:rPr>
          <w:rFonts w:eastAsia="Calibri"/>
        </w:rPr>
        <w:t xml:space="preserve"> supports </w:t>
      </w:r>
      <w:r>
        <w:rPr>
          <w:rFonts w:eastAsia="Calibri"/>
        </w:rPr>
        <w:t xml:space="preserve">a comprehensive system of </w:t>
      </w:r>
      <w:r w:rsidRPr="004656CA">
        <w:rPr>
          <w:rFonts w:eastAsia="Calibri"/>
        </w:rPr>
        <w:t>direct health care and support services for over half a million people living with HIV (PLWH)</w:t>
      </w:r>
      <w:r w:rsidRPr="008A43F9">
        <w:rPr>
          <w:rFonts w:eastAsia="Calibri"/>
          <w:sz w:val="20"/>
          <w:szCs w:val="20"/>
          <w:vertAlign w:val="superscript"/>
        </w:rPr>
        <w:footnoteReference w:id="1"/>
      </w:r>
      <w:r>
        <w:rPr>
          <w:rStyle w:val="BodyTextFi"/>
        </w:rPr>
        <w:t>. The HRSA RWHAP makes financial assistance available for the development, organization, coordination, and operation of more effective and cost-efficient systems for the delivery of essential core medical and support services to persons living with HIV.</w:t>
      </w:r>
      <w:r>
        <w:rPr>
          <w:rFonts w:eastAsia="MS Mincho" w:cs="Arial"/>
        </w:rPr>
        <w:t xml:space="preserve"> </w:t>
      </w:r>
      <w:r w:rsidRPr="000C2ACD">
        <w:t xml:space="preserve">Funding priorities are determined by stakeholders at local and state levels, resulting in uniquely structured programs that address their jurisdictions’ critical gaps and needs.  HRSA also works in partnership with RWHAP recipients at state and local levels to use innovative approaches for community engagement, needs assessment, planning processes, policy development, service delivery, clinical quality improvement, and workforce development activities that are needed to support a robust system of HIV care, support and treatment. </w:t>
      </w:r>
    </w:p>
    <w:p w14:paraId="12E3AB74" w14:textId="77777777" w:rsidR="00477382" w:rsidRDefault="00477382" w:rsidP="00FD6758">
      <w:pPr>
        <w:rPr>
          <w:rStyle w:val="BodyTextFi"/>
          <w:rFonts w:ascii="Times New Roman" w:hAnsi="Times New Roman"/>
        </w:rPr>
      </w:pPr>
    </w:p>
    <w:p w14:paraId="4335336B" w14:textId="77777777" w:rsidR="00FD6758" w:rsidRPr="00973025" w:rsidRDefault="008C3B7B" w:rsidP="004753B4">
      <w:pPr>
        <w:spacing w:before="0" w:after="240"/>
        <w:rPr>
          <w:rFonts w:ascii="Times New Roman" w:hAnsi="Times New Roman"/>
          <w:lang w:val="en"/>
        </w:rPr>
      </w:pPr>
      <w:r w:rsidRPr="00BC40F9">
        <w:rPr>
          <w:rStyle w:val="BodyTextFi"/>
          <w:rFonts w:ascii="Times New Roman" w:hAnsi="Times New Roman"/>
        </w:rPr>
        <w:t>The AETC</w:t>
      </w:r>
      <w:r w:rsidR="005404AF">
        <w:rPr>
          <w:rStyle w:val="BodyTextFi"/>
          <w:rFonts w:ascii="Times New Roman" w:hAnsi="Times New Roman"/>
        </w:rPr>
        <w:t>,</w:t>
      </w:r>
      <w:r w:rsidRPr="00BC40F9">
        <w:rPr>
          <w:rStyle w:val="BodyTextFi"/>
          <w:rFonts w:ascii="Times New Roman" w:hAnsi="Times New Roman"/>
        </w:rPr>
        <w:t xml:space="preserve"> </w:t>
      </w:r>
      <w:r w:rsidR="00477382" w:rsidRPr="00D027A0">
        <w:rPr>
          <w:rStyle w:val="BodyTextFi"/>
          <w:rFonts w:ascii="Times New Roman" w:hAnsi="Times New Roman"/>
        </w:rPr>
        <w:t>funded under Part F</w:t>
      </w:r>
      <w:r w:rsidR="005404AF">
        <w:rPr>
          <w:rStyle w:val="BodyTextFi"/>
          <w:rFonts w:ascii="Times New Roman" w:hAnsi="Times New Roman"/>
        </w:rPr>
        <w:t>,</w:t>
      </w:r>
      <w:r w:rsidR="00477382" w:rsidRPr="00BC40F9">
        <w:rPr>
          <w:rStyle w:val="BodyTextFi"/>
          <w:rFonts w:ascii="Times New Roman" w:hAnsi="Times New Roman"/>
        </w:rPr>
        <w:t xml:space="preserve"> </w:t>
      </w:r>
      <w:r w:rsidRPr="00BC40F9">
        <w:rPr>
          <w:rStyle w:val="BodyTextFi"/>
          <w:rFonts w:ascii="Times New Roman" w:hAnsi="Times New Roman"/>
        </w:rPr>
        <w:t xml:space="preserve">is </w:t>
      </w:r>
      <w:r w:rsidRPr="00973025">
        <w:rPr>
          <w:rFonts w:ascii="Times New Roman" w:hAnsi="Times New Roman"/>
          <w:lang w:val="en"/>
        </w:rPr>
        <w:t xml:space="preserve">a national network of leading HIV experts who provide locally based, tailored education, clinical consultation and technical assistance to healthcare professionals and healthcare organizations to integrate state-of-the-science comprehensive care for those living with or affected by HIV. It supports the goals of the National HIV/AIDS Strategy (NHAS) by increasing the number of healthcare teams educated and motivated to care for individuals with HIV, and increasing access to care, thereby reducing HIV-related health </w:t>
      </w:r>
      <w:r w:rsidRPr="00973025">
        <w:rPr>
          <w:rFonts w:ascii="Times New Roman" w:hAnsi="Times New Roman"/>
          <w:lang w:val="en"/>
        </w:rPr>
        <w:lastRenderedPageBreak/>
        <w:t>disparities.</w:t>
      </w:r>
      <w:r w:rsidRPr="00220441">
        <w:rPr>
          <w:rStyle w:val="BodyTextFi"/>
          <w:rFonts w:ascii="Times New Roman" w:hAnsi="Times New Roman"/>
        </w:rPr>
        <w:t xml:space="preserve"> </w:t>
      </w:r>
      <w:r w:rsidR="00420051" w:rsidRPr="00220441">
        <w:rPr>
          <w:rStyle w:val="BodyTextFi"/>
          <w:rFonts w:ascii="Times New Roman" w:hAnsi="Times New Roman"/>
        </w:rPr>
        <w:t xml:space="preserve">At present, there are </w:t>
      </w:r>
      <w:r w:rsidR="004406DC" w:rsidRPr="00220441">
        <w:rPr>
          <w:rStyle w:val="BodyTextFi"/>
          <w:rFonts w:ascii="Times New Roman" w:hAnsi="Times New Roman"/>
        </w:rPr>
        <w:t xml:space="preserve">8 </w:t>
      </w:r>
      <w:r w:rsidR="00420051" w:rsidRPr="00220441">
        <w:rPr>
          <w:rStyle w:val="BodyTextFi"/>
          <w:rFonts w:ascii="Times New Roman" w:hAnsi="Times New Roman"/>
        </w:rPr>
        <w:t>regional centers</w:t>
      </w:r>
      <w:r w:rsidR="00FD6758" w:rsidRPr="00220441">
        <w:rPr>
          <w:rStyle w:val="BodyTextFi"/>
          <w:rFonts w:ascii="Times New Roman" w:hAnsi="Times New Roman"/>
        </w:rPr>
        <w:t>, 5 graduate/health profession programs and 3 national centers.</w:t>
      </w:r>
      <w:r w:rsidR="00420051" w:rsidRPr="00220441">
        <w:rPr>
          <w:rStyle w:val="BodyTextFi"/>
          <w:rFonts w:ascii="Times New Roman" w:hAnsi="Times New Roman"/>
        </w:rPr>
        <w:t xml:space="preserve"> </w:t>
      </w:r>
      <w:r w:rsidR="00FD6758" w:rsidRPr="00973025">
        <w:rPr>
          <w:rFonts w:ascii="Times New Roman" w:hAnsi="Times New Roman"/>
          <w:lang w:val="en"/>
        </w:rPr>
        <w:t>Regional centers and local sites work directly within the community through targeted training and by linking providers with local experts.</w:t>
      </w:r>
      <w:r w:rsidR="007233C5" w:rsidRPr="00973025">
        <w:rPr>
          <w:rFonts w:ascii="Times New Roman" w:hAnsi="Times New Roman"/>
          <w:lang w:val="en"/>
        </w:rPr>
        <w:t xml:space="preserve"> </w:t>
      </w:r>
      <w:r w:rsidR="00FD6758" w:rsidRPr="00973025">
        <w:rPr>
          <w:rFonts w:ascii="Times New Roman" w:hAnsi="Times New Roman"/>
          <w:lang w:val="en"/>
        </w:rPr>
        <w:t>Graduate/health profession programs support developmental work to expand existing accredited primary care graduate nursing, and physician assistant programs to prepare the next generation of HIV care health professionals.</w:t>
      </w:r>
      <w:r w:rsidR="007233C5" w:rsidRPr="00973025">
        <w:rPr>
          <w:rFonts w:ascii="Times New Roman" w:hAnsi="Times New Roman"/>
          <w:lang w:val="en"/>
        </w:rPr>
        <w:t xml:space="preserve"> The n</w:t>
      </w:r>
      <w:r w:rsidR="00FD6758" w:rsidRPr="00973025">
        <w:rPr>
          <w:rFonts w:ascii="Times New Roman" w:hAnsi="Times New Roman"/>
          <w:lang w:val="en"/>
        </w:rPr>
        <w:t>ational centers provide resources, assistance and training to support healthcare professionals and faculty in the AETC network and beyond. The</w:t>
      </w:r>
      <w:r w:rsidR="007233C5" w:rsidRPr="00973025">
        <w:rPr>
          <w:rFonts w:ascii="Times New Roman" w:hAnsi="Times New Roman"/>
          <w:lang w:val="en"/>
        </w:rPr>
        <w:t>y are:</w:t>
      </w:r>
    </w:p>
    <w:p w14:paraId="6B026523" w14:textId="77777777" w:rsidR="00FD6758" w:rsidRPr="00973025" w:rsidRDefault="00FD6758" w:rsidP="004753B4">
      <w:pPr>
        <w:numPr>
          <w:ilvl w:val="0"/>
          <w:numId w:val="10"/>
        </w:numPr>
        <w:spacing w:before="0" w:after="240"/>
        <w:rPr>
          <w:rFonts w:ascii="Times New Roman" w:hAnsi="Times New Roman"/>
          <w:lang w:val="en"/>
        </w:rPr>
      </w:pPr>
      <w:r w:rsidRPr="00973025">
        <w:rPr>
          <w:rFonts w:ascii="Times New Roman" w:hAnsi="Times New Roman"/>
          <w:lang w:val="en"/>
        </w:rPr>
        <w:t xml:space="preserve">The Clinician Consultation Center (CCC) operates a Warmline for individual clinician case consultations, a PEPLine for consultations on post-exposure prophylaxis, a PrEPLine for consultations on pre-exposure prophylaxis, </w:t>
      </w:r>
      <w:r w:rsidR="007C32E0" w:rsidRPr="00973025">
        <w:rPr>
          <w:rFonts w:ascii="Times New Roman" w:hAnsi="Times New Roman"/>
          <w:lang w:val="en"/>
        </w:rPr>
        <w:t xml:space="preserve">a substance abuse warmline, </w:t>
      </w:r>
      <w:r w:rsidRPr="00973025">
        <w:rPr>
          <w:rFonts w:ascii="Times New Roman" w:hAnsi="Times New Roman"/>
          <w:lang w:val="en"/>
        </w:rPr>
        <w:t>and a Perinatal Hotline for questions about the care of HIV-infected pregnant women as well as indications and interpretations of HIV tests.</w:t>
      </w:r>
    </w:p>
    <w:p w14:paraId="323F1571" w14:textId="77777777" w:rsidR="004753B4" w:rsidRPr="004753B4" w:rsidRDefault="00FD6758" w:rsidP="004753B4">
      <w:pPr>
        <w:numPr>
          <w:ilvl w:val="0"/>
          <w:numId w:val="10"/>
        </w:numPr>
        <w:spacing w:before="0" w:after="240"/>
      </w:pPr>
      <w:r w:rsidRPr="004753B4">
        <w:rPr>
          <w:rFonts w:ascii="Times New Roman" w:hAnsi="Times New Roman"/>
          <w:lang w:val="en"/>
        </w:rPr>
        <w:t>The AETC National Coordinating Resource Center (NCRC) offers a virtual library of online training resources for adaptation by HIV care providers and other healthcare professional</w:t>
      </w:r>
      <w:r w:rsidR="004753B4">
        <w:rPr>
          <w:rFonts w:ascii="Times New Roman" w:hAnsi="Times New Roman"/>
          <w:lang w:val="en"/>
        </w:rPr>
        <w:t>s to meet local training needs.</w:t>
      </w:r>
    </w:p>
    <w:p w14:paraId="48C7AF84" w14:textId="02DEA3D0" w:rsidR="00FD6758" w:rsidRPr="00220441" w:rsidRDefault="00FD6758" w:rsidP="004753B4">
      <w:pPr>
        <w:numPr>
          <w:ilvl w:val="0"/>
          <w:numId w:val="10"/>
        </w:numPr>
        <w:spacing w:before="0" w:after="240"/>
      </w:pPr>
      <w:r w:rsidRPr="004753B4">
        <w:rPr>
          <w:rFonts w:ascii="Times New Roman" w:hAnsi="Times New Roman"/>
          <w:lang w:val="en"/>
        </w:rPr>
        <w:t xml:space="preserve">The AETC National Evaluation Center (NEC) provides leadership in the development, design, testing, and dissemination of effective evaluation models for the AETCs. In particular, the NEC works with individual AETCs to evaluate the effects their education and training programs have on participant behavior and clinical practice with respect to changes in knowledge and skills, clinical practice behavior, and improved patient </w:t>
      </w:r>
      <w:r w:rsidR="007233C5" w:rsidRPr="004753B4">
        <w:rPr>
          <w:rFonts w:ascii="Times New Roman" w:hAnsi="Times New Roman"/>
          <w:lang w:val="en"/>
        </w:rPr>
        <w:t>outcomes.</w:t>
      </w:r>
    </w:p>
    <w:p w14:paraId="7187EEAA" w14:textId="7C305CDC" w:rsidR="0075181A" w:rsidRDefault="008C3B7B" w:rsidP="00A04CD4">
      <w:pPr>
        <w:rPr>
          <w:rStyle w:val="BodyTextFi"/>
        </w:rPr>
      </w:pPr>
      <w:r>
        <w:rPr>
          <w:rStyle w:val="BodyTextFi"/>
        </w:rPr>
        <w:t>The AETCs</w:t>
      </w:r>
      <w:r w:rsidR="00485A17">
        <w:rPr>
          <w:rStyle w:val="BodyTextFi"/>
        </w:rPr>
        <w:t xml:space="preserve"> </w:t>
      </w:r>
      <w:r w:rsidR="00420051">
        <w:rPr>
          <w:rStyle w:val="BodyTextFi"/>
        </w:rPr>
        <w:t xml:space="preserve">gather data on the </w:t>
      </w:r>
      <w:r w:rsidR="00F03E9F">
        <w:rPr>
          <w:rStyle w:val="BodyTextFi"/>
        </w:rPr>
        <w:t xml:space="preserve">training </w:t>
      </w:r>
      <w:r w:rsidR="00420051">
        <w:rPr>
          <w:rStyle w:val="BodyTextFi"/>
        </w:rPr>
        <w:t xml:space="preserve">activities </w:t>
      </w:r>
      <w:r>
        <w:rPr>
          <w:rStyle w:val="BodyTextFi"/>
        </w:rPr>
        <w:t xml:space="preserve">they </w:t>
      </w:r>
      <w:r w:rsidR="00420051">
        <w:rPr>
          <w:rStyle w:val="BodyTextFi"/>
        </w:rPr>
        <w:t>conduct</w:t>
      </w:r>
      <w:r>
        <w:rPr>
          <w:rStyle w:val="BodyTextFi"/>
        </w:rPr>
        <w:t xml:space="preserve"> using two data collection instruments. </w:t>
      </w:r>
      <w:r w:rsidR="00C50599" w:rsidRPr="00C42210">
        <w:rPr>
          <w:rStyle w:val="BodyTextFi"/>
        </w:rPr>
        <w:t>The Event Record</w:t>
      </w:r>
      <w:r w:rsidR="00767681">
        <w:rPr>
          <w:rStyle w:val="BodyTextFi"/>
        </w:rPr>
        <w:t xml:space="preserve"> (ER)</w:t>
      </w:r>
      <w:r w:rsidR="00902AD0">
        <w:t xml:space="preserve"> gathers information about each training activity including</w:t>
      </w:r>
      <w:r w:rsidR="00902AD0" w:rsidRPr="00963F9B">
        <w:t xml:space="preserve"> </w:t>
      </w:r>
      <w:r w:rsidR="00902AD0">
        <w:rPr>
          <w:rStyle w:val="BodyTextFi"/>
        </w:rPr>
        <w:t>training programs, individual clinical consultations, group clinical consultations, and technical assistance events.</w:t>
      </w:r>
      <w:r w:rsidR="00902AD0">
        <w:t xml:space="preserve"> Information on the people trained, the length of training, the content and level of the </w:t>
      </w:r>
      <w:r w:rsidR="00E448AD">
        <w:t>training</w:t>
      </w:r>
      <w:r w:rsidR="00902AD0">
        <w:t xml:space="preserve"> and collaborations with other organizations is also collected. AETC staff and trainers complete this form after each event.  </w:t>
      </w:r>
      <w:r w:rsidR="00900751">
        <w:rPr>
          <w:rStyle w:val="BodyTextFi"/>
        </w:rPr>
        <w:t xml:space="preserve"> </w:t>
      </w:r>
      <w:r w:rsidR="00054870">
        <w:rPr>
          <w:rStyle w:val="BodyTextFi"/>
        </w:rPr>
        <w:t>T</w:t>
      </w:r>
      <w:r w:rsidR="000E5C6B" w:rsidRPr="00C42210">
        <w:rPr>
          <w:rStyle w:val="BodyTextFi"/>
        </w:rPr>
        <w:t xml:space="preserve">he Participant Information Form </w:t>
      </w:r>
      <w:r w:rsidR="00767681">
        <w:rPr>
          <w:rStyle w:val="BodyTextFi"/>
        </w:rPr>
        <w:t xml:space="preserve">(PIF) </w:t>
      </w:r>
      <w:r w:rsidR="00420051" w:rsidRPr="00C42210">
        <w:rPr>
          <w:rStyle w:val="BodyTextFi"/>
        </w:rPr>
        <w:t xml:space="preserve">collects information from </w:t>
      </w:r>
      <w:r w:rsidR="00963F9B" w:rsidRPr="00C42210">
        <w:rPr>
          <w:rStyle w:val="BodyTextFi"/>
        </w:rPr>
        <w:t xml:space="preserve">each of </w:t>
      </w:r>
      <w:r w:rsidR="00420051" w:rsidRPr="00C42210">
        <w:rPr>
          <w:rStyle w:val="BodyTextFi"/>
        </w:rPr>
        <w:t xml:space="preserve">the </w:t>
      </w:r>
      <w:r w:rsidR="00236F67">
        <w:rPr>
          <w:rStyle w:val="BodyTextFi"/>
        </w:rPr>
        <w:t xml:space="preserve">training </w:t>
      </w:r>
      <w:r w:rsidR="00420051" w:rsidRPr="00C42210">
        <w:rPr>
          <w:rStyle w:val="BodyTextFi"/>
        </w:rPr>
        <w:t>participants</w:t>
      </w:r>
      <w:r w:rsidR="00902AD0">
        <w:rPr>
          <w:rStyle w:val="BodyTextFi"/>
        </w:rPr>
        <w:t xml:space="preserve">, </w:t>
      </w:r>
      <w:r w:rsidR="00902AD0">
        <w:t xml:space="preserve">including demographics, profession, the types </w:t>
      </w:r>
      <w:r w:rsidR="00902AD0" w:rsidRPr="00165F0D">
        <w:t>of HIV/AIDS services they provide, and the characteristics of the patient population they serve</w:t>
      </w:r>
      <w:r w:rsidR="00236F67" w:rsidRPr="00165F0D">
        <w:rPr>
          <w:rStyle w:val="BodyTextFi"/>
        </w:rPr>
        <w:t xml:space="preserve">. </w:t>
      </w:r>
      <w:r w:rsidR="0075181A" w:rsidRPr="00165F0D">
        <w:rPr>
          <w:rStyle w:val="BodyTextFi"/>
        </w:rPr>
        <w:t>The AETCs are</w:t>
      </w:r>
      <w:r w:rsidR="00236F67" w:rsidRPr="00165F0D">
        <w:rPr>
          <w:rStyle w:val="BodyTextFi"/>
        </w:rPr>
        <w:t xml:space="preserve"> then</w:t>
      </w:r>
      <w:r w:rsidR="0075181A" w:rsidRPr="00165F0D">
        <w:rPr>
          <w:rStyle w:val="BodyTextFi"/>
        </w:rPr>
        <w:t xml:space="preserve"> required to report aggregate</w:t>
      </w:r>
      <w:r w:rsidR="00DD049D" w:rsidRPr="00165F0D">
        <w:rPr>
          <w:rStyle w:val="BodyTextFi"/>
        </w:rPr>
        <w:t>d</w:t>
      </w:r>
      <w:r w:rsidR="0075181A" w:rsidRPr="00165F0D">
        <w:rPr>
          <w:rStyle w:val="BodyTextFi"/>
        </w:rPr>
        <w:t xml:space="preserve"> data on their </w:t>
      </w:r>
      <w:r w:rsidR="009F44A9" w:rsidRPr="00165F0D">
        <w:rPr>
          <w:rStyle w:val="BodyTextFi"/>
        </w:rPr>
        <w:t xml:space="preserve">training </w:t>
      </w:r>
      <w:r w:rsidR="0075181A" w:rsidRPr="00165F0D">
        <w:rPr>
          <w:rStyle w:val="BodyTextFi"/>
        </w:rPr>
        <w:t xml:space="preserve">activities </w:t>
      </w:r>
      <w:r w:rsidR="00236F67" w:rsidRPr="00165F0D">
        <w:rPr>
          <w:rStyle w:val="BodyTextFi"/>
        </w:rPr>
        <w:t xml:space="preserve">and trainees </w:t>
      </w:r>
      <w:r w:rsidR="0075181A" w:rsidRPr="00165F0D">
        <w:rPr>
          <w:rStyle w:val="BodyTextFi"/>
        </w:rPr>
        <w:t xml:space="preserve">to HAB </w:t>
      </w:r>
      <w:r w:rsidR="00090C16" w:rsidRPr="00165F0D">
        <w:rPr>
          <w:rStyle w:val="BodyTextFi"/>
        </w:rPr>
        <w:t>once</w:t>
      </w:r>
      <w:r w:rsidR="0075181A" w:rsidRPr="00165F0D">
        <w:rPr>
          <w:rStyle w:val="BodyTextFi"/>
        </w:rPr>
        <w:t xml:space="preserve"> a year.</w:t>
      </w:r>
      <w:r w:rsidR="0075181A" w:rsidRPr="00DD049D">
        <w:rPr>
          <w:rStyle w:val="BodyTextFi"/>
        </w:rPr>
        <w:t xml:space="preserve"> </w:t>
      </w:r>
    </w:p>
    <w:p w14:paraId="06DBD969" w14:textId="77777777" w:rsidR="00F507CC" w:rsidRDefault="00F507CC" w:rsidP="00A04CD4"/>
    <w:p w14:paraId="3B30491E" w14:textId="1E52AA7E" w:rsidR="00420051" w:rsidRPr="001C129C" w:rsidRDefault="00062A79" w:rsidP="00A04CD4">
      <w:r w:rsidRPr="004753B4">
        <w:t xml:space="preserve">HAB </w:t>
      </w:r>
      <w:r w:rsidR="00B51143" w:rsidRPr="004753B4">
        <w:t xml:space="preserve">is requesting approval to </w:t>
      </w:r>
      <w:r w:rsidRPr="004753B4">
        <w:t xml:space="preserve">made </w:t>
      </w:r>
      <w:r w:rsidR="008C3B7B" w:rsidRPr="004753B4">
        <w:t xml:space="preserve">several </w:t>
      </w:r>
      <w:r w:rsidRPr="004753B4">
        <w:t>modification</w:t>
      </w:r>
      <w:r w:rsidR="008C3B7B" w:rsidRPr="004753B4">
        <w:t xml:space="preserve">s to the ER and the PIF. </w:t>
      </w:r>
      <w:r w:rsidR="0059183D" w:rsidRPr="004753B4">
        <w:t xml:space="preserve">The </w:t>
      </w:r>
      <w:r w:rsidR="006533C2" w:rsidRPr="004753B4">
        <w:t xml:space="preserve">revised </w:t>
      </w:r>
      <w:r w:rsidR="0059183D" w:rsidRPr="004753B4">
        <w:t xml:space="preserve">ER has </w:t>
      </w:r>
      <w:r w:rsidR="00994AFB" w:rsidRPr="004753B4">
        <w:t>eleven</w:t>
      </w:r>
      <w:r w:rsidR="0059183D" w:rsidRPr="004753B4">
        <w:t xml:space="preserve"> new d</w:t>
      </w:r>
      <w:r w:rsidR="00994AFB" w:rsidRPr="004753B4">
        <w:t>ata elements; however, only seven</w:t>
      </w:r>
      <w:r w:rsidR="0059183D" w:rsidRPr="004753B4">
        <w:t xml:space="preserve"> data elements will require responses from all respondents. The option to respond to the other four data elements will depend on how participants respond to previous questions. There are als</w:t>
      </w:r>
      <w:r w:rsidR="00B51143" w:rsidRPr="004753B4">
        <w:t>o four</w:t>
      </w:r>
      <w:r w:rsidR="0059183D" w:rsidRPr="004753B4">
        <w:t xml:space="preserve"> data element deletions. The </w:t>
      </w:r>
      <w:r w:rsidR="006533C2" w:rsidRPr="004753B4">
        <w:t xml:space="preserve">revised </w:t>
      </w:r>
      <w:r w:rsidR="0059183D" w:rsidRPr="004753B4">
        <w:t>PIF has one new data element that asks whether respondents prescribe anti-retroviral therapy to t</w:t>
      </w:r>
      <w:r w:rsidR="00B51143" w:rsidRPr="004753B4">
        <w:t xml:space="preserve">heir patients. There are also two </w:t>
      </w:r>
      <w:r w:rsidR="0059183D" w:rsidRPr="004753B4">
        <w:t>data element deletions</w:t>
      </w:r>
      <w:r w:rsidR="0059183D" w:rsidRPr="005A12E5">
        <w:t xml:space="preserve">. </w:t>
      </w:r>
      <w:r w:rsidR="00457B27" w:rsidRPr="005A12E5">
        <w:t xml:space="preserve"> See Attachment B for Table of Changes. </w:t>
      </w:r>
      <w:r w:rsidR="0059183D" w:rsidRPr="005A12E5">
        <w:t>These revisions reflect changes in the National AETC pr</w:t>
      </w:r>
      <w:r w:rsidR="0059183D" w:rsidRPr="004753B4">
        <w:t xml:space="preserve">ogram guidance on reporting sources of funding and multi-session events. In addition, HRSA HAB has modified the </w:t>
      </w:r>
      <w:r w:rsidR="00370875" w:rsidRPr="004753B4">
        <w:t xml:space="preserve">revised </w:t>
      </w:r>
      <w:r w:rsidR="0059183D" w:rsidRPr="004753B4">
        <w:t xml:space="preserve">data instruments not only to improve the logical flow of questions within each instrument </w:t>
      </w:r>
      <w:r w:rsidR="0059183D" w:rsidRPr="004753B4">
        <w:lastRenderedPageBreak/>
        <w:t>but also to improve the overall clarity of each of the questions being asked.</w:t>
      </w:r>
      <w:r w:rsidR="00DC26D6" w:rsidRPr="004753B4">
        <w:t xml:space="preserve"> </w:t>
      </w:r>
      <w:r w:rsidR="00627CA6" w:rsidRPr="001C129C">
        <w:t>See Attachment C and D for revised forms.</w:t>
      </w:r>
    </w:p>
    <w:p w14:paraId="4671D1AD" w14:textId="77777777" w:rsidR="00420051" w:rsidRDefault="00420051" w:rsidP="00A04CD4">
      <w:pPr>
        <w:rPr>
          <w:rStyle w:val="BodyTextFi"/>
        </w:rPr>
      </w:pPr>
    </w:p>
    <w:p w14:paraId="1785A228" w14:textId="77777777" w:rsidR="00420051" w:rsidRDefault="00420051" w:rsidP="00B20F82">
      <w:pPr>
        <w:pStyle w:val="Heading2"/>
        <w:tabs>
          <w:tab w:val="clear" w:pos="360"/>
        </w:tabs>
        <w:ind w:left="720" w:hanging="720"/>
        <w:rPr>
          <w:b w:val="0"/>
          <w:u w:val="single"/>
        </w:rPr>
      </w:pPr>
      <w:bookmarkStart w:id="2" w:name="_Toc46022710"/>
      <w:r w:rsidRPr="00B20F82">
        <w:rPr>
          <w:b w:val="0"/>
        </w:rPr>
        <w:t>2.</w:t>
      </w:r>
      <w:r w:rsidRPr="00B20F82">
        <w:rPr>
          <w:b w:val="0"/>
        </w:rPr>
        <w:tab/>
      </w:r>
      <w:r w:rsidR="00B20F82">
        <w:rPr>
          <w:b w:val="0"/>
        </w:rPr>
        <w:t xml:space="preserve"> </w:t>
      </w:r>
      <w:r w:rsidRPr="00B20F82">
        <w:rPr>
          <w:b w:val="0"/>
          <w:u w:val="single"/>
        </w:rPr>
        <w:t>Purpose and Use of Information</w:t>
      </w:r>
      <w:bookmarkEnd w:id="2"/>
      <w:r w:rsidR="004E0264" w:rsidRPr="00B20F82">
        <w:rPr>
          <w:b w:val="0"/>
          <w:u w:val="single"/>
        </w:rPr>
        <w:t xml:space="preserve"> Collection</w:t>
      </w:r>
    </w:p>
    <w:p w14:paraId="7CAA96DE" w14:textId="77777777" w:rsidR="00B20F82" w:rsidRPr="00B20F82" w:rsidRDefault="00B20F82" w:rsidP="00B20F82"/>
    <w:p w14:paraId="376AC7A6" w14:textId="77777777" w:rsidR="002030AE" w:rsidRDefault="002030AE" w:rsidP="002030AE">
      <w:pPr>
        <w:rPr>
          <w:rStyle w:val="BodyTextFi"/>
        </w:rPr>
      </w:pPr>
      <w:r>
        <w:t xml:space="preserve">The overall purpose of this data collection is to enable HAB to summarize and report to Congress and other stakeholders AETCs’ </w:t>
      </w:r>
      <w:r w:rsidR="00902AD0">
        <w:t xml:space="preserve">accomplishments such as </w:t>
      </w:r>
      <w:r>
        <w:t>training topics</w:t>
      </w:r>
      <w:r w:rsidR="00902AD0">
        <w:t xml:space="preserve"> covered</w:t>
      </w:r>
      <w:r>
        <w:t xml:space="preserve">, hours of contact with health care professionals, type of professionals trained, and </w:t>
      </w:r>
      <w:r w:rsidR="00902AD0">
        <w:t>collaborative efforts with other federally funded entities</w:t>
      </w:r>
      <w:r>
        <w:t xml:space="preserve">. </w:t>
      </w:r>
      <w:r>
        <w:rPr>
          <w:rStyle w:val="BodyTextFi"/>
        </w:rPr>
        <w:t xml:space="preserve">These program data collection activities are </w:t>
      </w:r>
      <w:r w:rsidR="00902AD0">
        <w:rPr>
          <w:rStyle w:val="BodyTextFi"/>
        </w:rPr>
        <w:t xml:space="preserve">also </w:t>
      </w:r>
      <w:r>
        <w:rPr>
          <w:rStyle w:val="BodyTextFi"/>
        </w:rPr>
        <w:t xml:space="preserve">necessary to allow the AETCs and </w:t>
      </w:r>
      <w:r w:rsidR="00902AD0">
        <w:rPr>
          <w:rStyle w:val="BodyTextFi"/>
        </w:rPr>
        <w:t>HAB</w:t>
      </w:r>
      <w:r>
        <w:rPr>
          <w:rStyle w:val="BodyTextFi"/>
        </w:rPr>
        <w:t xml:space="preserve"> to assess the program’s performance </w:t>
      </w:r>
      <w:r w:rsidR="00902AD0">
        <w:rPr>
          <w:rStyle w:val="BodyTextFi"/>
        </w:rPr>
        <w:t>and improve areas where gaps exist in training HIV pr</w:t>
      </w:r>
      <w:r w:rsidR="00902AD0" w:rsidRPr="0005424F">
        <w:rPr>
          <w:rStyle w:val="BodyTextFi"/>
        </w:rPr>
        <w:t>ofessionals as well as to measure whether they are meeting the goals of NHAS.</w:t>
      </w:r>
    </w:p>
    <w:p w14:paraId="1679EEAB" w14:textId="77777777" w:rsidR="001003E3" w:rsidRDefault="001003E3" w:rsidP="002030AE"/>
    <w:p w14:paraId="5EC5D4E9" w14:textId="77777777" w:rsidR="00420051" w:rsidRPr="00B20F82" w:rsidRDefault="00420051" w:rsidP="00B20F82">
      <w:pPr>
        <w:pStyle w:val="Heading2"/>
        <w:tabs>
          <w:tab w:val="clear" w:pos="360"/>
        </w:tabs>
        <w:ind w:left="720" w:hanging="720"/>
        <w:rPr>
          <w:b w:val="0"/>
        </w:rPr>
      </w:pPr>
      <w:bookmarkStart w:id="3" w:name="_Toc46022711"/>
      <w:r w:rsidRPr="00B20F82">
        <w:rPr>
          <w:b w:val="0"/>
        </w:rPr>
        <w:t>3.</w:t>
      </w:r>
      <w:r w:rsidRPr="00B20F82">
        <w:rPr>
          <w:b w:val="0"/>
        </w:rPr>
        <w:tab/>
      </w:r>
      <w:r w:rsidRPr="00B20F82">
        <w:rPr>
          <w:b w:val="0"/>
          <w:u w:val="single"/>
        </w:rPr>
        <w:t>Use of Improved Information Technology</w:t>
      </w:r>
      <w:bookmarkEnd w:id="3"/>
    </w:p>
    <w:p w14:paraId="6685D0B9" w14:textId="77777777" w:rsidR="00420051" w:rsidRDefault="00BC012E" w:rsidP="00A04CD4">
      <w:r>
        <w:t xml:space="preserve">Data </w:t>
      </w:r>
      <w:r w:rsidR="00F61AE5" w:rsidRPr="00A53767">
        <w:t>are</w:t>
      </w:r>
      <w:r>
        <w:t xml:space="preserve"> submitted by the AETCs to </w:t>
      </w:r>
      <w:r w:rsidR="00866171">
        <w:t xml:space="preserve">HAB </w:t>
      </w:r>
      <w:r>
        <w:t xml:space="preserve">in electronic format. </w:t>
      </w:r>
      <w:r w:rsidR="00866171">
        <w:t>The</w:t>
      </w:r>
      <w:r w:rsidR="00F26DC1" w:rsidRPr="001132B7">
        <w:t xml:space="preserve"> AETCs</w:t>
      </w:r>
      <w:r w:rsidR="00866171">
        <w:t xml:space="preserve"> also work </w:t>
      </w:r>
      <w:r w:rsidR="00F26DC1" w:rsidRPr="001132B7">
        <w:t xml:space="preserve">in </w:t>
      </w:r>
      <w:r w:rsidR="00C432EF" w:rsidRPr="001132B7">
        <w:t xml:space="preserve">collaboration with </w:t>
      </w:r>
      <w:r w:rsidR="00866171">
        <w:t>HAB</w:t>
      </w:r>
      <w:r w:rsidR="00866171" w:rsidRPr="001132B7">
        <w:t xml:space="preserve"> </w:t>
      </w:r>
      <w:r w:rsidR="00F26DC1" w:rsidRPr="001132B7">
        <w:t xml:space="preserve">to </w:t>
      </w:r>
      <w:r w:rsidR="007E40DE" w:rsidRPr="001132B7">
        <w:t>re-</w:t>
      </w:r>
      <w:r w:rsidR="00F26DC1" w:rsidRPr="001132B7">
        <w:t>design</w:t>
      </w:r>
      <w:r w:rsidR="00420051" w:rsidRPr="001132B7">
        <w:t xml:space="preserve"> the data collection forms and protocols based on </w:t>
      </w:r>
      <w:r w:rsidR="00C432EF" w:rsidRPr="001132B7">
        <w:t xml:space="preserve">program </w:t>
      </w:r>
      <w:r w:rsidR="00420051" w:rsidRPr="001132B7">
        <w:t>needs.</w:t>
      </w:r>
      <w:r w:rsidR="00420051">
        <w:t xml:space="preserve"> To enable the system to work across centers, but with flexibility to accommodate different information systems, </w:t>
      </w:r>
      <w:r>
        <w:t xml:space="preserve">centers </w:t>
      </w:r>
      <w:r w:rsidR="004E0264">
        <w:t>have the option of</w:t>
      </w:r>
      <w:r>
        <w:t xml:space="preserve"> choos</w:t>
      </w:r>
      <w:r w:rsidR="004E0264">
        <w:t>ing</w:t>
      </w:r>
      <w:r>
        <w:t xml:space="preserve"> among a</w:t>
      </w:r>
      <w:r w:rsidR="00420051">
        <w:t>vailable scanning programs (e.g., Teleforms)</w:t>
      </w:r>
      <w:r>
        <w:t xml:space="preserve"> for data entry prior to electronic submission to HRSA.</w:t>
      </w:r>
      <w:r w:rsidR="00420051">
        <w:t xml:space="preserve"> </w:t>
      </w:r>
      <w:r>
        <w:t xml:space="preserve"> </w:t>
      </w:r>
      <w:r w:rsidR="001132B7">
        <w:t xml:space="preserve">In addition, several regional AETCs have developed a web-based </w:t>
      </w:r>
      <w:r w:rsidR="004E0264">
        <w:t xml:space="preserve">platform for administration of the </w:t>
      </w:r>
      <w:r w:rsidR="00866171">
        <w:t>PIF</w:t>
      </w:r>
      <w:r w:rsidR="00643EAC">
        <w:t xml:space="preserve"> and ER forms</w:t>
      </w:r>
      <w:r w:rsidR="00866171">
        <w:t>.</w:t>
      </w:r>
    </w:p>
    <w:p w14:paraId="36A5407E" w14:textId="77777777" w:rsidR="001003E3" w:rsidRDefault="001003E3" w:rsidP="00A04CD4"/>
    <w:p w14:paraId="7CA80234" w14:textId="77777777" w:rsidR="00420051" w:rsidRDefault="00420051" w:rsidP="00B20F82">
      <w:pPr>
        <w:pStyle w:val="Heading2"/>
        <w:tabs>
          <w:tab w:val="clear" w:pos="360"/>
        </w:tabs>
        <w:ind w:left="720" w:hanging="720"/>
        <w:rPr>
          <w:b w:val="0"/>
          <w:u w:val="single"/>
        </w:rPr>
      </w:pPr>
      <w:bookmarkStart w:id="4" w:name="_Toc46022712"/>
      <w:r w:rsidRPr="00B20F82">
        <w:rPr>
          <w:b w:val="0"/>
        </w:rPr>
        <w:t>4.</w:t>
      </w:r>
      <w:r w:rsidRPr="00B20F82">
        <w:rPr>
          <w:b w:val="0"/>
        </w:rPr>
        <w:tab/>
      </w:r>
      <w:r w:rsidRPr="00B20F82">
        <w:rPr>
          <w:b w:val="0"/>
          <w:u w:val="single"/>
        </w:rPr>
        <w:t xml:space="preserve">Efforts to </w:t>
      </w:r>
      <w:r w:rsidR="00B20F82">
        <w:rPr>
          <w:b w:val="0"/>
          <w:u w:val="single"/>
        </w:rPr>
        <w:t>Avoid</w:t>
      </w:r>
      <w:r w:rsidRPr="00B20F82">
        <w:rPr>
          <w:b w:val="0"/>
          <w:u w:val="single"/>
        </w:rPr>
        <w:t xml:space="preserve"> Duplication</w:t>
      </w:r>
      <w:bookmarkEnd w:id="4"/>
    </w:p>
    <w:p w14:paraId="54697C53" w14:textId="77777777" w:rsidR="00B20F82" w:rsidRPr="00B20F82" w:rsidRDefault="00B20F82" w:rsidP="00B20F82"/>
    <w:p w14:paraId="6DD36AAB" w14:textId="77777777" w:rsidR="00420051" w:rsidRDefault="00420051" w:rsidP="00A04CD4">
      <w:r>
        <w:t xml:space="preserve">Data that can describe the activities of the AETCs are not available elsewhere. This is the only effort </w:t>
      </w:r>
      <w:r w:rsidR="00713D56">
        <w:t xml:space="preserve">known </w:t>
      </w:r>
      <w:r>
        <w:t xml:space="preserve">to characterize the </w:t>
      </w:r>
      <w:r w:rsidR="00713D56">
        <w:t>A</w:t>
      </w:r>
      <w:r>
        <w:t>ETC</w:t>
      </w:r>
      <w:r w:rsidR="00713D56">
        <w:t xml:space="preserve"> training activities, and without these data, </w:t>
      </w:r>
      <w:r w:rsidR="00866171">
        <w:t xml:space="preserve">HAB </w:t>
      </w:r>
      <w:r w:rsidR="00713D56">
        <w:t>will not be able to monitor AETC education and training efforts.</w:t>
      </w:r>
    </w:p>
    <w:p w14:paraId="62B01F40" w14:textId="77777777" w:rsidR="001003E3" w:rsidRDefault="001003E3" w:rsidP="00A04CD4"/>
    <w:p w14:paraId="19ABC147" w14:textId="77777777" w:rsidR="001003E3" w:rsidRDefault="00BA6638" w:rsidP="00B20F82">
      <w:pPr>
        <w:pStyle w:val="Heading2"/>
        <w:tabs>
          <w:tab w:val="clear" w:pos="360"/>
        </w:tabs>
        <w:ind w:left="720" w:hanging="720"/>
        <w:rPr>
          <w:b w:val="0"/>
        </w:rPr>
      </w:pPr>
      <w:bookmarkStart w:id="5" w:name="_Toc46022713"/>
      <w:r w:rsidRPr="00B20F82">
        <w:rPr>
          <w:b w:val="0"/>
        </w:rPr>
        <w:t xml:space="preserve">5.   </w:t>
      </w:r>
      <w:r w:rsidR="00B20F82">
        <w:rPr>
          <w:b w:val="0"/>
        </w:rPr>
        <w:tab/>
      </w:r>
      <w:r w:rsidR="00B20F82" w:rsidRPr="00B20F82">
        <w:rPr>
          <w:b w:val="0"/>
          <w:u w:val="single"/>
        </w:rPr>
        <w:t>Involvement of</w:t>
      </w:r>
      <w:r w:rsidR="00850816" w:rsidRPr="00B20F82">
        <w:rPr>
          <w:b w:val="0"/>
          <w:u w:val="single"/>
        </w:rPr>
        <w:t xml:space="preserve"> Small Entities</w:t>
      </w:r>
      <w:r w:rsidR="00850816" w:rsidRPr="00B20F82">
        <w:rPr>
          <w:b w:val="0"/>
        </w:rPr>
        <w:t xml:space="preserve"> </w:t>
      </w:r>
      <w:bookmarkEnd w:id="5"/>
    </w:p>
    <w:p w14:paraId="6D229143" w14:textId="77777777" w:rsidR="00B20F82" w:rsidRPr="00B20F82" w:rsidRDefault="00B20F82" w:rsidP="00B20F82"/>
    <w:p w14:paraId="622BBAB0" w14:textId="77777777" w:rsidR="00420051" w:rsidRDefault="00420051" w:rsidP="00A04CD4">
      <w:r>
        <w:t>Th</w:t>
      </w:r>
      <w:r w:rsidR="00E645A8">
        <w:t>is data collection activity does not significantly impact small entities.</w:t>
      </w:r>
      <w:r w:rsidR="00B20F82">
        <w:t xml:space="preserve"> </w:t>
      </w:r>
    </w:p>
    <w:p w14:paraId="42A5DBD0" w14:textId="77777777" w:rsidR="001003E3" w:rsidRDefault="001003E3" w:rsidP="00A04CD4"/>
    <w:p w14:paraId="40FCF5AA" w14:textId="585F441B" w:rsidR="00DC338C" w:rsidRDefault="00DC338C" w:rsidP="00B20F82">
      <w:pPr>
        <w:pStyle w:val="Heading2"/>
        <w:tabs>
          <w:tab w:val="clear" w:pos="360"/>
        </w:tabs>
        <w:ind w:left="720" w:hanging="720"/>
        <w:rPr>
          <w:b w:val="0"/>
        </w:rPr>
      </w:pPr>
      <w:bookmarkStart w:id="6" w:name="_Toc46022714"/>
    </w:p>
    <w:p w14:paraId="59C49CB8" w14:textId="77777777" w:rsidR="00B061F2" w:rsidRPr="00B061F2" w:rsidRDefault="00B061F2" w:rsidP="00B061F2"/>
    <w:p w14:paraId="6FEE8749" w14:textId="31FFE4E5" w:rsidR="00420051" w:rsidRDefault="00420051" w:rsidP="00B20F82">
      <w:pPr>
        <w:pStyle w:val="Heading2"/>
        <w:tabs>
          <w:tab w:val="clear" w:pos="360"/>
        </w:tabs>
        <w:ind w:left="720" w:hanging="720"/>
        <w:rPr>
          <w:b w:val="0"/>
          <w:u w:val="single"/>
        </w:rPr>
      </w:pPr>
      <w:r w:rsidRPr="00B20F82">
        <w:rPr>
          <w:b w:val="0"/>
        </w:rPr>
        <w:t>6.</w:t>
      </w:r>
      <w:r w:rsidRPr="00B20F82">
        <w:rPr>
          <w:b w:val="0"/>
        </w:rPr>
        <w:tab/>
      </w:r>
      <w:r w:rsidRPr="00B20F82">
        <w:rPr>
          <w:b w:val="0"/>
          <w:u w:val="single"/>
        </w:rPr>
        <w:t xml:space="preserve">Consequences </w:t>
      </w:r>
      <w:r w:rsidR="00B20F82" w:rsidRPr="00B20F82">
        <w:rPr>
          <w:b w:val="0"/>
          <w:u w:val="single"/>
        </w:rPr>
        <w:t>if</w:t>
      </w:r>
      <w:r w:rsidR="00850816" w:rsidRPr="00B20F82">
        <w:rPr>
          <w:b w:val="0"/>
          <w:u w:val="single"/>
        </w:rPr>
        <w:t xml:space="preserve"> </w:t>
      </w:r>
      <w:r w:rsidRPr="00B20F82">
        <w:rPr>
          <w:b w:val="0"/>
          <w:u w:val="single"/>
        </w:rPr>
        <w:t xml:space="preserve">Information </w:t>
      </w:r>
      <w:r w:rsidR="00B20F82" w:rsidRPr="00B20F82">
        <w:rPr>
          <w:b w:val="0"/>
          <w:u w:val="single"/>
        </w:rPr>
        <w:t xml:space="preserve">Collected </w:t>
      </w:r>
      <w:r w:rsidRPr="00B20F82">
        <w:rPr>
          <w:b w:val="0"/>
          <w:u w:val="single"/>
        </w:rPr>
        <w:t>Less Frequently</w:t>
      </w:r>
      <w:bookmarkEnd w:id="6"/>
    </w:p>
    <w:p w14:paraId="2CC8FBB9" w14:textId="77777777" w:rsidR="00B20F82" w:rsidRPr="00B20F82" w:rsidRDefault="00B20F82" w:rsidP="00B20F82"/>
    <w:p w14:paraId="356DB9F4" w14:textId="1B5C06E3" w:rsidR="0099141E" w:rsidRDefault="00D221F8" w:rsidP="006834D0">
      <w:pPr>
        <w:spacing w:before="0"/>
      </w:pPr>
      <w:r>
        <w:t xml:space="preserve">Without these </w:t>
      </w:r>
      <w:r w:rsidR="00AF4C8B">
        <w:t xml:space="preserve">annual </w:t>
      </w:r>
      <w:r>
        <w:t>data</w:t>
      </w:r>
      <w:r w:rsidR="00E448AD">
        <w:t>, HAB</w:t>
      </w:r>
      <w:r w:rsidR="00866171">
        <w:t xml:space="preserve"> </w:t>
      </w:r>
      <w:r w:rsidR="00E448AD">
        <w:t xml:space="preserve">would </w:t>
      </w:r>
      <w:r>
        <w:t xml:space="preserve">be unable to </w:t>
      </w:r>
      <w:r w:rsidR="00420051">
        <w:t xml:space="preserve">report on </w:t>
      </w:r>
      <w:r w:rsidR="00F66B0D">
        <w:t xml:space="preserve">education and training </w:t>
      </w:r>
      <w:r w:rsidR="00420051">
        <w:t xml:space="preserve">activities related to the </w:t>
      </w:r>
      <w:r w:rsidR="007E40DE">
        <w:t>Ry</w:t>
      </w:r>
      <w:r w:rsidR="00A53767">
        <w:t xml:space="preserve">an White CARE Act legislation. </w:t>
      </w:r>
      <w:r w:rsidR="00F66B0D">
        <w:t xml:space="preserve">These data are needed to provide information on the AETC </w:t>
      </w:r>
      <w:r w:rsidR="007E40DE">
        <w:t xml:space="preserve">training </w:t>
      </w:r>
      <w:r w:rsidR="00F66B0D">
        <w:t>activities and participants</w:t>
      </w:r>
      <w:r w:rsidR="007E40DE">
        <w:t xml:space="preserve"> receiving the trainings</w:t>
      </w:r>
      <w:r w:rsidR="00F66B0D">
        <w:t>.</w:t>
      </w:r>
    </w:p>
    <w:p w14:paraId="4D83A5FF" w14:textId="77777777" w:rsidR="001003E3" w:rsidRDefault="001003E3" w:rsidP="006834D0">
      <w:pPr>
        <w:spacing w:before="0"/>
      </w:pPr>
    </w:p>
    <w:p w14:paraId="4E84181B" w14:textId="77777777" w:rsidR="00420051" w:rsidRDefault="00420051" w:rsidP="006834D0">
      <w:pPr>
        <w:pStyle w:val="Heading2"/>
        <w:tabs>
          <w:tab w:val="clear" w:pos="360"/>
        </w:tabs>
        <w:spacing w:before="0"/>
        <w:ind w:left="720" w:hanging="720"/>
        <w:rPr>
          <w:b w:val="0"/>
          <w:u w:val="single"/>
        </w:rPr>
      </w:pPr>
      <w:bookmarkStart w:id="7" w:name="_Toc46022715"/>
      <w:r w:rsidRPr="00B20F82">
        <w:rPr>
          <w:b w:val="0"/>
        </w:rPr>
        <w:t>7.</w:t>
      </w:r>
      <w:r w:rsidRPr="00B20F82">
        <w:rPr>
          <w:b w:val="0"/>
        </w:rPr>
        <w:tab/>
      </w:r>
      <w:r w:rsidR="00B20F82" w:rsidRPr="00B20F82">
        <w:rPr>
          <w:b w:val="0"/>
          <w:u w:val="single"/>
        </w:rPr>
        <w:t>Consistency With</w:t>
      </w:r>
      <w:r w:rsidR="0099141E" w:rsidRPr="00B20F82">
        <w:rPr>
          <w:b w:val="0"/>
          <w:u w:val="single"/>
        </w:rPr>
        <w:t xml:space="preserve"> the </w:t>
      </w:r>
      <w:r w:rsidRPr="00B20F82">
        <w:rPr>
          <w:b w:val="0"/>
          <w:u w:val="single"/>
        </w:rPr>
        <w:t xml:space="preserve">Guidelines </w:t>
      </w:r>
      <w:r w:rsidR="0099141E" w:rsidRPr="00B20F82">
        <w:rPr>
          <w:b w:val="0"/>
          <w:u w:val="single"/>
        </w:rPr>
        <w:t>of</w:t>
      </w:r>
      <w:r w:rsidRPr="00B20F82">
        <w:rPr>
          <w:b w:val="0"/>
          <w:u w:val="single"/>
        </w:rPr>
        <w:t xml:space="preserve"> 5 CFR 1320.5</w:t>
      </w:r>
      <w:bookmarkEnd w:id="7"/>
      <w:r w:rsidR="00B20F82" w:rsidRPr="00B20F82">
        <w:rPr>
          <w:b w:val="0"/>
          <w:u w:val="single"/>
        </w:rPr>
        <w:t>9(d)(2)</w:t>
      </w:r>
    </w:p>
    <w:p w14:paraId="3C9D8FF0" w14:textId="77777777" w:rsidR="00B20F82" w:rsidRPr="00B20F82" w:rsidRDefault="00B20F82" w:rsidP="00B20F82"/>
    <w:p w14:paraId="03A7B2A6" w14:textId="77777777" w:rsidR="00420051" w:rsidRDefault="00420051" w:rsidP="006834D0">
      <w:pPr>
        <w:spacing w:before="0"/>
        <w:rPr>
          <w:rStyle w:val="BodyTextFi"/>
        </w:rPr>
      </w:pPr>
      <w:r>
        <w:rPr>
          <w:rStyle w:val="BodyTextFi"/>
        </w:rPr>
        <w:t xml:space="preserve">The data will be collected in a manner consistent with the guidelines in 5 CFR </w:t>
      </w:r>
      <w:r w:rsidR="00F61AE5" w:rsidRPr="00F61AE5">
        <w:rPr>
          <w:rStyle w:val="BodyTextFi"/>
        </w:rPr>
        <w:t>1320.5</w:t>
      </w:r>
      <w:r w:rsidR="00B20F82">
        <w:rPr>
          <w:rStyle w:val="BodyTextFi"/>
        </w:rPr>
        <w:t>(d)(2)</w:t>
      </w:r>
      <w:r w:rsidRPr="00F61AE5">
        <w:rPr>
          <w:rStyle w:val="BodyTextFi"/>
        </w:rPr>
        <w:t>.</w:t>
      </w:r>
      <w:r>
        <w:rPr>
          <w:rStyle w:val="BodyTextFi"/>
        </w:rPr>
        <w:t xml:space="preserve">  </w:t>
      </w:r>
    </w:p>
    <w:p w14:paraId="537D3038" w14:textId="77777777" w:rsidR="001003E3" w:rsidRDefault="001003E3" w:rsidP="006834D0">
      <w:pPr>
        <w:spacing w:before="0"/>
        <w:rPr>
          <w:rStyle w:val="BodyTextFi"/>
        </w:rPr>
      </w:pPr>
    </w:p>
    <w:p w14:paraId="04AFAABD" w14:textId="77777777" w:rsidR="00420051" w:rsidRPr="00265020" w:rsidRDefault="00420051" w:rsidP="006834D0">
      <w:pPr>
        <w:pStyle w:val="Heading2"/>
        <w:tabs>
          <w:tab w:val="clear" w:pos="360"/>
        </w:tabs>
        <w:spacing w:before="0"/>
        <w:ind w:left="720" w:hanging="720"/>
        <w:rPr>
          <w:b w:val="0"/>
        </w:rPr>
      </w:pPr>
      <w:bookmarkStart w:id="8" w:name="_Toc46022716"/>
      <w:r w:rsidRPr="00265020">
        <w:rPr>
          <w:b w:val="0"/>
        </w:rPr>
        <w:t>8.</w:t>
      </w:r>
      <w:r w:rsidRPr="00265020">
        <w:rPr>
          <w:b w:val="0"/>
        </w:rPr>
        <w:tab/>
      </w:r>
      <w:bookmarkEnd w:id="8"/>
      <w:r w:rsidR="00B20F82" w:rsidRPr="00265020">
        <w:rPr>
          <w:b w:val="0"/>
          <w:u w:val="single"/>
        </w:rPr>
        <w:t>Consultation Outside the Agency</w:t>
      </w:r>
    </w:p>
    <w:p w14:paraId="6235D8B1" w14:textId="77777777" w:rsidR="00B20F82" w:rsidRDefault="00B20F82" w:rsidP="0062074B">
      <w:pPr>
        <w:rPr>
          <w:highlight w:val="cyan"/>
        </w:rPr>
      </w:pPr>
    </w:p>
    <w:p w14:paraId="46C6FBCE" w14:textId="3A7BA673" w:rsidR="00CB799D" w:rsidRPr="00A66F2C" w:rsidRDefault="00420051" w:rsidP="00064969">
      <w:r w:rsidRPr="006B247B">
        <w:rPr>
          <w:shd w:val="clear" w:color="auto" w:fill="FFFFFF"/>
        </w:rPr>
        <w:t xml:space="preserve">The notice required in 5 CFR 1320.8(d) was published in the </w:t>
      </w:r>
      <w:r w:rsidRPr="006B247B">
        <w:rPr>
          <w:i/>
          <w:iCs/>
          <w:shd w:val="clear" w:color="auto" w:fill="FFFFFF"/>
        </w:rPr>
        <w:t>Federal Register</w:t>
      </w:r>
      <w:r w:rsidRPr="006B247B">
        <w:rPr>
          <w:shd w:val="clear" w:color="auto" w:fill="FFFFFF"/>
        </w:rPr>
        <w:t xml:space="preserve"> on</w:t>
      </w:r>
      <w:r w:rsidR="00814E03" w:rsidRPr="006B247B">
        <w:rPr>
          <w:shd w:val="clear" w:color="auto" w:fill="FFFFFF"/>
        </w:rPr>
        <w:t xml:space="preserve"> </w:t>
      </w:r>
      <w:r w:rsidR="00B20F82" w:rsidRPr="006B247B">
        <w:rPr>
          <w:shd w:val="clear" w:color="auto" w:fill="FFFFFF"/>
        </w:rPr>
        <w:t>December 18</w:t>
      </w:r>
      <w:r w:rsidR="002A03AE" w:rsidRPr="006B247B">
        <w:rPr>
          <w:shd w:val="clear" w:color="auto" w:fill="FFFFFF"/>
        </w:rPr>
        <w:t>, 201</w:t>
      </w:r>
      <w:r w:rsidR="00B20F82" w:rsidRPr="006B247B">
        <w:rPr>
          <w:shd w:val="clear" w:color="auto" w:fill="FFFFFF"/>
        </w:rPr>
        <w:t>8</w:t>
      </w:r>
      <w:r w:rsidRPr="006B247B">
        <w:rPr>
          <w:shd w:val="clear" w:color="auto" w:fill="FFFFFF"/>
        </w:rPr>
        <w:t>, (</w:t>
      </w:r>
      <w:r w:rsidR="00FF3EAC" w:rsidRPr="006B247B">
        <w:rPr>
          <w:shd w:val="clear" w:color="auto" w:fill="FFFFFF"/>
        </w:rPr>
        <w:t xml:space="preserve">Volume </w:t>
      </w:r>
      <w:r w:rsidR="002A03AE" w:rsidRPr="006B247B">
        <w:rPr>
          <w:shd w:val="clear" w:color="auto" w:fill="FFFFFF"/>
        </w:rPr>
        <w:t>8</w:t>
      </w:r>
      <w:r w:rsidR="00B20F82" w:rsidRPr="006B247B">
        <w:rPr>
          <w:shd w:val="clear" w:color="auto" w:fill="FFFFFF"/>
        </w:rPr>
        <w:t>3</w:t>
      </w:r>
      <w:r w:rsidR="00FF3EAC" w:rsidRPr="006B247B">
        <w:rPr>
          <w:shd w:val="clear" w:color="auto" w:fill="FFFFFF"/>
        </w:rPr>
        <w:t>, N</w:t>
      </w:r>
      <w:r w:rsidR="00B20F82" w:rsidRPr="006B247B">
        <w:rPr>
          <w:shd w:val="clear" w:color="auto" w:fill="FFFFFF"/>
        </w:rPr>
        <w:t>o. 242</w:t>
      </w:r>
      <w:r w:rsidRPr="006B247B">
        <w:rPr>
          <w:shd w:val="clear" w:color="auto" w:fill="FFFFFF"/>
        </w:rPr>
        <w:t xml:space="preserve">, pages </w:t>
      </w:r>
      <w:r w:rsidR="00BB3CEB" w:rsidRPr="006B247B">
        <w:rPr>
          <w:shd w:val="clear" w:color="auto" w:fill="FFFFFF"/>
        </w:rPr>
        <w:t>64845-64847</w:t>
      </w:r>
      <w:r w:rsidR="002A03AE" w:rsidRPr="00A66F2C">
        <w:t>.</w:t>
      </w:r>
      <w:r w:rsidRPr="00A66F2C">
        <w:t xml:space="preserve"> </w:t>
      </w:r>
      <w:r w:rsidR="00256AB6" w:rsidRPr="00A66F2C">
        <w:t xml:space="preserve">See </w:t>
      </w:r>
      <w:r w:rsidR="000540FA" w:rsidRPr="00A66F2C">
        <w:t>attachment</w:t>
      </w:r>
      <w:r w:rsidR="00064969" w:rsidRPr="00A66F2C">
        <w:t xml:space="preserve"> </w:t>
      </w:r>
      <w:r w:rsidR="00627CA6" w:rsidRPr="00A66F2C">
        <w:t xml:space="preserve">E for </w:t>
      </w:r>
      <w:r w:rsidR="000540FA" w:rsidRPr="00A66F2C">
        <w:t xml:space="preserve">the </w:t>
      </w:r>
      <w:r w:rsidR="00627CA6" w:rsidRPr="00A66F2C">
        <w:t>published notice</w:t>
      </w:r>
      <w:r w:rsidR="00256AB6" w:rsidRPr="00A66F2C">
        <w:t xml:space="preserve">.  </w:t>
      </w:r>
      <w:r w:rsidR="00064969" w:rsidRPr="00A66F2C">
        <w:t>There were no public comments.</w:t>
      </w:r>
    </w:p>
    <w:p w14:paraId="5AB6F131" w14:textId="77777777" w:rsidR="00C541D0" w:rsidRDefault="00C541D0" w:rsidP="0062074B"/>
    <w:p w14:paraId="374FB919" w14:textId="209E621C" w:rsidR="00C541D0" w:rsidRPr="00D94958" w:rsidRDefault="00265020" w:rsidP="006834D0">
      <w:pPr>
        <w:spacing w:before="0"/>
      </w:pPr>
      <w:r w:rsidRPr="00D94958">
        <w:t xml:space="preserve">A pilot for the proposed revisions to </w:t>
      </w:r>
      <w:r w:rsidR="00D1720B" w:rsidRPr="00D94958">
        <w:t xml:space="preserve">the PIF and ER was conducted in </w:t>
      </w:r>
      <w:r w:rsidR="002B1F80" w:rsidRPr="00D94958">
        <w:t xml:space="preserve">October 2018. </w:t>
      </w:r>
      <w:r w:rsidRPr="00D94958">
        <w:t xml:space="preserve">Pilot participants mentioned </w:t>
      </w:r>
      <w:r w:rsidR="00C051CD" w:rsidRPr="00D94958">
        <w:t xml:space="preserve">the </w:t>
      </w:r>
      <w:r w:rsidR="00E47520" w:rsidRPr="00D94958">
        <w:t xml:space="preserve">burden </w:t>
      </w:r>
      <w:r w:rsidRPr="00D94958">
        <w:t xml:space="preserve">on the ER </w:t>
      </w:r>
      <w:r w:rsidR="00C77CB5" w:rsidRPr="00D94958">
        <w:t xml:space="preserve">that will be required </w:t>
      </w:r>
      <w:r w:rsidR="00E47520" w:rsidRPr="00D94958">
        <w:t xml:space="preserve">to generate the list of participants using unique identifiers. </w:t>
      </w:r>
      <w:r w:rsidR="002B1F80" w:rsidRPr="00D94958">
        <w:t xml:space="preserve">This data element was </w:t>
      </w:r>
      <w:r w:rsidR="00E448AD">
        <w:t>retained</w:t>
      </w:r>
      <w:r w:rsidRPr="00D94958">
        <w:t xml:space="preserve">. Other suggestions on </w:t>
      </w:r>
      <w:r w:rsidR="00627CA6" w:rsidRPr="00D94958">
        <w:t xml:space="preserve">both forms </w:t>
      </w:r>
      <w:r w:rsidR="002B1F80" w:rsidRPr="00D94958">
        <w:t xml:space="preserve">included </w:t>
      </w:r>
      <w:r w:rsidR="00814B9A" w:rsidRPr="00D94958">
        <w:t xml:space="preserve">the </w:t>
      </w:r>
      <w:r w:rsidR="002B1F80" w:rsidRPr="00D94958">
        <w:t>change</w:t>
      </w:r>
      <w:r w:rsidR="00627CA6" w:rsidRPr="00D94958">
        <w:t>/</w:t>
      </w:r>
      <w:r w:rsidR="002B1F80" w:rsidRPr="00D94958">
        <w:t>addition of language for clarification and relevance</w:t>
      </w:r>
      <w:r w:rsidR="00814B9A" w:rsidRPr="00D94958">
        <w:t xml:space="preserve"> and</w:t>
      </w:r>
      <w:r w:rsidR="002B1F80" w:rsidRPr="00D94958">
        <w:t xml:space="preserve"> </w:t>
      </w:r>
      <w:r w:rsidR="00627CA6" w:rsidRPr="00D94958">
        <w:t xml:space="preserve">the </w:t>
      </w:r>
      <w:r w:rsidR="002B1F80" w:rsidRPr="00D94958">
        <w:t>reorganization of questions</w:t>
      </w:r>
      <w:r w:rsidR="00814B9A" w:rsidRPr="00D94958">
        <w:t xml:space="preserve">. Some of these </w:t>
      </w:r>
      <w:r w:rsidRPr="00D94958">
        <w:t xml:space="preserve">proposed </w:t>
      </w:r>
      <w:r w:rsidR="00814B9A" w:rsidRPr="00D94958">
        <w:t xml:space="preserve">changes were accepted. </w:t>
      </w:r>
      <w:r w:rsidR="007421B6">
        <w:t xml:space="preserve">See attachment </w:t>
      </w:r>
      <w:r w:rsidR="00627CA6" w:rsidRPr="00D94958">
        <w:t>F for</w:t>
      </w:r>
      <w:r w:rsidRPr="00D94958">
        <w:t xml:space="preserve"> the</w:t>
      </w:r>
      <w:r w:rsidR="00D94958" w:rsidRPr="00D94958">
        <w:t xml:space="preserve"> list of pilot participants</w:t>
      </w:r>
      <w:r w:rsidR="00627CA6" w:rsidRPr="00D94958">
        <w:t>.</w:t>
      </w:r>
    </w:p>
    <w:p w14:paraId="087CB4D3" w14:textId="77777777" w:rsidR="0094619F" w:rsidRPr="00D94958" w:rsidRDefault="0094619F" w:rsidP="006834D0">
      <w:pPr>
        <w:spacing w:before="0"/>
      </w:pPr>
    </w:p>
    <w:p w14:paraId="3331B3BB" w14:textId="77777777" w:rsidR="00420051" w:rsidRDefault="00420051" w:rsidP="006834D0">
      <w:pPr>
        <w:pStyle w:val="Heading2"/>
        <w:tabs>
          <w:tab w:val="clear" w:pos="360"/>
        </w:tabs>
        <w:spacing w:before="0"/>
        <w:ind w:left="720" w:hanging="720"/>
        <w:rPr>
          <w:b w:val="0"/>
        </w:rPr>
      </w:pPr>
      <w:bookmarkStart w:id="9" w:name="_Toc46022717"/>
      <w:r w:rsidRPr="00BB3CEB">
        <w:rPr>
          <w:b w:val="0"/>
        </w:rPr>
        <w:t>9.</w:t>
      </w:r>
      <w:r w:rsidR="00DD2D7A" w:rsidRPr="00BB3CEB">
        <w:rPr>
          <w:b w:val="0"/>
        </w:rPr>
        <w:t xml:space="preserve"> </w:t>
      </w:r>
      <w:bookmarkEnd w:id="9"/>
      <w:r w:rsidR="00BB3CEB">
        <w:rPr>
          <w:b w:val="0"/>
        </w:rPr>
        <w:tab/>
      </w:r>
      <w:r w:rsidR="00BB3CEB" w:rsidRPr="00BB3CEB">
        <w:rPr>
          <w:b w:val="0"/>
          <w:u w:val="single"/>
        </w:rPr>
        <w:t>Remuneration of Respondents</w:t>
      </w:r>
      <w:r w:rsidR="0042787B" w:rsidRPr="00BB3CEB">
        <w:rPr>
          <w:b w:val="0"/>
        </w:rPr>
        <w:t xml:space="preserve">  </w:t>
      </w:r>
      <w:r w:rsidR="005A5A80" w:rsidRPr="00BB3CEB">
        <w:rPr>
          <w:b w:val="0"/>
        </w:rPr>
        <w:t xml:space="preserve">  </w:t>
      </w:r>
    </w:p>
    <w:p w14:paraId="14C8E5CD" w14:textId="77777777" w:rsidR="00BB3CEB" w:rsidRPr="00BB3CEB" w:rsidRDefault="00BB3CEB" w:rsidP="00BB3CEB"/>
    <w:p w14:paraId="7A24AD48" w14:textId="77777777" w:rsidR="001003E3" w:rsidRDefault="0005424F" w:rsidP="00A04CD4">
      <w:pPr>
        <w:rPr>
          <w:rStyle w:val="BodyTextFi"/>
        </w:rPr>
      </w:pPr>
      <w:r w:rsidRPr="00863839">
        <w:rPr>
          <w:rStyle w:val="BodyTextFi"/>
        </w:rPr>
        <w:t>The proposed collection of information does not involve any remuneration to respondents.</w:t>
      </w:r>
    </w:p>
    <w:p w14:paraId="6C188BC1" w14:textId="77777777" w:rsidR="00BB3CEB" w:rsidRDefault="00BB3CEB" w:rsidP="006834D0">
      <w:pPr>
        <w:spacing w:before="0"/>
      </w:pPr>
    </w:p>
    <w:p w14:paraId="04B65AD6" w14:textId="77777777" w:rsidR="00420051" w:rsidRDefault="00420051" w:rsidP="006834D0">
      <w:pPr>
        <w:pStyle w:val="Heading2"/>
        <w:tabs>
          <w:tab w:val="clear" w:pos="360"/>
        </w:tabs>
        <w:spacing w:before="0"/>
        <w:ind w:left="720" w:hanging="720"/>
        <w:rPr>
          <w:b w:val="0"/>
          <w:u w:val="single"/>
        </w:rPr>
      </w:pPr>
      <w:bookmarkStart w:id="10" w:name="_Toc46022718"/>
      <w:r w:rsidRPr="00BB3CEB">
        <w:rPr>
          <w:b w:val="0"/>
        </w:rPr>
        <w:t>10.</w:t>
      </w:r>
      <w:r w:rsidRPr="00BB3CEB">
        <w:rPr>
          <w:b w:val="0"/>
        </w:rPr>
        <w:tab/>
      </w:r>
      <w:r w:rsidRPr="00BB3CEB">
        <w:rPr>
          <w:b w:val="0"/>
          <w:u w:val="single"/>
        </w:rPr>
        <w:t>Assurance of Confidentiality</w:t>
      </w:r>
      <w:bookmarkEnd w:id="10"/>
    </w:p>
    <w:p w14:paraId="62C7709F" w14:textId="77777777" w:rsidR="00BB3CEB" w:rsidRPr="00BB3CEB" w:rsidRDefault="00BB3CEB" w:rsidP="006834D0">
      <w:pPr>
        <w:spacing w:before="0"/>
      </w:pPr>
    </w:p>
    <w:p w14:paraId="18387C66" w14:textId="77777777" w:rsidR="00420051" w:rsidRDefault="00420051" w:rsidP="00A04CD4">
      <w:r>
        <w:t xml:space="preserve">Only summary data will be included in any reports developed from the collection of this information. No individual level data will be seen by any outside party. </w:t>
      </w:r>
    </w:p>
    <w:p w14:paraId="4A091977" w14:textId="77777777" w:rsidR="00420051" w:rsidRDefault="00420051" w:rsidP="00A04CD4">
      <w:r>
        <w:t xml:space="preserve">The AETCs </w:t>
      </w:r>
      <w:r w:rsidR="004619CC">
        <w:t xml:space="preserve">will </w:t>
      </w:r>
      <w:r>
        <w:t xml:space="preserve">develop unique identifiers for individual participants so that they can track repeat attendance and patterns of use. All data sets submitted to </w:t>
      </w:r>
      <w:r w:rsidR="006E3A5E">
        <w:t xml:space="preserve">HAB </w:t>
      </w:r>
      <w:r w:rsidR="004619CC">
        <w:t xml:space="preserve">will </w:t>
      </w:r>
      <w:r>
        <w:t>use this identifier and not the individual’s name. A</w:t>
      </w:r>
      <w:r w:rsidR="008E4FB0">
        <w:t>ll</w:t>
      </w:r>
      <w:r>
        <w:t xml:space="preserve"> reports developed from the data submission </w:t>
      </w:r>
      <w:r w:rsidR="004619CC">
        <w:t xml:space="preserve">will </w:t>
      </w:r>
      <w:r>
        <w:t>use only aggregate data reports.</w:t>
      </w:r>
    </w:p>
    <w:p w14:paraId="72F2E06C" w14:textId="77777777" w:rsidR="006834D0" w:rsidRDefault="006834D0" w:rsidP="006834D0">
      <w:pPr>
        <w:pStyle w:val="Heading2"/>
        <w:tabs>
          <w:tab w:val="clear" w:pos="360"/>
        </w:tabs>
        <w:spacing w:before="0"/>
        <w:ind w:left="720" w:hanging="720"/>
        <w:rPr>
          <w:b w:val="0"/>
        </w:rPr>
      </w:pPr>
      <w:bookmarkStart w:id="11" w:name="_Toc46022719"/>
    </w:p>
    <w:p w14:paraId="01DA22F3" w14:textId="124818FA" w:rsidR="00420051" w:rsidRDefault="00420051" w:rsidP="006834D0">
      <w:pPr>
        <w:pStyle w:val="Heading2"/>
        <w:tabs>
          <w:tab w:val="clear" w:pos="360"/>
        </w:tabs>
        <w:spacing w:before="0"/>
        <w:ind w:left="720" w:hanging="720"/>
        <w:rPr>
          <w:b w:val="0"/>
          <w:u w:val="single"/>
        </w:rPr>
      </w:pPr>
      <w:r w:rsidRPr="00BB3CEB">
        <w:rPr>
          <w:b w:val="0"/>
        </w:rPr>
        <w:t>11.</w:t>
      </w:r>
      <w:r w:rsidRPr="00BB3CEB">
        <w:rPr>
          <w:b w:val="0"/>
        </w:rPr>
        <w:tab/>
      </w:r>
      <w:r w:rsidR="00BB3CEB" w:rsidRPr="00BB3CEB">
        <w:rPr>
          <w:b w:val="0"/>
          <w:u w:val="single"/>
        </w:rPr>
        <w:t xml:space="preserve">Questions </w:t>
      </w:r>
      <w:r w:rsidR="00BB3CEB">
        <w:rPr>
          <w:b w:val="0"/>
          <w:u w:val="single"/>
        </w:rPr>
        <w:t xml:space="preserve">of a </w:t>
      </w:r>
      <w:r w:rsidR="0051257C" w:rsidRPr="00BB3CEB">
        <w:rPr>
          <w:b w:val="0"/>
          <w:u w:val="single"/>
        </w:rPr>
        <w:t>Sensitive</w:t>
      </w:r>
      <w:r w:rsidR="00BB3CEB">
        <w:rPr>
          <w:b w:val="0"/>
          <w:u w:val="single"/>
        </w:rPr>
        <w:t xml:space="preserve"> Nature</w:t>
      </w:r>
      <w:r w:rsidR="0051257C" w:rsidRPr="00BB3CEB">
        <w:rPr>
          <w:b w:val="0"/>
          <w:u w:val="single"/>
        </w:rPr>
        <w:t xml:space="preserve"> </w:t>
      </w:r>
      <w:bookmarkEnd w:id="11"/>
    </w:p>
    <w:p w14:paraId="287B7415" w14:textId="77777777" w:rsidR="00BB3CEB" w:rsidRPr="00BB3CEB" w:rsidRDefault="00BB3CEB" w:rsidP="006834D0">
      <w:pPr>
        <w:spacing w:before="0"/>
      </w:pPr>
    </w:p>
    <w:p w14:paraId="23211F20" w14:textId="77777777" w:rsidR="00420051" w:rsidRDefault="00420051" w:rsidP="006834D0">
      <w:pPr>
        <w:spacing w:before="0"/>
      </w:pPr>
      <w:r>
        <w:t>No questions of a sensitive nature are asked in the forms.</w:t>
      </w:r>
    </w:p>
    <w:p w14:paraId="48B3E2C5" w14:textId="77777777" w:rsidR="001003E3" w:rsidRDefault="001003E3" w:rsidP="00A04CD4"/>
    <w:p w14:paraId="04898028" w14:textId="77777777" w:rsidR="006834D0" w:rsidRDefault="006834D0">
      <w:pPr>
        <w:spacing w:before="0"/>
        <w:rPr>
          <w:rFonts w:cs="Arial"/>
          <w:bCs/>
          <w:iCs/>
          <w:szCs w:val="28"/>
        </w:rPr>
      </w:pPr>
      <w:bookmarkStart w:id="12" w:name="_Toc46022720"/>
      <w:r>
        <w:rPr>
          <w:b/>
        </w:rPr>
        <w:br w:type="page"/>
      </w:r>
    </w:p>
    <w:p w14:paraId="380F78BB" w14:textId="2DF0A8D3" w:rsidR="00420051" w:rsidRDefault="00420051" w:rsidP="006834D0">
      <w:pPr>
        <w:pStyle w:val="Heading2"/>
        <w:tabs>
          <w:tab w:val="clear" w:pos="360"/>
        </w:tabs>
        <w:spacing w:before="0"/>
        <w:ind w:left="720" w:hanging="720"/>
        <w:rPr>
          <w:b w:val="0"/>
          <w:u w:val="single"/>
        </w:rPr>
      </w:pPr>
      <w:r w:rsidRPr="00BB3CEB">
        <w:rPr>
          <w:b w:val="0"/>
        </w:rPr>
        <w:t>12.</w:t>
      </w:r>
      <w:r w:rsidRPr="00BB3CEB">
        <w:rPr>
          <w:b w:val="0"/>
        </w:rPr>
        <w:tab/>
      </w:r>
      <w:r w:rsidRPr="00BB3CEB">
        <w:rPr>
          <w:b w:val="0"/>
          <w:u w:val="single"/>
        </w:rPr>
        <w:t>Estimates of Annualized Hour Burden</w:t>
      </w:r>
      <w:bookmarkEnd w:id="12"/>
    </w:p>
    <w:p w14:paraId="44977D9E" w14:textId="77777777" w:rsidR="00BB3CEB" w:rsidRPr="00BB3CEB" w:rsidRDefault="00BB3CEB" w:rsidP="006834D0">
      <w:pPr>
        <w:spacing w:before="0"/>
      </w:pPr>
    </w:p>
    <w:p w14:paraId="02BAEE85" w14:textId="77777777" w:rsidR="00090C16" w:rsidRPr="00D12745" w:rsidRDefault="00BB3CEB" w:rsidP="006834D0">
      <w:pPr>
        <w:autoSpaceDE w:val="0"/>
        <w:autoSpaceDN w:val="0"/>
        <w:adjustRightInd w:val="0"/>
        <w:spacing w:before="0"/>
        <w:rPr>
          <w:b/>
        </w:rPr>
      </w:pPr>
      <w:r w:rsidRPr="00D12745">
        <w:rPr>
          <w:i/>
        </w:rPr>
        <w:t>Respondents:</w:t>
      </w:r>
      <w:r w:rsidR="004D4AB3" w:rsidRPr="00D12745">
        <w:rPr>
          <w:i/>
        </w:rPr>
        <w:t xml:space="preserve"> </w:t>
      </w:r>
      <w:r w:rsidR="004D4AB3" w:rsidRPr="00D12745">
        <w:t xml:space="preserve">AETC trainees complete the PIF at </w:t>
      </w:r>
      <w:r w:rsidR="0073685E" w:rsidRPr="00D12745">
        <w:t xml:space="preserve">every training event. Trainers are asked to complete the ER for each training event they conduct. </w:t>
      </w:r>
      <w:r w:rsidR="00010C0E" w:rsidRPr="00D12745">
        <w:t>In addition, each regional RWHAP AETC (eight total) and the RWHAP AETC National Coordinating Resource Center will compile these data into a data set and submit to HRSA HAB once a year</w:t>
      </w:r>
    </w:p>
    <w:p w14:paraId="585D08CE" w14:textId="77777777" w:rsidR="00BB3CEB" w:rsidRPr="00D12745" w:rsidRDefault="00BB3CEB" w:rsidP="00A237CC">
      <w:pPr>
        <w:pBdr>
          <w:bottom w:val="single" w:sz="6" w:space="1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rPr>
      </w:pPr>
    </w:p>
    <w:p w14:paraId="0427B24A" w14:textId="77777777" w:rsidR="00973025" w:rsidRDefault="00BB3CEB" w:rsidP="00A237CC">
      <w:pPr>
        <w:pBdr>
          <w:bottom w:val="single" w:sz="6" w:space="15"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i/>
        </w:rPr>
      </w:pPr>
      <w:r w:rsidRPr="00D12745">
        <w:rPr>
          <w:rFonts w:ascii="Times New Roman" w:eastAsia="Arial Unicode MS" w:hAnsi="Times New Roman"/>
          <w:i/>
        </w:rPr>
        <w:t>Annual burden estimates:</w:t>
      </w:r>
    </w:p>
    <w:tbl>
      <w:tblPr>
        <w:tblStyle w:val="TableGrid"/>
        <w:tblW w:w="9964" w:type="dxa"/>
        <w:tblLook w:val="04A0" w:firstRow="1" w:lastRow="0" w:firstColumn="1" w:lastColumn="0" w:noHBand="0" w:noVBand="1"/>
      </w:tblPr>
      <w:tblGrid>
        <w:gridCol w:w="1363"/>
        <w:gridCol w:w="1443"/>
        <w:gridCol w:w="1350"/>
        <w:gridCol w:w="1230"/>
        <w:gridCol w:w="1350"/>
        <w:gridCol w:w="936"/>
        <w:gridCol w:w="956"/>
        <w:gridCol w:w="1416"/>
      </w:tblGrid>
      <w:tr w:rsidR="00AE2ABC" w14:paraId="1FDC0515" w14:textId="77777777" w:rsidTr="00A237CC">
        <w:tc>
          <w:tcPr>
            <w:tcW w:w="0" w:type="auto"/>
            <w:vAlign w:val="center"/>
          </w:tcPr>
          <w:p w14:paraId="01EF7723" w14:textId="77777777" w:rsidR="00AE2ABC" w:rsidRDefault="00AE2ABC"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bookmarkStart w:id="13" w:name="_Hlk2329607"/>
            <w:r>
              <w:rPr>
                <w:rFonts w:ascii="Times New Roman" w:eastAsia="Arial Unicode MS" w:hAnsi="Times New Roman"/>
              </w:rPr>
              <w:t>Type of Collection</w:t>
            </w:r>
          </w:p>
        </w:tc>
        <w:tc>
          <w:tcPr>
            <w:tcW w:w="0" w:type="auto"/>
            <w:vAlign w:val="center"/>
          </w:tcPr>
          <w:p w14:paraId="5ABA1A4F" w14:textId="77777777" w:rsidR="00AE2ABC" w:rsidRDefault="00AE2ABC"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Number of Respondents</w:t>
            </w:r>
          </w:p>
        </w:tc>
        <w:tc>
          <w:tcPr>
            <w:tcW w:w="0" w:type="auto"/>
            <w:vAlign w:val="center"/>
          </w:tcPr>
          <w:p w14:paraId="30902311" w14:textId="77777777" w:rsidR="00AE2ABC" w:rsidRDefault="00AE2ABC"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Number of Responses per Respondent</w:t>
            </w:r>
          </w:p>
        </w:tc>
        <w:tc>
          <w:tcPr>
            <w:tcW w:w="0" w:type="auto"/>
            <w:vAlign w:val="center"/>
          </w:tcPr>
          <w:p w14:paraId="249E0FE8" w14:textId="77777777" w:rsidR="00AE2ABC" w:rsidRDefault="00AE2ABC"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Total Responses</w:t>
            </w:r>
          </w:p>
        </w:tc>
        <w:tc>
          <w:tcPr>
            <w:tcW w:w="0" w:type="auto"/>
            <w:vAlign w:val="center"/>
          </w:tcPr>
          <w:p w14:paraId="5ED4EAC1" w14:textId="77777777" w:rsidR="00AE2ABC" w:rsidRDefault="00AE2ABC"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Hours per Respondent</w:t>
            </w:r>
          </w:p>
        </w:tc>
        <w:tc>
          <w:tcPr>
            <w:tcW w:w="0" w:type="auto"/>
            <w:vAlign w:val="center"/>
          </w:tcPr>
          <w:p w14:paraId="293EE626" w14:textId="77777777" w:rsidR="00AE2ABC" w:rsidRDefault="00AE2ABC"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Total Burden Hours</w:t>
            </w:r>
          </w:p>
        </w:tc>
        <w:tc>
          <w:tcPr>
            <w:tcW w:w="0" w:type="auto"/>
            <w:vAlign w:val="center"/>
          </w:tcPr>
          <w:p w14:paraId="6D101931" w14:textId="77777777" w:rsidR="00AE2ABC" w:rsidRDefault="00AE2ABC"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Wage Rate</w:t>
            </w:r>
          </w:p>
        </w:tc>
        <w:tc>
          <w:tcPr>
            <w:tcW w:w="0" w:type="auto"/>
            <w:vAlign w:val="center"/>
          </w:tcPr>
          <w:p w14:paraId="1DA36164" w14:textId="77777777" w:rsidR="00AE2ABC" w:rsidRDefault="00AE2ABC"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Total Hour Cost</w:t>
            </w:r>
          </w:p>
        </w:tc>
      </w:tr>
      <w:tr w:rsidR="00AE2ABC" w14:paraId="58A40F4B" w14:textId="77777777" w:rsidTr="00A237CC">
        <w:tc>
          <w:tcPr>
            <w:tcW w:w="0" w:type="auto"/>
            <w:vAlign w:val="center"/>
          </w:tcPr>
          <w:p w14:paraId="56BBC29B" w14:textId="77777777" w:rsidR="00AE2ABC" w:rsidRDefault="00AE2ABC"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Participant Information Form (PIF)</w:t>
            </w:r>
          </w:p>
        </w:tc>
        <w:tc>
          <w:tcPr>
            <w:tcW w:w="0" w:type="auto"/>
            <w:vAlign w:val="center"/>
          </w:tcPr>
          <w:p w14:paraId="7C259530" w14:textId="77777777" w:rsidR="00AE2ABC" w:rsidRPr="00254A31" w:rsidRDefault="00AE2ABC" w:rsidP="00AE2ABC">
            <w:pPr>
              <w:widowControl w:val="0"/>
              <w:spacing w:before="0"/>
              <w:jc w:val="center"/>
              <w:rPr>
                <w:rFonts w:ascii="Times New Roman" w:hAnsi="Times New Roman"/>
              </w:rPr>
            </w:pPr>
            <w:r w:rsidRPr="00254A31">
              <w:rPr>
                <w:rFonts w:ascii="Times New Roman" w:hAnsi="Times New Roman"/>
              </w:rPr>
              <w:t>61,288</w:t>
            </w:r>
          </w:p>
        </w:tc>
        <w:tc>
          <w:tcPr>
            <w:tcW w:w="0" w:type="auto"/>
            <w:vAlign w:val="center"/>
          </w:tcPr>
          <w:p w14:paraId="48D94D52" w14:textId="77777777" w:rsidR="00AE2ABC" w:rsidRPr="00254A31" w:rsidRDefault="00AE2ABC" w:rsidP="00AE2ABC">
            <w:pPr>
              <w:widowControl w:val="0"/>
              <w:spacing w:before="0" w:line="375" w:lineRule="exact"/>
              <w:ind w:right="5"/>
              <w:jc w:val="center"/>
              <w:rPr>
                <w:rFonts w:ascii="Times New Roman" w:hAnsi="Times New Roman"/>
              </w:rPr>
            </w:pPr>
            <w:r w:rsidRPr="00254A31">
              <w:rPr>
                <w:rFonts w:ascii="Times New Roman" w:hAnsi="Times New Roman"/>
              </w:rPr>
              <w:t>1</w:t>
            </w:r>
          </w:p>
        </w:tc>
        <w:tc>
          <w:tcPr>
            <w:tcW w:w="0" w:type="auto"/>
            <w:vAlign w:val="center"/>
          </w:tcPr>
          <w:p w14:paraId="5378186E" w14:textId="77777777" w:rsidR="00AE2ABC" w:rsidRPr="00254A31" w:rsidRDefault="00AE2ABC" w:rsidP="00AE2ABC">
            <w:pPr>
              <w:widowControl w:val="0"/>
              <w:spacing w:before="0"/>
              <w:jc w:val="center"/>
              <w:rPr>
                <w:rFonts w:ascii="Times New Roman" w:hAnsi="Times New Roman"/>
              </w:rPr>
            </w:pPr>
            <w:r w:rsidRPr="00254A31">
              <w:rPr>
                <w:rFonts w:ascii="Times New Roman" w:hAnsi="Times New Roman"/>
              </w:rPr>
              <w:t>61,288</w:t>
            </w:r>
          </w:p>
        </w:tc>
        <w:tc>
          <w:tcPr>
            <w:tcW w:w="0" w:type="auto"/>
            <w:vAlign w:val="center"/>
          </w:tcPr>
          <w:p w14:paraId="414E2567" w14:textId="77777777" w:rsidR="00AE2ABC" w:rsidRPr="00254A31" w:rsidRDefault="00AE2ABC" w:rsidP="00AE2ABC">
            <w:pPr>
              <w:widowControl w:val="0"/>
              <w:spacing w:before="0" w:line="384" w:lineRule="exact"/>
              <w:jc w:val="center"/>
              <w:rPr>
                <w:rFonts w:ascii="Times New Roman" w:hAnsi="Times New Roman"/>
              </w:rPr>
            </w:pPr>
            <w:r w:rsidRPr="00254A31">
              <w:rPr>
                <w:rFonts w:ascii="Times New Roman" w:hAnsi="Times New Roman"/>
              </w:rPr>
              <w:t>0.05</w:t>
            </w:r>
          </w:p>
        </w:tc>
        <w:tc>
          <w:tcPr>
            <w:tcW w:w="0" w:type="auto"/>
            <w:vAlign w:val="center"/>
          </w:tcPr>
          <w:p w14:paraId="6DFDBA68" w14:textId="77777777" w:rsidR="00AE2ABC" w:rsidRPr="00254A31" w:rsidRDefault="00AE2ABC" w:rsidP="00AE2ABC">
            <w:pPr>
              <w:widowControl w:val="0"/>
              <w:spacing w:before="0" w:line="320" w:lineRule="exact"/>
              <w:jc w:val="center"/>
              <w:rPr>
                <w:rFonts w:ascii="Times New Roman" w:hAnsi="Times New Roman"/>
              </w:rPr>
            </w:pPr>
            <w:r w:rsidRPr="00254A31">
              <w:rPr>
                <w:rFonts w:ascii="Times New Roman" w:hAnsi="Times New Roman"/>
              </w:rPr>
              <w:t>3064.4</w:t>
            </w:r>
          </w:p>
        </w:tc>
        <w:tc>
          <w:tcPr>
            <w:tcW w:w="0" w:type="auto"/>
            <w:vAlign w:val="center"/>
          </w:tcPr>
          <w:p w14:paraId="39E50764" w14:textId="77777777" w:rsidR="00AE2ABC" w:rsidRPr="00254A31" w:rsidRDefault="00AE2ABC" w:rsidP="00AE2ABC">
            <w:pPr>
              <w:widowControl w:val="0"/>
              <w:spacing w:before="0" w:line="320" w:lineRule="exact"/>
              <w:jc w:val="center"/>
              <w:rPr>
                <w:rFonts w:ascii="Times New Roman" w:hAnsi="Times New Roman"/>
              </w:rPr>
            </w:pPr>
            <w:r>
              <w:rPr>
                <w:rFonts w:ascii="Times New Roman" w:hAnsi="Times New Roman"/>
              </w:rPr>
              <w:t>$27.73</w:t>
            </w:r>
            <w:r w:rsidR="00F507CC">
              <w:rPr>
                <w:rStyle w:val="FootnoteReference"/>
                <w:rFonts w:ascii="Times New Roman" w:hAnsi="Times New Roman"/>
              </w:rPr>
              <w:footnoteReference w:id="2"/>
            </w:r>
          </w:p>
        </w:tc>
        <w:tc>
          <w:tcPr>
            <w:tcW w:w="0" w:type="auto"/>
            <w:vAlign w:val="center"/>
          </w:tcPr>
          <w:p w14:paraId="2259587A" w14:textId="77777777" w:rsidR="00AE2ABC" w:rsidRPr="00254A31" w:rsidRDefault="00AE2ABC" w:rsidP="00AE2ABC">
            <w:pPr>
              <w:widowControl w:val="0"/>
              <w:spacing w:before="0" w:line="320" w:lineRule="exact"/>
              <w:jc w:val="center"/>
              <w:rPr>
                <w:rFonts w:ascii="Times New Roman" w:hAnsi="Times New Roman"/>
              </w:rPr>
            </w:pPr>
            <w:r>
              <w:rPr>
                <w:rFonts w:ascii="Times New Roman" w:hAnsi="Times New Roman"/>
              </w:rPr>
              <w:t>$84,975.81</w:t>
            </w:r>
          </w:p>
        </w:tc>
      </w:tr>
      <w:tr w:rsidR="00AE2ABC" w14:paraId="44CA8513" w14:textId="77777777" w:rsidTr="00A237CC">
        <w:tc>
          <w:tcPr>
            <w:tcW w:w="0" w:type="auto"/>
            <w:vAlign w:val="center"/>
          </w:tcPr>
          <w:p w14:paraId="28EB9B52" w14:textId="77777777" w:rsidR="00AE2ABC" w:rsidRDefault="00AE2ABC"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Event Record (ER)</w:t>
            </w:r>
          </w:p>
        </w:tc>
        <w:tc>
          <w:tcPr>
            <w:tcW w:w="0" w:type="auto"/>
            <w:vAlign w:val="center"/>
          </w:tcPr>
          <w:p w14:paraId="71B261EB" w14:textId="77777777" w:rsidR="00AE2ABC" w:rsidRPr="00254A31" w:rsidRDefault="00AE2ABC" w:rsidP="00AE2ABC">
            <w:pPr>
              <w:widowControl w:val="0"/>
              <w:spacing w:before="0"/>
              <w:jc w:val="center"/>
              <w:rPr>
                <w:rFonts w:ascii="Times New Roman" w:hAnsi="Times New Roman"/>
              </w:rPr>
            </w:pPr>
            <w:r w:rsidRPr="00254A31">
              <w:rPr>
                <w:rFonts w:ascii="Times New Roman" w:hAnsi="Times New Roman"/>
              </w:rPr>
              <w:t>10,522</w:t>
            </w:r>
          </w:p>
        </w:tc>
        <w:tc>
          <w:tcPr>
            <w:tcW w:w="0" w:type="auto"/>
            <w:vAlign w:val="center"/>
          </w:tcPr>
          <w:p w14:paraId="636358FF" w14:textId="77777777" w:rsidR="00AE2ABC" w:rsidRPr="00254A31" w:rsidRDefault="00AE2ABC" w:rsidP="00AE2ABC">
            <w:pPr>
              <w:widowControl w:val="0"/>
              <w:spacing w:before="0"/>
              <w:jc w:val="center"/>
              <w:rPr>
                <w:rFonts w:ascii="Times New Roman" w:hAnsi="Times New Roman"/>
              </w:rPr>
            </w:pPr>
            <w:r w:rsidRPr="00254A31">
              <w:rPr>
                <w:rFonts w:ascii="Times New Roman" w:hAnsi="Times New Roman"/>
              </w:rPr>
              <w:t>1</w:t>
            </w:r>
          </w:p>
        </w:tc>
        <w:tc>
          <w:tcPr>
            <w:tcW w:w="0" w:type="auto"/>
            <w:vAlign w:val="center"/>
          </w:tcPr>
          <w:p w14:paraId="755A2CBD" w14:textId="77777777" w:rsidR="00AE2ABC" w:rsidRPr="00254A31" w:rsidRDefault="00AE2ABC" w:rsidP="00AE2ABC">
            <w:pPr>
              <w:widowControl w:val="0"/>
              <w:spacing w:before="0"/>
              <w:jc w:val="center"/>
              <w:rPr>
                <w:rFonts w:ascii="Times New Roman" w:hAnsi="Times New Roman"/>
              </w:rPr>
            </w:pPr>
            <w:r w:rsidRPr="00254A31">
              <w:rPr>
                <w:rFonts w:ascii="Times New Roman" w:hAnsi="Times New Roman"/>
              </w:rPr>
              <w:t>10,522</w:t>
            </w:r>
          </w:p>
        </w:tc>
        <w:tc>
          <w:tcPr>
            <w:tcW w:w="0" w:type="auto"/>
            <w:vAlign w:val="center"/>
          </w:tcPr>
          <w:p w14:paraId="1F734367" w14:textId="3B9D9A82" w:rsidR="00AE2ABC" w:rsidRPr="00254A31" w:rsidRDefault="00AE2ABC" w:rsidP="00AE2ABC">
            <w:pPr>
              <w:widowControl w:val="0"/>
              <w:spacing w:before="0"/>
              <w:jc w:val="center"/>
              <w:rPr>
                <w:rFonts w:ascii="Times New Roman" w:hAnsi="Times New Roman"/>
              </w:rPr>
            </w:pPr>
            <w:r w:rsidRPr="00254A31">
              <w:rPr>
                <w:rFonts w:ascii="Times New Roman" w:hAnsi="Times New Roman"/>
              </w:rPr>
              <w:t>0.1</w:t>
            </w:r>
            <w:r w:rsidR="00994AFB">
              <w:rPr>
                <w:rFonts w:ascii="Times New Roman" w:hAnsi="Times New Roman"/>
              </w:rPr>
              <w:t>3</w:t>
            </w:r>
          </w:p>
        </w:tc>
        <w:tc>
          <w:tcPr>
            <w:tcW w:w="0" w:type="auto"/>
            <w:vAlign w:val="center"/>
          </w:tcPr>
          <w:p w14:paraId="23ED79E5" w14:textId="4C8EC53A" w:rsidR="00AE2ABC" w:rsidRPr="00254A31" w:rsidRDefault="00994AFB" w:rsidP="00994AFB">
            <w:pPr>
              <w:widowControl w:val="0"/>
              <w:spacing w:before="0"/>
              <w:jc w:val="center"/>
              <w:rPr>
                <w:rFonts w:ascii="Times New Roman" w:hAnsi="Times New Roman"/>
              </w:rPr>
            </w:pPr>
            <w:r>
              <w:rPr>
                <w:rFonts w:ascii="Times New Roman" w:hAnsi="Times New Roman"/>
              </w:rPr>
              <w:t>1367</w:t>
            </w:r>
            <w:r w:rsidR="00AE2ABC" w:rsidRPr="00254A31">
              <w:rPr>
                <w:rFonts w:ascii="Times New Roman" w:hAnsi="Times New Roman"/>
              </w:rPr>
              <w:t>.</w:t>
            </w:r>
            <w:r>
              <w:rPr>
                <w:rFonts w:ascii="Times New Roman" w:hAnsi="Times New Roman"/>
              </w:rPr>
              <w:t>9</w:t>
            </w:r>
          </w:p>
        </w:tc>
        <w:tc>
          <w:tcPr>
            <w:tcW w:w="0" w:type="auto"/>
            <w:vAlign w:val="center"/>
          </w:tcPr>
          <w:p w14:paraId="686A17DC" w14:textId="77777777" w:rsidR="00AE2ABC" w:rsidRPr="00254A31" w:rsidRDefault="00AE2ABC" w:rsidP="00AE2ABC">
            <w:pPr>
              <w:widowControl w:val="0"/>
              <w:spacing w:before="0"/>
              <w:jc w:val="center"/>
              <w:rPr>
                <w:rFonts w:ascii="Times New Roman" w:hAnsi="Times New Roman"/>
              </w:rPr>
            </w:pPr>
            <w:r>
              <w:rPr>
                <w:rFonts w:ascii="Times New Roman" w:hAnsi="Times New Roman"/>
              </w:rPr>
              <w:t>$27.43</w:t>
            </w:r>
          </w:p>
        </w:tc>
        <w:tc>
          <w:tcPr>
            <w:tcW w:w="0" w:type="auto"/>
            <w:vAlign w:val="center"/>
          </w:tcPr>
          <w:p w14:paraId="492252AD" w14:textId="642DA46F" w:rsidR="00AE2ABC" w:rsidRPr="00254A31" w:rsidRDefault="00AE2ABC" w:rsidP="00994AFB">
            <w:pPr>
              <w:widowControl w:val="0"/>
              <w:spacing w:before="0"/>
              <w:jc w:val="center"/>
              <w:rPr>
                <w:rFonts w:ascii="Times New Roman" w:hAnsi="Times New Roman"/>
              </w:rPr>
            </w:pPr>
            <w:r>
              <w:rPr>
                <w:rFonts w:ascii="Times New Roman" w:hAnsi="Times New Roman"/>
              </w:rPr>
              <w:t>$</w:t>
            </w:r>
            <w:r w:rsidR="00994AFB">
              <w:rPr>
                <w:rFonts w:ascii="Times New Roman" w:hAnsi="Times New Roman"/>
              </w:rPr>
              <w:t>37</w:t>
            </w:r>
            <w:r>
              <w:rPr>
                <w:rFonts w:ascii="Times New Roman" w:hAnsi="Times New Roman"/>
              </w:rPr>
              <w:t>,</w:t>
            </w:r>
            <w:r w:rsidR="00994AFB">
              <w:rPr>
                <w:rFonts w:ascii="Times New Roman" w:hAnsi="Times New Roman"/>
              </w:rPr>
              <w:t>52</w:t>
            </w:r>
            <w:r>
              <w:rPr>
                <w:rFonts w:ascii="Times New Roman" w:hAnsi="Times New Roman"/>
              </w:rPr>
              <w:t>1.</w:t>
            </w:r>
            <w:r w:rsidR="00994AFB">
              <w:rPr>
                <w:rFonts w:ascii="Times New Roman" w:hAnsi="Times New Roman"/>
              </w:rPr>
              <w:t>50</w:t>
            </w:r>
          </w:p>
        </w:tc>
      </w:tr>
      <w:tr w:rsidR="00AE2ABC" w14:paraId="42227923" w14:textId="77777777" w:rsidTr="00A237CC">
        <w:tc>
          <w:tcPr>
            <w:tcW w:w="0" w:type="auto"/>
            <w:vAlign w:val="center"/>
          </w:tcPr>
          <w:p w14:paraId="285FF5A8" w14:textId="77777777" w:rsidR="00AE2ABC" w:rsidRDefault="00AE2ABC"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Total</w:t>
            </w:r>
          </w:p>
        </w:tc>
        <w:tc>
          <w:tcPr>
            <w:tcW w:w="0" w:type="auto"/>
            <w:vAlign w:val="center"/>
          </w:tcPr>
          <w:p w14:paraId="045FFA03" w14:textId="77777777" w:rsidR="00AE2ABC" w:rsidRPr="00254A31" w:rsidRDefault="00AE2ABC" w:rsidP="00AE2ABC">
            <w:pPr>
              <w:widowControl w:val="0"/>
              <w:spacing w:before="0"/>
              <w:jc w:val="center"/>
              <w:rPr>
                <w:rFonts w:ascii="Times New Roman" w:hAnsi="Times New Roman"/>
              </w:rPr>
            </w:pPr>
            <w:r w:rsidRPr="00254A31">
              <w:rPr>
                <w:rFonts w:ascii="Times New Roman" w:hAnsi="Times New Roman"/>
              </w:rPr>
              <w:t>71,810</w:t>
            </w:r>
          </w:p>
        </w:tc>
        <w:tc>
          <w:tcPr>
            <w:tcW w:w="0" w:type="auto"/>
            <w:vAlign w:val="center"/>
          </w:tcPr>
          <w:p w14:paraId="7106FF9B" w14:textId="77777777" w:rsidR="00AE2ABC" w:rsidRPr="00254A31" w:rsidRDefault="00AE2ABC" w:rsidP="00AE2ABC">
            <w:pPr>
              <w:widowControl w:val="0"/>
              <w:spacing w:before="0"/>
              <w:jc w:val="center"/>
              <w:rPr>
                <w:rFonts w:ascii="Times New Roman" w:hAnsi="Times New Roman"/>
              </w:rPr>
            </w:pPr>
          </w:p>
        </w:tc>
        <w:tc>
          <w:tcPr>
            <w:tcW w:w="0" w:type="auto"/>
            <w:vAlign w:val="center"/>
          </w:tcPr>
          <w:p w14:paraId="3488D831" w14:textId="00545F4E" w:rsidR="00AE2ABC" w:rsidRPr="00254A31" w:rsidRDefault="00960DE6" w:rsidP="00AE2ABC">
            <w:pPr>
              <w:widowControl w:val="0"/>
              <w:spacing w:before="0"/>
              <w:jc w:val="center"/>
              <w:rPr>
                <w:rFonts w:ascii="Times New Roman" w:hAnsi="Times New Roman"/>
              </w:rPr>
            </w:pPr>
            <w:r>
              <w:rPr>
                <w:rFonts w:ascii="Times New Roman" w:hAnsi="Times New Roman"/>
              </w:rPr>
              <w:t>71,810</w:t>
            </w:r>
          </w:p>
        </w:tc>
        <w:tc>
          <w:tcPr>
            <w:tcW w:w="0" w:type="auto"/>
            <w:vAlign w:val="center"/>
          </w:tcPr>
          <w:p w14:paraId="00DAA573" w14:textId="77777777" w:rsidR="00AE2ABC" w:rsidRPr="00254A31" w:rsidRDefault="00AE2ABC" w:rsidP="00AE2ABC">
            <w:pPr>
              <w:widowControl w:val="0"/>
              <w:spacing w:before="0"/>
              <w:jc w:val="center"/>
              <w:rPr>
                <w:rFonts w:ascii="Times New Roman" w:hAnsi="Times New Roman"/>
              </w:rPr>
            </w:pPr>
          </w:p>
        </w:tc>
        <w:tc>
          <w:tcPr>
            <w:tcW w:w="0" w:type="auto"/>
            <w:vAlign w:val="center"/>
          </w:tcPr>
          <w:p w14:paraId="5F09D17E" w14:textId="4CA2CD34" w:rsidR="00AE2ABC" w:rsidRPr="00254A31" w:rsidRDefault="00AE2ABC" w:rsidP="00994AFB">
            <w:pPr>
              <w:widowControl w:val="0"/>
              <w:spacing w:before="0"/>
              <w:jc w:val="center"/>
              <w:rPr>
                <w:rFonts w:ascii="Times New Roman" w:hAnsi="Times New Roman"/>
              </w:rPr>
            </w:pPr>
            <w:r w:rsidRPr="00254A31">
              <w:rPr>
                <w:rFonts w:ascii="Times New Roman" w:hAnsi="Times New Roman"/>
              </w:rPr>
              <w:t>4,</w:t>
            </w:r>
            <w:r w:rsidR="00994AFB">
              <w:rPr>
                <w:rFonts w:ascii="Times New Roman" w:hAnsi="Times New Roman"/>
              </w:rPr>
              <w:t>432</w:t>
            </w:r>
            <w:r w:rsidRPr="00254A31">
              <w:rPr>
                <w:rFonts w:ascii="Times New Roman" w:hAnsi="Times New Roman"/>
              </w:rPr>
              <w:t>.</w:t>
            </w:r>
            <w:r w:rsidR="00994AFB">
              <w:rPr>
                <w:rFonts w:ascii="Times New Roman" w:hAnsi="Times New Roman"/>
              </w:rPr>
              <w:t>3</w:t>
            </w:r>
          </w:p>
        </w:tc>
        <w:tc>
          <w:tcPr>
            <w:tcW w:w="0" w:type="auto"/>
            <w:vAlign w:val="center"/>
          </w:tcPr>
          <w:p w14:paraId="16B6A8C4" w14:textId="77777777" w:rsidR="00AE2ABC" w:rsidRPr="00973025" w:rsidRDefault="00AE2ABC" w:rsidP="00AE2ABC">
            <w:pPr>
              <w:widowControl w:val="0"/>
              <w:spacing w:before="0"/>
              <w:jc w:val="center"/>
              <w:rPr>
                <w:rFonts w:ascii="Times New Roman" w:hAnsi="Times New Roman"/>
              </w:rPr>
            </w:pPr>
          </w:p>
        </w:tc>
        <w:tc>
          <w:tcPr>
            <w:tcW w:w="0" w:type="auto"/>
            <w:vAlign w:val="center"/>
          </w:tcPr>
          <w:p w14:paraId="78752BE9" w14:textId="16BFD851" w:rsidR="00AE2ABC" w:rsidRPr="00973025" w:rsidRDefault="00AE2ABC" w:rsidP="00994AFB">
            <w:pPr>
              <w:widowControl w:val="0"/>
              <w:spacing w:before="0"/>
              <w:jc w:val="center"/>
              <w:rPr>
                <w:rFonts w:ascii="Times New Roman" w:hAnsi="Times New Roman"/>
              </w:rPr>
            </w:pPr>
            <w:r>
              <w:rPr>
                <w:rFonts w:ascii="Times New Roman" w:hAnsi="Times New Roman"/>
              </w:rPr>
              <w:t>$1</w:t>
            </w:r>
            <w:r w:rsidR="00994AFB">
              <w:rPr>
                <w:rFonts w:ascii="Times New Roman" w:hAnsi="Times New Roman"/>
              </w:rPr>
              <w:t>22</w:t>
            </w:r>
            <w:r>
              <w:rPr>
                <w:rFonts w:ascii="Times New Roman" w:hAnsi="Times New Roman"/>
              </w:rPr>
              <w:t>,</w:t>
            </w:r>
            <w:r w:rsidR="00994AFB">
              <w:rPr>
                <w:rFonts w:ascii="Times New Roman" w:hAnsi="Times New Roman"/>
              </w:rPr>
              <w:t>497</w:t>
            </w:r>
            <w:r>
              <w:rPr>
                <w:rFonts w:ascii="Times New Roman" w:hAnsi="Times New Roman"/>
              </w:rPr>
              <w:t>.</w:t>
            </w:r>
            <w:r w:rsidR="00994AFB">
              <w:rPr>
                <w:rFonts w:ascii="Times New Roman" w:hAnsi="Times New Roman"/>
              </w:rPr>
              <w:t>31</w:t>
            </w:r>
          </w:p>
        </w:tc>
      </w:tr>
    </w:tbl>
    <w:p w14:paraId="3F8E1858" w14:textId="77777777" w:rsidR="00973025" w:rsidRDefault="00973025" w:rsidP="00973025">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rPr>
      </w:pPr>
    </w:p>
    <w:p w14:paraId="4948BFA2" w14:textId="77777777" w:rsidR="00BB3CEB" w:rsidRPr="00973025" w:rsidRDefault="00BB3CEB" w:rsidP="00973025">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Arial Unicode MS" w:hAnsi="Times New Roman"/>
        </w:rPr>
      </w:pPr>
    </w:p>
    <w:tbl>
      <w:tblPr>
        <w:tblW w:w="9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5"/>
        <w:gridCol w:w="1594"/>
        <w:gridCol w:w="1717"/>
        <w:gridCol w:w="1349"/>
        <w:gridCol w:w="1226"/>
        <w:gridCol w:w="1594"/>
      </w:tblGrid>
      <w:tr w:rsidR="00973025" w:rsidRPr="00973025" w14:paraId="5E705D9D" w14:textId="77777777" w:rsidTr="00BF3187">
        <w:trPr>
          <w:trHeight w:val="622"/>
        </w:trPr>
        <w:tc>
          <w:tcPr>
            <w:tcW w:w="2085" w:type="dxa"/>
            <w:tcBorders>
              <w:top w:val="nil"/>
            </w:tcBorders>
            <w:vAlign w:val="center"/>
          </w:tcPr>
          <w:p w14:paraId="06EC97A0" w14:textId="77777777" w:rsidR="00973025" w:rsidRPr="00973025" w:rsidRDefault="00973025"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p>
        </w:tc>
        <w:tc>
          <w:tcPr>
            <w:tcW w:w="1594" w:type="dxa"/>
            <w:tcBorders>
              <w:top w:val="nil"/>
            </w:tcBorders>
            <w:vAlign w:val="center"/>
          </w:tcPr>
          <w:p w14:paraId="3D818C93" w14:textId="77777777" w:rsidR="00973025" w:rsidRPr="00973025" w:rsidRDefault="00973025"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sidRPr="00973025">
              <w:rPr>
                <w:rFonts w:ascii="Times New Roman" w:eastAsia="Arial Unicode MS" w:hAnsi="Times New Roman"/>
              </w:rPr>
              <w:t>Number of Respondents</w:t>
            </w:r>
          </w:p>
        </w:tc>
        <w:tc>
          <w:tcPr>
            <w:tcW w:w="1717" w:type="dxa"/>
            <w:tcBorders>
              <w:top w:val="nil"/>
            </w:tcBorders>
            <w:vAlign w:val="center"/>
          </w:tcPr>
          <w:p w14:paraId="2DFAA6C4" w14:textId="77777777" w:rsidR="00973025" w:rsidRPr="00973025" w:rsidRDefault="00973025"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sidRPr="00973025">
              <w:rPr>
                <w:rFonts w:ascii="Times New Roman" w:eastAsia="Arial Unicode MS" w:hAnsi="Times New Roman"/>
              </w:rPr>
              <w:t>Responses per Respondent</w:t>
            </w:r>
          </w:p>
        </w:tc>
        <w:tc>
          <w:tcPr>
            <w:tcW w:w="1349" w:type="dxa"/>
            <w:tcBorders>
              <w:top w:val="nil"/>
            </w:tcBorders>
            <w:vAlign w:val="center"/>
          </w:tcPr>
          <w:p w14:paraId="03DC6BFF" w14:textId="77777777" w:rsidR="00973025" w:rsidRPr="00973025" w:rsidRDefault="00973025"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sidRPr="00973025">
              <w:rPr>
                <w:rFonts w:ascii="Times New Roman" w:eastAsia="Arial Unicode MS" w:hAnsi="Times New Roman"/>
              </w:rPr>
              <w:t>Total Responses</w:t>
            </w:r>
          </w:p>
        </w:tc>
        <w:tc>
          <w:tcPr>
            <w:tcW w:w="1226" w:type="dxa"/>
            <w:tcBorders>
              <w:top w:val="nil"/>
            </w:tcBorders>
            <w:vAlign w:val="center"/>
          </w:tcPr>
          <w:p w14:paraId="3A27D15B" w14:textId="77777777" w:rsidR="00973025" w:rsidRPr="00973025" w:rsidRDefault="00973025"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sidRPr="00973025">
              <w:rPr>
                <w:rFonts w:ascii="Times New Roman" w:eastAsia="Arial Unicode MS" w:hAnsi="Times New Roman"/>
              </w:rPr>
              <w:t>Hours per Response</w:t>
            </w:r>
          </w:p>
        </w:tc>
        <w:tc>
          <w:tcPr>
            <w:tcW w:w="1594" w:type="dxa"/>
            <w:tcBorders>
              <w:top w:val="single" w:sz="4" w:space="0" w:color="auto"/>
            </w:tcBorders>
            <w:vAlign w:val="center"/>
          </w:tcPr>
          <w:p w14:paraId="249760FC" w14:textId="77777777" w:rsidR="00973025" w:rsidRPr="00973025" w:rsidRDefault="00973025"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sidRPr="00973025">
              <w:rPr>
                <w:rFonts w:ascii="Times New Roman" w:eastAsia="Arial Unicode MS" w:hAnsi="Times New Roman"/>
              </w:rPr>
              <w:t>Total Burden Hours</w:t>
            </w:r>
          </w:p>
        </w:tc>
      </w:tr>
      <w:tr w:rsidR="00973025" w:rsidRPr="00973025" w14:paraId="0A659C22" w14:textId="77777777" w:rsidTr="00AE2ABC">
        <w:trPr>
          <w:trHeight w:val="605"/>
        </w:trPr>
        <w:tc>
          <w:tcPr>
            <w:tcW w:w="2085" w:type="dxa"/>
            <w:vAlign w:val="center"/>
          </w:tcPr>
          <w:p w14:paraId="17C44779" w14:textId="77777777" w:rsidR="00973025" w:rsidRPr="00973025" w:rsidRDefault="00973025"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sidRPr="00973025">
              <w:rPr>
                <w:rFonts w:ascii="Times New Roman" w:eastAsia="Arial Unicode MS" w:hAnsi="Times New Roman"/>
              </w:rPr>
              <w:t>Aggregate Data Set</w:t>
            </w:r>
          </w:p>
        </w:tc>
        <w:tc>
          <w:tcPr>
            <w:tcW w:w="1594" w:type="dxa"/>
            <w:vAlign w:val="center"/>
          </w:tcPr>
          <w:p w14:paraId="5FF6B4F6" w14:textId="77777777" w:rsidR="00973025" w:rsidRPr="00973025" w:rsidRDefault="0073685E"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9</w:t>
            </w:r>
          </w:p>
        </w:tc>
        <w:tc>
          <w:tcPr>
            <w:tcW w:w="1717" w:type="dxa"/>
            <w:vAlign w:val="center"/>
          </w:tcPr>
          <w:p w14:paraId="16893090" w14:textId="77777777" w:rsidR="00973025" w:rsidRPr="00973025" w:rsidRDefault="00973025"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sidRPr="00973025">
              <w:rPr>
                <w:rFonts w:ascii="Times New Roman" w:eastAsia="Arial Unicode MS" w:hAnsi="Times New Roman"/>
              </w:rPr>
              <w:t>1</w:t>
            </w:r>
          </w:p>
        </w:tc>
        <w:tc>
          <w:tcPr>
            <w:tcW w:w="1349" w:type="dxa"/>
            <w:vAlign w:val="center"/>
          </w:tcPr>
          <w:p w14:paraId="2818CD12" w14:textId="77777777" w:rsidR="00973025" w:rsidRPr="00973025" w:rsidRDefault="0073685E"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9</w:t>
            </w:r>
          </w:p>
        </w:tc>
        <w:tc>
          <w:tcPr>
            <w:tcW w:w="1226" w:type="dxa"/>
            <w:vAlign w:val="center"/>
          </w:tcPr>
          <w:p w14:paraId="5A7FED53" w14:textId="77777777" w:rsidR="00973025" w:rsidRPr="00973025" w:rsidRDefault="00457B27"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10</w:t>
            </w:r>
          </w:p>
        </w:tc>
        <w:tc>
          <w:tcPr>
            <w:tcW w:w="1594" w:type="dxa"/>
            <w:vAlign w:val="center"/>
          </w:tcPr>
          <w:p w14:paraId="78C0756C" w14:textId="77777777" w:rsidR="00973025" w:rsidRPr="00973025" w:rsidRDefault="00457B27" w:rsidP="00AE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eastAsia="Arial Unicode MS" w:hAnsi="Times New Roman"/>
              </w:rPr>
            </w:pPr>
            <w:r>
              <w:rPr>
                <w:rFonts w:ascii="Times New Roman" w:eastAsia="Arial Unicode MS" w:hAnsi="Times New Roman"/>
              </w:rPr>
              <w:t>90</w:t>
            </w:r>
          </w:p>
        </w:tc>
      </w:tr>
      <w:bookmarkEnd w:id="13"/>
    </w:tbl>
    <w:p w14:paraId="77238D67" w14:textId="77777777" w:rsidR="00566396" w:rsidRDefault="00566396" w:rsidP="00566396"/>
    <w:p w14:paraId="29F4AC71" w14:textId="6C7506C9" w:rsidR="00010C0E" w:rsidRDefault="00DF4FDB" w:rsidP="00010C0E">
      <w:r>
        <w:t xml:space="preserve">There are an estimated 61,288 trainees who attend AETC training events every year. During the pilot of the PIF, respondents’ estimated burden averaged three minutes (0.05 of an hour) to complete the form. There are an estimated 10,522 trainers who conduct AETC training events every year. During the pilot of the ER, respondents’ estimated burden averaged </w:t>
      </w:r>
      <w:r w:rsidR="00994AFB">
        <w:t>13</w:t>
      </w:r>
      <w:r>
        <w:t xml:space="preserve"> minutes (0.</w:t>
      </w:r>
      <w:r w:rsidR="00994AFB">
        <w:t>13</w:t>
      </w:r>
      <w:r>
        <w:t xml:space="preserve">) to complete the form. Respondents from the </w:t>
      </w:r>
      <w:r w:rsidR="00D12745">
        <w:t xml:space="preserve">regional offices also estimated </w:t>
      </w:r>
      <w:r w:rsidR="00457B27">
        <w:t>10 hours</w:t>
      </w:r>
      <w:r w:rsidR="00D12745">
        <w:t xml:space="preserve"> to complete the aggregate data.</w:t>
      </w:r>
      <w:r>
        <w:t xml:space="preserve"> </w:t>
      </w:r>
      <w:r w:rsidR="00010C0E" w:rsidRPr="009850D5">
        <w:t>The total annual burden for this activity is 4,</w:t>
      </w:r>
      <w:r w:rsidR="00994AFB">
        <w:t>432</w:t>
      </w:r>
      <w:r w:rsidR="00010C0E" w:rsidRPr="009850D5">
        <w:t>.</w:t>
      </w:r>
      <w:r w:rsidR="00994AFB">
        <w:t>20</w:t>
      </w:r>
      <w:r w:rsidR="00010C0E" w:rsidRPr="009850D5">
        <w:t xml:space="preserve"> (PIF, ER and aggregate data) hours.</w:t>
      </w:r>
    </w:p>
    <w:p w14:paraId="2A8846FD" w14:textId="77777777" w:rsidR="009850D5" w:rsidRDefault="009850D5" w:rsidP="00BB3CEB">
      <w:pPr>
        <w:pStyle w:val="NormalSS"/>
        <w:ind w:firstLine="0"/>
        <w:jc w:val="left"/>
        <w:rPr>
          <w:bCs/>
          <w:szCs w:val="24"/>
          <w:highlight w:val="yellow"/>
        </w:rPr>
      </w:pPr>
    </w:p>
    <w:p w14:paraId="49182CE1" w14:textId="77777777" w:rsidR="00BB3CEB" w:rsidRPr="009850D5" w:rsidRDefault="00BB3CEB" w:rsidP="00BB3CEB">
      <w:pPr>
        <w:pStyle w:val="NormalSS"/>
        <w:ind w:firstLine="0"/>
        <w:jc w:val="left"/>
        <w:rPr>
          <w:i/>
          <w:szCs w:val="24"/>
        </w:rPr>
      </w:pPr>
    </w:p>
    <w:p w14:paraId="3F7E8CD4" w14:textId="77777777" w:rsidR="00BB3CEB" w:rsidRPr="009850D5" w:rsidRDefault="00BB3CEB" w:rsidP="00BB3CEB">
      <w:pPr>
        <w:pStyle w:val="NormalSS"/>
        <w:ind w:firstLine="0"/>
        <w:jc w:val="left"/>
        <w:rPr>
          <w:szCs w:val="24"/>
        </w:rPr>
      </w:pPr>
      <w:r w:rsidRPr="009850D5">
        <w:rPr>
          <w:i/>
          <w:szCs w:val="24"/>
        </w:rPr>
        <w:t>Planned frequency of information collection:</w:t>
      </w:r>
      <w:r w:rsidR="009850D5" w:rsidRPr="009850D5">
        <w:rPr>
          <w:i/>
          <w:szCs w:val="24"/>
        </w:rPr>
        <w:t xml:space="preserve"> </w:t>
      </w:r>
      <w:r w:rsidR="009850D5" w:rsidRPr="009850D5">
        <w:rPr>
          <w:szCs w:val="24"/>
        </w:rPr>
        <w:t>The PIF and ER forms will be completed throughout the year as trainings are conducted. The aggregate data will be compiled and submitted once a year to HRSA HAB.</w:t>
      </w:r>
    </w:p>
    <w:p w14:paraId="219B9BF5" w14:textId="77777777" w:rsidR="001F37F3" w:rsidRDefault="001F37F3">
      <w:pPr>
        <w:spacing w:before="0"/>
        <w:rPr>
          <w:rFonts w:cs="Arial"/>
          <w:bCs/>
          <w:iCs/>
          <w:szCs w:val="28"/>
        </w:rPr>
      </w:pPr>
      <w:bookmarkStart w:id="14" w:name="_Toc46022721"/>
      <w:r>
        <w:rPr>
          <w:b/>
        </w:rPr>
        <w:br w:type="page"/>
      </w:r>
    </w:p>
    <w:p w14:paraId="74ED79BA" w14:textId="00B7AE05" w:rsidR="00420051" w:rsidRDefault="00420051" w:rsidP="001F37F3">
      <w:pPr>
        <w:pStyle w:val="Heading2"/>
        <w:tabs>
          <w:tab w:val="clear" w:pos="360"/>
        </w:tabs>
        <w:spacing w:before="0"/>
        <w:ind w:left="720" w:hanging="720"/>
        <w:rPr>
          <w:b w:val="0"/>
          <w:u w:val="single"/>
        </w:rPr>
      </w:pPr>
      <w:r w:rsidRPr="00BB3CEB">
        <w:rPr>
          <w:b w:val="0"/>
        </w:rPr>
        <w:t>13.</w:t>
      </w:r>
      <w:r w:rsidRPr="00BB3CEB">
        <w:rPr>
          <w:b w:val="0"/>
        </w:rPr>
        <w:tab/>
      </w:r>
      <w:r w:rsidRPr="00BB3CEB">
        <w:rPr>
          <w:b w:val="0"/>
          <w:u w:val="single"/>
        </w:rPr>
        <w:t xml:space="preserve">Estimates of </w:t>
      </w:r>
      <w:r w:rsidR="00BB3CEB">
        <w:rPr>
          <w:b w:val="0"/>
          <w:u w:val="single"/>
        </w:rPr>
        <w:t>Annualized</w:t>
      </w:r>
      <w:r w:rsidRPr="00BB3CEB">
        <w:rPr>
          <w:b w:val="0"/>
          <w:u w:val="single"/>
        </w:rPr>
        <w:t xml:space="preserve"> Cost Burden to Respondents</w:t>
      </w:r>
      <w:bookmarkEnd w:id="14"/>
    </w:p>
    <w:p w14:paraId="5563D72B" w14:textId="77777777" w:rsidR="00DD2FC5" w:rsidRPr="00DD2FC5" w:rsidRDefault="00DD2FC5" w:rsidP="001F37F3">
      <w:pPr>
        <w:spacing w:before="0"/>
      </w:pPr>
    </w:p>
    <w:p w14:paraId="72427D89" w14:textId="77777777" w:rsidR="004E046F" w:rsidRDefault="00420051" w:rsidP="001F37F3">
      <w:pPr>
        <w:spacing w:before="0"/>
      </w:pPr>
      <w:r w:rsidRPr="004E046F">
        <w:t>There are</w:t>
      </w:r>
      <w:r w:rsidR="005C2839">
        <w:t xml:space="preserve"> </w:t>
      </w:r>
      <w:r w:rsidRPr="004E046F">
        <w:t>n</w:t>
      </w:r>
      <w:r w:rsidR="00D221F8" w:rsidRPr="004E046F">
        <w:t>o</w:t>
      </w:r>
      <w:r w:rsidR="005C2839">
        <w:t xml:space="preserve"> capital or start-</w:t>
      </w:r>
      <w:r w:rsidR="00D221F8" w:rsidRPr="004E046F">
        <w:t>up costs for this project</w:t>
      </w:r>
      <w:r w:rsidR="009922C4" w:rsidRPr="004E046F">
        <w:t>.</w:t>
      </w:r>
    </w:p>
    <w:p w14:paraId="04B1F1AA" w14:textId="77777777" w:rsidR="001F37F3" w:rsidRDefault="001F37F3" w:rsidP="001F37F3">
      <w:pPr>
        <w:pStyle w:val="Heading2"/>
        <w:tabs>
          <w:tab w:val="clear" w:pos="360"/>
        </w:tabs>
        <w:spacing w:before="0"/>
        <w:ind w:left="720" w:hanging="720"/>
        <w:rPr>
          <w:b w:val="0"/>
        </w:rPr>
      </w:pPr>
    </w:p>
    <w:p w14:paraId="7E5D83FE" w14:textId="164F8BC6" w:rsidR="00420051" w:rsidRDefault="004E046F" w:rsidP="001F37F3">
      <w:pPr>
        <w:pStyle w:val="Heading2"/>
        <w:tabs>
          <w:tab w:val="clear" w:pos="360"/>
        </w:tabs>
        <w:spacing w:before="0"/>
        <w:ind w:left="720" w:hanging="720"/>
        <w:rPr>
          <w:b w:val="0"/>
          <w:u w:val="single"/>
        </w:rPr>
      </w:pPr>
      <w:r w:rsidRPr="00DD2FC5">
        <w:rPr>
          <w:b w:val="0"/>
        </w:rPr>
        <w:t>1</w:t>
      </w:r>
      <w:bookmarkStart w:id="15" w:name="_Toc46022722"/>
      <w:r w:rsidR="00420051" w:rsidRPr="00DD2FC5">
        <w:rPr>
          <w:b w:val="0"/>
        </w:rPr>
        <w:t>4.</w:t>
      </w:r>
      <w:r w:rsidR="00420051" w:rsidRPr="00DD2FC5">
        <w:rPr>
          <w:b w:val="0"/>
        </w:rPr>
        <w:tab/>
      </w:r>
      <w:r w:rsidR="00DD2FC5" w:rsidRPr="00DD2FC5">
        <w:rPr>
          <w:b w:val="0"/>
          <w:u w:val="single"/>
        </w:rPr>
        <w:t xml:space="preserve">Estimates of </w:t>
      </w:r>
      <w:r w:rsidR="00420051" w:rsidRPr="00DD2FC5">
        <w:rPr>
          <w:b w:val="0"/>
          <w:u w:val="single"/>
        </w:rPr>
        <w:t xml:space="preserve">Annualized Cost to </w:t>
      </w:r>
      <w:r w:rsidR="00DD2FC5" w:rsidRPr="00DD2FC5">
        <w:rPr>
          <w:b w:val="0"/>
          <w:u w:val="single"/>
        </w:rPr>
        <w:t>the</w:t>
      </w:r>
      <w:r w:rsidR="00420051" w:rsidRPr="00DD2FC5">
        <w:rPr>
          <w:b w:val="0"/>
          <w:u w:val="single"/>
        </w:rPr>
        <w:t xml:space="preserve"> Government</w:t>
      </w:r>
      <w:bookmarkEnd w:id="15"/>
    </w:p>
    <w:p w14:paraId="649DAA2C" w14:textId="77777777" w:rsidR="00DD2FC5" w:rsidRPr="00DD2FC5" w:rsidRDefault="00DD2FC5" w:rsidP="001F37F3">
      <w:pPr>
        <w:spacing w:before="0"/>
      </w:pPr>
    </w:p>
    <w:p w14:paraId="0F96406A" w14:textId="77777777" w:rsidR="00420051" w:rsidRDefault="00420051" w:rsidP="001F37F3">
      <w:pPr>
        <w:spacing w:before="0"/>
      </w:pPr>
      <w:r w:rsidRPr="00D94958">
        <w:t xml:space="preserve">The contract </w:t>
      </w:r>
      <w:r w:rsidR="00C42210" w:rsidRPr="00D94958">
        <w:t xml:space="preserve">task </w:t>
      </w:r>
      <w:r w:rsidRPr="00D94958">
        <w:t xml:space="preserve">that supports data collection efforts </w:t>
      </w:r>
      <w:r w:rsidR="00C42210" w:rsidRPr="00D94958">
        <w:t>each year is $</w:t>
      </w:r>
      <w:r w:rsidR="002167FF" w:rsidRPr="00D94958">
        <w:t>18</w:t>
      </w:r>
      <w:r w:rsidR="00090C16" w:rsidRPr="00D94958">
        <w:t>0</w:t>
      </w:r>
      <w:r w:rsidR="002167FF" w:rsidRPr="00D94958">
        <w:t>,000</w:t>
      </w:r>
      <w:r w:rsidR="00011674" w:rsidRPr="00D94958">
        <w:t xml:space="preserve">, as well as the cost for a </w:t>
      </w:r>
      <w:r w:rsidR="00090C16" w:rsidRPr="00D94958">
        <w:t>GS 1</w:t>
      </w:r>
      <w:r w:rsidR="00822A50" w:rsidRPr="00D94958">
        <w:t>3</w:t>
      </w:r>
      <w:r w:rsidR="00090C16" w:rsidRPr="00D94958">
        <w:t xml:space="preserve"> at 25% (approximately $</w:t>
      </w:r>
      <w:r w:rsidR="00AE2ABC" w:rsidRPr="00D94958">
        <w:t>25</w:t>
      </w:r>
      <w:r w:rsidR="00090C16" w:rsidRPr="00D94958">
        <w:t>,000)</w:t>
      </w:r>
      <w:r w:rsidR="00AE2ABC" w:rsidRPr="00D94958">
        <w:t xml:space="preserve"> to monitor </w:t>
      </w:r>
      <w:r w:rsidR="00011674" w:rsidRPr="00D94958">
        <w:t>the project</w:t>
      </w:r>
      <w:r w:rsidR="00161DEF" w:rsidRPr="00D94958">
        <w:t>.</w:t>
      </w:r>
      <w:r w:rsidR="009922C4" w:rsidRPr="00D94958">
        <w:t xml:space="preserve"> </w:t>
      </w:r>
      <w:r w:rsidR="009E0353" w:rsidRPr="00D94958">
        <w:t>The estimated total cost is $20</w:t>
      </w:r>
      <w:r w:rsidR="00AE2ABC" w:rsidRPr="00D94958">
        <w:t>5</w:t>
      </w:r>
      <w:r w:rsidR="009E0353" w:rsidRPr="00D94958">
        <w:t>,</w:t>
      </w:r>
      <w:r w:rsidR="00AE2ABC" w:rsidRPr="00D94958">
        <w:t>0</w:t>
      </w:r>
      <w:r w:rsidR="009E0353" w:rsidRPr="00D94958">
        <w:t>00.</w:t>
      </w:r>
      <w:r w:rsidR="009E0353">
        <w:t xml:space="preserve">  </w:t>
      </w:r>
    </w:p>
    <w:p w14:paraId="125A8E8E" w14:textId="77777777" w:rsidR="001F37F3" w:rsidRDefault="001F37F3" w:rsidP="001F37F3">
      <w:pPr>
        <w:pStyle w:val="Heading2"/>
        <w:tabs>
          <w:tab w:val="clear" w:pos="360"/>
        </w:tabs>
        <w:spacing w:before="0"/>
        <w:ind w:left="720" w:hanging="720"/>
        <w:rPr>
          <w:b w:val="0"/>
        </w:rPr>
      </w:pPr>
      <w:bookmarkStart w:id="16" w:name="_Toc46022723"/>
    </w:p>
    <w:p w14:paraId="1EA8822D" w14:textId="4EBF0CCA" w:rsidR="00420051" w:rsidRPr="00DD2FC5" w:rsidRDefault="00420051" w:rsidP="001F37F3">
      <w:pPr>
        <w:pStyle w:val="Heading2"/>
        <w:tabs>
          <w:tab w:val="clear" w:pos="360"/>
        </w:tabs>
        <w:spacing w:before="0"/>
        <w:ind w:left="720" w:hanging="720"/>
        <w:rPr>
          <w:b w:val="0"/>
          <w:u w:val="single"/>
        </w:rPr>
      </w:pPr>
      <w:r w:rsidRPr="00DD2FC5">
        <w:rPr>
          <w:b w:val="0"/>
        </w:rPr>
        <w:t>15.</w:t>
      </w:r>
      <w:r w:rsidRPr="00DD2FC5">
        <w:rPr>
          <w:b w:val="0"/>
        </w:rPr>
        <w:tab/>
      </w:r>
      <w:bookmarkEnd w:id="16"/>
      <w:r w:rsidR="00DD2FC5" w:rsidRPr="00DD2FC5">
        <w:rPr>
          <w:b w:val="0"/>
          <w:u w:val="single"/>
        </w:rPr>
        <w:t>Change in Burden</w:t>
      </w:r>
    </w:p>
    <w:p w14:paraId="4196B8C9" w14:textId="77777777" w:rsidR="00DD2FC5" w:rsidRPr="00DD2FC5" w:rsidRDefault="00DD2FC5" w:rsidP="001F37F3">
      <w:pPr>
        <w:spacing w:before="0"/>
      </w:pPr>
    </w:p>
    <w:p w14:paraId="4E3BD8F3" w14:textId="22BF87AC" w:rsidR="00643EAC" w:rsidRPr="00D12745" w:rsidRDefault="009E0353" w:rsidP="001F37F3">
      <w:pPr>
        <w:spacing w:before="0"/>
        <w:rPr>
          <w:b/>
        </w:rPr>
      </w:pPr>
      <w:r w:rsidRPr="00D12745">
        <w:t xml:space="preserve">The current inventory is for </w:t>
      </w:r>
      <w:r w:rsidR="00815B1D">
        <w:t>10,032</w:t>
      </w:r>
      <w:r w:rsidR="00D12745" w:rsidRPr="00D12745">
        <w:t xml:space="preserve"> </w:t>
      </w:r>
      <w:r w:rsidRPr="00D12745">
        <w:t xml:space="preserve">burden hours and </w:t>
      </w:r>
      <w:r w:rsidRPr="00F42827">
        <w:t xml:space="preserve">this request is for </w:t>
      </w:r>
      <w:r w:rsidR="00D12745" w:rsidRPr="00F42827">
        <w:t>4,</w:t>
      </w:r>
      <w:r w:rsidR="00994AFB" w:rsidRPr="00F42827">
        <w:t>432</w:t>
      </w:r>
      <w:r w:rsidR="00D12745" w:rsidRPr="00F42827">
        <w:t>.</w:t>
      </w:r>
      <w:r w:rsidR="00994AFB" w:rsidRPr="00F42827">
        <w:t>3</w:t>
      </w:r>
      <w:r w:rsidR="00D12745" w:rsidRPr="00F42827">
        <w:t xml:space="preserve">0 </w:t>
      </w:r>
      <w:r w:rsidRPr="00F42827">
        <w:t>hours,</w:t>
      </w:r>
      <w:r w:rsidRPr="00D12745">
        <w:t xml:space="preserve"> a</w:t>
      </w:r>
      <w:r w:rsidR="00D12745" w:rsidRPr="00D12745">
        <w:t xml:space="preserve"> decrease </w:t>
      </w:r>
      <w:r w:rsidRPr="00D12745">
        <w:t xml:space="preserve">of </w:t>
      </w:r>
      <w:r w:rsidR="00412E69" w:rsidRPr="00D12745">
        <w:t xml:space="preserve">approximately </w:t>
      </w:r>
      <w:r w:rsidR="00F42827" w:rsidRPr="00F42827">
        <w:t>5,599</w:t>
      </w:r>
      <w:r w:rsidR="00994AFB" w:rsidRPr="00F42827">
        <w:t>.7</w:t>
      </w:r>
      <w:r w:rsidR="00412E69" w:rsidRPr="00F42827">
        <w:t xml:space="preserve"> hours.</w:t>
      </w:r>
      <w:r w:rsidR="00412E69" w:rsidRPr="00D12745">
        <w:t xml:space="preserve">  </w:t>
      </w:r>
      <w:r w:rsidR="00D12745" w:rsidRPr="00D12745">
        <w:t>This decrease is mostly due to the significant decrease of estimated trainee</w:t>
      </w:r>
      <w:r w:rsidR="00815B1D">
        <w:t xml:space="preserve">s attending the training events. </w:t>
      </w:r>
      <w:r w:rsidR="00D12745" w:rsidRPr="00D12745">
        <w:t xml:space="preserve"> In addition, the average burden to complete the PIF and ER are slightly lower due to the changes described previously.</w:t>
      </w:r>
    </w:p>
    <w:p w14:paraId="68FECBA0" w14:textId="77777777" w:rsidR="00643EAC" w:rsidRPr="00D12745" w:rsidRDefault="00643EAC" w:rsidP="001F37F3">
      <w:pPr>
        <w:spacing w:before="0"/>
        <w:rPr>
          <w:rStyle w:val="BodyTextFi"/>
        </w:rPr>
      </w:pPr>
    </w:p>
    <w:p w14:paraId="11D6A1CE" w14:textId="77777777" w:rsidR="00420051" w:rsidRPr="00D12745" w:rsidRDefault="00420051" w:rsidP="001F37F3">
      <w:pPr>
        <w:pStyle w:val="Heading2"/>
        <w:tabs>
          <w:tab w:val="clear" w:pos="360"/>
        </w:tabs>
        <w:spacing w:before="0"/>
        <w:ind w:left="720" w:hanging="720"/>
        <w:rPr>
          <w:b w:val="0"/>
          <w:u w:val="single"/>
        </w:rPr>
      </w:pPr>
      <w:bookmarkStart w:id="17" w:name="_Toc46022724"/>
      <w:r w:rsidRPr="00D12745">
        <w:rPr>
          <w:b w:val="0"/>
        </w:rPr>
        <w:t>16.</w:t>
      </w:r>
      <w:r w:rsidRPr="00D12745">
        <w:rPr>
          <w:b w:val="0"/>
        </w:rPr>
        <w:tab/>
      </w:r>
      <w:r w:rsidR="00475092" w:rsidRPr="00D12745">
        <w:rPr>
          <w:b w:val="0"/>
          <w:u w:val="single"/>
        </w:rPr>
        <w:t xml:space="preserve">Plans for </w:t>
      </w:r>
      <w:bookmarkEnd w:id="17"/>
      <w:r w:rsidR="00DD2FC5" w:rsidRPr="00D12745">
        <w:rPr>
          <w:b w:val="0"/>
          <w:u w:val="single"/>
        </w:rPr>
        <w:t>Analysis and Timetable of Key Activities</w:t>
      </w:r>
    </w:p>
    <w:p w14:paraId="311D893B" w14:textId="77777777" w:rsidR="001F37F3" w:rsidRDefault="001F37F3" w:rsidP="00A04CD4"/>
    <w:p w14:paraId="058D322A" w14:textId="7AB5F24E" w:rsidR="00C47F4B" w:rsidRPr="00D12745" w:rsidRDefault="00420051" w:rsidP="00A04CD4">
      <w:r w:rsidRPr="00D12745">
        <w:t xml:space="preserve">The AETCs </w:t>
      </w:r>
      <w:r w:rsidR="007B03C2" w:rsidRPr="00D12745">
        <w:t xml:space="preserve">will </w:t>
      </w:r>
      <w:r w:rsidRPr="00D12745">
        <w:t xml:space="preserve">report data using the </w:t>
      </w:r>
      <w:r w:rsidR="00A46B09" w:rsidRPr="00D12745">
        <w:t>grant</w:t>
      </w:r>
      <w:r w:rsidRPr="00D12745">
        <w:t xml:space="preserve"> year July 1 – June 30.  </w:t>
      </w:r>
      <w:r w:rsidR="007945C7" w:rsidRPr="00D12745">
        <w:t xml:space="preserve">The AETC System will open on July </w:t>
      </w:r>
      <w:r w:rsidR="00E448AD" w:rsidRPr="00D12745">
        <w:t>15</w:t>
      </w:r>
      <w:r w:rsidR="007945C7" w:rsidRPr="00D12745">
        <w:t xml:space="preserve"> and give AETCs until August </w:t>
      </w:r>
      <w:r w:rsidR="00E448AD" w:rsidRPr="00D12745">
        <w:t>16</w:t>
      </w:r>
      <w:r w:rsidR="007945C7" w:rsidRPr="00D12745">
        <w:t xml:space="preserve"> to enter their data. </w:t>
      </w:r>
      <w:r w:rsidR="00001454" w:rsidRPr="00D12745">
        <w:t>REI</w:t>
      </w:r>
      <w:r w:rsidR="006E3A5E" w:rsidRPr="00D12745">
        <w:t>,</w:t>
      </w:r>
      <w:r w:rsidR="00FC0D5E" w:rsidRPr="00D12745">
        <w:t xml:space="preserve"> HRSA’s contractor, </w:t>
      </w:r>
      <w:r w:rsidR="007B03C2" w:rsidRPr="00D12745">
        <w:t xml:space="preserve">will </w:t>
      </w:r>
      <w:r w:rsidR="009529FB" w:rsidRPr="00D12745">
        <w:t>create aggregate datasets</w:t>
      </w:r>
      <w:r w:rsidR="00FC0D5E" w:rsidRPr="00D12745">
        <w:t xml:space="preserve">. HRSA will </w:t>
      </w:r>
      <w:r w:rsidRPr="00D12745">
        <w:t xml:space="preserve">produce </w:t>
      </w:r>
      <w:r w:rsidR="007B03C2" w:rsidRPr="00D12745">
        <w:t xml:space="preserve">descriptive </w:t>
      </w:r>
      <w:r w:rsidRPr="00D12745">
        <w:t xml:space="preserve">annual reports—one for use by HRSA </w:t>
      </w:r>
      <w:r w:rsidR="007945C7" w:rsidRPr="00D12745">
        <w:t>and a</w:t>
      </w:r>
      <w:r w:rsidR="00AE2ABC">
        <w:t>n</w:t>
      </w:r>
      <w:r w:rsidR="00FC0D5E" w:rsidRPr="00D12745">
        <w:t xml:space="preserve"> AETC specific report</w:t>
      </w:r>
      <w:r w:rsidRPr="00D12745">
        <w:t xml:space="preserve"> </w:t>
      </w:r>
      <w:r w:rsidR="007B03C2" w:rsidRPr="00D12745">
        <w:t>for</w:t>
      </w:r>
      <w:r w:rsidR="00FC0D5E" w:rsidRPr="00D12745">
        <w:t xml:space="preserve"> each of</w:t>
      </w:r>
      <w:r w:rsidR="007B03C2" w:rsidRPr="00D12745">
        <w:t xml:space="preserve"> </w:t>
      </w:r>
      <w:r w:rsidRPr="00D12745">
        <w:t>the</w:t>
      </w:r>
      <w:r w:rsidR="00FC0D5E" w:rsidRPr="00D12745">
        <w:t xml:space="preserve"> </w:t>
      </w:r>
      <w:r w:rsidRPr="00D12745">
        <w:t xml:space="preserve">AETCs. </w:t>
      </w:r>
    </w:p>
    <w:p w14:paraId="14CA1AA6" w14:textId="77777777" w:rsidR="00001454" w:rsidRPr="00D12745" w:rsidRDefault="00001454" w:rsidP="00A04CD4"/>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7"/>
        <w:gridCol w:w="3058"/>
      </w:tblGrid>
      <w:tr w:rsidR="007945C7" w:rsidRPr="00D12745" w14:paraId="24DC0127" w14:textId="77777777" w:rsidTr="006B247B">
        <w:trPr>
          <w:trHeight w:val="879"/>
        </w:trPr>
        <w:tc>
          <w:tcPr>
            <w:tcW w:w="6667" w:type="dxa"/>
            <w:shd w:val="clear" w:color="auto" w:fill="auto"/>
          </w:tcPr>
          <w:p w14:paraId="286D1E49" w14:textId="77777777" w:rsidR="007945C7" w:rsidRPr="00D12745" w:rsidRDefault="007945C7" w:rsidP="006B247B">
            <w:pPr>
              <w:pStyle w:val="Heading2"/>
              <w:ind w:left="0" w:firstLine="0"/>
            </w:pPr>
            <w:bookmarkStart w:id="18" w:name="_Toc46022725"/>
            <w:r w:rsidRPr="00D12745">
              <w:t>Data Collection Period: July 1st – June 30th</w:t>
            </w:r>
          </w:p>
        </w:tc>
        <w:tc>
          <w:tcPr>
            <w:tcW w:w="3058" w:type="dxa"/>
            <w:shd w:val="clear" w:color="auto" w:fill="auto"/>
          </w:tcPr>
          <w:p w14:paraId="7D2F9109" w14:textId="77777777" w:rsidR="007945C7" w:rsidRPr="00D12745" w:rsidRDefault="007945C7" w:rsidP="006B247B">
            <w:pPr>
              <w:pStyle w:val="Heading2"/>
              <w:ind w:left="0" w:firstLine="0"/>
              <w:jc w:val="center"/>
            </w:pPr>
            <w:r w:rsidRPr="00D12745">
              <w:t>Deadline</w:t>
            </w:r>
          </w:p>
        </w:tc>
      </w:tr>
      <w:tr w:rsidR="007945C7" w:rsidRPr="00D12745" w14:paraId="0B18A592" w14:textId="77777777" w:rsidTr="006B247B">
        <w:trPr>
          <w:trHeight w:val="465"/>
        </w:trPr>
        <w:tc>
          <w:tcPr>
            <w:tcW w:w="6667" w:type="dxa"/>
            <w:shd w:val="clear" w:color="auto" w:fill="auto"/>
            <w:vAlign w:val="center"/>
          </w:tcPr>
          <w:p w14:paraId="27250AD0" w14:textId="77777777" w:rsidR="007945C7" w:rsidRPr="006B247B" w:rsidRDefault="007945C7" w:rsidP="006B247B">
            <w:pPr>
              <w:pStyle w:val="Heading2"/>
              <w:spacing w:before="0"/>
              <w:ind w:left="0" w:firstLine="0"/>
              <w:rPr>
                <w:b w:val="0"/>
              </w:rPr>
            </w:pPr>
            <w:r w:rsidRPr="006B247B">
              <w:rPr>
                <w:b w:val="0"/>
              </w:rPr>
              <w:t>AETC System Opens</w:t>
            </w:r>
          </w:p>
        </w:tc>
        <w:tc>
          <w:tcPr>
            <w:tcW w:w="3058" w:type="dxa"/>
            <w:shd w:val="clear" w:color="auto" w:fill="auto"/>
            <w:vAlign w:val="center"/>
          </w:tcPr>
          <w:p w14:paraId="531C98A4" w14:textId="77777777" w:rsidR="007945C7" w:rsidRPr="006B247B" w:rsidRDefault="007945C7" w:rsidP="006B247B">
            <w:pPr>
              <w:pStyle w:val="Heading2"/>
              <w:spacing w:before="0"/>
              <w:ind w:left="0" w:firstLine="0"/>
              <w:jc w:val="center"/>
              <w:rPr>
                <w:b w:val="0"/>
              </w:rPr>
            </w:pPr>
            <w:r w:rsidRPr="006B247B">
              <w:rPr>
                <w:b w:val="0"/>
              </w:rPr>
              <w:t>July 15</w:t>
            </w:r>
            <w:r w:rsidRPr="006B247B">
              <w:rPr>
                <w:b w:val="0"/>
                <w:vertAlign w:val="superscript"/>
              </w:rPr>
              <w:t>th</w:t>
            </w:r>
          </w:p>
        </w:tc>
      </w:tr>
      <w:tr w:rsidR="007945C7" w:rsidRPr="00D12745" w14:paraId="30ADAF19" w14:textId="77777777" w:rsidTr="006B247B">
        <w:trPr>
          <w:trHeight w:val="465"/>
        </w:trPr>
        <w:tc>
          <w:tcPr>
            <w:tcW w:w="6667" w:type="dxa"/>
            <w:shd w:val="clear" w:color="auto" w:fill="auto"/>
            <w:vAlign w:val="center"/>
          </w:tcPr>
          <w:p w14:paraId="4B948B49" w14:textId="77777777" w:rsidR="007945C7" w:rsidRPr="006B247B" w:rsidRDefault="007945C7" w:rsidP="006B247B">
            <w:pPr>
              <w:pStyle w:val="Heading2"/>
              <w:spacing w:before="0"/>
              <w:ind w:left="0" w:firstLine="0"/>
              <w:rPr>
                <w:b w:val="0"/>
              </w:rPr>
            </w:pPr>
            <w:r w:rsidRPr="006B247B">
              <w:rPr>
                <w:b w:val="0"/>
              </w:rPr>
              <w:t>AETC Report Due</w:t>
            </w:r>
          </w:p>
        </w:tc>
        <w:tc>
          <w:tcPr>
            <w:tcW w:w="3058" w:type="dxa"/>
            <w:shd w:val="clear" w:color="auto" w:fill="auto"/>
            <w:vAlign w:val="center"/>
          </w:tcPr>
          <w:p w14:paraId="1CB040AB" w14:textId="77777777" w:rsidR="007945C7" w:rsidRPr="006B247B" w:rsidRDefault="007945C7" w:rsidP="006B247B">
            <w:pPr>
              <w:pStyle w:val="Heading2"/>
              <w:spacing w:before="0"/>
              <w:ind w:left="0" w:firstLine="0"/>
              <w:jc w:val="center"/>
              <w:rPr>
                <w:b w:val="0"/>
              </w:rPr>
            </w:pPr>
            <w:r w:rsidRPr="006B247B">
              <w:rPr>
                <w:b w:val="0"/>
              </w:rPr>
              <w:t>August 16th</w:t>
            </w:r>
          </w:p>
        </w:tc>
      </w:tr>
    </w:tbl>
    <w:p w14:paraId="122316CB" w14:textId="77777777" w:rsidR="001003E3" w:rsidRPr="00D12745" w:rsidRDefault="001003E3" w:rsidP="001F37F3">
      <w:pPr>
        <w:pStyle w:val="Heading2"/>
        <w:spacing w:before="0"/>
      </w:pPr>
    </w:p>
    <w:p w14:paraId="672E32E0" w14:textId="77777777" w:rsidR="00420051" w:rsidRPr="00D12745" w:rsidRDefault="00420051" w:rsidP="001F37F3">
      <w:pPr>
        <w:pStyle w:val="Heading2"/>
        <w:tabs>
          <w:tab w:val="clear" w:pos="360"/>
        </w:tabs>
        <w:spacing w:before="0"/>
        <w:ind w:left="720" w:hanging="720"/>
        <w:rPr>
          <w:b w:val="0"/>
          <w:u w:val="single"/>
        </w:rPr>
      </w:pPr>
      <w:r w:rsidRPr="00D12745">
        <w:rPr>
          <w:b w:val="0"/>
        </w:rPr>
        <w:t>17.</w:t>
      </w:r>
      <w:r w:rsidRPr="00D12745">
        <w:rPr>
          <w:b w:val="0"/>
        </w:rPr>
        <w:tab/>
      </w:r>
      <w:bookmarkEnd w:id="18"/>
      <w:r w:rsidR="00DD2FC5" w:rsidRPr="00D12745">
        <w:rPr>
          <w:b w:val="0"/>
          <w:u w:val="single"/>
        </w:rPr>
        <w:t>Exemption of Display of Expiration Date</w:t>
      </w:r>
    </w:p>
    <w:p w14:paraId="4CA11E07" w14:textId="77777777" w:rsidR="00420051" w:rsidRPr="00D12745" w:rsidRDefault="00DC49F0" w:rsidP="00A04CD4">
      <w:r w:rsidRPr="00D12745">
        <w:t xml:space="preserve">No exemption is being requested. </w:t>
      </w:r>
      <w:r w:rsidR="00F6521E" w:rsidRPr="00D12745">
        <w:t>The expiration date will be displayed</w:t>
      </w:r>
      <w:r w:rsidR="00420051" w:rsidRPr="00D12745">
        <w:t>.</w:t>
      </w:r>
    </w:p>
    <w:p w14:paraId="5C09E076" w14:textId="77777777" w:rsidR="001003E3" w:rsidRPr="00D12745" w:rsidRDefault="001003E3" w:rsidP="00A04CD4"/>
    <w:p w14:paraId="01F4FA9E" w14:textId="77777777" w:rsidR="00420051" w:rsidRPr="00D12745" w:rsidRDefault="00420051" w:rsidP="00DD2FC5">
      <w:pPr>
        <w:pStyle w:val="Heading2"/>
        <w:tabs>
          <w:tab w:val="clear" w:pos="360"/>
        </w:tabs>
        <w:ind w:left="720" w:hanging="720"/>
        <w:rPr>
          <w:b w:val="0"/>
        </w:rPr>
      </w:pPr>
      <w:bookmarkStart w:id="19" w:name="_Toc46022726"/>
      <w:r w:rsidRPr="00D12745">
        <w:rPr>
          <w:b w:val="0"/>
        </w:rPr>
        <w:t>18.</w:t>
      </w:r>
      <w:r w:rsidRPr="00D12745">
        <w:rPr>
          <w:b w:val="0"/>
        </w:rPr>
        <w:tab/>
      </w:r>
      <w:bookmarkEnd w:id="19"/>
      <w:r w:rsidR="00DD2FC5" w:rsidRPr="00D12745">
        <w:rPr>
          <w:b w:val="0"/>
          <w:u w:val="single"/>
        </w:rPr>
        <w:t>Certifications</w:t>
      </w:r>
    </w:p>
    <w:p w14:paraId="2E3F3A85" w14:textId="77777777" w:rsidR="00335C95" w:rsidRPr="00335C95" w:rsidRDefault="00420051" w:rsidP="00A04CD4">
      <w:r w:rsidRPr="00D12745">
        <w:rPr>
          <w:rStyle w:val="BodyTextFi"/>
        </w:rPr>
        <w:t xml:space="preserve">This information collection </w:t>
      </w:r>
      <w:r w:rsidR="00DD2FC5" w:rsidRPr="00D12745">
        <w:rPr>
          <w:rStyle w:val="BodyTextFi"/>
        </w:rPr>
        <w:t xml:space="preserve">will </w:t>
      </w:r>
      <w:r w:rsidRPr="00D12745">
        <w:rPr>
          <w:rStyle w:val="BodyTextFi"/>
        </w:rPr>
        <w:t>compl</w:t>
      </w:r>
      <w:r w:rsidR="00DD2FC5" w:rsidRPr="00D12745">
        <w:rPr>
          <w:rStyle w:val="BodyTextFi"/>
        </w:rPr>
        <w:t>y</w:t>
      </w:r>
      <w:r w:rsidRPr="00D12745">
        <w:rPr>
          <w:rStyle w:val="BodyTextFi"/>
        </w:rPr>
        <w:t xml:space="preserve"> with the guidelines in 5 CFR 1320.9.</w:t>
      </w:r>
      <w:r>
        <w:rPr>
          <w:rStyle w:val="BodyTextFi"/>
        </w:rPr>
        <w:t xml:space="preserve"> </w:t>
      </w:r>
    </w:p>
    <w:sectPr w:rsidR="00335C95" w:rsidRPr="00335C95" w:rsidSect="00822A5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D0B96" w14:textId="77777777" w:rsidR="001768D1" w:rsidRDefault="001768D1" w:rsidP="00A04CD4">
      <w:r>
        <w:separator/>
      </w:r>
    </w:p>
  </w:endnote>
  <w:endnote w:type="continuationSeparator" w:id="0">
    <w:p w14:paraId="4534DFF8" w14:textId="77777777" w:rsidR="001768D1" w:rsidRDefault="001768D1" w:rsidP="00A0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CFFCF" w14:textId="77777777" w:rsidR="001768D1" w:rsidRDefault="001768D1" w:rsidP="00A04CD4">
      <w:r>
        <w:separator/>
      </w:r>
    </w:p>
  </w:footnote>
  <w:footnote w:type="continuationSeparator" w:id="0">
    <w:p w14:paraId="4FD9131F" w14:textId="77777777" w:rsidR="001768D1" w:rsidRDefault="001768D1" w:rsidP="00A04CD4">
      <w:r>
        <w:continuationSeparator/>
      </w:r>
    </w:p>
  </w:footnote>
  <w:footnote w:id="1">
    <w:p w14:paraId="6246ADDA" w14:textId="77777777" w:rsidR="00477382" w:rsidRPr="00362F98" w:rsidRDefault="00477382" w:rsidP="00477382">
      <w:pPr>
        <w:pStyle w:val="FootnoteText"/>
      </w:pPr>
      <w:r w:rsidRPr="00362F98">
        <w:rPr>
          <w:rStyle w:val="FootnoteReference"/>
        </w:rPr>
        <w:footnoteRef/>
      </w:r>
      <w:r w:rsidRPr="00362F98">
        <w:t xml:space="preserve"> Health Resources and Services Administration. Ryan White HIV/AIDS Program Annual Client-Level Data Report 201</w:t>
      </w:r>
      <w:r>
        <w:t>6</w:t>
      </w:r>
      <w:r w:rsidRPr="16CFCEB2">
        <w:t xml:space="preserve">. </w:t>
      </w:r>
      <w:hyperlink r:id="rId1" w:history="1">
        <w:r w:rsidRPr="00362F98">
          <w:rPr>
            <w:rStyle w:val="Hyperlink"/>
          </w:rPr>
          <w:t>http://hab.hrsa.gov/data/data-reports</w:t>
        </w:r>
      </w:hyperlink>
      <w:r w:rsidRPr="00362F98">
        <w:t xml:space="preserve">. Published </w:t>
      </w:r>
      <w:r>
        <w:t>November 2017</w:t>
      </w:r>
      <w:r w:rsidRPr="00362F98">
        <w:t xml:space="preserve">. Accessed </w:t>
      </w:r>
      <w:r>
        <w:t>July 20, 2018</w:t>
      </w:r>
      <w:r w:rsidRPr="16CFCEB2">
        <w:t xml:space="preserve">. </w:t>
      </w:r>
    </w:p>
  </w:footnote>
  <w:footnote w:id="2">
    <w:p w14:paraId="4C886FA4" w14:textId="77777777" w:rsidR="00F507CC" w:rsidRDefault="00F507CC">
      <w:pPr>
        <w:pStyle w:val="FootnoteText"/>
      </w:pPr>
      <w:r>
        <w:rPr>
          <w:rStyle w:val="FootnoteReference"/>
        </w:rPr>
        <w:footnoteRef/>
      </w:r>
      <w:r>
        <w:t xml:space="preserve"> </w:t>
      </w:r>
      <w:r w:rsidR="00B056D6" w:rsidRPr="00B056D6">
        <w:t xml:space="preserve">The hourly wage rates were taken from the Bureau of Labor Statistics, February 2019 at </w:t>
      </w:r>
      <w:hyperlink r:id="rId2" w:history="1">
        <w:r w:rsidR="00B056D6" w:rsidRPr="00B056D6">
          <w:rPr>
            <w:rStyle w:val="Hyperlink"/>
          </w:rPr>
          <w:t>https://www.bls.gov/news.release/empsit.t19.htm</w:t>
        </w:r>
      </w:hyperlink>
      <w:r w:rsidR="00B056D6" w:rsidRPr="00B056D6">
        <w:t xml:space="preserve">. </w:t>
      </w:r>
      <w:r w:rsidR="00B102CA">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6B1C"/>
    <w:multiLevelType w:val="hybridMultilevel"/>
    <w:tmpl w:val="1248D914"/>
    <w:lvl w:ilvl="0" w:tplc="0AC8EA16">
      <w:start w:val="1"/>
      <w:numFmt w:val="decimal"/>
      <w:lvlText w:val="%1."/>
      <w:lvlJc w:val="left"/>
      <w:pPr>
        <w:tabs>
          <w:tab w:val="num" w:pos="1080"/>
        </w:tabs>
        <w:ind w:left="1080" w:hanging="720"/>
      </w:pPr>
      <w:rPr>
        <w:rFonts w:hint="default"/>
      </w:rPr>
    </w:lvl>
    <w:lvl w:ilvl="1" w:tplc="6E3EC71E">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5C258E"/>
    <w:multiLevelType w:val="hybridMultilevel"/>
    <w:tmpl w:val="DBCEEE7C"/>
    <w:lvl w:ilvl="0" w:tplc="9AE24D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395B96"/>
    <w:multiLevelType w:val="hybridMultilevel"/>
    <w:tmpl w:val="CC38FBF0"/>
    <w:lvl w:ilvl="0" w:tplc="758288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D04746"/>
    <w:multiLevelType w:val="hybridMultilevel"/>
    <w:tmpl w:val="2C62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D62D81"/>
    <w:multiLevelType w:val="hybridMultilevel"/>
    <w:tmpl w:val="C4F810BE"/>
    <w:lvl w:ilvl="0" w:tplc="45E4BB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27350C"/>
    <w:multiLevelType w:val="hybridMultilevel"/>
    <w:tmpl w:val="817C1A74"/>
    <w:lvl w:ilvl="0" w:tplc="9AE24D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D94390"/>
    <w:multiLevelType w:val="hybridMultilevel"/>
    <w:tmpl w:val="60CA9FEC"/>
    <w:lvl w:ilvl="0" w:tplc="C792A8D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FC0D6B"/>
    <w:multiLevelType w:val="hybridMultilevel"/>
    <w:tmpl w:val="C08C37B6"/>
    <w:lvl w:ilvl="0" w:tplc="C756A74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7B11E3"/>
    <w:multiLevelType w:val="hybridMultilevel"/>
    <w:tmpl w:val="9062817C"/>
    <w:lvl w:ilvl="0" w:tplc="1AACBC66">
      <w:start w:val="1"/>
      <w:numFmt w:val="upperLetter"/>
      <w:lvlText w:val="%1."/>
      <w:lvlJc w:val="left"/>
      <w:pPr>
        <w:tabs>
          <w:tab w:val="num" w:pos="1080"/>
        </w:tabs>
        <w:ind w:left="1080" w:hanging="720"/>
      </w:pPr>
      <w:rPr>
        <w:rFonts w:hint="default"/>
      </w:rPr>
    </w:lvl>
    <w:lvl w:ilvl="1" w:tplc="07DC006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7"/>
  </w:num>
  <w:num w:numId="4">
    <w:abstractNumId w:val="2"/>
  </w:num>
  <w:num w:numId="5">
    <w:abstractNumId w:val="8"/>
  </w:num>
  <w:num w:numId="6">
    <w:abstractNumId w:val="4"/>
  </w:num>
  <w:num w:numId="7">
    <w:abstractNumId w:val="6"/>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51"/>
    <w:rsid w:val="00001454"/>
    <w:rsid w:val="00005FC1"/>
    <w:rsid w:val="00010C0E"/>
    <w:rsid w:val="00011674"/>
    <w:rsid w:val="00011C67"/>
    <w:rsid w:val="00020220"/>
    <w:rsid w:val="000248A4"/>
    <w:rsid w:val="00024D34"/>
    <w:rsid w:val="000366F4"/>
    <w:rsid w:val="00045F7A"/>
    <w:rsid w:val="0004611B"/>
    <w:rsid w:val="00047376"/>
    <w:rsid w:val="000540FA"/>
    <w:rsid w:val="0005424F"/>
    <w:rsid w:val="00054870"/>
    <w:rsid w:val="00062A79"/>
    <w:rsid w:val="00064969"/>
    <w:rsid w:val="00066241"/>
    <w:rsid w:val="00075EE0"/>
    <w:rsid w:val="000766AE"/>
    <w:rsid w:val="00090C16"/>
    <w:rsid w:val="00096CA1"/>
    <w:rsid w:val="000A2020"/>
    <w:rsid w:val="000A4987"/>
    <w:rsid w:val="000A6AF8"/>
    <w:rsid w:val="000B23F6"/>
    <w:rsid w:val="000B5103"/>
    <w:rsid w:val="000C0FA9"/>
    <w:rsid w:val="000C572A"/>
    <w:rsid w:val="000D6017"/>
    <w:rsid w:val="000D6AF3"/>
    <w:rsid w:val="000D72BF"/>
    <w:rsid w:val="000D7E48"/>
    <w:rsid w:val="000E07B7"/>
    <w:rsid w:val="000E4AB9"/>
    <w:rsid w:val="000E5222"/>
    <w:rsid w:val="000E5C6B"/>
    <w:rsid w:val="000F0004"/>
    <w:rsid w:val="000F2588"/>
    <w:rsid w:val="000F620C"/>
    <w:rsid w:val="001003E3"/>
    <w:rsid w:val="001132B7"/>
    <w:rsid w:val="00127E7B"/>
    <w:rsid w:val="00130E95"/>
    <w:rsid w:val="001346E8"/>
    <w:rsid w:val="001429CC"/>
    <w:rsid w:val="001462BE"/>
    <w:rsid w:val="00152964"/>
    <w:rsid w:val="00160313"/>
    <w:rsid w:val="00161DEF"/>
    <w:rsid w:val="00165F0D"/>
    <w:rsid w:val="001768D1"/>
    <w:rsid w:val="0018488D"/>
    <w:rsid w:val="00190084"/>
    <w:rsid w:val="001B3161"/>
    <w:rsid w:val="001C0936"/>
    <w:rsid w:val="001C0ACF"/>
    <w:rsid w:val="001C129C"/>
    <w:rsid w:val="001D5524"/>
    <w:rsid w:val="001E63C0"/>
    <w:rsid w:val="001F12B4"/>
    <w:rsid w:val="001F37F3"/>
    <w:rsid w:val="002030AE"/>
    <w:rsid w:val="00211165"/>
    <w:rsid w:val="00214E0B"/>
    <w:rsid w:val="00216767"/>
    <w:rsid w:val="002167FF"/>
    <w:rsid w:val="00217D8D"/>
    <w:rsid w:val="00220441"/>
    <w:rsid w:val="00224109"/>
    <w:rsid w:val="00234EFA"/>
    <w:rsid w:val="00235594"/>
    <w:rsid w:val="00236F67"/>
    <w:rsid w:val="0023722C"/>
    <w:rsid w:val="00240E5B"/>
    <w:rsid w:val="00245926"/>
    <w:rsid w:val="002541C9"/>
    <w:rsid w:val="00254A31"/>
    <w:rsid w:val="00256AB6"/>
    <w:rsid w:val="002609DF"/>
    <w:rsid w:val="00265020"/>
    <w:rsid w:val="0026558E"/>
    <w:rsid w:val="00270489"/>
    <w:rsid w:val="0028472B"/>
    <w:rsid w:val="00295156"/>
    <w:rsid w:val="002A03AE"/>
    <w:rsid w:val="002B1F80"/>
    <w:rsid w:val="002B2F8A"/>
    <w:rsid w:val="002C4D0D"/>
    <w:rsid w:val="002C4D23"/>
    <w:rsid w:val="002C72FA"/>
    <w:rsid w:val="002E44AD"/>
    <w:rsid w:val="002E728D"/>
    <w:rsid w:val="0030248B"/>
    <w:rsid w:val="003122FB"/>
    <w:rsid w:val="00322A9F"/>
    <w:rsid w:val="00326268"/>
    <w:rsid w:val="00335C95"/>
    <w:rsid w:val="00336425"/>
    <w:rsid w:val="0033713A"/>
    <w:rsid w:val="0033728C"/>
    <w:rsid w:val="0034631B"/>
    <w:rsid w:val="00355034"/>
    <w:rsid w:val="00361428"/>
    <w:rsid w:val="00361CBB"/>
    <w:rsid w:val="00370875"/>
    <w:rsid w:val="0037420B"/>
    <w:rsid w:val="003748C2"/>
    <w:rsid w:val="00385B51"/>
    <w:rsid w:val="0039526A"/>
    <w:rsid w:val="00395E6A"/>
    <w:rsid w:val="003B3F90"/>
    <w:rsid w:val="003C3B92"/>
    <w:rsid w:val="003D1E5B"/>
    <w:rsid w:val="003D6577"/>
    <w:rsid w:val="003D7755"/>
    <w:rsid w:val="003E516D"/>
    <w:rsid w:val="003E7118"/>
    <w:rsid w:val="003E7AC1"/>
    <w:rsid w:val="003F2870"/>
    <w:rsid w:val="00401B16"/>
    <w:rsid w:val="00406DAB"/>
    <w:rsid w:val="00412E69"/>
    <w:rsid w:val="00413B13"/>
    <w:rsid w:val="00420051"/>
    <w:rsid w:val="0042630A"/>
    <w:rsid w:val="0042787B"/>
    <w:rsid w:val="004406DC"/>
    <w:rsid w:val="00442339"/>
    <w:rsid w:val="00452C2F"/>
    <w:rsid w:val="004535E1"/>
    <w:rsid w:val="00457B27"/>
    <w:rsid w:val="004619CC"/>
    <w:rsid w:val="004624E2"/>
    <w:rsid w:val="00475092"/>
    <w:rsid w:val="004753B4"/>
    <w:rsid w:val="00477382"/>
    <w:rsid w:val="00480AE5"/>
    <w:rsid w:val="00485A17"/>
    <w:rsid w:val="00486BAF"/>
    <w:rsid w:val="0049288C"/>
    <w:rsid w:val="004A0C68"/>
    <w:rsid w:val="004A2F29"/>
    <w:rsid w:val="004A3F95"/>
    <w:rsid w:val="004B33B4"/>
    <w:rsid w:val="004D4AB3"/>
    <w:rsid w:val="004D7AC7"/>
    <w:rsid w:val="004E0264"/>
    <w:rsid w:val="004E046F"/>
    <w:rsid w:val="004E6AD9"/>
    <w:rsid w:val="004F5AAE"/>
    <w:rsid w:val="005038C4"/>
    <w:rsid w:val="0051257C"/>
    <w:rsid w:val="005225A6"/>
    <w:rsid w:val="00522A88"/>
    <w:rsid w:val="00532742"/>
    <w:rsid w:val="00534B78"/>
    <w:rsid w:val="00537E31"/>
    <w:rsid w:val="005404AF"/>
    <w:rsid w:val="00543FBA"/>
    <w:rsid w:val="005542D4"/>
    <w:rsid w:val="005573E4"/>
    <w:rsid w:val="00564118"/>
    <w:rsid w:val="00566396"/>
    <w:rsid w:val="0057143A"/>
    <w:rsid w:val="00583FF8"/>
    <w:rsid w:val="0058791E"/>
    <w:rsid w:val="005907A4"/>
    <w:rsid w:val="0059183D"/>
    <w:rsid w:val="00592DC9"/>
    <w:rsid w:val="00594975"/>
    <w:rsid w:val="00595C88"/>
    <w:rsid w:val="005A12E5"/>
    <w:rsid w:val="005A5A80"/>
    <w:rsid w:val="005C2839"/>
    <w:rsid w:val="005E6639"/>
    <w:rsid w:val="005F298B"/>
    <w:rsid w:val="005F32B3"/>
    <w:rsid w:val="005F4170"/>
    <w:rsid w:val="00607C3A"/>
    <w:rsid w:val="006108BC"/>
    <w:rsid w:val="00615615"/>
    <w:rsid w:val="0062074B"/>
    <w:rsid w:val="00627CA6"/>
    <w:rsid w:val="0063124D"/>
    <w:rsid w:val="00643EAC"/>
    <w:rsid w:val="00643FAF"/>
    <w:rsid w:val="0065052C"/>
    <w:rsid w:val="006533C2"/>
    <w:rsid w:val="0065429D"/>
    <w:rsid w:val="00654B5B"/>
    <w:rsid w:val="00661D4D"/>
    <w:rsid w:val="0066243B"/>
    <w:rsid w:val="00666031"/>
    <w:rsid w:val="006817D4"/>
    <w:rsid w:val="006834D0"/>
    <w:rsid w:val="00684334"/>
    <w:rsid w:val="00696C81"/>
    <w:rsid w:val="006A7077"/>
    <w:rsid w:val="006B247B"/>
    <w:rsid w:val="006B647D"/>
    <w:rsid w:val="006B6652"/>
    <w:rsid w:val="006C386C"/>
    <w:rsid w:val="006D7912"/>
    <w:rsid w:val="006E3A5E"/>
    <w:rsid w:val="006E6F45"/>
    <w:rsid w:val="00704071"/>
    <w:rsid w:val="00713D56"/>
    <w:rsid w:val="00716976"/>
    <w:rsid w:val="00717EF3"/>
    <w:rsid w:val="007207F5"/>
    <w:rsid w:val="007233C5"/>
    <w:rsid w:val="00727909"/>
    <w:rsid w:val="007279C8"/>
    <w:rsid w:val="0073685E"/>
    <w:rsid w:val="007421B6"/>
    <w:rsid w:val="00746BC5"/>
    <w:rsid w:val="0075181A"/>
    <w:rsid w:val="00754BD4"/>
    <w:rsid w:val="00767681"/>
    <w:rsid w:val="007707BB"/>
    <w:rsid w:val="007741B8"/>
    <w:rsid w:val="00776110"/>
    <w:rsid w:val="0078010B"/>
    <w:rsid w:val="007806D8"/>
    <w:rsid w:val="00784577"/>
    <w:rsid w:val="00787B3B"/>
    <w:rsid w:val="007945C7"/>
    <w:rsid w:val="007A794B"/>
    <w:rsid w:val="007B03C2"/>
    <w:rsid w:val="007B0A74"/>
    <w:rsid w:val="007C32E0"/>
    <w:rsid w:val="007D3197"/>
    <w:rsid w:val="007E40DE"/>
    <w:rsid w:val="007E518C"/>
    <w:rsid w:val="008024F3"/>
    <w:rsid w:val="0080641D"/>
    <w:rsid w:val="0080649A"/>
    <w:rsid w:val="008070CD"/>
    <w:rsid w:val="00812805"/>
    <w:rsid w:val="00814B9A"/>
    <w:rsid w:val="00814E03"/>
    <w:rsid w:val="00815B1D"/>
    <w:rsid w:val="00822A50"/>
    <w:rsid w:val="00823042"/>
    <w:rsid w:val="0082351D"/>
    <w:rsid w:val="00825107"/>
    <w:rsid w:val="0083565A"/>
    <w:rsid w:val="008474E7"/>
    <w:rsid w:val="008507D4"/>
    <w:rsid w:val="00850816"/>
    <w:rsid w:val="00861686"/>
    <w:rsid w:val="00863251"/>
    <w:rsid w:val="008634A1"/>
    <w:rsid w:val="00866171"/>
    <w:rsid w:val="00884BFE"/>
    <w:rsid w:val="008856F4"/>
    <w:rsid w:val="008A1B7C"/>
    <w:rsid w:val="008A646B"/>
    <w:rsid w:val="008B1396"/>
    <w:rsid w:val="008B742B"/>
    <w:rsid w:val="008C3B7B"/>
    <w:rsid w:val="008C7F25"/>
    <w:rsid w:val="008D0464"/>
    <w:rsid w:val="008D2723"/>
    <w:rsid w:val="008E0BBA"/>
    <w:rsid w:val="008E4FB0"/>
    <w:rsid w:val="008F1826"/>
    <w:rsid w:val="008F2F2C"/>
    <w:rsid w:val="00900751"/>
    <w:rsid w:val="00902AD0"/>
    <w:rsid w:val="00903DDF"/>
    <w:rsid w:val="009158B2"/>
    <w:rsid w:val="00916B42"/>
    <w:rsid w:val="00921E28"/>
    <w:rsid w:val="009253A5"/>
    <w:rsid w:val="0092627E"/>
    <w:rsid w:val="009278F8"/>
    <w:rsid w:val="00943219"/>
    <w:rsid w:val="0094619F"/>
    <w:rsid w:val="009529FB"/>
    <w:rsid w:val="00952C44"/>
    <w:rsid w:val="00955D2A"/>
    <w:rsid w:val="00960DE6"/>
    <w:rsid w:val="00963F9B"/>
    <w:rsid w:val="00970565"/>
    <w:rsid w:val="00973025"/>
    <w:rsid w:val="0097375C"/>
    <w:rsid w:val="009850D5"/>
    <w:rsid w:val="0099141E"/>
    <w:rsid w:val="009922C4"/>
    <w:rsid w:val="00993AAA"/>
    <w:rsid w:val="00994AFB"/>
    <w:rsid w:val="009A4165"/>
    <w:rsid w:val="009B0B44"/>
    <w:rsid w:val="009D11E2"/>
    <w:rsid w:val="009D1EAC"/>
    <w:rsid w:val="009E0353"/>
    <w:rsid w:val="009E21BC"/>
    <w:rsid w:val="009E37DD"/>
    <w:rsid w:val="009E5571"/>
    <w:rsid w:val="009F1D55"/>
    <w:rsid w:val="009F2500"/>
    <w:rsid w:val="009F2887"/>
    <w:rsid w:val="009F44A9"/>
    <w:rsid w:val="00A04CD4"/>
    <w:rsid w:val="00A209AE"/>
    <w:rsid w:val="00A2332F"/>
    <w:rsid w:val="00A237CC"/>
    <w:rsid w:val="00A24296"/>
    <w:rsid w:val="00A37A3E"/>
    <w:rsid w:val="00A44395"/>
    <w:rsid w:val="00A450F6"/>
    <w:rsid w:val="00A46B09"/>
    <w:rsid w:val="00A500D8"/>
    <w:rsid w:val="00A53767"/>
    <w:rsid w:val="00A66F2C"/>
    <w:rsid w:val="00A7620F"/>
    <w:rsid w:val="00A81333"/>
    <w:rsid w:val="00A85B7F"/>
    <w:rsid w:val="00A92702"/>
    <w:rsid w:val="00A93552"/>
    <w:rsid w:val="00AA063B"/>
    <w:rsid w:val="00AA104E"/>
    <w:rsid w:val="00AA156C"/>
    <w:rsid w:val="00AB45E8"/>
    <w:rsid w:val="00AC0ED7"/>
    <w:rsid w:val="00AD42E4"/>
    <w:rsid w:val="00AD7201"/>
    <w:rsid w:val="00AE2ABC"/>
    <w:rsid w:val="00AE309E"/>
    <w:rsid w:val="00AE33CD"/>
    <w:rsid w:val="00AE6D1A"/>
    <w:rsid w:val="00AF4C8B"/>
    <w:rsid w:val="00B056D6"/>
    <w:rsid w:val="00B061F2"/>
    <w:rsid w:val="00B06A9D"/>
    <w:rsid w:val="00B102CA"/>
    <w:rsid w:val="00B15BCC"/>
    <w:rsid w:val="00B174A7"/>
    <w:rsid w:val="00B20F82"/>
    <w:rsid w:val="00B33B80"/>
    <w:rsid w:val="00B3401A"/>
    <w:rsid w:val="00B402EE"/>
    <w:rsid w:val="00B40C27"/>
    <w:rsid w:val="00B457C4"/>
    <w:rsid w:val="00B51143"/>
    <w:rsid w:val="00B654BC"/>
    <w:rsid w:val="00B751D8"/>
    <w:rsid w:val="00B8317C"/>
    <w:rsid w:val="00B83B63"/>
    <w:rsid w:val="00B84B0D"/>
    <w:rsid w:val="00B96362"/>
    <w:rsid w:val="00BA6638"/>
    <w:rsid w:val="00BB3CEB"/>
    <w:rsid w:val="00BB463F"/>
    <w:rsid w:val="00BB4823"/>
    <w:rsid w:val="00BB682F"/>
    <w:rsid w:val="00BC002D"/>
    <w:rsid w:val="00BC012E"/>
    <w:rsid w:val="00BC40F9"/>
    <w:rsid w:val="00BD12DF"/>
    <w:rsid w:val="00BD4280"/>
    <w:rsid w:val="00BD69E8"/>
    <w:rsid w:val="00BE29E0"/>
    <w:rsid w:val="00BE7E02"/>
    <w:rsid w:val="00BF3187"/>
    <w:rsid w:val="00BF3CCC"/>
    <w:rsid w:val="00C051CD"/>
    <w:rsid w:val="00C1689E"/>
    <w:rsid w:val="00C36B46"/>
    <w:rsid w:val="00C42210"/>
    <w:rsid w:val="00C432EF"/>
    <w:rsid w:val="00C45157"/>
    <w:rsid w:val="00C457F6"/>
    <w:rsid w:val="00C4596D"/>
    <w:rsid w:val="00C47F4B"/>
    <w:rsid w:val="00C50599"/>
    <w:rsid w:val="00C541D0"/>
    <w:rsid w:val="00C56EC9"/>
    <w:rsid w:val="00C57EE3"/>
    <w:rsid w:val="00C67FF4"/>
    <w:rsid w:val="00C76534"/>
    <w:rsid w:val="00C77CB5"/>
    <w:rsid w:val="00C96CD5"/>
    <w:rsid w:val="00C96D18"/>
    <w:rsid w:val="00CB0D62"/>
    <w:rsid w:val="00CB36FB"/>
    <w:rsid w:val="00CB799D"/>
    <w:rsid w:val="00CC7DB0"/>
    <w:rsid w:val="00CD79A8"/>
    <w:rsid w:val="00CE0429"/>
    <w:rsid w:val="00CE2E2E"/>
    <w:rsid w:val="00CF288F"/>
    <w:rsid w:val="00CF6BD4"/>
    <w:rsid w:val="00D017F1"/>
    <w:rsid w:val="00D027A0"/>
    <w:rsid w:val="00D12745"/>
    <w:rsid w:val="00D1720B"/>
    <w:rsid w:val="00D218ED"/>
    <w:rsid w:val="00D221F8"/>
    <w:rsid w:val="00D33743"/>
    <w:rsid w:val="00D4129E"/>
    <w:rsid w:val="00D472F2"/>
    <w:rsid w:val="00D47EE8"/>
    <w:rsid w:val="00D54237"/>
    <w:rsid w:val="00D63572"/>
    <w:rsid w:val="00D7642B"/>
    <w:rsid w:val="00D81762"/>
    <w:rsid w:val="00D93B4B"/>
    <w:rsid w:val="00D94958"/>
    <w:rsid w:val="00DA127A"/>
    <w:rsid w:val="00DA3E37"/>
    <w:rsid w:val="00DB15C4"/>
    <w:rsid w:val="00DB1627"/>
    <w:rsid w:val="00DB2BE4"/>
    <w:rsid w:val="00DC26D6"/>
    <w:rsid w:val="00DC338C"/>
    <w:rsid w:val="00DC41E2"/>
    <w:rsid w:val="00DC49F0"/>
    <w:rsid w:val="00DD049D"/>
    <w:rsid w:val="00DD0F18"/>
    <w:rsid w:val="00DD18D6"/>
    <w:rsid w:val="00DD2D7A"/>
    <w:rsid w:val="00DD2FC5"/>
    <w:rsid w:val="00DE1BD9"/>
    <w:rsid w:val="00DE286A"/>
    <w:rsid w:val="00DF4FDB"/>
    <w:rsid w:val="00E046A8"/>
    <w:rsid w:val="00E218F0"/>
    <w:rsid w:val="00E2312D"/>
    <w:rsid w:val="00E3719E"/>
    <w:rsid w:val="00E44102"/>
    <w:rsid w:val="00E448AD"/>
    <w:rsid w:val="00E47520"/>
    <w:rsid w:val="00E520BC"/>
    <w:rsid w:val="00E53F8E"/>
    <w:rsid w:val="00E6210E"/>
    <w:rsid w:val="00E645A8"/>
    <w:rsid w:val="00E72DDC"/>
    <w:rsid w:val="00E75858"/>
    <w:rsid w:val="00E83C9C"/>
    <w:rsid w:val="00E84270"/>
    <w:rsid w:val="00E90251"/>
    <w:rsid w:val="00E9097F"/>
    <w:rsid w:val="00E95C8C"/>
    <w:rsid w:val="00E95D2C"/>
    <w:rsid w:val="00EB015F"/>
    <w:rsid w:val="00EB2195"/>
    <w:rsid w:val="00EB5E53"/>
    <w:rsid w:val="00EB5FC1"/>
    <w:rsid w:val="00EC0217"/>
    <w:rsid w:val="00ED3339"/>
    <w:rsid w:val="00EE6189"/>
    <w:rsid w:val="00EF170F"/>
    <w:rsid w:val="00EF7293"/>
    <w:rsid w:val="00F00F83"/>
    <w:rsid w:val="00F03E9F"/>
    <w:rsid w:val="00F05D50"/>
    <w:rsid w:val="00F06CBB"/>
    <w:rsid w:val="00F20753"/>
    <w:rsid w:val="00F21499"/>
    <w:rsid w:val="00F26DC1"/>
    <w:rsid w:val="00F359C5"/>
    <w:rsid w:val="00F3619D"/>
    <w:rsid w:val="00F42827"/>
    <w:rsid w:val="00F47121"/>
    <w:rsid w:val="00F507CC"/>
    <w:rsid w:val="00F53C7E"/>
    <w:rsid w:val="00F55FA8"/>
    <w:rsid w:val="00F56946"/>
    <w:rsid w:val="00F57999"/>
    <w:rsid w:val="00F61AE5"/>
    <w:rsid w:val="00F6521E"/>
    <w:rsid w:val="00F66B0D"/>
    <w:rsid w:val="00F75CBA"/>
    <w:rsid w:val="00F86C1C"/>
    <w:rsid w:val="00F92163"/>
    <w:rsid w:val="00F92538"/>
    <w:rsid w:val="00F9428D"/>
    <w:rsid w:val="00F9702A"/>
    <w:rsid w:val="00FA1A82"/>
    <w:rsid w:val="00FA4CE9"/>
    <w:rsid w:val="00FB0503"/>
    <w:rsid w:val="00FB6724"/>
    <w:rsid w:val="00FC0D5E"/>
    <w:rsid w:val="00FC3ACB"/>
    <w:rsid w:val="00FD6758"/>
    <w:rsid w:val="00FE359F"/>
    <w:rsid w:val="00FF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A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CD4"/>
    <w:pPr>
      <w:spacing w:before="120"/>
    </w:pPr>
    <w:rPr>
      <w:rFonts w:ascii="Times" w:hAnsi="Times"/>
      <w:sz w:val="24"/>
      <w:szCs w:val="24"/>
    </w:rPr>
  </w:style>
  <w:style w:type="paragraph" w:styleId="Heading1">
    <w:name w:val="heading 1"/>
    <w:basedOn w:val="Normal"/>
    <w:next w:val="Normal"/>
    <w:qFormat/>
    <w:rsid w:val="008E0BBA"/>
    <w:pPr>
      <w:keepNext/>
      <w:spacing w:before="240" w:after="120"/>
      <w:outlineLvl w:val="0"/>
    </w:pPr>
    <w:rPr>
      <w:rFonts w:cs="Arial"/>
      <w:b/>
      <w:bCs/>
    </w:rPr>
  </w:style>
  <w:style w:type="paragraph" w:styleId="Heading2">
    <w:name w:val="heading 2"/>
    <w:basedOn w:val="Normal"/>
    <w:next w:val="Normal"/>
    <w:qFormat/>
    <w:rsid w:val="00BA6638"/>
    <w:pPr>
      <w:keepNext/>
      <w:tabs>
        <w:tab w:val="left" w:pos="360"/>
      </w:tabs>
      <w:spacing w:before="240"/>
      <w:ind w:left="360" w:hanging="3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pos="360"/>
        <w:tab w:val="left" w:pos="720"/>
        <w:tab w:val="right" w:leader="dot" w:pos="9360"/>
      </w:tabs>
    </w:pPr>
  </w:style>
  <w:style w:type="paragraph" w:styleId="TOC2">
    <w:name w:val="toc 2"/>
    <w:basedOn w:val="Normal"/>
    <w:next w:val="Normal"/>
    <w:autoRedefine/>
    <w:semiHidden/>
    <w:pPr>
      <w:tabs>
        <w:tab w:val="left" w:pos="360"/>
        <w:tab w:val="left" w:pos="720"/>
        <w:tab w:val="right" w:leader="dot" w:pos="9360"/>
      </w:tabs>
      <w:ind w:left="360"/>
    </w:pPr>
  </w:style>
  <w:style w:type="paragraph" w:styleId="TOC3">
    <w:name w:val="toc 3"/>
    <w:basedOn w:val="Normal"/>
    <w:next w:val="Normal"/>
    <w:autoRedefine/>
    <w:semiHidden/>
    <w:pPr>
      <w:tabs>
        <w:tab w:val="left" w:pos="360"/>
        <w:tab w:val="left" w:pos="720"/>
        <w:tab w:val="right" w:pos="9216"/>
      </w:tabs>
      <w:ind w:left="72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BodyTextFi">
    <w:name w:val="Body Text Fi"/>
  </w:style>
  <w:style w:type="paragraph" w:styleId="BodyText">
    <w:name w:val="Body Text"/>
    <w:basedOn w:val="Normal"/>
    <w:pPr>
      <w:jc w:val="center"/>
    </w:pPr>
    <w:rPr>
      <w:rFonts w:ascii="Arial" w:hAnsi="Arial" w:cs="Arial"/>
      <w:b/>
      <w:bCs/>
      <w:sz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787B3B"/>
    <w:pPr>
      <w:jc w:val="center"/>
    </w:pPr>
    <w:rPr>
      <w:rFonts w:ascii="Times New Roman" w:hAnsi="Times New Roman"/>
      <w:b/>
      <w:bCs/>
      <w:sz w:val="32"/>
      <w:szCs w:val="32"/>
    </w:rPr>
  </w:style>
  <w:style w:type="paragraph" w:customStyle="1" w:styleId="TitlePage">
    <w:name w:val="TitlePage"/>
    <w:basedOn w:val="Title"/>
    <w:rPr>
      <w:rFonts w:ascii="Arial" w:hAnsi="Arial"/>
      <w:caps/>
      <w:sz w:val="48"/>
    </w:rPr>
  </w:style>
  <w:style w:type="character" w:styleId="Hyperlink">
    <w:name w:val="Hyperlink"/>
    <w:uiPriority w:val="99"/>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385B51"/>
    <w:rPr>
      <w:rFonts w:ascii="Tahoma" w:hAnsi="Tahoma" w:cs="Tahoma"/>
      <w:sz w:val="16"/>
      <w:szCs w:val="16"/>
    </w:rPr>
  </w:style>
  <w:style w:type="character" w:styleId="CommentReference">
    <w:name w:val="annotation reference"/>
    <w:rsid w:val="005F32B3"/>
    <w:rPr>
      <w:sz w:val="16"/>
      <w:szCs w:val="16"/>
    </w:rPr>
  </w:style>
  <w:style w:type="paragraph" w:styleId="CommentText">
    <w:name w:val="annotation text"/>
    <w:basedOn w:val="Normal"/>
    <w:link w:val="CommentTextChar"/>
    <w:rsid w:val="005F32B3"/>
    <w:rPr>
      <w:sz w:val="20"/>
      <w:szCs w:val="20"/>
    </w:rPr>
  </w:style>
  <w:style w:type="character" w:customStyle="1" w:styleId="CommentTextChar">
    <w:name w:val="Comment Text Char"/>
    <w:basedOn w:val="DefaultParagraphFont"/>
    <w:link w:val="CommentText"/>
    <w:rsid w:val="005F32B3"/>
  </w:style>
  <w:style w:type="paragraph" w:styleId="CommentSubject">
    <w:name w:val="annotation subject"/>
    <w:basedOn w:val="CommentText"/>
    <w:next w:val="CommentText"/>
    <w:link w:val="CommentSubjectChar"/>
    <w:rsid w:val="005F32B3"/>
    <w:rPr>
      <w:rFonts w:ascii="Times New Roman" w:hAnsi="Times New Roman"/>
      <w:b/>
      <w:bCs/>
      <w:lang w:val="x-none" w:eastAsia="x-none"/>
    </w:rPr>
  </w:style>
  <w:style w:type="character" w:customStyle="1" w:styleId="CommentSubjectChar">
    <w:name w:val="Comment Subject Char"/>
    <w:link w:val="CommentSubject"/>
    <w:rsid w:val="005F32B3"/>
    <w:rPr>
      <w:b/>
      <w:bCs/>
    </w:rPr>
  </w:style>
  <w:style w:type="paragraph" w:styleId="ListParagraph">
    <w:name w:val="List Paragraph"/>
    <w:basedOn w:val="Normal"/>
    <w:uiPriority w:val="99"/>
    <w:qFormat/>
    <w:rsid w:val="004406DC"/>
    <w:pPr>
      <w:spacing w:before="0" w:after="200" w:line="276" w:lineRule="auto"/>
      <w:ind w:left="720"/>
    </w:pPr>
    <w:rPr>
      <w:rFonts w:ascii="Calibri" w:eastAsia="Calibri" w:hAnsi="Calibri" w:cs="Calibri"/>
      <w:sz w:val="22"/>
      <w:szCs w:val="22"/>
    </w:rPr>
  </w:style>
  <w:style w:type="paragraph" w:styleId="Revision">
    <w:name w:val="Revision"/>
    <w:hidden/>
    <w:uiPriority w:val="99"/>
    <w:semiHidden/>
    <w:rsid w:val="00DE286A"/>
    <w:rPr>
      <w:rFonts w:ascii="Times" w:hAnsi="Times"/>
      <w:sz w:val="24"/>
      <w:szCs w:val="24"/>
    </w:rPr>
  </w:style>
  <w:style w:type="paragraph" w:styleId="BodyText2">
    <w:name w:val="Body Text 2"/>
    <w:basedOn w:val="Normal"/>
    <w:link w:val="BodyText2Char"/>
    <w:rsid w:val="00477382"/>
    <w:pPr>
      <w:spacing w:after="120" w:line="480" w:lineRule="auto"/>
    </w:pPr>
  </w:style>
  <w:style w:type="character" w:customStyle="1" w:styleId="BodyText2Char">
    <w:name w:val="Body Text 2 Char"/>
    <w:link w:val="BodyText2"/>
    <w:rsid w:val="00477382"/>
    <w:rPr>
      <w:rFonts w:ascii="Times" w:hAnsi="Times"/>
      <w:sz w:val="24"/>
      <w:szCs w:val="24"/>
    </w:rPr>
  </w:style>
  <w:style w:type="character" w:styleId="FootnoteReference">
    <w:name w:val="footnote reference"/>
    <w:uiPriority w:val="99"/>
    <w:rsid w:val="00477382"/>
    <w:rPr>
      <w:vertAlign w:val="superscript"/>
    </w:rPr>
  </w:style>
  <w:style w:type="paragraph" w:styleId="FootnoteText">
    <w:name w:val="footnote text"/>
    <w:aliases w:val="Char,F1, Char"/>
    <w:basedOn w:val="Normal"/>
    <w:link w:val="FootnoteTextChar"/>
    <w:uiPriority w:val="99"/>
    <w:unhideWhenUsed/>
    <w:qFormat/>
    <w:rsid w:val="00477382"/>
    <w:pPr>
      <w:spacing w:before="0"/>
    </w:pPr>
    <w:rPr>
      <w:rFonts w:ascii="Times New Roman" w:eastAsia="Calibri" w:hAnsi="Times New Roman"/>
      <w:sz w:val="20"/>
      <w:szCs w:val="20"/>
    </w:rPr>
  </w:style>
  <w:style w:type="character" w:customStyle="1" w:styleId="FootnoteTextChar">
    <w:name w:val="Footnote Text Char"/>
    <w:aliases w:val="Char Char,F1 Char, Char Char"/>
    <w:link w:val="FootnoteText"/>
    <w:uiPriority w:val="99"/>
    <w:rsid w:val="00477382"/>
    <w:rPr>
      <w:rFonts w:eastAsia="Calibri"/>
    </w:rPr>
  </w:style>
  <w:style w:type="paragraph" w:customStyle="1" w:styleId="NormalSS">
    <w:name w:val="NormalSS"/>
    <w:basedOn w:val="Normal"/>
    <w:rsid w:val="00BB3CEB"/>
    <w:pPr>
      <w:tabs>
        <w:tab w:val="left" w:pos="432"/>
      </w:tabs>
      <w:spacing w:before="0"/>
      <w:ind w:firstLine="432"/>
      <w:jc w:val="both"/>
    </w:pPr>
    <w:rPr>
      <w:rFonts w:ascii="Times New Roman" w:hAnsi="Times New Roman"/>
      <w:szCs w:val="20"/>
    </w:rPr>
  </w:style>
  <w:style w:type="paragraph" w:customStyle="1" w:styleId="Default">
    <w:name w:val="Default"/>
    <w:rsid w:val="00001454"/>
    <w:pPr>
      <w:autoSpaceDE w:val="0"/>
      <w:autoSpaceDN w:val="0"/>
      <w:adjustRightInd w:val="0"/>
    </w:pPr>
    <w:rPr>
      <w:color w:val="000000"/>
      <w:sz w:val="24"/>
      <w:szCs w:val="24"/>
    </w:rPr>
  </w:style>
  <w:style w:type="table" w:styleId="TableGrid">
    <w:name w:val="Table Grid"/>
    <w:basedOn w:val="TableNormal"/>
    <w:rsid w:val="00794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CD4"/>
    <w:pPr>
      <w:spacing w:before="120"/>
    </w:pPr>
    <w:rPr>
      <w:rFonts w:ascii="Times" w:hAnsi="Times"/>
      <w:sz w:val="24"/>
      <w:szCs w:val="24"/>
    </w:rPr>
  </w:style>
  <w:style w:type="paragraph" w:styleId="Heading1">
    <w:name w:val="heading 1"/>
    <w:basedOn w:val="Normal"/>
    <w:next w:val="Normal"/>
    <w:qFormat/>
    <w:rsid w:val="008E0BBA"/>
    <w:pPr>
      <w:keepNext/>
      <w:spacing w:before="240" w:after="120"/>
      <w:outlineLvl w:val="0"/>
    </w:pPr>
    <w:rPr>
      <w:rFonts w:cs="Arial"/>
      <w:b/>
      <w:bCs/>
    </w:rPr>
  </w:style>
  <w:style w:type="paragraph" w:styleId="Heading2">
    <w:name w:val="heading 2"/>
    <w:basedOn w:val="Normal"/>
    <w:next w:val="Normal"/>
    <w:qFormat/>
    <w:rsid w:val="00BA6638"/>
    <w:pPr>
      <w:keepNext/>
      <w:tabs>
        <w:tab w:val="left" w:pos="360"/>
      </w:tabs>
      <w:spacing w:before="240"/>
      <w:ind w:left="360" w:hanging="3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pos="360"/>
        <w:tab w:val="left" w:pos="720"/>
        <w:tab w:val="right" w:leader="dot" w:pos="9360"/>
      </w:tabs>
    </w:pPr>
  </w:style>
  <w:style w:type="paragraph" w:styleId="TOC2">
    <w:name w:val="toc 2"/>
    <w:basedOn w:val="Normal"/>
    <w:next w:val="Normal"/>
    <w:autoRedefine/>
    <w:semiHidden/>
    <w:pPr>
      <w:tabs>
        <w:tab w:val="left" w:pos="360"/>
        <w:tab w:val="left" w:pos="720"/>
        <w:tab w:val="right" w:leader="dot" w:pos="9360"/>
      </w:tabs>
      <w:ind w:left="360"/>
    </w:pPr>
  </w:style>
  <w:style w:type="paragraph" w:styleId="TOC3">
    <w:name w:val="toc 3"/>
    <w:basedOn w:val="Normal"/>
    <w:next w:val="Normal"/>
    <w:autoRedefine/>
    <w:semiHidden/>
    <w:pPr>
      <w:tabs>
        <w:tab w:val="left" w:pos="360"/>
        <w:tab w:val="left" w:pos="720"/>
        <w:tab w:val="right" w:pos="9216"/>
      </w:tabs>
      <w:ind w:left="72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BodyTextFi">
    <w:name w:val="Body Text Fi"/>
  </w:style>
  <w:style w:type="paragraph" w:styleId="BodyText">
    <w:name w:val="Body Text"/>
    <w:basedOn w:val="Normal"/>
    <w:pPr>
      <w:jc w:val="center"/>
    </w:pPr>
    <w:rPr>
      <w:rFonts w:ascii="Arial" w:hAnsi="Arial" w:cs="Arial"/>
      <w:b/>
      <w:bCs/>
      <w:sz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787B3B"/>
    <w:pPr>
      <w:jc w:val="center"/>
    </w:pPr>
    <w:rPr>
      <w:rFonts w:ascii="Times New Roman" w:hAnsi="Times New Roman"/>
      <w:b/>
      <w:bCs/>
      <w:sz w:val="32"/>
      <w:szCs w:val="32"/>
    </w:rPr>
  </w:style>
  <w:style w:type="paragraph" w:customStyle="1" w:styleId="TitlePage">
    <w:name w:val="TitlePage"/>
    <w:basedOn w:val="Title"/>
    <w:rPr>
      <w:rFonts w:ascii="Arial" w:hAnsi="Arial"/>
      <w:caps/>
      <w:sz w:val="48"/>
    </w:rPr>
  </w:style>
  <w:style w:type="character" w:styleId="Hyperlink">
    <w:name w:val="Hyperlink"/>
    <w:uiPriority w:val="99"/>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385B51"/>
    <w:rPr>
      <w:rFonts w:ascii="Tahoma" w:hAnsi="Tahoma" w:cs="Tahoma"/>
      <w:sz w:val="16"/>
      <w:szCs w:val="16"/>
    </w:rPr>
  </w:style>
  <w:style w:type="character" w:styleId="CommentReference">
    <w:name w:val="annotation reference"/>
    <w:rsid w:val="005F32B3"/>
    <w:rPr>
      <w:sz w:val="16"/>
      <w:szCs w:val="16"/>
    </w:rPr>
  </w:style>
  <w:style w:type="paragraph" w:styleId="CommentText">
    <w:name w:val="annotation text"/>
    <w:basedOn w:val="Normal"/>
    <w:link w:val="CommentTextChar"/>
    <w:rsid w:val="005F32B3"/>
    <w:rPr>
      <w:sz w:val="20"/>
      <w:szCs w:val="20"/>
    </w:rPr>
  </w:style>
  <w:style w:type="character" w:customStyle="1" w:styleId="CommentTextChar">
    <w:name w:val="Comment Text Char"/>
    <w:basedOn w:val="DefaultParagraphFont"/>
    <w:link w:val="CommentText"/>
    <w:rsid w:val="005F32B3"/>
  </w:style>
  <w:style w:type="paragraph" w:styleId="CommentSubject">
    <w:name w:val="annotation subject"/>
    <w:basedOn w:val="CommentText"/>
    <w:next w:val="CommentText"/>
    <w:link w:val="CommentSubjectChar"/>
    <w:rsid w:val="005F32B3"/>
    <w:rPr>
      <w:rFonts w:ascii="Times New Roman" w:hAnsi="Times New Roman"/>
      <w:b/>
      <w:bCs/>
      <w:lang w:val="x-none" w:eastAsia="x-none"/>
    </w:rPr>
  </w:style>
  <w:style w:type="character" w:customStyle="1" w:styleId="CommentSubjectChar">
    <w:name w:val="Comment Subject Char"/>
    <w:link w:val="CommentSubject"/>
    <w:rsid w:val="005F32B3"/>
    <w:rPr>
      <w:b/>
      <w:bCs/>
    </w:rPr>
  </w:style>
  <w:style w:type="paragraph" w:styleId="ListParagraph">
    <w:name w:val="List Paragraph"/>
    <w:basedOn w:val="Normal"/>
    <w:uiPriority w:val="99"/>
    <w:qFormat/>
    <w:rsid w:val="004406DC"/>
    <w:pPr>
      <w:spacing w:before="0" w:after="200" w:line="276" w:lineRule="auto"/>
      <w:ind w:left="720"/>
    </w:pPr>
    <w:rPr>
      <w:rFonts w:ascii="Calibri" w:eastAsia="Calibri" w:hAnsi="Calibri" w:cs="Calibri"/>
      <w:sz w:val="22"/>
      <w:szCs w:val="22"/>
    </w:rPr>
  </w:style>
  <w:style w:type="paragraph" w:styleId="Revision">
    <w:name w:val="Revision"/>
    <w:hidden/>
    <w:uiPriority w:val="99"/>
    <w:semiHidden/>
    <w:rsid w:val="00DE286A"/>
    <w:rPr>
      <w:rFonts w:ascii="Times" w:hAnsi="Times"/>
      <w:sz w:val="24"/>
      <w:szCs w:val="24"/>
    </w:rPr>
  </w:style>
  <w:style w:type="paragraph" w:styleId="BodyText2">
    <w:name w:val="Body Text 2"/>
    <w:basedOn w:val="Normal"/>
    <w:link w:val="BodyText2Char"/>
    <w:rsid w:val="00477382"/>
    <w:pPr>
      <w:spacing w:after="120" w:line="480" w:lineRule="auto"/>
    </w:pPr>
  </w:style>
  <w:style w:type="character" w:customStyle="1" w:styleId="BodyText2Char">
    <w:name w:val="Body Text 2 Char"/>
    <w:link w:val="BodyText2"/>
    <w:rsid w:val="00477382"/>
    <w:rPr>
      <w:rFonts w:ascii="Times" w:hAnsi="Times"/>
      <w:sz w:val="24"/>
      <w:szCs w:val="24"/>
    </w:rPr>
  </w:style>
  <w:style w:type="character" w:styleId="FootnoteReference">
    <w:name w:val="footnote reference"/>
    <w:uiPriority w:val="99"/>
    <w:rsid w:val="00477382"/>
    <w:rPr>
      <w:vertAlign w:val="superscript"/>
    </w:rPr>
  </w:style>
  <w:style w:type="paragraph" w:styleId="FootnoteText">
    <w:name w:val="footnote text"/>
    <w:aliases w:val="Char,F1, Char"/>
    <w:basedOn w:val="Normal"/>
    <w:link w:val="FootnoteTextChar"/>
    <w:uiPriority w:val="99"/>
    <w:unhideWhenUsed/>
    <w:qFormat/>
    <w:rsid w:val="00477382"/>
    <w:pPr>
      <w:spacing w:before="0"/>
    </w:pPr>
    <w:rPr>
      <w:rFonts w:ascii="Times New Roman" w:eastAsia="Calibri" w:hAnsi="Times New Roman"/>
      <w:sz w:val="20"/>
      <w:szCs w:val="20"/>
    </w:rPr>
  </w:style>
  <w:style w:type="character" w:customStyle="1" w:styleId="FootnoteTextChar">
    <w:name w:val="Footnote Text Char"/>
    <w:aliases w:val="Char Char,F1 Char, Char Char"/>
    <w:link w:val="FootnoteText"/>
    <w:uiPriority w:val="99"/>
    <w:rsid w:val="00477382"/>
    <w:rPr>
      <w:rFonts w:eastAsia="Calibri"/>
    </w:rPr>
  </w:style>
  <w:style w:type="paragraph" w:customStyle="1" w:styleId="NormalSS">
    <w:name w:val="NormalSS"/>
    <w:basedOn w:val="Normal"/>
    <w:rsid w:val="00BB3CEB"/>
    <w:pPr>
      <w:tabs>
        <w:tab w:val="left" w:pos="432"/>
      </w:tabs>
      <w:spacing w:before="0"/>
      <w:ind w:firstLine="432"/>
      <w:jc w:val="both"/>
    </w:pPr>
    <w:rPr>
      <w:rFonts w:ascii="Times New Roman" w:hAnsi="Times New Roman"/>
      <w:szCs w:val="20"/>
    </w:rPr>
  </w:style>
  <w:style w:type="paragraph" w:customStyle="1" w:styleId="Default">
    <w:name w:val="Default"/>
    <w:rsid w:val="00001454"/>
    <w:pPr>
      <w:autoSpaceDE w:val="0"/>
      <w:autoSpaceDN w:val="0"/>
      <w:adjustRightInd w:val="0"/>
    </w:pPr>
    <w:rPr>
      <w:color w:val="000000"/>
      <w:sz w:val="24"/>
      <w:szCs w:val="24"/>
    </w:rPr>
  </w:style>
  <w:style w:type="table" w:styleId="TableGrid">
    <w:name w:val="Table Grid"/>
    <w:basedOn w:val="TableNormal"/>
    <w:rsid w:val="00794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85146">
      <w:bodyDiv w:val="1"/>
      <w:marLeft w:val="0"/>
      <w:marRight w:val="0"/>
      <w:marTop w:val="0"/>
      <w:marBottom w:val="0"/>
      <w:divBdr>
        <w:top w:val="none" w:sz="0" w:space="0" w:color="auto"/>
        <w:left w:val="none" w:sz="0" w:space="0" w:color="auto"/>
        <w:bottom w:val="none" w:sz="0" w:space="0" w:color="auto"/>
        <w:right w:val="none" w:sz="0" w:space="0" w:color="auto"/>
      </w:divBdr>
    </w:div>
    <w:div w:id="226307695">
      <w:bodyDiv w:val="1"/>
      <w:marLeft w:val="0"/>
      <w:marRight w:val="0"/>
      <w:marTop w:val="0"/>
      <w:marBottom w:val="0"/>
      <w:divBdr>
        <w:top w:val="none" w:sz="0" w:space="0" w:color="auto"/>
        <w:left w:val="none" w:sz="0" w:space="0" w:color="auto"/>
        <w:bottom w:val="none" w:sz="0" w:space="0" w:color="auto"/>
        <w:right w:val="none" w:sz="0" w:space="0" w:color="auto"/>
      </w:divBdr>
    </w:div>
    <w:div w:id="663706092">
      <w:bodyDiv w:val="1"/>
      <w:marLeft w:val="0"/>
      <w:marRight w:val="0"/>
      <w:marTop w:val="0"/>
      <w:marBottom w:val="0"/>
      <w:divBdr>
        <w:top w:val="none" w:sz="0" w:space="0" w:color="auto"/>
        <w:left w:val="none" w:sz="0" w:space="0" w:color="auto"/>
        <w:bottom w:val="none" w:sz="0" w:space="0" w:color="auto"/>
        <w:right w:val="none" w:sz="0" w:space="0" w:color="auto"/>
      </w:divBdr>
    </w:div>
    <w:div w:id="697893579">
      <w:bodyDiv w:val="1"/>
      <w:marLeft w:val="0"/>
      <w:marRight w:val="0"/>
      <w:marTop w:val="0"/>
      <w:marBottom w:val="0"/>
      <w:divBdr>
        <w:top w:val="none" w:sz="0" w:space="0" w:color="auto"/>
        <w:left w:val="none" w:sz="0" w:space="0" w:color="auto"/>
        <w:bottom w:val="none" w:sz="0" w:space="0" w:color="auto"/>
        <w:right w:val="none" w:sz="0" w:space="0" w:color="auto"/>
      </w:divBdr>
    </w:div>
    <w:div w:id="1052383159">
      <w:bodyDiv w:val="1"/>
      <w:marLeft w:val="0"/>
      <w:marRight w:val="0"/>
      <w:marTop w:val="0"/>
      <w:marBottom w:val="0"/>
      <w:divBdr>
        <w:top w:val="none" w:sz="0" w:space="0" w:color="auto"/>
        <w:left w:val="none" w:sz="0" w:space="0" w:color="auto"/>
        <w:bottom w:val="none" w:sz="0" w:space="0" w:color="auto"/>
        <w:right w:val="none" w:sz="0" w:space="0" w:color="auto"/>
      </w:divBdr>
    </w:div>
    <w:div w:id="14283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mpsit.t19.htm" TargetMode="External"/><Relationship Id="rId1" Type="http://schemas.openxmlformats.org/officeDocument/2006/relationships/hyperlink" Target="http://hab.hrsa.gov/data/data-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9FD73-7B90-4C2F-A0B4-139B4013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CSR Inc.</Company>
  <LinksUpToDate>false</LinksUpToDate>
  <CharactersWithSpaces>12976</CharactersWithSpaces>
  <SharedDoc>false</SharedDoc>
  <HLinks>
    <vt:vector size="6" baseType="variant">
      <vt:variant>
        <vt:i4>1507339</vt:i4>
      </vt:variant>
      <vt:variant>
        <vt:i4>0</vt:i4>
      </vt:variant>
      <vt:variant>
        <vt:i4>0</vt:i4>
      </vt:variant>
      <vt:variant>
        <vt:i4>5</vt:i4>
      </vt:variant>
      <vt:variant>
        <vt:lpwstr>http://hab.hrsa.gov/data/data-reports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Claudia Flatau</dc:creator>
  <cp:keywords/>
  <cp:lastModifiedBy>SYSTEM</cp:lastModifiedBy>
  <cp:revision>2</cp:revision>
  <cp:lastPrinted>2016-05-05T15:35:00Z</cp:lastPrinted>
  <dcterms:created xsi:type="dcterms:W3CDTF">2019-05-01T14:53:00Z</dcterms:created>
  <dcterms:modified xsi:type="dcterms:W3CDTF">2019-05-01T14:53:00Z</dcterms:modified>
</cp:coreProperties>
</file>