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1C1D9" w14:textId="77777777" w:rsidR="004F26E9" w:rsidRPr="002C3945" w:rsidRDefault="004F26E9">
      <w:pPr>
        <w:jc w:val="center"/>
        <w:rPr>
          <w:b/>
          <w:bCs/>
          <w:sz w:val="24"/>
          <w:szCs w:val="24"/>
        </w:rPr>
      </w:pPr>
      <w:bookmarkStart w:id="0" w:name="_GoBack"/>
      <w:bookmarkEnd w:id="0"/>
      <w:r w:rsidRPr="002C3945">
        <w:rPr>
          <w:b/>
          <w:bCs/>
          <w:sz w:val="24"/>
          <w:szCs w:val="24"/>
        </w:rPr>
        <w:t>SUPPORTING STATEMENT</w:t>
      </w:r>
    </w:p>
    <w:p w14:paraId="40F68244" w14:textId="77777777" w:rsidR="004F26E9" w:rsidRPr="002C3945" w:rsidRDefault="00D1394F">
      <w:pPr>
        <w:jc w:val="center"/>
        <w:rPr>
          <w:b/>
          <w:bCs/>
          <w:sz w:val="24"/>
          <w:szCs w:val="24"/>
        </w:rPr>
      </w:pPr>
      <w:r w:rsidRPr="002C3945">
        <w:rPr>
          <w:b/>
          <w:bCs/>
          <w:sz w:val="24"/>
          <w:szCs w:val="24"/>
        </w:rPr>
        <w:t>FISHERIES CERTIFICATE OF ORIGIN</w:t>
      </w:r>
    </w:p>
    <w:p w14:paraId="4BF03BC6" w14:textId="77777777" w:rsidR="004F26E9" w:rsidRPr="002C3945" w:rsidRDefault="004F26E9">
      <w:pPr>
        <w:jc w:val="center"/>
        <w:rPr>
          <w:sz w:val="24"/>
          <w:szCs w:val="24"/>
        </w:rPr>
      </w:pPr>
      <w:r w:rsidRPr="002C3945">
        <w:rPr>
          <w:b/>
          <w:bCs/>
          <w:sz w:val="24"/>
          <w:szCs w:val="24"/>
        </w:rPr>
        <w:t>OMB CONTROL NO. 0648-</w:t>
      </w:r>
      <w:r w:rsidR="00D1394F" w:rsidRPr="002C3945">
        <w:rPr>
          <w:b/>
          <w:bCs/>
          <w:sz w:val="24"/>
          <w:szCs w:val="24"/>
        </w:rPr>
        <w:t>0335</w:t>
      </w:r>
    </w:p>
    <w:p w14:paraId="5A32094C" w14:textId="77777777" w:rsidR="004F26E9" w:rsidRPr="002C3945" w:rsidRDefault="004F26E9">
      <w:pPr>
        <w:rPr>
          <w:sz w:val="24"/>
          <w:szCs w:val="24"/>
        </w:rPr>
      </w:pPr>
    </w:p>
    <w:p w14:paraId="4C9B97CD" w14:textId="77777777" w:rsidR="004F26E9" w:rsidRPr="002C3945" w:rsidRDefault="004F26E9">
      <w:pPr>
        <w:rPr>
          <w:sz w:val="24"/>
          <w:szCs w:val="24"/>
        </w:rPr>
      </w:pPr>
    </w:p>
    <w:p w14:paraId="081B8298" w14:textId="77777777" w:rsidR="004F26E9" w:rsidRPr="002C3945" w:rsidRDefault="0042596D">
      <w:pPr>
        <w:tabs>
          <w:tab w:val="left" w:pos="720"/>
        </w:tabs>
        <w:ind w:left="720" w:hanging="720"/>
        <w:rPr>
          <w:sz w:val="24"/>
          <w:szCs w:val="24"/>
        </w:rPr>
      </w:pPr>
      <w:r>
        <w:rPr>
          <w:b/>
          <w:bCs/>
          <w:sz w:val="24"/>
          <w:szCs w:val="24"/>
        </w:rPr>
        <w:t>A.</w:t>
      </w:r>
      <w:r w:rsidR="004F26E9" w:rsidRPr="002C3945">
        <w:rPr>
          <w:b/>
          <w:bCs/>
          <w:sz w:val="24"/>
          <w:szCs w:val="24"/>
        </w:rPr>
        <w:tab/>
        <w:t>JUSTIFICATION</w:t>
      </w:r>
    </w:p>
    <w:p w14:paraId="226DC302" w14:textId="77777777" w:rsidR="004F26E9" w:rsidRPr="002C3945" w:rsidRDefault="004F26E9">
      <w:pPr>
        <w:rPr>
          <w:sz w:val="24"/>
          <w:szCs w:val="24"/>
        </w:rPr>
      </w:pPr>
    </w:p>
    <w:p w14:paraId="67DEE9A2" w14:textId="77777777" w:rsidR="004F26E9" w:rsidRPr="002C3945" w:rsidRDefault="004F26E9">
      <w:pPr>
        <w:rPr>
          <w:sz w:val="24"/>
          <w:szCs w:val="24"/>
        </w:rPr>
        <w:sectPr w:rsidR="004F26E9" w:rsidRPr="002C3945" w:rsidSect="003A3C2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14:paraId="6DB5D7BF" w14:textId="77777777" w:rsidR="004F26E9" w:rsidRPr="002C3945" w:rsidRDefault="004F26E9" w:rsidP="003A3C28">
      <w:pPr>
        <w:rPr>
          <w:sz w:val="24"/>
          <w:szCs w:val="24"/>
        </w:rPr>
      </w:pPr>
      <w:r w:rsidRPr="002C3945">
        <w:rPr>
          <w:b/>
          <w:bCs/>
          <w:sz w:val="24"/>
          <w:szCs w:val="24"/>
        </w:rPr>
        <w:lastRenderedPageBreak/>
        <w:t xml:space="preserve">1.  </w:t>
      </w:r>
      <w:r w:rsidRPr="002C3945">
        <w:rPr>
          <w:b/>
          <w:bCs/>
          <w:sz w:val="24"/>
          <w:szCs w:val="24"/>
          <w:u w:val="single"/>
        </w:rPr>
        <w:t>Explain the circumstances that make the collection of information necessary.</w:t>
      </w:r>
    </w:p>
    <w:p w14:paraId="7422A9CD" w14:textId="77777777" w:rsidR="004F26E9" w:rsidRPr="002C3945" w:rsidRDefault="004F26E9" w:rsidP="003A3C28">
      <w:pPr>
        <w:rPr>
          <w:sz w:val="24"/>
          <w:szCs w:val="24"/>
        </w:rPr>
      </w:pPr>
    </w:p>
    <w:p w14:paraId="70D92192" w14:textId="77777777" w:rsidR="00D1394F" w:rsidRPr="002C3945" w:rsidRDefault="00D1394F" w:rsidP="003A3C28">
      <w:pPr>
        <w:rPr>
          <w:sz w:val="24"/>
          <w:szCs w:val="24"/>
        </w:rPr>
      </w:pPr>
      <w:r w:rsidRPr="002C3945">
        <w:rPr>
          <w:sz w:val="24"/>
          <w:szCs w:val="24"/>
        </w:rPr>
        <w:t xml:space="preserve">This is a request for extension </w:t>
      </w:r>
      <w:r w:rsidR="001D2896" w:rsidRPr="002C3945">
        <w:rPr>
          <w:sz w:val="24"/>
          <w:szCs w:val="24"/>
        </w:rPr>
        <w:t>of a currently approved collection</w:t>
      </w:r>
      <w:r w:rsidRPr="002C3945">
        <w:rPr>
          <w:sz w:val="24"/>
          <w:szCs w:val="24"/>
        </w:rPr>
        <w:t>.</w:t>
      </w:r>
    </w:p>
    <w:p w14:paraId="54E9C0DE" w14:textId="77777777" w:rsidR="00D1394F" w:rsidRPr="002C3945" w:rsidRDefault="00D1394F" w:rsidP="003A3C28">
      <w:pPr>
        <w:rPr>
          <w:sz w:val="24"/>
          <w:szCs w:val="24"/>
        </w:rPr>
      </w:pPr>
    </w:p>
    <w:p w14:paraId="2698F4F8" w14:textId="77777777" w:rsidR="00D97081" w:rsidRPr="002C3945" w:rsidRDefault="00D97081" w:rsidP="002C3945">
      <w:pPr>
        <w:rPr>
          <w:sz w:val="24"/>
          <w:szCs w:val="24"/>
        </w:rPr>
      </w:pPr>
      <w:r w:rsidRPr="002C3945">
        <w:rPr>
          <w:sz w:val="24"/>
          <w:szCs w:val="24"/>
        </w:rPr>
        <w:t xml:space="preserve">The purpose of this collection of information is to comply with the requirements of the </w:t>
      </w:r>
      <w:hyperlink r:id="rId9">
        <w:r w:rsidRPr="002C3945">
          <w:rPr>
            <w:color w:val="0000FF"/>
            <w:sz w:val="24"/>
            <w:szCs w:val="24"/>
            <w:u w:val="single" w:color="0000FF"/>
          </w:rPr>
          <w:t>Marine</w:t>
        </w:r>
      </w:hyperlink>
      <w:hyperlink r:id="rId10">
        <w:r w:rsidRPr="002C3945">
          <w:rPr>
            <w:color w:val="0000FF"/>
            <w:sz w:val="24"/>
            <w:szCs w:val="24"/>
          </w:rPr>
          <w:t xml:space="preserve"> </w:t>
        </w:r>
        <w:r w:rsidRPr="002C3945">
          <w:rPr>
            <w:color w:val="0000FF"/>
            <w:sz w:val="24"/>
            <w:szCs w:val="24"/>
            <w:u w:val="single" w:color="0000FF"/>
          </w:rPr>
          <w:t xml:space="preserve">Mammal Protection Act </w:t>
        </w:r>
      </w:hyperlink>
      <w:r w:rsidRPr="002C3945">
        <w:rPr>
          <w:sz w:val="24"/>
          <w:szCs w:val="24"/>
        </w:rPr>
        <w:t xml:space="preserve">(MMPA), 16 U.S.C. 1361 </w:t>
      </w:r>
      <w:r w:rsidRPr="002C3945">
        <w:rPr>
          <w:i/>
          <w:sz w:val="24"/>
          <w:szCs w:val="24"/>
        </w:rPr>
        <w:t>et seq</w:t>
      </w:r>
      <w:r w:rsidRPr="002C3945">
        <w:rPr>
          <w:sz w:val="24"/>
          <w:szCs w:val="24"/>
        </w:rPr>
        <w:t xml:space="preserve">., and the </w:t>
      </w:r>
      <w:hyperlink r:id="rId11">
        <w:r w:rsidRPr="002C3945">
          <w:rPr>
            <w:color w:val="0000FF"/>
            <w:sz w:val="24"/>
            <w:szCs w:val="24"/>
            <w:u w:val="single" w:color="0000FF"/>
          </w:rPr>
          <w:t>Dolphin Protection Consumer</w:t>
        </w:r>
      </w:hyperlink>
      <w:hyperlink r:id="rId12">
        <w:r w:rsidRPr="002C3945">
          <w:rPr>
            <w:color w:val="0000FF"/>
            <w:sz w:val="24"/>
            <w:szCs w:val="24"/>
          </w:rPr>
          <w:t xml:space="preserve"> </w:t>
        </w:r>
        <w:r w:rsidRPr="002C3945">
          <w:rPr>
            <w:color w:val="0000FF"/>
            <w:sz w:val="24"/>
            <w:szCs w:val="24"/>
            <w:u w:val="single" w:color="0000FF"/>
          </w:rPr>
          <w:t xml:space="preserve">Information Act </w:t>
        </w:r>
      </w:hyperlink>
      <w:r w:rsidRPr="002C3945">
        <w:rPr>
          <w:sz w:val="24"/>
          <w:szCs w:val="24"/>
        </w:rPr>
        <w:t>(DPCIA), 16 U.S.C. 1385. The MMPA and the DPCIA authorize the Secretary of Commerce to promulgate regulations that restrict the fishing, sale, importation, and</w:t>
      </w:r>
      <w:r w:rsidR="00170F02" w:rsidRPr="002C3945">
        <w:rPr>
          <w:sz w:val="24"/>
          <w:szCs w:val="24"/>
        </w:rPr>
        <w:t xml:space="preserve"> </w:t>
      </w:r>
      <w:r w:rsidRPr="002C3945">
        <w:rPr>
          <w:sz w:val="24"/>
          <w:szCs w:val="24"/>
        </w:rPr>
        <w:t xml:space="preserve">transportation of tuna </w:t>
      </w:r>
      <w:r w:rsidR="00AB3BCC" w:rsidRPr="002C3945">
        <w:rPr>
          <w:sz w:val="24"/>
          <w:szCs w:val="24"/>
        </w:rPr>
        <w:t>in order to verify the</w:t>
      </w:r>
      <w:r w:rsidRPr="002C3945">
        <w:rPr>
          <w:sz w:val="24"/>
          <w:szCs w:val="24"/>
        </w:rPr>
        <w:t xml:space="preserve"> dolphin-safe </w:t>
      </w:r>
      <w:r w:rsidR="00AB3BCC" w:rsidRPr="002C3945">
        <w:rPr>
          <w:sz w:val="24"/>
          <w:szCs w:val="24"/>
        </w:rPr>
        <w:t xml:space="preserve">status and the embargo status; </w:t>
      </w:r>
      <w:r w:rsidRPr="002C3945">
        <w:rPr>
          <w:sz w:val="24"/>
          <w:szCs w:val="24"/>
        </w:rPr>
        <w:t xml:space="preserve">and </w:t>
      </w:r>
      <w:r w:rsidR="00AB3BCC" w:rsidRPr="002C3945">
        <w:rPr>
          <w:sz w:val="24"/>
          <w:szCs w:val="24"/>
        </w:rPr>
        <w:t xml:space="preserve">to prohibit </w:t>
      </w:r>
      <w:r w:rsidRPr="002C3945">
        <w:rPr>
          <w:sz w:val="24"/>
          <w:szCs w:val="24"/>
        </w:rPr>
        <w:t>certain other fish and fish products when</w:t>
      </w:r>
      <w:r w:rsidR="002C3945" w:rsidRPr="002C3945">
        <w:rPr>
          <w:sz w:val="24"/>
          <w:szCs w:val="24"/>
        </w:rPr>
        <w:t xml:space="preserve"> </w:t>
      </w:r>
      <w:r w:rsidRPr="002C3945">
        <w:rPr>
          <w:sz w:val="24"/>
          <w:szCs w:val="24"/>
        </w:rPr>
        <w:t xml:space="preserve">harvested by </w:t>
      </w:r>
      <w:r w:rsidR="00710CED" w:rsidRPr="002C3945">
        <w:rPr>
          <w:sz w:val="24"/>
          <w:szCs w:val="24"/>
        </w:rPr>
        <w:t xml:space="preserve">large-scale, </w:t>
      </w:r>
      <w:r w:rsidRPr="002C3945">
        <w:rPr>
          <w:sz w:val="24"/>
          <w:szCs w:val="24"/>
        </w:rPr>
        <w:t>high seas driftnets</w:t>
      </w:r>
      <w:r w:rsidR="00B43AAC" w:rsidRPr="002C3945">
        <w:rPr>
          <w:sz w:val="24"/>
          <w:szCs w:val="24"/>
        </w:rPr>
        <w:t xml:space="preserve">. </w:t>
      </w:r>
      <w:r w:rsidR="00616E2E" w:rsidRPr="002C3945">
        <w:rPr>
          <w:sz w:val="24"/>
          <w:szCs w:val="24"/>
        </w:rPr>
        <w:t>Under t</w:t>
      </w:r>
      <w:r w:rsidR="00B43AAC" w:rsidRPr="002C3945">
        <w:rPr>
          <w:sz w:val="24"/>
          <w:szCs w:val="24"/>
        </w:rPr>
        <w:t xml:space="preserve">he </w:t>
      </w:r>
      <w:r w:rsidR="00616E2E" w:rsidRPr="002C3945">
        <w:rPr>
          <w:sz w:val="24"/>
          <w:szCs w:val="24"/>
        </w:rPr>
        <w:t>DPCIA</w:t>
      </w:r>
      <w:r w:rsidR="00B43AAC" w:rsidRPr="002C3945">
        <w:rPr>
          <w:sz w:val="24"/>
          <w:szCs w:val="24"/>
        </w:rPr>
        <w:t xml:space="preserve"> </w:t>
      </w:r>
      <w:r w:rsidR="00616E2E" w:rsidRPr="002C3945">
        <w:rPr>
          <w:sz w:val="24"/>
          <w:szCs w:val="24"/>
        </w:rPr>
        <w:t>and the High Seas Driftnet Fisheries Enforcement Act, the</w:t>
      </w:r>
      <w:r w:rsidR="00B43AAC" w:rsidRPr="002C3945">
        <w:rPr>
          <w:sz w:val="24"/>
          <w:szCs w:val="24"/>
        </w:rPr>
        <w:t xml:space="preserve"> Secretary of Commerce </w:t>
      </w:r>
      <w:r w:rsidR="00616E2E" w:rsidRPr="002C3945">
        <w:rPr>
          <w:sz w:val="24"/>
          <w:szCs w:val="24"/>
        </w:rPr>
        <w:t xml:space="preserve">is authorized to determine whether a nation has vessels that use large-scale driftnets to fish on the high seas. Currently, no nation has such a determination. Therefore, there is </w:t>
      </w:r>
      <w:r w:rsidR="00D97C9B" w:rsidRPr="002C3945">
        <w:rPr>
          <w:sz w:val="24"/>
          <w:szCs w:val="24"/>
        </w:rPr>
        <w:t xml:space="preserve">currently </w:t>
      </w:r>
      <w:r w:rsidR="00616E2E" w:rsidRPr="002C3945">
        <w:rPr>
          <w:sz w:val="24"/>
          <w:szCs w:val="24"/>
        </w:rPr>
        <w:t xml:space="preserve">no need for the fish and fish products listed at 50 CFR 216.24(f)(2)(iii) </w:t>
      </w:r>
      <w:r w:rsidR="001F5459" w:rsidRPr="002C3945">
        <w:rPr>
          <w:sz w:val="24"/>
          <w:szCs w:val="24"/>
        </w:rPr>
        <w:t>to have a Fisheries Certificate of Origin (</w:t>
      </w:r>
      <w:r w:rsidR="00616E2E" w:rsidRPr="002C3945">
        <w:rPr>
          <w:sz w:val="24"/>
          <w:szCs w:val="24"/>
        </w:rPr>
        <w:t>FCO</w:t>
      </w:r>
      <w:r w:rsidR="001F5459" w:rsidRPr="002C3945">
        <w:rPr>
          <w:sz w:val="24"/>
          <w:szCs w:val="24"/>
        </w:rPr>
        <w:t>)</w:t>
      </w:r>
      <w:r w:rsidR="00616E2E" w:rsidRPr="002C3945">
        <w:rPr>
          <w:sz w:val="24"/>
          <w:szCs w:val="24"/>
        </w:rPr>
        <w:t xml:space="preserve"> accompany import shipments</w:t>
      </w:r>
      <w:r w:rsidR="00D97C9B" w:rsidRPr="002C3945">
        <w:rPr>
          <w:sz w:val="24"/>
          <w:szCs w:val="24"/>
        </w:rPr>
        <w:t xml:space="preserve"> of the</w:t>
      </w:r>
      <w:r w:rsidR="001F5459" w:rsidRPr="002C3945">
        <w:rPr>
          <w:sz w:val="24"/>
          <w:szCs w:val="24"/>
        </w:rPr>
        <w:t>se</w:t>
      </w:r>
      <w:r w:rsidR="00D97C9B" w:rsidRPr="002C3945">
        <w:rPr>
          <w:sz w:val="24"/>
          <w:szCs w:val="24"/>
        </w:rPr>
        <w:t xml:space="preserve"> listed products</w:t>
      </w:r>
      <w:r w:rsidRPr="002C3945">
        <w:rPr>
          <w:sz w:val="24"/>
          <w:szCs w:val="24"/>
        </w:rPr>
        <w:t>.</w:t>
      </w:r>
    </w:p>
    <w:p w14:paraId="54FA8C49" w14:textId="77777777" w:rsidR="00D97081" w:rsidRPr="002C3945" w:rsidRDefault="00D97081" w:rsidP="003A3C28">
      <w:pPr>
        <w:rPr>
          <w:sz w:val="24"/>
          <w:szCs w:val="24"/>
        </w:rPr>
      </w:pPr>
    </w:p>
    <w:p w14:paraId="2AE49D38" w14:textId="1EC4B9BF" w:rsidR="00D97081" w:rsidRPr="002C3945" w:rsidRDefault="00D97081" w:rsidP="003A3C28">
      <w:pPr>
        <w:rPr>
          <w:sz w:val="24"/>
          <w:szCs w:val="24"/>
        </w:rPr>
      </w:pPr>
      <w:r w:rsidRPr="002C3945">
        <w:rPr>
          <w:sz w:val="24"/>
          <w:szCs w:val="24"/>
        </w:rPr>
        <w:t xml:space="preserve">This information collection documents the dolphin-safe status of tuna import </w:t>
      </w:r>
      <w:r w:rsidR="00561900">
        <w:rPr>
          <w:sz w:val="24"/>
          <w:szCs w:val="24"/>
        </w:rPr>
        <w:t xml:space="preserve">and cannery receipt </w:t>
      </w:r>
      <w:r w:rsidRPr="002C3945">
        <w:rPr>
          <w:sz w:val="24"/>
          <w:szCs w:val="24"/>
        </w:rPr>
        <w:t>shipments; verifies that import shipments of fish were not harvested by large</w:t>
      </w:r>
      <w:r w:rsidR="00710CED" w:rsidRPr="002C3945">
        <w:rPr>
          <w:sz w:val="24"/>
          <w:szCs w:val="24"/>
        </w:rPr>
        <w:t>-</w:t>
      </w:r>
      <w:r w:rsidRPr="002C3945">
        <w:rPr>
          <w:sz w:val="24"/>
          <w:szCs w:val="24"/>
        </w:rPr>
        <w:t>scale, high seas driftnets; and verifie</w:t>
      </w:r>
      <w:r w:rsidR="001D2896" w:rsidRPr="002C3945">
        <w:rPr>
          <w:sz w:val="24"/>
          <w:szCs w:val="24"/>
        </w:rPr>
        <w:t xml:space="preserve">s </w:t>
      </w:r>
      <w:r w:rsidRPr="002C3945">
        <w:rPr>
          <w:sz w:val="24"/>
          <w:szCs w:val="24"/>
        </w:rPr>
        <w:t>that tuna was not harvested by a nation under embargo or otherwise prohibited from exporting</w:t>
      </w:r>
      <w:r w:rsidR="001D2896" w:rsidRPr="002C3945">
        <w:rPr>
          <w:sz w:val="24"/>
          <w:szCs w:val="24"/>
        </w:rPr>
        <w:t xml:space="preserve"> </w:t>
      </w:r>
      <w:r w:rsidRPr="002C3945">
        <w:rPr>
          <w:sz w:val="24"/>
          <w:szCs w:val="24"/>
        </w:rPr>
        <w:t>tuna to the United States (U.S.).</w:t>
      </w:r>
    </w:p>
    <w:p w14:paraId="1F7038E0" w14:textId="77777777" w:rsidR="004F26E9" w:rsidRPr="002C3945" w:rsidRDefault="004F26E9" w:rsidP="003A3C28">
      <w:pPr>
        <w:rPr>
          <w:sz w:val="24"/>
          <w:szCs w:val="24"/>
        </w:rPr>
      </w:pPr>
    </w:p>
    <w:p w14:paraId="2F42A073" w14:textId="77777777" w:rsidR="001D2896" w:rsidRPr="002C3945" w:rsidRDefault="001D2896" w:rsidP="003A3C28">
      <w:pPr>
        <w:rPr>
          <w:sz w:val="24"/>
          <w:szCs w:val="24"/>
        </w:rPr>
      </w:pPr>
    </w:p>
    <w:p w14:paraId="2A1222A9" w14:textId="77777777" w:rsidR="004F26E9" w:rsidRPr="002C3945" w:rsidRDefault="004F26E9" w:rsidP="003A3C28">
      <w:pPr>
        <w:rPr>
          <w:sz w:val="24"/>
          <w:szCs w:val="24"/>
        </w:rPr>
      </w:pPr>
      <w:r w:rsidRPr="002C3945">
        <w:rPr>
          <w:b/>
          <w:bCs/>
          <w:sz w:val="24"/>
          <w:szCs w:val="24"/>
        </w:rPr>
        <w:t xml:space="preserve">2.  </w:t>
      </w:r>
      <w:r w:rsidRPr="002C3945">
        <w:rPr>
          <w:szCs w:val="24"/>
          <w:lang w:val="en-CA"/>
        </w:rPr>
        <w:fldChar w:fldCharType="begin"/>
      </w:r>
      <w:r w:rsidRPr="002C3945">
        <w:rPr>
          <w:szCs w:val="24"/>
          <w:lang w:val="en-CA"/>
        </w:rPr>
        <w:instrText xml:space="preserve"> SEQ CHAPTER \h \r 1</w:instrText>
      </w:r>
      <w:r w:rsidRPr="002C3945">
        <w:rPr>
          <w:szCs w:val="24"/>
          <w:lang w:val="en-CA"/>
        </w:rPr>
        <w:fldChar w:fldCharType="end"/>
      </w:r>
      <w:r w:rsidRPr="002C3945">
        <w:rPr>
          <w:b/>
          <w:bCs/>
          <w:sz w:val="24"/>
          <w:szCs w:val="24"/>
          <w:u w:val="single"/>
        </w:rPr>
        <w:t xml:space="preserve">Explain how, by whom, how frequently, and for what purpose the information will be used.  </w:t>
      </w:r>
      <w:r w:rsidRPr="002C3945">
        <w:rPr>
          <w:szCs w:val="24"/>
          <w:lang w:val="en-CA"/>
        </w:rPr>
        <w:fldChar w:fldCharType="begin"/>
      </w:r>
      <w:r w:rsidRPr="002C3945">
        <w:rPr>
          <w:szCs w:val="24"/>
          <w:lang w:val="en-CA"/>
        </w:rPr>
        <w:instrText xml:space="preserve"> SEQ CHAPTER \h \r 1</w:instrText>
      </w:r>
      <w:r w:rsidRPr="002C3945">
        <w:rPr>
          <w:szCs w:val="24"/>
          <w:lang w:val="en-CA"/>
        </w:rPr>
        <w:fldChar w:fldCharType="end"/>
      </w:r>
      <w:r w:rsidRPr="002C3945">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2C3945">
        <w:rPr>
          <w:b/>
          <w:bCs/>
          <w:sz w:val="24"/>
          <w:szCs w:val="24"/>
        </w:rPr>
        <w:t xml:space="preserve">. </w:t>
      </w:r>
    </w:p>
    <w:p w14:paraId="14C880CB" w14:textId="77777777" w:rsidR="004F26E9" w:rsidRPr="002C3945" w:rsidRDefault="004F26E9" w:rsidP="003A3C28">
      <w:pPr>
        <w:rPr>
          <w:sz w:val="24"/>
          <w:szCs w:val="24"/>
        </w:rPr>
      </w:pPr>
    </w:p>
    <w:p w14:paraId="6B01A597" w14:textId="77777777" w:rsidR="008E3027" w:rsidRPr="002C3945" w:rsidRDefault="008E3027" w:rsidP="003A3C28">
      <w:pPr>
        <w:tabs>
          <w:tab w:val="left" w:pos="0"/>
          <w:tab w:val="left" w:pos="90"/>
        </w:tabs>
        <w:rPr>
          <w:sz w:val="24"/>
          <w:szCs w:val="24"/>
        </w:rPr>
      </w:pPr>
      <w:r w:rsidRPr="002C3945">
        <w:rPr>
          <w:sz w:val="24"/>
          <w:szCs w:val="24"/>
        </w:rPr>
        <w:t>The FCO provides the National Marine Fisheries Service (NMFS) with information concerning</w:t>
      </w:r>
      <w:r w:rsidR="003A3C28" w:rsidRPr="002C3945">
        <w:rPr>
          <w:sz w:val="24"/>
          <w:szCs w:val="24"/>
        </w:rPr>
        <w:t xml:space="preserve"> </w:t>
      </w:r>
      <w:r w:rsidRPr="002C3945">
        <w:rPr>
          <w:sz w:val="24"/>
          <w:szCs w:val="24"/>
        </w:rPr>
        <w:t>the origin, type, and quantity of imported tuna and tuna products. The FCO also provides a mechanism for foreign exporters and government officials to document and certify the fishing method and dolphin-safe status of the accompanying shipment. It requires U.S. importers to provide this information to the U.S. Customs and Border Protection (CBP) at the time of importation, thus, assisting the CBP in preventing tuna products from entering the U.S. without proper documentation. All parties that submit FCOs are required to retain a copy of the FCO for a period of two years and to provide such copies to NMFS within thirty days of receiving a written request from the NMFS Regional Administrator,</w:t>
      </w:r>
      <w:r w:rsidR="00646671" w:rsidRPr="002C3945">
        <w:rPr>
          <w:sz w:val="24"/>
          <w:szCs w:val="24"/>
        </w:rPr>
        <w:t xml:space="preserve"> West Coast Region</w:t>
      </w:r>
      <w:r w:rsidRPr="002C3945">
        <w:rPr>
          <w:sz w:val="24"/>
          <w:szCs w:val="24"/>
        </w:rPr>
        <w:t>.</w:t>
      </w:r>
    </w:p>
    <w:p w14:paraId="393A7463" w14:textId="77777777" w:rsidR="00B43AAC" w:rsidRPr="002C3945" w:rsidRDefault="00B43AAC" w:rsidP="003A3C28">
      <w:pPr>
        <w:tabs>
          <w:tab w:val="left" w:pos="0"/>
          <w:tab w:val="left" w:pos="90"/>
        </w:tabs>
        <w:rPr>
          <w:sz w:val="24"/>
          <w:szCs w:val="24"/>
        </w:rPr>
      </w:pPr>
    </w:p>
    <w:p w14:paraId="128FCE6A" w14:textId="77777777" w:rsidR="00B43AAC" w:rsidRPr="002C3945" w:rsidRDefault="00B43AAC" w:rsidP="003A3C28">
      <w:pPr>
        <w:tabs>
          <w:tab w:val="left" w:pos="0"/>
          <w:tab w:val="left" w:pos="90"/>
        </w:tabs>
        <w:rPr>
          <w:sz w:val="24"/>
          <w:szCs w:val="24"/>
        </w:rPr>
      </w:pPr>
      <w:r w:rsidRPr="002C3945">
        <w:rPr>
          <w:sz w:val="24"/>
          <w:szCs w:val="24"/>
        </w:rPr>
        <w:t xml:space="preserve">If the importation includes tuna and/or tuna products harvested in the </w:t>
      </w:r>
      <w:r w:rsidR="00710CED" w:rsidRPr="002C3945">
        <w:rPr>
          <w:sz w:val="24"/>
          <w:szCs w:val="24"/>
        </w:rPr>
        <w:t>eastern tropical Pacific Ocean (</w:t>
      </w:r>
      <w:r w:rsidRPr="002C3945">
        <w:rPr>
          <w:sz w:val="24"/>
          <w:szCs w:val="24"/>
        </w:rPr>
        <w:t>ETP</w:t>
      </w:r>
      <w:r w:rsidR="00710CED" w:rsidRPr="002C3945">
        <w:rPr>
          <w:sz w:val="24"/>
          <w:szCs w:val="24"/>
        </w:rPr>
        <w:t>)</w:t>
      </w:r>
      <w:r w:rsidRPr="002C3945">
        <w:rPr>
          <w:sz w:val="24"/>
          <w:szCs w:val="24"/>
        </w:rPr>
        <w:t xml:space="preserve"> by a large purse seine vessel (having a carrying capacity of more than 400 short tons (362.8 metric tons)), then valid documentation signed by a representative of the appropriate I</w:t>
      </w:r>
      <w:r w:rsidR="00710CED" w:rsidRPr="002C3945">
        <w:rPr>
          <w:sz w:val="24"/>
          <w:szCs w:val="24"/>
        </w:rPr>
        <w:t xml:space="preserve">nternational </w:t>
      </w:r>
      <w:r w:rsidRPr="002C3945">
        <w:rPr>
          <w:sz w:val="24"/>
          <w:szCs w:val="24"/>
        </w:rPr>
        <w:t>D</w:t>
      </w:r>
      <w:r w:rsidR="00710CED" w:rsidRPr="002C3945">
        <w:rPr>
          <w:sz w:val="24"/>
          <w:szCs w:val="24"/>
        </w:rPr>
        <w:t xml:space="preserve">olphin </w:t>
      </w:r>
      <w:r w:rsidRPr="002C3945">
        <w:rPr>
          <w:sz w:val="24"/>
          <w:szCs w:val="24"/>
        </w:rPr>
        <w:t>C</w:t>
      </w:r>
      <w:r w:rsidR="00710CED" w:rsidRPr="002C3945">
        <w:rPr>
          <w:sz w:val="24"/>
          <w:szCs w:val="24"/>
        </w:rPr>
        <w:t xml:space="preserve">onservation </w:t>
      </w:r>
      <w:r w:rsidRPr="002C3945">
        <w:rPr>
          <w:sz w:val="24"/>
          <w:szCs w:val="24"/>
        </w:rPr>
        <w:t>P</w:t>
      </w:r>
      <w:r w:rsidR="00710CED" w:rsidRPr="002C3945">
        <w:rPr>
          <w:sz w:val="24"/>
          <w:szCs w:val="24"/>
        </w:rPr>
        <w:t xml:space="preserve">rogram (IDCP) </w:t>
      </w:r>
      <w:r w:rsidRPr="002C3945">
        <w:rPr>
          <w:sz w:val="24"/>
          <w:szCs w:val="24"/>
        </w:rPr>
        <w:t xml:space="preserve">member nation must be attached to the FCO certifying that: 1) there was an IDCP-approved observer on board the vessel during the entire trip; 2) no purse seine net was intentionally deployed on or to encircle dolphins during the </w:t>
      </w:r>
      <w:r w:rsidRPr="002C3945">
        <w:rPr>
          <w:sz w:val="24"/>
          <w:szCs w:val="24"/>
        </w:rPr>
        <w:lastRenderedPageBreak/>
        <w:t xml:space="preserve">fishing trip and no dolphins were killed or seriously injured in the </w:t>
      </w:r>
      <w:r w:rsidR="000E7653">
        <w:rPr>
          <w:sz w:val="24"/>
          <w:szCs w:val="24"/>
        </w:rPr>
        <w:t>s</w:t>
      </w:r>
      <w:r w:rsidRPr="002C3945">
        <w:rPr>
          <w:sz w:val="24"/>
          <w:szCs w:val="24"/>
        </w:rPr>
        <w:t>ets in which the tuna were caught; and 3) a listing of the numbers for the associated Tuna Tracking Forms which contain the captain’s and observer’s certifications has been provided. These certifications must be attached to the FCO.</w:t>
      </w:r>
    </w:p>
    <w:p w14:paraId="31EE60D2" w14:textId="77777777" w:rsidR="008E3027" w:rsidRPr="002C3945" w:rsidRDefault="008E3027" w:rsidP="003A3C28">
      <w:pPr>
        <w:tabs>
          <w:tab w:val="left" w:pos="0"/>
          <w:tab w:val="left" w:pos="90"/>
        </w:tabs>
        <w:rPr>
          <w:sz w:val="24"/>
          <w:szCs w:val="24"/>
        </w:rPr>
      </w:pPr>
    </w:p>
    <w:p w14:paraId="2105277E" w14:textId="7F21EF43" w:rsidR="008E3027" w:rsidRPr="002C3945" w:rsidRDefault="008E3027" w:rsidP="003A3C28">
      <w:pPr>
        <w:tabs>
          <w:tab w:val="left" w:pos="0"/>
          <w:tab w:val="left" w:pos="90"/>
        </w:tabs>
        <w:rPr>
          <w:sz w:val="24"/>
          <w:szCs w:val="24"/>
        </w:rPr>
      </w:pPr>
      <w:r w:rsidRPr="002C3945">
        <w:rPr>
          <w:sz w:val="24"/>
          <w:szCs w:val="24"/>
        </w:rPr>
        <w:t xml:space="preserve">If an importation includes tuna and/or tuna products harvested </w:t>
      </w:r>
      <w:r w:rsidR="00CD00CA" w:rsidRPr="002C3945">
        <w:rPr>
          <w:sz w:val="24"/>
          <w:szCs w:val="24"/>
        </w:rPr>
        <w:t>in a fishery other than the large</w:t>
      </w:r>
      <w:r w:rsidR="005F7B4F" w:rsidRPr="002C3945">
        <w:rPr>
          <w:sz w:val="24"/>
          <w:szCs w:val="24"/>
        </w:rPr>
        <w:t xml:space="preserve"> ETP</w:t>
      </w:r>
      <w:r w:rsidR="00CD00CA" w:rsidRPr="002C3945">
        <w:rPr>
          <w:sz w:val="24"/>
          <w:szCs w:val="24"/>
        </w:rPr>
        <w:t xml:space="preserve"> purse seine fishery</w:t>
      </w:r>
      <w:r w:rsidR="005F7B4F" w:rsidRPr="002C3945">
        <w:rPr>
          <w:sz w:val="24"/>
          <w:szCs w:val="24"/>
        </w:rPr>
        <w:t>,</w:t>
      </w:r>
      <w:r w:rsidRPr="002C3945">
        <w:rPr>
          <w:sz w:val="24"/>
          <w:szCs w:val="24"/>
        </w:rPr>
        <w:t xml:space="preserve"> then a statement executed by the captain, that no purse seine net </w:t>
      </w:r>
      <w:r w:rsidR="00CD00CA" w:rsidRPr="002C3945">
        <w:rPr>
          <w:sz w:val="24"/>
          <w:szCs w:val="24"/>
        </w:rPr>
        <w:t xml:space="preserve">or other fishing gear </w:t>
      </w:r>
      <w:r w:rsidRPr="002C3945">
        <w:rPr>
          <w:sz w:val="24"/>
          <w:szCs w:val="24"/>
        </w:rPr>
        <w:t xml:space="preserve">was intentionally deployed on or </w:t>
      </w:r>
      <w:r w:rsidR="00CD00CA" w:rsidRPr="002C3945">
        <w:rPr>
          <w:sz w:val="24"/>
          <w:szCs w:val="24"/>
        </w:rPr>
        <w:t xml:space="preserve">used </w:t>
      </w:r>
      <w:r w:rsidRPr="002C3945">
        <w:rPr>
          <w:sz w:val="24"/>
          <w:szCs w:val="24"/>
        </w:rPr>
        <w:t>to encircle dolphins during the fishing trip and that no dolphins were killed or seriously injured in the sets in which the tuna were caught</w:t>
      </w:r>
      <w:r w:rsidR="00710CED" w:rsidRPr="002C3945">
        <w:rPr>
          <w:sz w:val="24"/>
          <w:szCs w:val="24"/>
        </w:rPr>
        <w:t xml:space="preserve">, </w:t>
      </w:r>
      <w:r w:rsidR="00F643D5" w:rsidRPr="008361F9">
        <w:rPr>
          <w:sz w:val="24"/>
          <w:szCs w:val="24"/>
        </w:rPr>
        <w:t>must be attached to the FCO</w:t>
      </w:r>
      <w:r w:rsidR="00FB1339" w:rsidRPr="002C3945">
        <w:rPr>
          <w:sz w:val="24"/>
          <w:szCs w:val="24"/>
        </w:rPr>
        <w:t xml:space="preserve">. </w:t>
      </w:r>
      <w:r w:rsidR="00CD00CA" w:rsidRPr="002C3945">
        <w:rPr>
          <w:sz w:val="24"/>
          <w:szCs w:val="24"/>
        </w:rPr>
        <w:t>The statement by the captain must also include certifica</w:t>
      </w:r>
      <w:r w:rsidR="00E13CCC">
        <w:rPr>
          <w:sz w:val="24"/>
          <w:szCs w:val="24"/>
        </w:rPr>
        <w:t>tion of completion of the NMFS Dolphin-safe Captain’s Training C</w:t>
      </w:r>
      <w:r w:rsidR="00CD00CA" w:rsidRPr="002C3945">
        <w:rPr>
          <w:sz w:val="24"/>
          <w:szCs w:val="24"/>
        </w:rPr>
        <w:t xml:space="preserve">ourse. </w:t>
      </w:r>
      <w:r w:rsidR="005F7B4F" w:rsidRPr="002C3945">
        <w:rPr>
          <w:sz w:val="24"/>
          <w:szCs w:val="24"/>
        </w:rPr>
        <w:t>Where applicable, a similarly worded statement</w:t>
      </w:r>
      <w:r w:rsidRPr="002C3945">
        <w:rPr>
          <w:sz w:val="24"/>
          <w:szCs w:val="24"/>
        </w:rPr>
        <w:t>, executed either by a qualified and authorized observer or by an authorized national government representative of the observer program, must be attached to the FCO.</w:t>
      </w:r>
    </w:p>
    <w:p w14:paraId="5DC8C006" w14:textId="77777777" w:rsidR="00170F02" w:rsidRPr="002C3945" w:rsidRDefault="00170F02" w:rsidP="003A3C28">
      <w:pPr>
        <w:tabs>
          <w:tab w:val="left" w:pos="0"/>
          <w:tab w:val="left" w:pos="90"/>
        </w:tabs>
        <w:rPr>
          <w:sz w:val="24"/>
          <w:szCs w:val="24"/>
        </w:rPr>
      </w:pPr>
    </w:p>
    <w:p w14:paraId="797B894E" w14:textId="49A6B171" w:rsidR="008E3027" w:rsidRPr="002C3945" w:rsidRDefault="008E3027" w:rsidP="000E7653">
      <w:pPr>
        <w:widowControl/>
        <w:rPr>
          <w:sz w:val="24"/>
          <w:szCs w:val="24"/>
        </w:rPr>
      </w:pPr>
      <w:r w:rsidRPr="002C3945">
        <w:rPr>
          <w:sz w:val="24"/>
          <w:szCs w:val="24"/>
        </w:rPr>
        <w:t xml:space="preserve">If the importation includes tuna and/or tuna products harvested in </w:t>
      </w:r>
      <w:r w:rsidR="00CD00CA" w:rsidRPr="002C3945">
        <w:rPr>
          <w:sz w:val="24"/>
          <w:szCs w:val="24"/>
        </w:rPr>
        <w:t xml:space="preserve">a fishery in which the Assistant Administrator has determined there is a regular and significant mortality or serious injury to dolphins and/or a regular and significant association occurring between dolphins and tuna, </w:t>
      </w:r>
      <w:r w:rsidR="00604784" w:rsidRPr="002C3945">
        <w:rPr>
          <w:sz w:val="24"/>
          <w:szCs w:val="24"/>
        </w:rPr>
        <w:t>v</w:t>
      </w:r>
      <w:r w:rsidR="00CD00CA" w:rsidRPr="002C3945">
        <w:rPr>
          <w:sz w:val="24"/>
          <w:szCs w:val="24"/>
        </w:rPr>
        <w:t xml:space="preserve">alid documentation </w:t>
      </w:r>
      <w:r w:rsidR="00604784" w:rsidRPr="002C3945">
        <w:rPr>
          <w:sz w:val="24"/>
          <w:szCs w:val="24"/>
        </w:rPr>
        <w:t xml:space="preserve">is required </w:t>
      </w:r>
      <w:r w:rsidR="00CD00CA" w:rsidRPr="002C3945">
        <w:rPr>
          <w:sz w:val="24"/>
          <w:szCs w:val="24"/>
        </w:rPr>
        <w:t>by: (1) the captain of the vessel, and where applicable, by an authorized observer certifying that no purse seine net or other fishing gear was intentionally deployed on or used to encircle dolphins during the fishing trip and that no dolphins were killed or seriously injured in the sets or other gear deployments in which the tuna were caught and that the tuna was stored physically separate from tuna caught in a non-dolphin-safe set or other gear deployment by the use of netting, other material, or separate storage areas from the time of capture through unloading;</w:t>
      </w:r>
      <w:r w:rsidR="00FE1F7C">
        <w:rPr>
          <w:sz w:val="24"/>
          <w:szCs w:val="24"/>
        </w:rPr>
        <w:t xml:space="preserve"> and</w:t>
      </w:r>
      <w:r w:rsidR="00CD00CA" w:rsidRPr="002C3945">
        <w:rPr>
          <w:sz w:val="24"/>
          <w:szCs w:val="24"/>
        </w:rPr>
        <w:t xml:space="preserve"> (2) the captain of the vessel cer</w:t>
      </w:r>
      <w:r w:rsidR="00E13CCC">
        <w:rPr>
          <w:sz w:val="24"/>
          <w:szCs w:val="24"/>
        </w:rPr>
        <w:t>tifying completion of the NMFS Dolphin-safe Captain’s Training C</w:t>
      </w:r>
      <w:r w:rsidR="00CD00CA" w:rsidRPr="002C3945">
        <w:rPr>
          <w:sz w:val="24"/>
          <w:szCs w:val="24"/>
        </w:rPr>
        <w:t>ourse. Valid documentation is also required that is signed by a representative of the vessel flag nation or the processing nation (if processed in another nation) certifying that: A) the catch documentation is correct; B) the tuna or tuna products meet the U.S.</w:t>
      </w:r>
      <w:r w:rsidR="000E7653">
        <w:rPr>
          <w:sz w:val="24"/>
          <w:szCs w:val="24"/>
        </w:rPr>
        <w:t xml:space="preserve"> </w:t>
      </w:r>
      <w:r w:rsidR="00CD00CA" w:rsidRPr="002C3945">
        <w:rPr>
          <w:sz w:val="24"/>
          <w:szCs w:val="24"/>
        </w:rPr>
        <w:t xml:space="preserve">dolphin-safe labeling standards under 50 CFR 216.91(a); and C) the chain of custody </w:t>
      </w:r>
      <w:r w:rsidR="00604784" w:rsidRPr="002C3945">
        <w:rPr>
          <w:sz w:val="24"/>
          <w:szCs w:val="24"/>
        </w:rPr>
        <w:t>i</w:t>
      </w:r>
      <w:r w:rsidR="00CD00CA" w:rsidRPr="002C3945">
        <w:rPr>
          <w:sz w:val="24"/>
          <w:szCs w:val="24"/>
        </w:rPr>
        <w:t>nformation is correct.</w:t>
      </w:r>
      <w:r w:rsidR="00604784" w:rsidRPr="002C3945">
        <w:rPr>
          <w:sz w:val="24"/>
          <w:szCs w:val="24"/>
        </w:rPr>
        <w:t xml:space="preserve"> These certifications</w:t>
      </w:r>
      <w:r w:rsidRPr="002C3945">
        <w:rPr>
          <w:sz w:val="24"/>
          <w:szCs w:val="24"/>
        </w:rPr>
        <w:t xml:space="preserve"> must be attached to the FCO.</w:t>
      </w:r>
      <w:r w:rsidR="00604784" w:rsidRPr="002C3945">
        <w:rPr>
          <w:sz w:val="24"/>
          <w:szCs w:val="24"/>
        </w:rPr>
        <w:t xml:space="preserve">  See </w:t>
      </w:r>
      <w:hyperlink r:id="rId13" w:history="1">
        <w:r w:rsidR="00604784" w:rsidRPr="002C3945">
          <w:rPr>
            <w:rStyle w:val="Hyperlink"/>
            <w:sz w:val="24"/>
            <w:szCs w:val="24"/>
          </w:rPr>
          <w:t>https://www.fisheries.noaa.gov/dolphin-safe</w:t>
        </w:r>
      </w:hyperlink>
      <w:r w:rsidR="00604784" w:rsidRPr="002C3945">
        <w:rPr>
          <w:sz w:val="24"/>
          <w:szCs w:val="24"/>
        </w:rPr>
        <w:t xml:space="preserve"> for more information on fisheries that have </w:t>
      </w:r>
      <w:r w:rsidR="005C7FDF" w:rsidRPr="002C3945">
        <w:rPr>
          <w:sz w:val="24"/>
          <w:szCs w:val="24"/>
        </w:rPr>
        <w:t xml:space="preserve">been determined as </w:t>
      </w:r>
      <w:r w:rsidR="00604784" w:rsidRPr="002C3945">
        <w:rPr>
          <w:sz w:val="24"/>
          <w:szCs w:val="24"/>
        </w:rPr>
        <w:t>such by the Assistant Administrator.</w:t>
      </w:r>
    </w:p>
    <w:p w14:paraId="134F8174" w14:textId="77777777" w:rsidR="008E3027" w:rsidRPr="002C3945" w:rsidRDefault="008E3027" w:rsidP="003A3C28">
      <w:pPr>
        <w:tabs>
          <w:tab w:val="left" w:pos="0"/>
        </w:tabs>
        <w:rPr>
          <w:sz w:val="24"/>
          <w:szCs w:val="24"/>
        </w:rPr>
      </w:pPr>
    </w:p>
    <w:p w14:paraId="6C260C64" w14:textId="77777777" w:rsidR="005C7FDF" w:rsidRPr="002C3945" w:rsidRDefault="00604784" w:rsidP="003A3C28">
      <w:pPr>
        <w:tabs>
          <w:tab w:val="left" w:pos="0"/>
        </w:tabs>
        <w:rPr>
          <w:sz w:val="24"/>
          <w:szCs w:val="24"/>
        </w:rPr>
      </w:pPr>
      <w:r w:rsidRPr="002C3945">
        <w:rPr>
          <w:sz w:val="24"/>
          <w:szCs w:val="24"/>
        </w:rPr>
        <w:t xml:space="preserve">Tuna harvested by large-scale driftnets on the high seas is never admissible into the United States. Yellowfin tuna harvested </w:t>
      </w:r>
      <w:r w:rsidR="005C7FDF" w:rsidRPr="002C3945">
        <w:rPr>
          <w:sz w:val="24"/>
          <w:szCs w:val="24"/>
        </w:rPr>
        <w:t xml:space="preserve">in the ETP by purse seine vessels of, </w:t>
      </w:r>
      <w:r w:rsidRPr="002C3945">
        <w:rPr>
          <w:sz w:val="24"/>
          <w:szCs w:val="24"/>
        </w:rPr>
        <w:t>or exported from</w:t>
      </w:r>
      <w:r w:rsidR="005C7FDF" w:rsidRPr="002C3945">
        <w:rPr>
          <w:sz w:val="24"/>
          <w:szCs w:val="24"/>
        </w:rPr>
        <w:t>, certain countries</w:t>
      </w:r>
      <w:r w:rsidRPr="002C3945">
        <w:rPr>
          <w:sz w:val="24"/>
          <w:szCs w:val="24"/>
        </w:rPr>
        <w:t xml:space="preserve"> </w:t>
      </w:r>
      <w:r w:rsidR="005C7FDF" w:rsidRPr="002C3945">
        <w:rPr>
          <w:sz w:val="24"/>
          <w:szCs w:val="24"/>
        </w:rPr>
        <w:t xml:space="preserve">is embargoed. See </w:t>
      </w:r>
      <w:hyperlink r:id="rId14" w:history="1">
        <w:r w:rsidR="005C7FDF" w:rsidRPr="002C3945">
          <w:rPr>
            <w:rStyle w:val="Hyperlink"/>
            <w:sz w:val="24"/>
            <w:szCs w:val="24"/>
          </w:rPr>
          <w:t>https://www.fisheries.noaa.gov</w:t>
        </w:r>
        <w:r w:rsidR="00DA693F" w:rsidRPr="002C3945">
          <w:rPr>
            <w:rStyle w:val="Hyperlink"/>
            <w:sz w:val="24"/>
            <w:szCs w:val="24"/>
          </w:rPr>
          <w:t>/dolphin-safe</w:t>
        </w:r>
      </w:hyperlink>
      <w:r w:rsidR="005C7FDF" w:rsidRPr="002C3945">
        <w:rPr>
          <w:sz w:val="24"/>
          <w:szCs w:val="24"/>
        </w:rPr>
        <w:t xml:space="preserve"> for a current list of countries where the embargo applies.</w:t>
      </w:r>
    </w:p>
    <w:p w14:paraId="0AB63C96" w14:textId="77777777" w:rsidR="005C7FDF" w:rsidRPr="002C3945" w:rsidRDefault="005C7FDF" w:rsidP="003A3C28">
      <w:pPr>
        <w:tabs>
          <w:tab w:val="left" w:pos="0"/>
        </w:tabs>
        <w:rPr>
          <w:sz w:val="24"/>
          <w:szCs w:val="24"/>
        </w:rPr>
      </w:pPr>
    </w:p>
    <w:p w14:paraId="0C3EFB78" w14:textId="77777777" w:rsidR="005C7FDF" w:rsidRPr="002C3945" w:rsidRDefault="005C7FDF" w:rsidP="005C7FDF">
      <w:pPr>
        <w:tabs>
          <w:tab w:val="left" w:pos="0"/>
        </w:tabs>
        <w:rPr>
          <w:sz w:val="24"/>
          <w:szCs w:val="24"/>
        </w:rPr>
      </w:pPr>
      <w:r w:rsidRPr="002C3945">
        <w:rPr>
          <w:sz w:val="24"/>
          <w:szCs w:val="24"/>
        </w:rPr>
        <w:t xml:space="preserve">NMFS has made use of the FCO in documenting the entry of tuna into the United States for decades. NMFS has also used </w:t>
      </w:r>
      <w:r w:rsidR="00DA693F" w:rsidRPr="002C3945">
        <w:rPr>
          <w:sz w:val="24"/>
          <w:szCs w:val="24"/>
        </w:rPr>
        <w:t>in</w:t>
      </w:r>
      <w:r w:rsidRPr="002C3945">
        <w:rPr>
          <w:sz w:val="24"/>
          <w:szCs w:val="24"/>
        </w:rPr>
        <w:t>formation collected on the FCO in litigation, fisheries management decisions, and international negotiation decisions.</w:t>
      </w:r>
    </w:p>
    <w:p w14:paraId="6741EE2D" w14:textId="77777777" w:rsidR="005C7FDF" w:rsidRPr="002C3945" w:rsidRDefault="005C7FDF" w:rsidP="003A3C28">
      <w:pPr>
        <w:tabs>
          <w:tab w:val="left" w:pos="0"/>
        </w:tabs>
        <w:rPr>
          <w:sz w:val="24"/>
          <w:szCs w:val="24"/>
        </w:rPr>
      </w:pPr>
    </w:p>
    <w:p w14:paraId="675B2E67" w14:textId="77777777" w:rsidR="008E3027" w:rsidRPr="002C3945" w:rsidRDefault="008E3027" w:rsidP="003A3C28">
      <w:pPr>
        <w:tabs>
          <w:tab w:val="left" w:pos="0"/>
        </w:tabs>
        <w:rPr>
          <w:sz w:val="24"/>
          <w:szCs w:val="24"/>
        </w:rPr>
      </w:pPr>
      <w:r w:rsidRPr="002C3945">
        <w:rPr>
          <w:sz w:val="24"/>
          <w:szCs w:val="24"/>
        </w:rPr>
        <w:t>The information collected will not be disseminated to the public</w:t>
      </w:r>
      <w:r w:rsidR="00DA693F" w:rsidRPr="002C3945">
        <w:rPr>
          <w:sz w:val="24"/>
          <w:szCs w:val="24"/>
        </w:rPr>
        <w:t>.</w:t>
      </w:r>
      <w:r w:rsidR="00F65420" w:rsidRPr="002C3945">
        <w:rPr>
          <w:sz w:val="24"/>
          <w:szCs w:val="24"/>
        </w:rPr>
        <w:t xml:space="preserve"> </w:t>
      </w:r>
      <w:r w:rsidRPr="002C3945">
        <w:rPr>
          <w:sz w:val="24"/>
          <w:szCs w:val="24"/>
        </w:rPr>
        <w:t>The main purpose of the form is to satisfy the legal mandates of Congress.</w:t>
      </w:r>
      <w:r w:rsidR="00DA693F" w:rsidRPr="002C3945">
        <w:rPr>
          <w:sz w:val="24"/>
          <w:szCs w:val="24"/>
        </w:rPr>
        <w:t xml:space="preserve"> </w:t>
      </w:r>
      <w:r w:rsidRPr="002C3945">
        <w:rPr>
          <w:sz w:val="24"/>
          <w:szCs w:val="24"/>
        </w:rPr>
        <w:t xml:space="preserve">In the event summarized information is used to support publicly disseminated information, then, as explained in the preceding paragraphs, the information gathered can be shown to have utility. NMFS will retain control over the information and safeguard it from improper use, modification, and destruction, consistent with National Oceanic and Atmospheric Administration (NOAA) standards for confidentiality, </w:t>
      </w:r>
      <w:r w:rsidRPr="002C3945">
        <w:rPr>
          <w:sz w:val="24"/>
          <w:szCs w:val="24"/>
        </w:rPr>
        <w:lastRenderedPageBreak/>
        <w:t xml:space="preserve">privacy, and electronic information. See response to Question 10 of this Supporting Statement for more information on confidentiality and privacy. The information collection is designed to yield data that meet all applicable information quality </w:t>
      </w:r>
      <w:r w:rsidR="00FB1339" w:rsidRPr="002C3945">
        <w:rPr>
          <w:sz w:val="24"/>
          <w:szCs w:val="24"/>
        </w:rPr>
        <w:t xml:space="preserve">guidelines. </w:t>
      </w:r>
      <w:r w:rsidRPr="002C3945">
        <w:rPr>
          <w:sz w:val="24"/>
          <w:szCs w:val="24"/>
        </w:rPr>
        <w:t xml:space="preserve">Prior to dissemination, the information will be subjected to quality control measures and a pre-dissemination review pursuant to </w:t>
      </w:r>
      <w:hyperlink r:id="rId15">
        <w:r w:rsidRPr="002C3945">
          <w:rPr>
            <w:color w:val="0000FF"/>
            <w:sz w:val="24"/>
            <w:szCs w:val="24"/>
            <w:u w:val="single" w:color="0000FF"/>
          </w:rPr>
          <w:t>Section 515 of Public Law 106-554.</w:t>
        </w:r>
      </w:hyperlink>
    </w:p>
    <w:p w14:paraId="30102180" w14:textId="77777777" w:rsidR="004F26E9" w:rsidRPr="002C3945" w:rsidRDefault="004F26E9" w:rsidP="003A3C28">
      <w:pPr>
        <w:tabs>
          <w:tab w:val="left" w:pos="0"/>
        </w:tabs>
        <w:rPr>
          <w:sz w:val="24"/>
          <w:szCs w:val="24"/>
        </w:rPr>
      </w:pPr>
    </w:p>
    <w:p w14:paraId="75E1FD8B" w14:textId="77777777" w:rsidR="004F26E9" w:rsidRPr="002C3945" w:rsidRDefault="004F26E9" w:rsidP="003A3C28">
      <w:pPr>
        <w:rPr>
          <w:sz w:val="24"/>
          <w:szCs w:val="24"/>
        </w:rPr>
      </w:pPr>
    </w:p>
    <w:p w14:paraId="79C8B9B9" w14:textId="77777777" w:rsidR="004F26E9" w:rsidRPr="002C3945" w:rsidRDefault="004F26E9" w:rsidP="003A3C28">
      <w:pPr>
        <w:rPr>
          <w:sz w:val="24"/>
          <w:szCs w:val="24"/>
        </w:rPr>
      </w:pPr>
      <w:r w:rsidRPr="002C3945">
        <w:rPr>
          <w:b/>
          <w:bCs/>
          <w:sz w:val="24"/>
          <w:szCs w:val="24"/>
        </w:rPr>
        <w:t xml:space="preserve">3.  </w:t>
      </w:r>
      <w:r w:rsidRPr="002C3945">
        <w:rPr>
          <w:b/>
          <w:bCs/>
          <w:sz w:val="24"/>
          <w:szCs w:val="24"/>
          <w:u w:val="single"/>
        </w:rPr>
        <w:t>Describe whether, and to what extent, the collection of information involves the use of automated, electronic, mechanical, or other technological techniques or other forms of information technology</w:t>
      </w:r>
      <w:r w:rsidRPr="002C3945">
        <w:rPr>
          <w:b/>
          <w:bCs/>
          <w:sz w:val="24"/>
          <w:szCs w:val="24"/>
        </w:rPr>
        <w:t>.</w:t>
      </w:r>
    </w:p>
    <w:p w14:paraId="2489F4B5" w14:textId="77777777" w:rsidR="004F26E9" w:rsidRPr="002C3945" w:rsidRDefault="004F26E9" w:rsidP="003A3C28">
      <w:pPr>
        <w:rPr>
          <w:sz w:val="24"/>
          <w:szCs w:val="24"/>
        </w:rPr>
      </w:pPr>
    </w:p>
    <w:p w14:paraId="5B7D7907" w14:textId="77777777" w:rsidR="004F26E9" w:rsidRPr="0027653E" w:rsidRDefault="008E3027" w:rsidP="005750C6">
      <w:r w:rsidRPr="002C3945">
        <w:rPr>
          <w:sz w:val="24"/>
          <w:szCs w:val="24"/>
        </w:rPr>
        <w:t xml:space="preserve">The FCO form is available for online completion or downloading from the NMFS web site at </w:t>
      </w:r>
      <w:hyperlink r:id="rId16" w:history="1">
        <w:r w:rsidR="0027653E" w:rsidRPr="000B327C">
          <w:rPr>
            <w:rStyle w:val="Hyperlink"/>
            <w:sz w:val="24"/>
            <w:szCs w:val="24"/>
          </w:rPr>
          <w:t>https://www.fisheries.noaa.gov/dolphin-safe</w:t>
        </w:r>
      </w:hyperlink>
      <w:r w:rsidR="0027653E">
        <w:rPr>
          <w:sz w:val="24"/>
          <w:szCs w:val="24"/>
        </w:rPr>
        <w:t xml:space="preserve"> </w:t>
      </w:r>
      <w:r w:rsidRPr="002C3945">
        <w:rPr>
          <w:sz w:val="24"/>
          <w:szCs w:val="24"/>
        </w:rPr>
        <w:t>for use</w:t>
      </w:r>
      <w:r w:rsidR="001D2896" w:rsidRPr="002C3945">
        <w:rPr>
          <w:sz w:val="24"/>
          <w:szCs w:val="24"/>
        </w:rPr>
        <w:t xml:space="preserve"> </w:t>
      </w:r>
      <w:r w:rsidRPr="002C3945">
        <w:rPr>
          <w:sz w:val="24"/>
          <w:szCs w:val="24"/>
        </w:rPr>
        <w:t xml:space="preserve">on the respondent’s own computer system. </w:t>
      </w:r>
      <w:r w:rsidR="00606B3C" w:rsidRPr="002C3945">
        <w:rPr>
          <w:sz w:val="24"/>
          <w:szCs w:val="24"/>
        </w:rPr>
        <w:t>Regulations at 50 CFR 216.24(f)(2) require r</w:t>
      </w:r>
      <w:r w:rsidRPr="002C3945">
        <w:rPr>
          <w:sz w:val="24"/>
          <w:szCs w:val="24"/>
        </w:rPr>
        <w:t xml:space="preserve">espondents </w:t>
      </w:r>
      <w:r w:rsidR="00606B3C" w:rsidRPr="002C3945">
        <w:rPr>
          <w:sz w:val="24"/>
          <w:szCs w:val="24"/>
        </w:rPr>
        <w:t xml:space="preserve">to </w:t>
      </w:r>
      <w:r w:rsidR="00DA693F" w:rsidRPr="002C3945">
        <w:rPr>
          <w:sz w:val="24"/>
          <w:szCs w:val="24"/>
        </w:rPr>
        <w:t xml:space="preserve">submit </w:t>
      </w:r>
      <w:r w:rsidRPr="002C3945">
        <w:rPr>
          <w:sz w:val="24"/>
          <w:szCs w:val="24"/>
        </w:rPr>
        <w:t>electronic</w:t>
      </w:r>
      <w:r w:rsidR="001D2896" w:rsidRPr="002C3945">
        <w:rPr>
          <w:sz w:val="24"/>
          <w:szCs w:val="24"/>
        </w:rPr>
        <w:t xml:space="preserve"> </w:t>
      </w:r>
      <w:r w:rsidRPr="002C3945">
        <w:rPr>
          <w:sz w:val="24"/>
          <w:szCs w:val="24"/>
        </w:rPr>
        <w:t xml:space="preserve">copies </w:t>
      </w:r>
      <w:r w:rsidR="00606B3C" w:rsidRPr="002C3945">
        <w:rPr>
          <w:sz w:val="24"/>
          <w:szCs w:val="24"/>
        </w:rPr>
        <w:t xml:space="preserve">of the FCO and attached certifications </w:t>
      </w:r>
      <w:r w:rsidRPr="002C3945">
        <w:rPr>
          <w:sz w:val="24"/>
          <w:szCs w:val="24"/>
        </w:rPr>
        <w:t xml:space="preserve">to </w:t>
      </w:r>
      <w:r w:rsidR="00DA693F" w:rsidRPr="002C3945">
        <w:rPr>
          <w:sz w:val="24"/>
          <w:szCs w:val="24"/>
        </w:rPr>
        <w:t>CBP</w:t>
      </w:r>
      <w:r w:rsidR="00606B3C" w:rsidRPr="002C3945">
        <w:rPr>
          <w:sz w:val="24"/>
          <w:szCs w:val="24"/>
        </w:rPr>
        <w:t xml:space="preserve">’s Automated Commercial Environment </w:t>
      </w:r>
      <w:r w:rsidR="00AB6C61" w:rsidRPr="002C3945">
        <w:rPr>
          <w:sz w:val="24"/>
          <w:szCs w:val="24"/>
        </w:rPr>
        <w:t>(ACE)</w:t>
      </w:r>
      <w:r w:rsidR="00606B3C" w:rsidRPr="002C3945">
        <w:rPr>
          <w:sz w:val="24"/>
          <w:szCs w:val="24"/>
        </w:rPr>
        <w:t>. Thus, 100% of the responses are submitted electronically and the burden of mailing hard copies of the documentation has been eliminated.</w:t>
      </w:r>
    </w:p>
    <w:p w14:paraId="7798E100" w14:textId="77777777" w:rsidR="001D2896" w:rsidRPr="002C3945" w:rsidRDefault="001D2896" w:rsidP="003A3C28">
      <w:pPr>
        <w:rPr>
          <w:sz w:val="24"/>
          <w:szCs w:val="24"/>
        </w:rPr>
      </w:pPr>
    </w:p>
    <w:p w14:paraId="3EFCA693" w14:textId="77777777" w:rsidR="004F26E9" w:rsidRPr="002C3945" w:rsidRDefault="004F26E9" w:rsidP="003A3C28">
      <w:pPr>
        <w:rPr>
          <w:sz w:val="24"/>
          <w:szCs w:val="24"/>
        </w:rPr>
      </w:pPr>
      <w:r w:rsidRPr="002C3945">
        <w:rPr>
          <w:b/>
          <w:bCs/>
          <w:sz w:val="24"/>
          <w:szCs w:val="24"/>
        </w:rPr>
        <w:t xml:space="preserve">4.  </w:t>
      </w:r>
      <w:r w:rsidRPr="002C3945">
        <w:rPr>
          <w:b/>
          <w:bCs/>
          <w:sz w:val="24"/>
          <w:szCs w:val="24"/>
          <w:u w:val="single"/>
        </w:rPr>
        <w:t>Describe efforts to identify duplication</w:t>
      </w:r>
      <w:r w:rsidRPr="002C3945">
        <w:rPr>
          <w:b/>
          <w:bCs/>
          <w:sz w:val="24"/>
          <w:szCs w:val="24"/>
        </w:rPr>
        <w:t>.</w:t>
      </w:r>
    </w:p>
    <w:p w14:paraId="7D8F2CB1" w14:textId="77777777" w:rsidR="004F26E9" w:rsidRPr="002C3945" w:rsidRDefault="004F26E9" w:rsidP="003A3C28">
      <w:pPr>
        <w:rPr>
          <w:sz w:val="24"/>
          <w:szCs w:val="24"/>
        </w:rPr>
      </w:pPr>
    </w:p>
    <w:p w14:paraId="78B27397" w14:textId="77777777" w:rsidR="008E3027" w:rsidRPr="002C3945" w:rsidRDefault="008E3027" w:rsidP="003A3C28">
      <w:pPr>
        <w:rPr>
          <w:sz w:val="24"/>
          <w:szCs w:val="24"/>
        </w:rPr>
      </w:pPr>
      <w:r w:rsidRPr="002C3945">
        <w:rPr>
          <w:sz w:val="24"/>
          <w:szCs w:val="24"/>
        </w:rPr>
        <w:t xml:space="preserve">The FCO was one of the first forms developed by NMFS to document information regarding the importation of tuna products, to certify that certain fishery products were not harvested using </w:t>
      </w:r>
      <w:r w:rsidR="00606B3C" w:rsidRPr="002C3945">
        <w:rPr>
          <w:sz w:val="24"/>
          <w:szCs w:val="24"/>
        </w:rPr>
        <w:t>large-scale, h</w:t>
      </w:r>
      <w:r w:rsidRPr="002C3945">
        <w:rPr>
          <w:sz w:val="24"/>
          <w:szCs w:val="24"/>
        </w:rPr>
        <w:t>igh seas driftnets, and to declare the dolphin-safe status of the tuna import.</w:t>
      </w:r>
      <w:r w:rsidR="001D2896" w:rsidRPr="002C3945">
        <w:rPr>
          <w:sz w:val="24"/>
          <w:szCs w:val="24"/>
        </w:rPr>
        <w:t xml:space="preserve"> </w:t>
      </w:r>
      <w:r w:rsidRPr="002C3945">
        <w:rPr>
          <w:sz w:val="24"/>
          <w:szCs w:val="24"/>
        </w:rPr>
        <w:t>The same or similar information is not available through any other known information collection.</w:t>
      </w:r>
    </w:p>
    <w:p w14:paraId="71095A45" w14:textId="77777777" w:rsidR="004F26E9" w:rsidRPr="002C3945" w:rsidRDefault="004F26E9" w:rsidP="003A3C28">
      <w:pPr>
        <w:rPr>
          <w:sz w:val="24"/>
          <w:szCs w:val="24"/>
        </w:rPr>
      </w:pPr>
    </w:p>
    <w:p w14:paraId="0ED8F0FF" w14:textId="77777777" w:rsidR="004F26E9" w:rsidRPr="002C3945" w:rsidRDefault="004F26E9" w:rsidP="003A3C28">
      <w:pPr>
        <w:rPr>
          <w:sz w:val="24"/>
          <w:szCs w:val="24"/>
        </w:rPr>
      </w:pPr>
    </w:p>
    <w:p w14:paraId="33A217B7" w14:textId="77777777" w:rsidR="004F26E9" w:rsidRPr="002C3945" w:rsidRDefault="004F26E9" w:rsidP="003A3C28">
      <w:pPr>
        <w:rPr>
          <w:sz w:val="24"/>
          <w:szCs w:val="24"/>
        </w:rPr>
      </w:pPr>
      <w:r w:rsidRPr="002C3945">
        <w:rPr>
          <w:b/>
          <w:bCs/>
          <w:sz w:val="24"/>
          <w:szCs w:val="24"/>
        </w:rPr>
        <w:t xml:space="preserve">5.  </w:t>
      </w:r>
      <w:r w:rsidRPr="002C3945">
        <w:rPr>
          <w:b/>
          <w:bCs/>
          <w:sz w:val="24"/>
          <w:szCs w:val="24"/>
          <w:u w:val="single"/>
        </w:rPr>
        <w:t>If the collection of information involves small businesses or other small entities, describe the methods used to minimize burden</w:t>
      </w:r>
      <w:r w:rsidRPr="002C3945">
        <w:rPr>
          <w:b/>
          <w:bCs/>
          <w:sz w:val="24"/>
          <w:szCs w:val="24"/>
        </w:rPr>
        <w:t>.</w:t>
      </w:r>
      <w:r w:rsidRPr="002C3945">
        <w:rPr>
          <w:sz w:val="24"/>
          <w:szCs w:val="24"/>
        </w:rPr>
        <w:t xml:space="preserve"> </w:t>
      </w:r>
    </w:p>
    <w:p w14:paraId="6C74A058" w14:textId="77777777" w:rsidR="004F26E9" w:rsidRPr="002C3945" w:rsidRDefault="004F26E9" w:rsidP="003A3C28">
      <w:pPr>
        <w:rPr>
          <w:sz w:val="24"/>
          <w:szCs w:val="24"/>
        </w:rPr>
      </w:pPr>
    </w:p>
    <w:p w14:paraId="51383A24" w14:textId="77777777" w:rsidR="004F26E9" w:rsidRPr="002C3945" w:rsidRDefault="00BF6FF2" w:rsidP="003A3C28">
      <w:pPr>
        <w:rPr>
          <w:sz w:val="24"/>
          <w:szCs w:val="24"/>
        </w:rPr>
      </w:pPr>
      <w:r w:rsidRPr="002C3945">
        <w:rPr>
          <w:sz w:val="24"/>
          <w:szCs w:val="24"/>
        </w:rPr>
        <w:t>This collection does not have a significant impact on small entities.</w:t>
      </w:r>
    </w:p>
    <w:p w14:paraId="751B5FC0" w14:textId="77777777" w:rsidR="004F26E9" w:rsidRPr="002C3945" w:rsidRDefault="004F26E9" w:rsidP="003A3C28">
      <w:pPr>
        <w:rPr>
          <w:sz w:val="24"/>
          <w:szCs w:val="24"/>
        </w:rPr>
      </w:pPr>
    </w:p>
    <w:p w14:paraId="36353F70" w14:textId="77777777" w:rsidR="004F26E9" w:rsidRPr="002C3945" w:rsidRDefault="004F26E9" w:rsidP="003A3C28">
      <w:pPr>
        <w:rPr>
          <w:sz w:val="24"/>
          <w:szCs w:val="24"/>
        </w:rPr>
      </w:pPr>
    </w:p>
    <w:p w14:paraId="33CF7ABD" w14:textId="77777777" w:rsidR="004F26E9" w:rsidRPr="002C3945" w:rsidRDefault="004F26E9" w:rsidP="003A3C28">
      <w:pPr>
        <w:rPr>
          <w:sz w:val="24"/>
          <w:szCs w:val="24"/>
        </w:rPr>
      </w:pPr>
      <w:r w:rsidRPr="002C3945">
        <w:rPr>
          <w:b/>
          <w:bCs/>
          <w:sz w:val="24"/>
          <w:szCs w:val="24"/>
        </w:rPr>
        <w:t xml:space="preserve">6.  </w:t>
      </w:r>
      <w:r w:rsidRPr="002C3945">
        <w:rPr>
          <w:b/>
          <w:bCs/>
          <w:sz w:val="24"/>
          <w:szCs w:val="24"/>
          <w:u w:val="single"/>
        </w:rPr>
        <w:t>Describe the consequences to the Federal program or policy activities if the collection is not conducted or is conducted less frequently</w:t>
      </w:r>
      <w:r w:rsidRPr="002C3945">
        <w:rPr>
          <w:b/>
          <w:bCs/>
          <w:sz w:val="24"/>
          <w:szCs w:val="24"/>
        </w:rPr>
        <w:t>.</w:t>
      </w:r>
      <w:r w:rsidRPr="002C3945">
        <w:rPr>
          <w:sz w:val="24"/>
          <w:szCs w:val="24"/>
        </w:rPr>
        <w:t xml:space="preserve"> </w:t>
      </w:r>
    </w:p>
    <w:p w14:paraId="39A47057" w14:textId="77777777" w:rsidR="004F26E9" w:rsidRPr="002C3945" w:rsidRDefault="004F26E9" w:rsidP="003A3C28">
      <w:pPr>
        <w:rPr>
          <w:sz w:val="24"/>
          <w:szCs w:val="24"/>
        </w:rPr>
      </w:pPr>
    </w:p>
    <w:p w14:paraId="74767E9D" w14:textId="77777777" w:rsidR="004F26E9" w:rsidRPr="002C3945" w:rsidRDefault="00BF6FF2" w:rsidP="003A3C28">
      <w:pPr>
        <w:rPr>
          <w:sz w:val="24"/>
          <w:szCs w:val="24"/>
        </w:rPr>
      </w:pPr>
      <w:r w:rsidRPr="002C3945">
        <w:rPr>
          <w:sz w:val="24"/>
          <w:szCs w:val="24"/>
        </w:rPr>
        <w:t>The Secretary of Commerce would not be able to meet the mandates of the applicable laws i</w:t>
      </w:r>
      <w:r w:rsidR="00C31C1E" w:rsidRPr="002C3945">
        <w:rPr>
          <w:sz w:val="24"/>
          <w:szCs w:val="24"/>
        </w:rPr>
        <w:t>f</w:t>
      </w:r>
      <w:r w:rsidRPr="002C3945">
        <w:rPr>
          <w:sz w:val="24"/>
          <w:szCs w:val="24"/>
        </w:rPr>
        <w:t xml:space="preserve"> the information collection was not conducted. Litigation against the Federal Government would likely ensue.</w:t>
      </w:r>
    </w:p>
    <w:p w14:paraId="00E4320B" w14:textId="77777777" w:rsidR="004F26E9" w:rsidRPr="002C3945" w:rsidRDefault="004F26E9" w:rsidP="003A3C28">
      <w:pPr>
        <w:rPr>
          <w:sz w:val="24"/>
          <w:szCs w:val="24"/>
        </w:rPr>
      </w:pPr>
    </w:p>
    <w:p w14:paraId="4D607DC7" w14:textId="77777777" w:rsidR="004F26E9" w:rsidRPr="002C3945" w:rsidRDefault="004F26E9" w:rsidP="003A3C28">
      <w:pPr>
        <w:rPr>
          <w:sz w:val="24"/>
          <w:szCs w:val="24"/>
        </w:rPr>
      </w:pPr>
    </w:p>
    <w:p w14:paraId="09C61476" w14:textId="77777777" w:rsidR="004F26E9" w:rsidRPr="002C3945" w:rsidRDefault="004F26E9" w:rsidP="003A3C28">
      <w:pPr>
        <w:rPr>
          <w:sz w:val="24"/>
          <w:szCs w:val="24"/>
        </w:rPr>
      </w:pPr>
      <w:r w:rsidRPr="002C3945">
        <w:rPr>
          <w:b/>
          <w:bCs/>
          <w:sz w:val="24"/>
          <w:szCs w:val="24"/>
        </w:rPr>
        <w:t xml:space="preserve">7.  </w:t>
      </w:r>
      <w:r w:rsidRPr="002C3945">
        <w:rPr>
          <w:b/>
          <w:bCs/>
          <w:sz w:val="24"/>
          <w:szCs w:val="24"/>
          <w:u w:val="single"/>
        </w:rPr>
        <w:t>Explain any special circumstances that require the collection to be conducted in a manner inconsistent with OMB guidelines</w:t>
      </w:r>
      <w:r w:rsidRPr="002C3945">
        <w:rPr>
          <w:b/>
          <w:bCs/>
          <w:sz w:val="24"/>
          <w:szCs w:val="24"/>
        </w:rPr>
        <w:t xml:space="preserve">. </w:t>
      </w:r>
    </w:p>
    <w:p w14:paraId="0F0BB7A8" w14:textId="77777777" w:rsidR="004F26E9" w:rsidRPr="002C3945" w:rsidRDefault="004F26E9" w:rsidP="003A3C28">
      <w:pPr>
        <w:rPr>
          <w:sz w:val="24"/>
          <w:szCs w:val="24"/>
        </w:rPr>
      </w:pPr>
    </w:p>
    <w:p w14:paraId="4F9151C4" w14:textId="77777777" w:rsidR="004F26E9" w:rsidRPr="002C3945" w:rsidRDefault="00BF6FF2" w:rsidP="003A3C28">
      <w:pPr>
        <w:pStyle w:val="BodyText"/>
        <w:spacing w:before="69"/>
        <w:ind w:left="0"/>
      </w:pPr>
      <w:r w:rsidRPr="002C3945">
        <w:t xml:space="preserve">This information collection is consistent with </w:t>
      </w:r>
      <w:r w:rsidRPr="00067866">
        <w:t>OMB guidelines</w:t>
      </w:r>
      <w:r w:rsidRPr="002C3945">
        <w:t xml:space="preserve"> (5 CFR 1320.6), except that submission is required for each shipment of</w:t>
      </w:r>
      <w:r w:rsidR="00983804" w:rsidRPr="002C3945">
        <w:t xml:space="preserve"> </w:t>
      </w:r>
      <w:r w:rsidR="00983804" w:rsidRPr="00067866">
        <w:t>frozen and</w:t>
      </w:r>
      <w:r w:rsidR="00B43AAC" w:rsidRPr="002C3945">
        <w:t>/or</w:t>
      </w:r>
      <w:r w:rsidR="00983804" w:rsidRPr="00067866">
        <w:t xml:space="preserve"> processed</w:t>
      </w:r>
      <w:r w:rsidRPr="002C3945">
        <w:t xml:space="preserve"> tuna</w:t>
      </w:r>
      <w:r w:rsidR="00614A2B" w:rsidRPr="002C3945">
        <w:t xml:space="preserve"> and tuna products</w:t>
      </w:r>
      <w:r w:rsidRPr="002C3945">
        <w:t xml:space="preserve"> that enters the U</w:t>
      </w:r>
      <w:r w:rsidR="00C31C1E" w:rsidRPr="002C3945">
        <w:t>nited States</w:t>
      </w:r>
      <w:r w:rsidRPr="002C3945">
        <w:t xml:space="preserve">. This may be more frequent than quarterly for </w:t>
      </w:r>
      <w:r w:rsidR="00983804" w:rsidRPr="00067866">
        <w:t>most</w:t>
      </w:r>
      <w:r w:rsidRPr="002C3945">
        <w:t xml:space="preserve"> importers.</w:t>
      </w:r>
    </w:p>
    <w:p w14:paraId="14FAACB7" w14:textId="77777777" w:rsidR="004F26E9" w:rsidRPr="002C3945" w:rsidRDefault="004F26E9" w:rsidP="003A3C28">
      <w:pPr>
        <w:rPr>
          <w:sz w:val="24"/>
          <w:szCs w:val="24"/>
        </w:rPr>
      </w:pPr>
    </w:p>
    <w:p w14:paraId="6FC09A28" w14:textId="77777777" w:rsidR="00725C5C" w:rsidRPr="002C3945" w:rsidRDefault="00725C5C" w:rsidP="003A3C28">
      <w:pPr>
        <w:rPr>
          <w:b/>
          <w:bCs/>
          <w:sz w:val="24"/>
          <w:szCs w:val="24"/>
        </w:rPr>
      </w:pPr>
    </w:p>
    <w:p w14:paraId="4AE6DAC7" w14:textId="77777777" w:rsidR="004F26E9" w:rsidRPr="002C3945" w:rsidRDefault="004F26E9" w:rsidP="003A3C28">
      <w:pPr>
        <w:rPr>
          <w:sz w:val="24"/>
          <w:szCs w:val="24"/>
        </w:rPr>
      </w:pPr>
      <w:r w:rsidRPr="002C3945">
        <w:rPr>
          <w:b/>
          <w:bCs/>
          <w:sz w:val="24"/>
          <w:szCs w:val="24"/>
        </w:rPr>
        <w:t xml:space="preserve">8.  </w:t>
      </w:r>
      <w:r w:rsidRPr="002C3945">
        <w:rPr>
          <w:b/>
          <w:bCs/>
          <w:sz w:val="24"/>
          <w:szCs w:val="24"/>
          <w:u w:val="single"/>
        </w:rPr>
        <w:t xml:space="preserve">Provide </w:t>
      </w:r>
      <w:r w:rsidR="00107F5D" w:rsidRPr="002C3945">
        <w:rPr>
          <w:b/>
          <w:bCs/>
          <w:sz w:val="24"/>
          <w:szCs w:val="24"/>
          <w:u w:val="single"/>
        </w:rPr>
        <w:t>information on</w:t>
      </w:r>
      <w:r w:rsidRPr="002C3945">
        <w:rPr>
          <w:b/>
          <w:bCs/>
          <w:sz w:val="24"/>
          <w:szCs w:val="24"/>
          <w:u w:val="single"/>
        </w:rPr>
        <w:t xml:space="preserve"> the PRA Federal Register </w:t>
      </w:r>
      <w:r w:rsidR="001E6F72" w:rsidRPr="002C3945">
        <w:rPr>
          <w:b/>
          <w:bCs/>
          <w:sz w:val="24"/>
          <w:szCs w:val="24"/>
          <w:u w:val="single"/>
        </w:rPr>
        <w:t>N</w:t>
      </w:r>
      <w:r w:rsidRPr="002C3945">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2C3945">
        <w:rPr>
          <w:b/>
          <w:bCs/>
          <w:sz w:val="24"/>
          <w:szCs w:val="24"/>
        </w:rPr>
        <w:t>.</w:t>
      </w:r>
      <w:r w:rsidRPr="002C3945">
        <w:rPr>
          <w:sz w:val="24"/>
          <w:szCs w:val="24"/>
        </w:rPr>
        <w:t xml:space="preserve">  </w:t>
      </w:r>
      <w:r w:rsidRPr="002C3945">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3945">
        <w:rPr>
          <w:b/>
          <w:bCs/>
          <w:sz w:val="24"/>
          <w:szCs w:val="24"/>
        </w:rPr>
        <w:t>.</w:t>
      </w:r>
    </w:p>
    <w:p w14:paraId="1563F404" w14:textId="77777777" w:rsidR="00F96192" w:rsidRPr="002C3945" w:rsidRDefault="00F96192" w:rsidP="003A3C28">
      <w:pPr>
        <w:rPr>
          <w:sz w:val="24"/>
          <w:szCs w:val="24"/>
        </w:rPr>
      </w:pPr>
    </w:p>
    <w:p w14:paraId="57353293" w14:textId="6590ACED" w:rsidR="003A3C28" w:rsidRPr="009F3255" w:rsidRDefault="002504DE" w:rsidP="003A3C28">
      <w:pPr>
        <w:rPr>
          <w:sz w:val="24"/>
          <w:szCs w:val="24"/>
        </w:rPr>
      </w:pPr>
      <w:r>
        <w:rPr>
          <w:sz w:val="24"/>
          <w:szCs w:val="24"/>
        </w:rPr>
        <w:t xml:space="preserve">A </w:t>
      </w:r>
      <w:r w:rsidRPr="002504DE">
        <w:rPr>
          <w:i/>
          <w:sz w:val="24"/>
          <w:szCs w:val="24"/>
        </w:rPr>
        <w:t>Federal Register</w:t>
      </w:r>
      <w:r>
        <w:rPr>
          <w:sz w:val="24"/>
          <w:szCs w:val="24"/>
        </w:rPr>
        <w:t xml:space="preserve"> notice was published March 25, 2019 (84 FR 11054).  No public comments were received.</w:t>
      </w:r>
    </w:p>
    <w:p w14:paraId="006384B8" w14:textId="77777777" w:rsidR="009F3255" w:rsidRPr="002C3945" w:rsidRDefault="009F3255" w:rsidP="003A3C28">
      <w:pPr>
        <w:rPr>
          <w:sz w:val="24"/>
          <w:szCs w:val="24"/>
        </w:rPr>
      </w:pPr>
    </w:p>
    <w:p w14:paraId="2EE214E9" w14:textId="77777777" w:rsidR="004F26E9" w:rsidRPr="002C3945" w:rsidRDefault="004F26E9" w:rsidP="003A3C28">
      <w:pPr>
        <w:rPr>
          <w:sz w:val="24"/>
          <w:szCs w:val="24"/>
        </w:rPr>
      </w:pPr>
      <w:r w:rsidRPr="002C3945">
        <w:rPr>
          <w:b/>
          <w:bCs/>
          <w:sz w:val="24"/>
          <w:szCs w:val="24"/>
        </w:rPr>
        <w:t xml:space="preserve">9.  </w:t>
      </w:r>
      <w:r w:rsidRPr="002C3945">
        <w:rPr>
          <w:b/>
          <w:bCs/>
          <w:sz w:val="24"/>
          <w:szCs w:val="24"/>
          <w:u w:val="single"/>
        </w:rPr>
        <w:t>Explain any decisions to provide payments or gifts to respondents, other than remuneration of contractors or grantees</w:t>
      </w:r>
      <w:r w:rsidRPr="002C3945">
        <w:rPr>
          <w:b/>
          <w:bCs/>
          <w:sz w:val="24"/>
          <w:szCs w:val="24"/>
        </w:rPr>
        <w:t>.</w:t>
      </w:r>
    </w:p>
    <w:p w14:paraId="3248EA83" w14:textId="77777777" w:rsidR="007919BF" w:rsidRPr="002C3945" w:rsidRDefault="007919BF" w:rsidP="003A3C28">
      <w:pPr>
        <w:pStyle w:val="BodyText"/>
        <w:spacing w:before="69"/>
        <w:ind w:left="0"/>
      </w:pPr>
    </w:p>
    <w:p w14:paraId="32598273" w14:textId="77777777" w:rsidR="00102C51" w:rsidRPr="002C3945" w:rsidRDefault="00102C51" w:rsidP="003A3C28">
      <w:pPr>
        <w:pStyle w:val="BodyText"/>
        <w:spacing w:before="69"/>
        <w:ind w:left="0"/>
      </w:pPr>
      <w:r w:rsidRPr="002C3945">
        <w:t>No payments or gifts are provided.</w:t>
      </w:r>
    </w:p>
    <w:p w14:paraId="2EEE4DF8" w14:textId="77777777" w:rsidR="004F26E9" w:rsidRPr="002C3945" w:rsidRDefault="004F26E9" w:rsidP="003A3C28">
      <w:pPr>
        <w:rPr>
          <w:sz w:val="24"/>
          <w:szCs w:val="24"/>
        </w:rPr>
      </w:pPr>
    </w:p>
    <w:p w14:paraId="0731F4EB" w14:textId="77777777" w:rsidR="003A3C28" w:rsidRPr="002C3945" w:rsidRDefault="003A3C28" w:rsidP="003A3C28">
      <w:pPr>
        <w:rPr>
          <w:sz w:val="24"/>
          <w:szCs w:val="24"/>
        </w:rPr>
      </w:pPr>
    </w:p>
    <w:p w14:paraId="228D9C56" w14:textId="77777777" w:rsidR="004F26E9" w:rsidRPr="002C3945" w:rsidRDefault="004F26E9" w:rsidP="003A3C28">
      <w:pPr>
        <w:rPr>
          <w:sz w:val="24"/>
          <w:szCs w:val="24"/>
        </w:rPr>
      </w:pPr>
      <w:r w:rsidRPr="002C3945">
        <w:rPr>
          <w:b/>
          <w:bCs/>
          <w:sz w:val="24"/>
          <w:szCs w:val="24"/>
        </w:rPr>
        <w:t xml:space="preserve">10.  </w:t>
      </w:r>
      <w:r w:rsidRPr="002C3945">
        <w:rPr>
          <w:b/>
          <w:bCs/>
          <w:sz w:val="24"/>
          <w:szCs w:val="24"/>
          <w:u w:val="single"/>
        </w:rPr>
        <w:t>Describe any assurance of confidentiality provided to respondents and the basis for assurance in statute, regulation, or agency policy</w:t>
      </w:r>
      <w:r w:rsidRPr="002C3945">
        <w:rPr>
          <w:b/>
          <w:bCs/>
          <w:sz w:val="24"/>
          <w:szCs w:val="24"/>
        </w:rPr>
        <w:t>.</w:t>
      </w:r>
    </w:p>
    <w:p w14:paraId="2DB3553A" w14:textId="77777777" w:rsidR="004F26E9" w:rsidRPr="002C3945" w:rsidRDefault="004F26E9" w:rsidP="003A3C28">
      <w:pPr>
        <w:rPr>
          <w:sz w:val="24"/>
          <w:szCs w:val="24"/>
        </w:rPr>
      </w:pPr>
    </w:p>
    <w:p w14:paraId="53D95E92" w14:textId="77777777" w:rsidR="00102C51" w:rsidRPr="002C3945" w:rsidRDefault="00102C51" w:rsidP="000E4376">
      <w:pPr>
        <w:rPr>
          <w:sz w:val="24"/>
          <w:szCs w:val="24"/>
        </w:rPr>
      </w:pPr>
      <w:r w:rsidRPr="002C3945">
        <w:rPr>
          <w:sz w:val="24"/>
          <w:szCs w:val="24"/>
        </w:rPr>
        <w:t xml:space="preserve">As stated on the </w:t>
      </w:r>
      <w:r w:rsidR="00896B4C" w:rsidRPr="002C3945">
        <w:rPr>
          <w:sz w:val="24"/>
          <w:szCs w:val="24"/>
        </w:rPr>
        <w:t>FCO</w:t>
      </w:r>
      <w:r w:rsidRPr="002C3945">
        <w:rPr>
          <w:sz w:val="24"/>
          <w:szCs w:val="24"/>
        </w:rPr>
        <w:t>, the information collection is considered</w:t>
      </w:r>
      <w:r w:rsidR="000E4376" w:rsidRPr="002C3945">
        <w:rPr>
          <w:sz w:val="24"/>
          <w:szCs w:val="24"/>
        </w:rPr>
        <w:t xml:space="preserve"> </w:t>
      </w:r>
      <w:r w:rsidRPr="002C3945">
        <w:rPr>
          <w:sz w:val="24"/>
          <w:szCs w:val="24"/>
        </w:rPr>
        <w:t xml:space="preserve">confidential </w:t>
      </w:r>
      <w:r w:rsidR="00E3216C" w:rsidRPr="002C3945">
        <w:rPr>
          <w:sz w:val="24"/>
          <w:szCs w:val="24"/>
        </w:rPr>
        <w:t>(</w:t>
      </w:r>
      <w:r w:rsidRPr="002C3945">
        <w:rPr>
          <w:sz w:val="24"/>
          <w:szCs w:val="24"/>
        </w:rPr>
        <w:t>as per the Dolphin Protection Consumer Information Act</w:t>
      </w:r>
      <w:r w:rsidR="00E3216C" w:rsidRPr="002C3945">
        <w:rPr>
          <w:sz w:val="24"/>
          <w:szCs w:val="24"/>
        </w:rPr>
        <w:t>)</w:t>
      </w:r>
      <w:r w:rsidRPr="002C3945">
        <w:rPr>
          <w:sz w:val="24"/>
          <w:szCs w:val="24"/>
        </w:rPr>
        <w:t xml:space="preserve"> and is treated as such in</w:t>
      </w:r>
      <w:r w:rsidR="000E4376" w:rsidRPr="002C3945">
        <w:rPr>
          <w:sz w:val="24"/>
          <w:szCs w:val="24"/>
        </w:rPr>
        <w:t xml:space="preserve"> </w:t>
      </w:r>
      <w:r w:rsidRPr="002C3945">
        <w:rPr>
          <w:sz w:val="24"/>
          <w:szCs w:val="24"/>
        </w:rPr>
        <w:t xml:space="preserve">accordance with </w:t>
      </w:r>
      <w:r w:rsidR="00E3216C" w:rsidRPr="002C3945">
        <w:rPr>
          <w:sz w:val="24"/>
          <w:szCs w:val="24"/>
        </w:rPr>
        <w:t xml:space="preserve">regulations at 50 CFR 216.93(h) and by </w:t>
      </w:r>
      <w:hyperlink r:id="rId17">
        <w:r w:rsidRPr="002C3945">
          <w:rPr>
            <w:color w:val="0000FF"/>
            <w:sz w:val="24"/>
            <w:szCs w:val="24"/>
            <w:u w:val="single" w:color="0000FF"/>
          </w:rPr>
          <w:t>NOAA Administrative Order 216-100</w:t>
        </w:r>
        <w:r w:rsidRPr="002C3945">
          <w:rPr>
            <w:sz w:val="24"/>
            <w:szCs w:val="24"/>
          </w:rPr>
          <w:t>.</w:t>
        </w:r>
      </w:hyperlink>
      <w:r w:rsidRPr="002C3945">
        <w:rPr>
          <w:sz w:val="24"/>
          <w:szCs w:val="24"/>
        </w:rPr>
        <w:t xml:space="preserve"> Information collected is handled in compliance with agency filing and retention policy.</w:t>
      </w:r>
    </w:p>
    <w:p w14:paraId="550DF256" w14:textId="77777777" w:rsidR="004F26E9" w:rsidRPr="002C3945" w:rsidRDefault="004F26E9" w:rsidP="003A3C28">
      <w:pPr>
        <w:rPr>
          <w:sz w:val="24"/>
          <w:szCs w:val="24"/>
        </w:rPr>
      </w:pPr>
    </w:p>
    <w:p w14:paraId="1316AB48" w14:textId="77777777" w:rsidR="004F26E9" w:rsidRPr="002C3945" w:rsidRDefault="004F26E9" w:rsidP="003A3C28">
      <w:pPr>
        <w:rPr>
          <w:sz w:val="24"/>
          <w:szCs w:val="24"/>
        </w:rPr>
      </w:pPr>
    </w:p>
    <w:p w14:paraId="67B59B0E" w14:textId="77777777" w:rsidR="004F26E9" w:rsidRPr="002C3945" w:rsidRDefault="004F26E9" w:rsidP="003A3C28">
      <w:pPr>
        <w:rPr>
          <w:sz w:val="24"/>
          <w:szCs w:val="24"/>
        </w:rPr>
      </w:pPr>
      <w:r w:rsidRPr="002C3945">
        <w:rPr>
          <w:b/>
          <w:bCs/>
          <w:sz w:val="24"/>
          <w:szCs w:val="24"/>
        </w:rPr>
        <w:t xml:space="preserve">11.  </w:t>
      </w:r>
      <w:r w:rsidRPr="002C3945">
        <w:rPr>
          <w:b/>
          <w:bCs/>
          <w:sz w:val="24"/>
          <w:szCs w:val="24"/>
          <w:u w:val="single"/>
        </w:rPr>
        <w:t>Provide additional justification for any questions of a sensitive nature, such as sexual behavior and attitudes, religious beliefs, and other matters that are commonly considered private</w:t>
      </w:r>
      <w:r w:rsidRPr="002C3945">
        <w:rPr>
          <w:b/>
          <w:bCs/>
          <w:sz w:val="24"/>
          <w:szCs w:val="24"/>
        </w:rPr>
        <w:t>.</w:t>
      </w:r>
    </w:p>
    <w:p w14:paraId="3D0A673D" w14:textId="77777777" w:rsidR="004F26E9" w:rsidRPr="002C3945" w:rsidRDefault="004F26E9" w:rsidP="003A3C28">
      <w:pPr>
        <w:rPr>
          <w:sz w:val="24"/>
          <w:szCs w:val="24"/>
        </w:rPr>
      </w:pPr>
    </w:p>
    <w:p w14:paraId="5327725D" w14:textId="77777777" w:rsidR="004F26E9" w:rsidRPr="002C3945" w:rsidRDefault="0042796E" w:rsidP="003A3C28">
      <w:pPr>
        <w:pStyle w:val="BodyText"/>
        <w:spacing w:before="69"/>
        <w:ind w:left="0"/>
      </w:pPr>
      <w:r w:rsidRPr="002C3945">
        <w:t>No questions of a sensitive nature are included in this information collection.</w:t>
      </w:r>
    </w:p>
    <w:p w14:paraId="2B5B4682" w14:textId="77777777" w:rsidR="004F26E9" w:rsidRPr="002C3945" w:rsidRDefault="004F26E9" w:rsidP="003A3C28">
      <w:pPr>
        <w:rPr>
          <w:sz w:val="24"/>
          <w:szCs w:val="24"/>
        </w:rPr>
      </w:pPr>
    </w:p>
    <w:p w14:paraId="67ACB234" w14:textId="77777777" w:rsidR="004F26E9" w:rsidRPr="002C3945" w:rsidRDefault="004F26E9" w:rsidP="003A3C28">
      <w:pPr>
        <w:rPr>
          <w:sz w:val="24"/>
          <w:szCs w:val="24"/>
        </w:rPr>
      </w:pPr>
    </w:p>
    <w:p w14:paraId="673D71F2" w14:textId="77777777" w:rsidR="004F26E9" w:rsidRPr="002C3945" w:rsidRDefault="004F26E9" w:rsidP="003A3C28">
      <w:pPr>
        <w:rPr>
          <w:sz w:val="24"/>
          <w:szCs w:val="24"/>
        </w:rPr>
      </w:pPr>
      <w:r w:rsidRPr="002C3945">
        <w:rPr>
          <w:b/>
          <w:bCs/>
          <w:sz w:val="24"/>
          <w:szCs w:val="24"/>
        </w:rPr>
        <w:t xml:space="preserve">12.  </w:t>
      </w:r>
      <w:r w:rsidRPr="002C3945">
        <w:rPr>
          <w:b/>
          <w:bCs/>
          <w:sz w:val="24"/>
          <w:szCs w:val="24"/>
          <w:u w:val="single"/>
        </w:rPr>
        <w:t>Provide an estimate in hours of the burden of the collection of information</w:t>
      </w:r>
      <w:r w:rsidRPr="002C3945">
        <w:rPr>
          <w:b/>
          <w:bCs/>
          <w:sz w:val="24"/>
          <w:szCs w:val="24"/>
        </w:rPr>
        <w:t>.</w:t>
      </w:r>
    </w:p>
    <w:p w14:paraId="3B4930D3" w14:textId="77777777" w:rsidR="004F26E9" w:rsidRPr="002C3945" w:rsidRDefault="004F26E9" w:rsidP="003A3C28">
      <w:pPr>
        <w:rPr>
          <w:sz w:val="24"/>
          <w:szCs w:val="24"/>
        </w:rPr>
      </w:pPr>
    </w:p>
    <w:p w14:paraId="01E2D550" w14:textId="1246E80C" w:rsidR="0042796E" w:rsidRPr="002C3945" w:rsidRDefault="0042796E" w:rsidP="00FB1339">
      <w:pPr>
        <w:rPr>
          <w:sz w:val="24"/>
          <w:szCs w:val="24"/>
        </w:rPr>
      </w:pPr>
      <w:r w:rsidRPr="002C3945">
        <w:rPr>
          <w:sz w:val="24"/>
          <w:szCs w:val="24"/>
        </w:rPr>
        <w:t xml:space="preserve">In </w:t>
      </w:r>
      <w:r w:rsidR="0013264D" w:rsidRPr="002C3945">
        <w:rPr>
          <w:sz w:val="24"/>
          <w:szCs w:val="24"/>
        </w:rPr>
        <w:t>recent years</w:t>
      </w:r>
      <w:r w:rsidRPr="002C3945">
        <w:rPr>
          <w:sz w:val="24"/>
          <w:szCs w:val="24"/>
        </w:rPr>
        <w:t xml:space="preserve">, program data </w:t>
      </w:r>
      <w:r w:rsidR="0013264D" w:rsidRPr="002C3945">
        <w:rPr>
          <w:sz w:val="24"/>
          <w:szCs w:val="24"/>
        </w:rPr>
        <w:t>shows</w:t>
      </w:r>
      <w:r w:rsidRPr="002C3945">
        <w:rPr>
          <w:sz w:val="24"/>
          <w:szCs w:val="24"/>
        </w:rPr>
        <w:t xml:space="preserve"> approximately </w:t>
      </w:r>
      <w:r w:rsidR="00794E7F">
        <w:rPr>
          <w:sz w:val="24"/>
          <w:szCs w:val="24"/>
        </w:rPr>
        <w:t>530</w:t>
      </w:r>
      <w:r w:rsidRPr="002C3945">
        <w:rPr>
          <w:sz w:val="24"/>
          <w:szCs w:val="24"/>
        </w:rPr>
        <w:t xml:space="preserve"> different respondents submitted approximately 13,000 responses</w:t>
      </w:r>
      <w:r w:rsidR="007C704E" w:rsidRPr="002C3945">
        <w:rPr>
          <w:sz w:val="24"/>
          <w:szCs w:val="24"/>
        </w:rPr>
        <w:t xml:space="preserve"> annually</w:t>
      </w:r>
      <w:r w:rsidRPr="002C3945">
        <w:rPr>
          <w:sz w:val="24"/>
          <w:szCs w:val="24"/>
        </w:rPr>
        <w:t xml:space="preserve">. </w:t>
      </w:r>
      <w:r w:rsidR="00917F6F">
        <w:rPr>
          <w:sz w:val="24"/>
          <w:szCs w:val="24"/>
        </w:rPr>
        <w:t xml:space="preserve">This averages to 25 responses per respondent per year. </w:t>
      </w:r>
      <w:r w:rsidRPr="002C3945">
        <w:rPr>
          <w:sz w:val="24"/>
          <w:szCs w:val="24"/>
        </w:rPr>
        <w:t xml:space="preserve">It is estimated that each response averages 25 minutes, including records retention and making </w:t>
      </w:r>
      <w:r w:rsidR="00AB6C61" w:rsidRPr="002C3945">
        <w:rPr>
          <w:sz w:val="24"/>
          <w:szCs w:val="24"/>
        </w:rPr>
        <w:t xml:space="preserve">electronic </w:t>
      </w:r>
      <w:r w:rsidRPr="002C3945">
        <w:rPr>
          <w:sz w:val="24"/>
          <w:szCs w:val="24"/>
        </w:rPr>
        <w:t>copies as needed. Therefore, the estimate in hours of the burden of the</w:t>
      </w:r>
      <w:r w:rsidR="0013264D" w:rsidRPr="002C3945">
        <w:rPr>
          <w:sz w:val="24"/>
          <w:szCs w:val="24"/>
        </w:rPr>
        <w:t xml:space="preserve"> </w:t>
      </w:r>
      <w:r w:rsidRPr="002C3945">
        <w:rPr>
          <w:sz w:val="24"/>
          <w:szCs w:val="24"/>
        </w:rPr>
        <w:t>collection of information is:</w:t>
      </w:r>
    </w:p>
    <w:p w14:paraId="761E1C8D" w14:textId="77777777" w:rsidR="0042796E" w:rsidRPr="002C3945" w:rsidRDefault="0042796E" w:rsidP="003A3C28">
      <w:pPr>
        <w:rPr>
          <w:sz w:val="24"/>
          <w:szCs w:val="24"/>
        </w:rPr>
      </w:pPr>
    </w:p>
    <w:p w14:paraId="7C3A39CB" w14:textId="77777777" w:rsidR="0042796E" w:rsidRPr="002C3945" w:rsidRDefault="0042796E" w:rsidP="008517E5">
      <w:pPr>
        <w:pStyle w:val="BodyText"/>
        <w:ind w:left="0"/>
        <w:jc w:val="center"/>
      </w:pPr>
      <w:r w:rsidRPr="002C3945">
        <w:t>13,000 responses x 25 minutes/response x 1 hour/60 minutes = 5,417 hours.</w:t>
      </w:r>
    </w:p>
    <w:p w14:paraId="60C81927" w14:textId="77777777" w:rsidR="004F26E9" w:rsidRPr="002C3945" w:rsidRDefault="004F26E9" w:rsidP="003A3C28">
      <w:pPr>
        <w:rPr>
          <w:sz w:val="24"/>
          <w:szCs w:val="24"/>
        </w:rPr>
      </w:pPr>
    </w:p>
    <w:p w14:paraId="7779E979" w14:textId="77777777" w:rsidR="004F26E9" w:rsidRPr="002C3945" w:rsidRDefault="004F26E9" w:rsidP="003A3C28">
      <w:pPr>
        <w:rPr>
          <w:sz w:val="24"/>
          <w:szCs w:val="24"/>
        </w:rPr>
      </w:pPr>
    </w:p>
    <w:p w14:paraId="1AFEADE9" w14:textId="12AEA6D7" w:rsidR="004F26E9" w:rsidRPr="002C3945" w:rsidRDefault="004F26E9" w:rsidP="003A3C28">
      <w:pPr>
        <w:rPr>
          <w:sz w:val="24"/>
          <w:szCs w:val="24"/>
        </w:rPr>
      </w:pPr>
      <w:r w:rsidRPr="002C3945">
        <w:rPr>
          <w:b/>
          <w:bCs/>
          <w:sz w:val="24"/>
          <w:szCs w:val="24"/>
        </w:rPr>
        <w:t xml:space="preserve">13.  </w:t>
      </w:r>
      <w:r w:rsidRPr="002C3945">
        <w:rPr>
          <w:b/>
          <w:bCs/>
          <w:sz w:val="24"/>
          <w:szCs w:val="24"/>
          <w:u w:val="single"/>
        </w:rPr>
        <w:t xml:space="preserve">Provide an estimate of the total annual cost burden to the respondents or record-keepers resulting from the collection (excluding the value of the burden hours in </w:t>
      </w:r>
      <w:r w:rsidR="00725C5C" w:rsidRPr="002C3945">
        <w:rPr>
          <w:b/>
          <w:bCs/>
          <w:sz w:val="24"/>
          <w:szCs w:val="24"/>
          <w:u w:val="single"/>
        </w:rPr>
        <w:t xml:space="preserve">Question </w:t>
      </w:r>
      <w:r w:rsidRPr="002C3945">
        <w:rPr>
          <w:b/>
          <w:bCs/>
          <w:sz w:val="24"/>
          <w:szCs w:val="24"/>
          <w:u w:val="single"/>
        </w:rPr>
        <w:t>12 above)</w:t>
      </w:r>
      <w:r w:rsidRPr="002C3945">
        <w:rPr>
          <w:b/>
          <w:bCs/>
          <w:sz w:val="24"/>
          <w:szCs w:val="24"/>
        </w:rPr>
        <w:t>.</w:t>
      </w:r>
      <w:r w:rsidR="00A248DD">
        <w:rPr>
          <w:b/>
          <w:bCs/>
          <w:sz w:val="24"/>
          <w:szCs w:val="24"/>
        </w:rPr>
        <w:t>0</w:t>
      </w:r>
    </w:p>
    <w:p w14:paraId="37628D4D" w14:textId="77777777" w:rsidR="004F26E9" w:rsidRPr="002C3945" w:rsidRDefault="004F26E9" w:rsidP="003A3C28">
      <w:pPr>
        <w:rPr>
          <w:sz w:val="24"/>
          <w:szCs w:val="24"/>
        </w:rPr>
      </w:pPr>
    </w:p>
    <w:p w14:paraId="5AD38BA7" w14:textId="2DDFFB21" w:rsidR="004F26E9" w:rsidRPr="002C3945" w:rsidRDefault="007C704E" w:rsidP="00794E7F">
      <w:pPr>
        <w:pStyle w:val="BodyText"/>
        <w:ind w:firstLine="620"/>
      </w:pPr>
      <w:r w:rsidRPr="002C3945">
        <w:t>Due to regulations at 50 CFR 216.24(f)(2)</w:t>
      </w:r>
      <w:r w:rsidR="00AB6C61" w:rsidRPr="002C3945">
        <w:t xml:space="preserve"> </w:t>
      </w:r>
      <w:r w:rsidR="008E0C69" w:rsidRPr="002C3945">
        <w:t xml:space="preserve">which were </w:t>
      </w:r>
      <w:r w:rsidR="00AB6C61" w:rsidRPr="002C3945">
        <w:t>implemented since the last collection of information extension</w:t>
      </w:r>
      <w:r w:rsidRPr="002C3945">
        <w:t xml:space="preserve">, all </w:t>
      </w:r>
      <w:r w:rsidR="00AB6C61" w:rsidRPr="002C3945">
        <w:t>required d</w:t>
      </w:r>
      <w:r w:rsidRPr="002C3945">
        <w:t>ocuments are to be electronically submitted to CBP</w:t>
      </w:r>
      <w:r w:rsidR="00AB6C61" w:rsidRPr="002C3945">
        <w:t>’s</w:t>
      </w:r>
      <w:r w:rsidRPr="002C3945">
        <w:t xml:space="preserve"> ACE</w:t>
      </w:r>
      <w:r w:rsidR="00AB6C61" w:rsidRPr="002C3945">
        <w:t>. Since a</w:t>
      </w:r>
      <w:r w:rsidRPr="002C3945">
        <w:t xml:space="preserve">ll documents associated with this collection of information are now available </w:t>
      </w:r>
      <w:r w:rsidR="00E13CCC">
        <w:t xml:space="preserve">online </w:t>
      </w:r>
      <w:r w:rsidRPr="002C3945">
        <w:t xml:space="preserve">for </w:t>
      </w:r>
      <w:r w:rsidR="00E13CCC">
        <w:t>free</w:t>
      </w:r>
      <w:r w:rsidR="00267261">
        <w:t xml:space="preserve"> and can be stored on a </w:t>
      </w:r>
      <w:r w:rsidR="00917F6F">
        <w:t xml:space="preserve">existing </w:t>
      </w:r>
      <w:r w:rsidR="00267261">
        <w:t>computer hard disk or network server folder</w:t>
      </w:r>
      <w:r w:rsidR="00E13CCC">
        <w:t xml:space="preserve">, </w:t>
      </w:r>
      <w:r w:rsidRPr="002C3945">
        <w:t xml:space="preserve">completion </w:t>
      </w:r>
      <w:r w:rsidR="00267261">
        <w:t xml:space="preserve">of the forms </w:t>
      </w:r>
      <w:r w:rsidRPr="002C3945">
        <w:t xml:space="preserve">via computer </w:t>
      </w:r>
      <w:r w:rsidR="00267261">
        <w:t xml:space="preserve">and two year storage of such files </w:t>
      </w:r>
      <w:r w:rsidR="00E13CCC">
        <w:t xml:space="preserve">has reduced </w:t>
      </w:r>
      <w:r w:rsidR="00AB6C61" w:rsidRPr="002C3945">
        <w:t xml:space="preserve">the annual cost burden for this collection of information to </w:t>
      </w:r>
      <w:r w:rsidR="00561900">
        <w:t xml:space="preserve">a </w:t>
      </w:r>
      <w:r w:rsidR="00561900" w:rsidRPr="00561900">
        <w:rPr>
          <w:i/>
        </w:rPr>
        <w:t>de minimis</w:t>
      </w:r>
      <w:r w:rsidR="00561900">
        <w:t xml:space="preserve"> amount (i.e., </w:t>
      </w:r>
      <w:r w:rsidR="00917F6F">
        <w:t xml:space="preserve">nearly </w:t>
      </w:r>
      <w:r w:rsidR="00AB6C61" w:rsidRPr="002C3945">
        <w:t>zero</w:t>
      </w:r>
      <w:r w:rsidR="00561900">
        <w:t>)</w:t>
      </w:r>
      <w:r w:rsidRPr="002C3945">
        <w:t>.</w:t>
      </w:r>
    </w:p>
    <w:p w14:paraId="00A166DB" w14:textId="77777777" w:rsidR="004F26E9" w:rsidRPr="002C3945" w:rsidRDefault="004F26E9" w:rsidP="003A3C28">
      <w:pPr>
        <w:rPr>
          <w:sz w:val="24"/>
          <w:szCs w:val="24"/>
        </w:rPr>
      </w:pPr>
    </w:p>
    <w:p w14:paraId="4AF38339" w14:textId="77777777" w:rsidR="004F26E9" w:rsidRPr="002C3945" w:rsidRDefault="004F26E9" w:rsidP="003A3C28">
      <w:pPr>
        <w:rPr>
          <w:sz w:val="24"/>
          <w:szCs w:val="24"/>
        </w:rPr>
      </w:pPr>
      <w:r w:rsidRPr="002C3945">
        <w:rPr>
          <w:b/>
          <w:bCs/>
          <w:sz w:val="24"/>
          <w:szCs w:val="24"/>
        </w:rPr>
        <w:t xml:space="preserve">14.  </w:t>
      </w:r>
      <w:r w:rsidRPr="002C3945">
        <w:rPr>
          <w:b/>
          <w:bCs/>
          <w:sz w:val="24"/>
          <w:szCs w:val="24"/>
          <w:u w:val="single"/>
        </w:rPr>
        <w:t>Provide estimates of annualized cost to the Federal government</w:t>
      </w:r>
      <w:r w:rsidRPr="002C3945">
        <w:rPr>
          <w:b/>
          <w:bCs/>
          <w:sz w:val="24"/>
          <w:szCs w:val="24"/>
        </w:rPr>
        <w:t>.</w:t>
      </w:r>
    </w:p>
    <w:p w14:paraId="7AFE0D3A" w14:textId="77777777" w:rsidR="004F26E9" w:rsidRPr="002C3945" w:rsidRDefault="004F26E9" w:rsidP="003A3C28">
      <w:pPr>
        <w:rPr>
          <w:sz w:val="24"/>
          <w:szCs w:val="24"/>
        </w:rPr>
      </w:pPr>
    </w:p>
    <w:p w14:paraId="7F4E6879" w14:textId="77777777" w:rsidR="00640874" w:rsidRPr="002C3945" w:rsidRDefault="002D7429" w:rsidP="003A3C28">
      <w:pPr>
        <w:pStyle w:val="BodyText"/>
        <w:spacing w:before="69"/>
        <w:ind w:left="0"/>
      </w:pPr>
      <w:r w:rsidRPr="002C3945">
        <w:t xml:space="preserve">Staff hours to analyze </w:t>
      </w:r>
      <w:r w:rsidR="00AB6C61" w:rsidRPr="002C3945">
        <w:t xml:space="preserve">and </w:t>
      </w:r>
      <w:r w:rsidRPr="002C3945">
        <w:t>input 13,000 collections per year:</w:t>
      </w:r>
    </w:p>
    <w:p w14:paraId="7E0AD447" w14:textId="77777777" w:rsidR="002D7429" w:rsidRPr="002C3945" w:rsidRDefault="002D7429" w:rsidP="00640874">
      <w:pPr>
        <w:pStyle w:val="BodyText"/>
        <w:ind w:left="0"/>
        <w:jc w:val="center"/>
      </w:pPr>
      <w:r w:rsidRPr="002C3945">
        <w:t>13,000 forms x 6 minutes/form x 1 hour/60 minutes = 1,300 staff hours/year</w:t>
      </w:r>
    </w:p>
    <w:p w14:paraId="007E9E69" w14:textId="77777777" w:rsidR="00D4799C" w:rsidRPr="002C3945" w:rsidRDefault="00D4799C" w:rsidP="00D4799C">
      <w:pPr>
        <w:pStyle w:val="BodyText"/>
      </w:pPr>
    </w:p>
    <w:p w14:paraId="148FC3F1" w14:textId="77777777" w:rsidR="00D4799C" w:rsidRPr="002C3945" w:rsidRDefault="002D7429" w:rsidP="00D4799C">
      <w:pPr>
        <w:pStyle w:val="BodyText"/>
        <w:ind w:left="720"/>
      </w:pPr>
      <w:r w:rsidRPr="002C3945">
        <w:t xml:space="preserve">Three minutes </w:t>
      </w:r>
      <w:r w:rsidR="00B6270C" w:rsidRPr="002C3945">
        <w:t xml:space="preserve">average </w:t>
      </w:r>
      <w:r w:rsidRPr="002C3945">
        <w:t>analysis per collection @ $</w:t>
      </w:r>
      <w:r w:rsidR="00324732" w:rsidRPr="002C3945">
        <w:t>20</w:t>
      </w:r>
      <w:r w:rsidRPr="002C3945">
        <w:t>/hr</w:t>
      </w:r>
    </w:p>
    <w:p w14:paraId="6A5CA4F4" w14:textId="77777777" w:rsidR="00640874" w:rsidRPr="002C3945" w:rsidRDefault="002D7429" w:rsidP="00D4799C">
      <w:pPr>
        <w:pStyle w:val="BodyText"/>
        <w:ind w:left="720" w:firstLine="620"/>
      </w:pPr>
      <w:r w:rsidRPr="002C3945">
        <w:t>Three minutes = 0.05 hours x $</w:t>
      </w:r>
      <w:r w:rsidR="00324732" w:rsidRPr="002C3945">
        <w:t>20</w:t>
      </w:r>
      <w:r w:rsidRPr="002C3945">
        <w:t>. = $</w:t>
      </w:r>
      <w:r w:rsidR="00324732" w:rsidRPr="002C3945">
        <w:t>1</w:t>
      </w:r>
      <w:r w:rsidRPr="002C3945">
        <w:t>.</w:t>
      </w:r>
      <w:r w:rsidR="00324732" w:rsidRPr="002C3945">
        <w:t>00</w:t>
      </w:r>
    </w:p>
    <w:p w14:paraId="7F311704" w14:textId="77777777" w:rsidR="002D7429" w:rsidRPr="002C3945" w:rsidRDefault="002D7429" w:rsidP="00D4799C">
      <w:pPr>
        <w:pStyle w:val="BodyText"/>
        <w:ind w:firstLine="620"/>
      </w:pPr>
      <w:r w:rsidRPr="002C3945">
        <w:t>T</w:t>
      </w:r>
      <w:r w:rsidR="00324732" w:rsidRPr="002C3945">
        <w:t xml:space="preserve">hree </w:t>
      </w:r>
      <w:r w:rsidRPr="002C3945">
        <w:t xml:space="preserve">minutes </w:t>
      </w:r>
      <w:r w:rsidR="00B6270C" w:rsidRPr="002C3945">
        <w:t xml:space="preserve">average </w:t>
      </w:r>
      <w:r w:rsidRPr="002C3945">
        <w:t>data entry per collection @ $</w:t>
      </w:r>
      <w:r w:rsidR="00324732" w:rsidRPr="002C3945">
        <w:t>20.00</w:t>
      </w:r>
    </w:p>
    <w:p w14:paraId="194CEC0B" w14:textId="77777777" w:rsidR="00640874" w:rsidRPr="002C3945" w:rsidRDefault="002D7429" w:rsidP="00D4799C">
      <w:pPr>
        <w:pStyle w:val="BodyText"/>
        <w:ind w:left="820" w:firstLine="620"/>
      </w:pPr>
      <w:r w:rsidRPr="002C3945">
        <w:t>T</w:t>
      </w:r>
      <w:r w:rsidR="00324732" w:rsidRPr="002C3945">
        <w:t>hree</w:t>
      </w:r>
      <w:r w:rsidRPr="002C3945">
        <w:t xml:space="preserve"> minutes = 0.0</w:t>
      </w:r>
      <w:r w:rsidR="00324732" w:rsidRPr="002C3945">
        <w:t>5</w:t>
      </w:r>
      <w:r w:rsidRPr="002C3945">
        <w:t xml:space="preserve"> hours x $</w:t>
      </w:r>
      <w:r w:rsidR="00324732" w:rsidRPr="002C3945">
        <w:t>20.00</w:t>
      </w:r>
      <w:r w:rsidRPr="002C3945">
        <w:t xml:space="preserve"> = $</w:t>
      </w:r>
      <w:r w:rsidR="00324732" w:rsidRPr="002C3945">
        <w:t>1.00</w:t>
      </w:r>
    </w:p>
    <w:p w14:paraId="37081194" w14:textId="77777777" w:rsidR="002D7429" w:rsidRPr="002C3945" w:rsidRDefault="002D7429" w:rsidP="00794E7F">
      <w:pPr>
        <w:pStyle w:val="BodyText"/>
        <w:ind w:firstLine="620"/>
      </w:pPr>
    </w:p>
    <w:p w14:paraId="4B971B5A" w14:textId="77777777" w:rsidR="004F26E9" w:rsidRPr="00794E7F" w:rsidRDefault="002D7429" w:rsidP="00794E7F">
      <w:pPr>
        <w:pStyle w:val="Heading1"/>
        <w:spacing w:before="5"/>
        <w:ind w:firstLine="600"/>
        <w:rPr>
          <w:b w:val="0"/>
          <w:bCs w:val="0"/>
          <w:u w:val="none"/>
        </w:rPr>
      </w:pPr>
      <w:r w:rsidRPr="002C3945">
        <w:rPr>
          <w:u w:val="none"/>
        </w:rPr>
        <w:t>13,000 responses/year x ($</w:t>
      </w:r>
      <w:r w:rsidR="00324732" w:rsidRPr="002C3945">
        <w:rPr>
          <w:u w:val="none"/>
        </w:rPr>
        <w:t>1.00</w:t>
      </w:r>
      <w:r w:rsidRPr="002C3945">
        <w:rPr>
          <w:u w:val="none"/>
        </w:rPr>
        <w:t xml:space="preserve"> + $</w:t>
      </w:r>
      <w:r w:rsidR="00324732" w:rsidRPr="002C3945">
        <w:rPr>
          <w:u w:val="none"/>
        </w:rPr>
        <w:t>1.00</w:t>
      </w:r>
      <w:r w:rsidRPr="002C3945">
        <w:rPr>
          <w:u w:val="none"/>
        </w:rPr>
        <w:t>) = $2</w:t>
      </w:r>
      <w:r w:rsidR="00324732" w:rsidRPr="002C3945">
        <w:rPr>
          <w:u w:val="none"/>
        </w:rPr>
        <w:t>6</w:t>
      </w:r>
      <w:r w:rsidRPr="002C3945">
        <w:rPr>
          <w:u w:val="none"/>
        </w:rPr>
        <w:t>,</w:t>
      </w:r>
      <w:r w:rsidR="00324732" w:rsidRPr="002C3945">
        <w:rPr>
          <w:u w:val="none"/>
        </w:rPr>
        <w:t>000</w:t>
      </w:r>
    </w:p>
    <w:p w14:paraId="7F013B8F" w14:textId="77777777" w:rsidR="004F26E9" w:rsidRPr="002C3945" w:rsidRDefault="004F26E9" w:rsidP="003A3C28">
      <w:pPr>
        <w:rPr>
          <w:sz w:val="24"/>
          <w:szCs w:val="24"/>
        </w:rPr>
      </w:pPr>
    </w:p>
    <w:p w14:paraId="6D56E46B" w14:textId="77777777" w:rsidR="004F26E9" w:rsidRPr="002C3945" w:rsidRDefault="004F26E9" w:rsidP="003A3C28">
      <w:pPr>
        <w:rPr>
          <w:sz w:val="24"/>
          <w:szCs w:val="24"/>
        </w:rPr>
      </w:pPr>
      <w:r w:rsidRPr="002C3945">
        <w:rPr>
          <w:b/>
          <w:bCs/>
          <w:sz w:val="24"/>
          <w:szCs w:val="24"/>
        </w:rPr>
        <w:t xml:space="preserve">15.  </w:t>
      </w:r>
      <w:r w:rsidRPr="002C3945">
        <w:rPr>
          <w:b/>
          <w:bCs/>
          <w:sz w:val="24"/>
          <w:szCs w:val="24"/>
          <w:u w:val="single"/>
        </w:rPr>
        <w:t>Explain the reasons for any program changes or adjustments</w:t>
      </w:r>
      <w:r w:rsidRPr="002C3945">
        <w:rPr>
          <w:b/>
          <w:bCs/>
          <w:sz w:val="24"/>
          <w:szCs w:val="24"/>
        </w:rPr>
        <w:t>.</w:t>
      </w:r>
    </w:p>
    <w:p w14:paraId="3985C64C" w14:textId="77777777" w:rsidR="004F26E9" w:rsidRPr="002C3945" w:rsidRDefault="004F26E9" w:rsidP="003A3C28">
      <w:pPr>
        <w:rPr>
          <w:sz w:val="24"/>
          <w:szCs w:val="24"/>
        </w:rPr>
      </w:pPr>
    </w:p>
    <w:p w14:paraId="5C151AF6" w14:textId="77777777" w:rsidR="006C59B1" w:rsidRPr="002C3945" w:rsidRDefault="00326A10" w:rsidP="003A3C28">
      <w:pPr>
        <w:rPr>
          <w:sz w:val="24"/>
          <w:szCs w:val="24"/>
        </w:rPr>
      </w:pPr>
      <w:r w:rsidRPr="002C3945">
        <w:rPr>
          <w:sz w:val="24"/>
          <w:szCs w:val="24"/>
        </w:rPr>
        <w:t xml:space="preserve">Adjustment: </w:t>
      </w:r>
      <w:r w:rsidR="00324732" w:rsidRPr="002C3945">
        <w:rPr>
          <w:sz w:val="24"/>
          <w:szCs w:val="24"/>
        </w:rPr>
        <w:t xml:space="preserve"> A decrease to zero for the </w:t>
      </w:r>
      <w:r w:rsidR="008E0C69" w:rsidRPr="002C3945">
        <w:rPr>
          <w:sz w:val="24"/>
          <w:szCs w:val="24"/>
        </w:rPr>
        <w:t xml:space="preserve">respondent’s </w:t>
      </w:r>
      <w:r w:rsidR="00324732" w:rsidRPr="002C3945">
        <w:rPr>
          <w:sz w:val="24"/>
          <w:szCs w:val="24"/>
        </w:rPr>
        <w:t xml:space="preserve">total annual cost burden due to the regulatory requirement </w:t>
      </w:r>
      <w:r w:rsidR="008E0C69" w:rsidRPr="002C3945">
        <w:rPr>
          <w:sz w:val="24"/>
          <w:szCs w:val="24"/>
        </w:rPr>
        <w:t>for an all-</w:t>
      </w:r>
      <w:r w:rsidR="00324732" w:rsidRPr="002C3945">
        <w:rPr>
          <w:sz w:val="24"/>
          <w:szCs w:val="24"/>
        </w:rPr>
        <w:t>electronic</w:t>
      </w:r>
      <w:r w:rsidR="008E0C69" w:rsidRPr="002C3945">
        <w:rPr>
          <w:sz w:val="24"/>
          <w:szCs w:val="24"/>
        </w:rPr>
        <w:t xml:space="preserve"> submission</w:t>
      </w:r>
      <w:r w:rsidR="00324732" w:rsidRPr="002C3945">
        <w:rPr>
          <w:sz w:val="24"/>
          <w:szCs w:val="24"/>
        </w:rPr>
        <w:t xml:space="preserve">. An annualized increase in cost to the Government of $260 due to a slight increase in </w:t>
      </w:r>
      <w:r w:rsidR="008E0C69" w:rsidRPr="002C3945">
        <w:rPr>
          <w:sz w:val="24"/>
          <w:szCs w:val="24"/>
        </w:rPr>
        <w:t xml:space="preserve">the contractor </w:t>
      </w:r>
      <w:r w:rsidR="00324732" w:rsidRPr="002C3945">
        <w:rPr>
          <w:sz w:val="24"/>
          <w:szCs w:val="24"/>
        </w:rPr>
        <w:t>staff hourly wage</w:t>
      </w:r>
      <w:r w:rsidR="00B6270C" w:rsidRPr="002C3945">
        <w:rPr>
          <w:sz w:val="24"/>
          <w:szCs w:val="24"/>
        </w:rPr>
        <w:t xml:space="preserve"> average</w:t>
      </w:r>
      <w:r w:rsidR="00324732" w:rsidRPr="002C3945">
        <w:rPr>
          <w:sz w:val="24"/>
          <w:szCs w:val="24"/>
        </w:rPr>
        <w:t>.</w:t>
      </w:r>
    </w:p>
    <w:p w14:paraId="30B848E7" w14:textId="77777777" w:rsidR="004F26E9" w:rsidRPr="002C3945" w:rsidRDefault="004F26E9" w:rsidP="003A3C28">
      <w:pPr>
        <w:rPr>
          <w:sz w:val="24"/>
          <w:szCs w:val="24"/>
        </w:rPr>
      </w:pPr>
    </w:p>
    <w:p w14:paraId="28D19139" w14:textId="77777777" w:rsidR="003A3C28" w:rsidRPr="002C3945" w:rsidRDefault="003A3C28" w:rsidP="003A3C28">
      <w:pPr>
        <w:rPr>
          <w:sz w:val="24"/>
          <w:szCs w:val="24"/>
        </w:rPr>
      </w:pPr>
    </w:p>
    <w:p w14:paraId="0ABD003E" w14:textId="77777777" w:rsidR="004F26E9" w:rsidRPr="002C3945" w:rsidRDefault="004F26E9" w:rsidP="003A3C28">
      <w:pPr>
        <w:rPr>
          <w:sz w:val="24"/>
          <w:szCs w:val="24"/>
        </w:rPr>
      </w:pPr>
      <w:r w:rsidRPr="002C3945">
        <w:rPr>
          <w:b/>
          <w:bCs/>
          <w:sz w:val="24"/>
          <w:szCs w:val="24"/>
        </w:rPr>
        <w:t xml:space="preserve">16.  </w:t>
      </w:r>
      <w:r w:rsidRPr="002C3945">
        <w:rPr>
          <w:b/>
          <w:bCs/>
          <w:sz w:val="24"/>
          <w:szCs w:val="24"/>
          <w:u w:val="single"/>
        </w:rPr>
        <w:t>For collections whose results will be published, outline the plans for tabulation and publication</w:t>
      </w:r>
      <w:r w:rsidRPr="002C3945">
        <w:rPr>
          <w:b/>
          <w:bCs/>
          <w:sz w:val="24"/>
          <w:szCs w:val="24"/>
        </w:rPr>
        <w:t>.</w:t>
      </w:r>
    </w:p>
    <w:p w14:paraId="0FBEF769" w14:textId="77777777" w:rsidR="004F26E9" w:rsidRPr="002C3945" w:rsidRDefault="004F26E9" w:rsidP="003A3C28">
      <w:pPr>
        <w:rPr>
          <w:sz w:val="24"/>
          <w:szCs w:val="24"/>
        </w:rPr>
      </w:pPr>
    </w:p>
    <w:p w14:paraId="2C26230E" w14:textId="77777777" w:rsidR="004F26E9" w:rsidRPr="002C3945" w:rsidRDefault="008F6986" w:rsidP="003A3C28">
      <w:pPr>
        <w:pStyle w:val="BodyText"/>
        <w:spacing w:before="69"/>
        <w:ind w:left="0"/>
      </w:pPr>
      <w:r w:rsidRPr="002C3945">
        <w:t>Not Applicable.</w:t>
      </w:r>
    </w:p>
    <w:p w14:paraId="4E1B947F" w14:textId="77777777" w:rsidR="004F26E9" w:rsidRPr="002C3945" w:rsidRDefault="004F26E9" w:rsidP="003A3C28">
      <w:pPr>
        <w:rPr>
          <w:sz w:val="24"/>
          <w:szCs w:val="24"/>
        </w:rPr>
      </w:pPr>
    </w:p>
    <w:p w14:paraId="4C29A43A" w14:textId="77777777" w:rsidR="004F26E9" w:rsidRPr="002C3945" w:rsidRDefault="004F26E9" w:rsidP="003A3C28">
      <w:pPr>
        <w:rPr>
          <w:sz w:val="24"/>
          <w:szCs w:val="24"/>
        </w:rPr>
      </w:pPr>
      <w:r w:rsidRPr="002C3945">
        <w:rPr>
          <w:b/>
          <w:bCs/>
          <w:sz w:val="24"/>
          <w:szCs w:val="24"/>
        </w:rPr>
        <w:t xml:space="preserve">17.  </w:t>
      </w:r>
      <w:r w:rsidRPr="002C3945">
        <w:rPr>
          <w:b/>
          <w:bCs/>
          <w:sz w:val="24"/>
          <w:szCs w:val="24"/>
          <w:u w:val="single"/>
        </w:rPr>
        <w:t>If seeking approval to not display the expiration date for OMB approval of the information collection, explain the reasons why display would be inappropriate</w:t>
      </w:r>
      <w:r w:rsidRPr="002C3945">
        <w:rPr>
          <w:b/>
          <w:bCs/>
          <w:sz w:val="24"/>
          <w:szCs w:val="24"/>
        </w:rPr>
        <w:t>.</w:t>
      </w:r>
    </w:p>
    <w:p w14:paraId="748E1B3C" w14:textId="77777777" w:rsidR="004F26E9" w:rsidRPr="002C3945" w:rsidRDefault="004F26E9" w:rsidP="003A3C28">
      <w:pPr>
        <w:rPr>
          <w:sz w:val="24"/>
          <w:szCs w:val="24"/>
        </w:rPr>
      </w:pPr>
    </w:p>
    <w:p w14:paraId="0AB7C8A8" w14:textId="77777777" w:rsidR="004F26E9" w:rsidRPr="002C3945" w:rsidRDefault="008F6986" w:rsidP="003A3C28">
      <w:pPr>
        <w:pStyle w:val="BodyText"/>
        <w:spacing w:before="69"/>
        <w:ind w:left="0"/>
      </w:pPr>
      <w:r w:rsidRPr="002C3945">
        <w:t>Not Applicable.</w:t>
      </w:r>
    </w:p>
    <w:p w14:paraId="4799923F" w14:textId="77777777" w:rsidR="004F26E9" w:rsidRPr="002C3945" w:rsidRDefault="004F26E9" w:rsidP="003A3C28">
      <w:pPr>
        <w:rPr>
          <w:sz w:val="24"/>
          <w:szCs w:val="24"/>
        </w:rPr>
      </w:pPr>
    </w:p>
    <w:p w14:paraId="698C6415" w14:textId="77777777" w:rsidR="003A3C28" w:rsidRPr="002C3945" w:rsidRDefault="003A3C28" w:rsidP="003A3C28">
      <w:pPr>
        <w:rPr>
          <w:sz w:val="24"/>
          <w:szCs w:val="24"/>
        </w:rPr>
      </w:pPr>
    </w:p>
    <w:p w14:paraId="49E87ABB" w14:textId="77777777" w:rsidR="004F26E9" w:rsidRPr="002C3945" w:rsidRDefault="004F26E9" w:rsidP="003A3C28">
      <w:pPr>
        <w:rPr>
          <w:b/>
          <w:bCs/>
          <w:sz w:val="24"/>
          <w:szCs w:val="24"/>
        </w:rPr>
      </w:pPr>
      <w:r w:rsidRPr="002C3945">
        <w:rPr>
          <w:b/>
          <w:bCs/>
          <w:sz w:val="24"/>
          <w:szCs w:val="24"/>
        </w:rPr>
        <w:t xml:space="preserve">18.  </w:t>
      </w:r>
      <w:r w:rsidRPr="002C3945">
        <w:rPr>
          <w:b/>
          <w:bCs/>
          <w:sz w:val="24"/>
          <w:szCs w:val="24"/>
          <w:u w:val="single"/>
        </w:rPr>
        <w:t>Explain each</w:t>
      </w:r>
      <w:r w:rsidR="00A52249" w:rsidRPr="002C3945">
        <w:rPr>
          <w:b/>
          <w:bCs/>
          <w:sz w:val="24"/>
          <w:szCs w:val="24"/>
          <w:u w:val="single"/>
        </w:rPr>
        <w:t xml:space="preserve"> exception to the certification </w:t>
      </w:r>
      <w:r w:rsidRPr="002C3945">
        <w:rPr>
          <w:b/>
          <w:bCs/>
          <w:sz w:val="24"/>
          <w:szCs w:val="24"/>
          <w:u w:val="single"/>
        </w:rPr>
        <w:t>statement</w:t>
      </w:r>
      <w:r w:rsidRPr="002C3945">
        <w:rPr>
          <w:b/>
          <w:bCs/>
          <w:sz w:val="24"/>
          <w:szCs w:val="24"/>
        </w:rPr>
        <w:t>.</w:t>
      </w:r>
    </w:p>
    <w:p w14:paraId="76B9307F" w14:textId="77777777" w:rsidR="004F26E9" w:rsidRPr="002C3945" w:rsidRDefault="004F26E9" w:rsidP="003A3C28">
      <w:pPr>
        <w:rPr>
          <w:sz w:val="24"/>
          <w:szCs w:val="24"/>
        </w:rPr>
      </w:pPr>
    </w:p>
    <w:p w14:paraId="39866CCD" w14:textId="77777777" w:rsidR="004F26E9" w:rsidRPr="002C3945" w:rsidRDefault="008F6986" w:rsidP="003A3C28">
      <w:pPr>
        <w:pStyle w:val="BodyText"/>
        <w:spacing w:before="69"/>
        <w:ind w:left="0"/>
      </w:pPr>
      <w:r w:rsidRPr="002C3945">
        <w:t>Not Applicable.</w:t>
      </w:r>
    </w:p>
    <w:p w14:paraId="7508C744" w14:textId="77777777" w:rsidR="003A3C28" w:rsidRPr="002C3945" w:rsidRDefault="003A3C28" w:rsidP="003A3C28">
      <w:pPr>
        <w:pStyle w:val="BodyText"/>
        <w:spacing w:before="69"/>
        <w:ind w:left="0"/>
      </w:pPr>
    </w:p>
    <w:p w14:paraId="39E4B7F7" w14:textId="77777777" w:rsidR="004F26E9" w:rsidRPr="002C3945" w:rsidRDefault="004F26E9" w:rsidP="003A3C28">
      <w:pPr>
        <w:rPr>
          <w:sz w:val="24"/>
          <w:szCs w:val="24"/>
        </w:rPr>
      </w:pPr>
      <w:r w:rsidRPr="002C3945">
        <w:rPr>
          <w:b/>
          <w:bCs/>
          <w:sz w:val="24"/>
          <w:szCs w:val="24"/>
        </w:rPr>
        <w:t>B.  COLLECTIONS OF INFORMATION EMPLOYING STATISTICAL METHODS</w:t>
      </w:r>
    </w:p>
    <w:p w14:paraId="1672502E" w14:textId="77777777" w:rsidR="004F26E9" w:rsidRPr="002C3945" w:rsidRDefault="004F26E9" w:rsidP="003A3C28">
      <w:pPr>
        <w:rPr>
          <w:sz w:val="24"/>
          <w:szCs w:val="24"/>
        </w:rPr>
      </w:pPr>
    </w:p>
    <w:p w14:paraId="3A7AB932" w14:textId="77777777" w:rsidR="004F26E9" w:rsidRPr="002C3945" w:rsidRDefault="008F6986" w:rsidP="003A3C28">
      <w:pPr>
        <w:pStyle w:val="BodyText"/>
        <w:ind w:left="0"/>
      </w:pPr>
      <w:r w:rsidRPr="002C3945">
        <w:t>This collection does not employ statistical methods.</w:t>
      </w:r>
    </w:p>
    <w:sectPr w:rsidR="004F26E9" w:rsidRPr="002C394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5FB28" w14:textId="77777777" w:rsidR="006F6AD3" w:rsidRDefault="006F6AD3">
      <w:r>
        <w:separator/>
      </w:r>
    </w:p>
  </w:endnote>
  <w:endnote w:type="continuationSeparator" w:id="0">
    <w:p w14:paraId="0DE32A34" w14:textId="77777777" w:rsidR="006F6AD3" w:rsidRDefault="006F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9EE5" w14:textId="24DB2C71"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F3F1A">
      <w:rPr>
        <w:rStyle w:val="PageNumber"/>
        <w:noProof/>
        <w:sz w:val="24"/>
        <w:szCs w:val="24"/>
      </w:rPr>
      <w:t>1</w:t>
    </w:r>
    <w:r>
      <w:rPr>
        <w:rStyle w:val="PageNumber"/>
        <w:sz w:val="24"/>
        <w:szCs w:val="24"/>
      </w:rPr>
      <w:fldChar w:fldCharType="end"/>
    </w:r>
  </w:p>
  <w:p w14:paraId="49559CB8"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5D4B2" w14:textId="77777777" w:rsidR="006F6AD3" w:rsidRDefault="006F6AD3">
      <w:r>
        <w:separator/>
      </w:r>
    </w:p>
  </w:footnote>
  <w:footnote w:type="continuationSeparator" w:id="0">
    <w:p w14:paraId="4E5BB893" w14:textId="77777777" w:rsidR="006F6AD3" w:rsidRDefault="006F6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0567"/>
    <w:rsid w:val="0002175C"/>
    <w:rsid w:val="00024FDD"/>
    <w:rsid w:val="00056637"/>
    <w:rsid w:val="00067866"/>
    <w:rsid w:val="00075423"/>
    <w:rsid w:val="00077C5C"/>
    <w:rsid w:val="000B125C"/>
    <w:rsid w:val="000E4376"/>
    <w:rsid w:val="000E7653"/>
    <w:rsid w:val="00102C51"/>
    <w:rsid w:val="00107F5D"/>
    <w:rsid w:val="001205B7"/>
    <w:rsid w:val="0013264D"/>
    <w:rsid w:val="00140642"/>
    <w:rsid w:val="00153556"/>
    <w:rsid w:val="001633F2"/>
    <w:rsid w:val="00170F02"/>
    <w:rsid w:val="001A68BE"/>
    <w:rsid w:val="001D2896"/>
    <w:rsid w:val="001E6B30"/>
    <w:rsid w:val="001E6F72"/>
    <w:rsid w:val="001F5459"/>
    <w:rsid w:val="00227151"/>
    <w:rsid w:val="00243DC7"/>
    <w:rsid w:val="002504DE"/>
    <w:rsid w:val="00261443"/>
    <w:rsid w:val="00267261"/>
    <w:rsid w:val="00271D7D"/>
    <w:rsid w:val="0027653E"/>
    <w:rsid w:val="002A7893"/>
    <w:rsid w:val="002B5D70"/>
    <w:rsid w:val="002C044C"/>
    <w:rsid w:val="002C3945"/>
    <w:rsid w:val="002D7429"/>
    <w:rsid w:val="00323EF4"/>
    <w:rsid w:val="00324732"/>
    <w:rsid w:val="00326A10"/>
    <w:rsid w:val="00370A03"/>
    <w:rsid w:val="003A2A5B"/>
    <w:rsid w:val="003A3C28"/>
    <w:rsid w:val="003D20BA"/>
    <w:rsid w:val="0042596D"/>
    <w:rsid w:val="0042796E"/>
    <w:rsid w:val="004C4132"/>
    <w:rsid w:val="004F26E9"/>
    <w:rsid w:val="00523269"/>
    <w:rsid w:val="00527737"/>
    <w:rsid w:val="0053201E"/>
    <w:rsid w:val="00532DD5"/>
    <w:rsid w:val="00561900"/>
    <w:rsid w:val="00561BA2"/>
    <w:rsid w:val="005750C6"/>
    <w:rsid w:val="0057628C"/>
    <w:rsid w:val="0059033C"/>
    <w:rsid w:val="005C7FDF"/>
    <w:rsid w:val="005E0A73"/>
    <w:rsid w:val="005E1957"/>
    <w:rsid w:val="005E459A"/>
    <w:rsid w:val="005F7B4F"/>
    <w:rsid w:val="00604784"/>
    <w:rsid w:val="00606B3C"/>
    <w:rsid w:val="00611D5D"/>
    <w:rsid w:val="00614A2B"/>
    <w:rsid w:val="00616E2E"/>
    <w:rsid w:val="00640874"/>
    <w:rsid w:val="00646671"/>
    <w:rsid w:val="006C483B"/>
    <w:rsid w:val="006C59B1"/>
    <w:rsid w:val="006F3E89"/>
    <w:rsid w:val="006F6AD3"/>
    <w:rsid w:val="00710CED"/>
    <w:rsid w:val="00725C5C"/>
    <w:rsid w:val="00747426"/>
    <w:rsid w:val="007476AD"/>
    <w:rsid w:val="007862EA"/>
    <w:rsid w:val="007919BF"/>
    <w:rsid w:val="00794E7F"/>
    <w:rsid w:val="007C3833"/>
    <w:rsid w:val="007C704E"/>
    <w:rsid w:val="00815542"/>
    <w:rsid w:val="00816AE3"/>
    <w:rsid w:val="008361F9"/>
    <w:rsid w:val="00845D4A"/>
    <w:rsid w:val="008467B9"/>
    <w:rsid w:val="008517E5"/>
    <w:rsid w:val="00854E7B"/>
    <w:rsid w:val="00896B4C"/>
    <w:rsid w:val="008A10B2"/>
    <w:rsid w:val="008A6379"/>
    <w:rsid w:val="008B68F5"/>
    <w:rsid w:val="008C7E6D"/>
    <w:rsid w:val="008E0C69"/>
    <w:rsid w:val="008E3027"/>
    <w:rsid w:val="008F6986"/>
    <w:rsid w:val="00917F6F"/>
    <w:rsid w:val="00983804"/>
    <w:rsid w:val="009A38B8"/>
    <w:rsid w:val="009F3255"/>
    <w:rsid w:val="00A248DD"/>
    <w:rsid w:val="00A52249"/>
    <w:rsid w:val="00A61646"/>
    <w:rsid w:val="00A73524"/>
    <w:rsid w:val="00A738EC"/>
    <w:rsid w:val="00AB3BCC"/>
    <w:rsid w:val="00AB6AC2"/>
    <w:rsid w:val="00AB6C61"/>
    <w:rsid w:val="00AF3F1A"/>
    <w:rsid w:val="00B43AAC"/>
    <w:rsid w:val="00B502E8"/>
    <w:rsid w:val="00B6270C"/>
    <w:rsid w:val="00B71E51"/>
    <w:rsid w:val="00BC185D"/>
    <w:rsid w:val="00BF6FF2"/>
    <w:rsid w:val="00C00F37"/>
    <w:rsid w:val="00C31C1E"/>
    <w:rsid w:val="00C63ABA"/>
    <w:rsid w:val="00C653CC"/>
    <w:rsid w:val="00CD00CA"/>
    <w:rsid w:val="00CD780F"/>
    <w:rsid w:val="00CE1E61"/>
    <w:rsid w:val="00D0218D"/>
    <w:rsid w:val="00D1394F"/>
    <w:rsid w:val="00D4799C"/>
    <w:rsid w:val="00D677B3"/>
    <w:rsid w:val="00D97081"/>
    <w:rsid w:val="00D97C9B"/>
    <w:rsid w:val="00DA693F"/>
    <w:rsid w:val="00DF7976"/>
    <w:rsid w:val="00E13CCC"/>
    <w:rsid w:val="00E166E6"/>
    <w:rsid w:val="00E3216C"/>
    <w:rsid w:val="00E665A6"/>
    <w:rsid w:val="00E82D36"/>
    <w:rsid w:val="00E8530F"/>
    <w:rsid w:val="00EB0AD2"/>
    <w:rsid w:val="00EB6E54"/>
    <w:rsid w:val="00ED42A0"/>
    <w:rsid w:val="00F06ACF"/>
    <w:rsid w:val="00F16BFA"/>
    <w:rsid w:val="00F643D5"/>
    <w:rsid w:val="00F65420"/>
    <w:rsid w:val="00F873D4"/>
    <w:rsid w:val="00F96192"/>
    <w:rsid w:val="00FB00EA"/>
    <w:rsid w:val="00FB1339"/>
    <w:rsid w:val="00FC1686"/>
    <w:rsid w:val="00FE1F7C"/>
    <w:rsid w:val="00FE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6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42796E"/>
    <w:pPr>
      <w:autoSpaceDE/>
      <w:autoSpaceDN/>
      <w:adjustRightInd/>
      <w:ind w:left="12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1"/>
    <w:qFormat/>
    <w:rsid w:val="00D97081"/>
    <w:pPr>
      <w:autoSpaceDE/>
      <w:autoSpaceDN/>
      <w:adjustRightInd/>
      <w:ind w:left="100"/>
    </w:pPr>
    <w:rPr>
      <w:sz w:val="24"/>
      <w:szCs w:val="24"/>
    </w:rPr>
  </w:style>
  <w:style w:type="character" w:customStyle="1" w:styleId="BodyTextChar">
    <w:name w:val="Body Text Char"/>
    <w:link w:val="BodyText"/>
    <w:uiPriority w:val="1"/>
    <w:rsid w:val="00D97081"/>
    <w:rPr>
      <w:sz w:val="24"/>
      <w:szCs w:val="24"/>
    </w:rPr>
  </w:style>
  <w:style w:type="character" w:styleId="Hyperlink">
    <w:name w:val="Hyperlink"/>
    <w:rsid w:val="008E3027"/>
    <w:rPr>
      <w:color w:val="0000FF"/>
      <w:u w:val="single"/>
    </w:rPr>
  </w:style>
  <w:style w:type="character" w:customStyle="1" w:styleId="Heading1Char">
    <w:name w:val="Heading 1 Char"/>
    <w:link w:val="Heading1"/>
    <w:uiPriority w:val="1"/>
    <w:rsid w:val="0042796E"/>
    <w:rPr>
      <w:b/>
      <w:bCs/>
      <w:sz w:val="24"/>
      <w:szCs w:val="24"/>
      <w:u w:val="single"/>
    </w:rPr>
  </w:style>
  <w:style w:type="character" w:styleId="Emphasis">
    <w:name w:val="Emphasis"/>
    <w:qFormat/>
    <w:rsid w:val="001D2896"/>
    <w:rPr>
      <w:i/>
      <w:iCs/>
    </w:rPr>
  </w:style>
  <w:style w:type="character" w:styleId="CommentReference">
    <w:name w:val="annotation reference"/>
    <w:rsid w:val="00C31C1E"/>
    <w:rPr>
      <w:sz w:val="16"/>
      <w:szCs w:val="16"/>
    </w:rPr>
  </w:style>
  <w:style w:type="paragraph" w:styleId="CommentText">
    <w:name w:val="annotation text"/>
    <w:basedOn w:val="Normal"/>
    <w:link w:val="CommentTextChar"/>
    <w:rsid w:val="00C31C1E"/>
  </w:style>
  <w:style w:type="character" w:customStyle="1" w:styleId="CommentTextChar">
    <w:name w:val="Comment Text Char"/>
    <w:basedOn w:val="DefaultParagraphFont"/>
    <w:link w:val="CommentText"/>
    <w:rsid w:val="00C31C1E"/>
  </w:style>
  <w:style w:type="paragraph" w:styleId="CommentSubject">
    <w:name w:val="annotation subject"/>
    <w:basedOn w:val="CommentText"/>
    <w:next w:val="CommentText"/>
    <w:link w:val="CommentSubjectChar"/>
    <w:rsid w:val="00C31C1E"/>
    <w:rPr>
      <w:b/>
      <w:bCs/>
    </w:rPr>
  </w:style>
  <w:style w:type="character" w:customStyle="1" w:styleId="CommentSubjectChar">
    <w:name w:val="Comment Subject Char"/>
    <w:link w:val="CommentSubject"/>
    <w:rsid w:val="00C31C1E"/>
    <w:rPr>
      <w:b/>
      <w:bCs/>
    </w:rPr>
  </w:style>
  <w:style w:type="paragraph" w:styleId="Revision">
    <w:name w:val="Revision"/>
    <w:hidden/>
    <w:uiPriority w:val="99"/>
    <w:semiHidden/>
    <w:rsid w:val="00C31C1E"/>
  </w:style>
  <w:style w:type="paragraph" w:styleId="BalloonText">
    <w:name w:val="Balloon Text"/>
    <w:basedOn w:val="Normal"/>
    <w:link w:val="BalloonTextChar"/>
    <w:rsid w:val="00C31C1E"/>
    <w:rPr>
      <w:rFonts w:ascii="Tahoma" w:hAnsi="Tahoma" w:cs="Tahoma"/>
      <w:sz w:val="16"/>
      <w:szCs w:val="16"/>
    </w:rPr>
  </w:style>
  <w:style w:type="character" w:customStyle="1" w:styleId="BalloonTextChar">
    <w:name w:val="Balloon Text Char"/>
    <w:link w:val="BalloonText"/>
    <w:rsid w:val="00C31C1E"/>
    <w:rPr>
      <w:rFonts w:ascii="Tahoma" w:hAnsi="Tahoma" w:cs="Tahoma"/>
      <w:sz w:val="16"/>
      <w:szCs w:val="16"/>
    </w:rPr>
  </w:style>
  <w:style w:type="character" w:styleId="FollowedHyperlink">
    <w:name w:val="FollowedHyperlink"/>
    <w:rsid w:val="000E437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42796E"/>
    <w:pPr>
      <w:autoSpaceDE/>
      <w:autoSpaceDN/>
      <w:adjustRightInd/>
      <w:ind w:left="12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1"/>
    <w:qFormat/>
    <w:rsid w:val="00D97081"/>
    <w:pPr>
      <w:autoSpaceDE/>
      <w:autoSpaceDN/>
      <w:adjustRightInd/>
      <w:ind w:left="100"/>
    </w:pPr>
    <w:rPr>
      <w:sz w:val="24"/>
      <w:szCs w:val="24"/>
    </w:rPr>
  </w:style>
  <w:style w:type="character" w:customStyle="1" w:styleId="BodyTextChar">
    <w:name w:val="Body Text Char"/>
    <w:link w:val="BodyText"/>
    <w:uiPriority w:val="1"/>
    <w:rsid w:val="00D97081"/>
    <w:rPr>
      <w:sz w:val="24"/>
      <w:szCs w:val="24"/>
    </w:rPr>
  </w:style>
  <w:style w:type="character" w:styleId="Hyperlink">
    <w:name w:val="Hyperlink"/>
    <w:rsid w:val="008E3027"/>
    <w:rPr>
      <w:color w:val="0000FF"/>
      <w:u w:val="single"/>
    </w:rPr>
  </w:style>
  <w:style w:type="character" w:customStyle="1" w:styleId="Heading1Char">
    <w:name w:val="Heading 1 Char"/>
    <w:link w:val="Heading1"/>
    <w:uiPriority w:val="1"/>
    <w:rsid w:val="0042796E"/>
    <w:rPr>
      <w:b/>
      <w:bCs/>
      <w:sz w:val="24"/>
      <w:szCs w:val="24"/>
      <w:u w:val="single"/>
    </w:rPr>
  </w:style>
  <w:style w:type="character" w:styleId="Emphasis">
    <w:name w:val="Emphasis"/>
    <w:qFormat/>
    <w:rsid w:val="001D2896"/>
    <w:rPr>
      <w:i/>
      <w:iCs/>
    </w:rPr>
  </w:style>
  <w:style w:type="character" w:styleId="CommentReference">
    <w:name w:val="annotation reference"/>
    <w:rsid w:val="00C31C1E"/>
    <w:rPr>
      <w:sz w:val="16"/>
      <w:szCs w:val="16"/>
    </w:rPr>
  </w:style>
  <w:style w:type="paragraph" w:styleId="CommentText">
    <w:name w:val="annotation text"/>
    <w:basedOn w:val="Normal"/>
    <w:link w:val="CommentTextChar"/>
    <w:rsid w:val="00C31C1E"/>
  </w:style>
  <w:style w:type="character" w:customStyle="1" w:styleId="CommentTextChar">
    <w:name w:val="Comment Text Char"/>
    <w:basedOn w:val="DefaultParagraphFont"/>
    <w:link w:val="CommentText"/>
    <w:rsid w:val="00C31C1E"/>
  </w:style>
  <w:style w:type="paragraph" w:styleId="CommentSubject">
    <w:name w:val="annotation subject"/>
    <w:basedOn w:val="CommentText"/>
    <w:next w:val="CommentText"/>
    <w:link w:val="CommentSubjectChar"/>
    <w:rsid w:val="00C31C1E"/>
    <w:rPr>
      <w:b/>
      <w:bCs/>
    </w:rPr>
  </w:style>
  <w:style w:type="character" w:customStyle="1" w:styleId="CommentSubjectChar">
    <w:name w:val="Comment Subject Char"/>
    <w:link w:val="CommentSubject"/>
    <w:rsid w:val="00C31C1E"/>
    <w:rPr>
      <w:b/>
      <w:bCs/>
    </w:rPr>
  </w:style>
  <w:style w:type="paragraph" w:styleId="Revision">
    <w:name w:val="Revision"/>
    <w:hidden/>
    <w:uiPriority w:val="99"/>
    <w:semiHidden/>
    <w:rsid w:val="00C31C1E"/>
  </w:style>
  <w:style w:type="paragraph" w:styleId="BalloonText">
    <w:name w:val="Balloon Text"/>
    <w:basedOn w:val="Normal"/>
    <w:link w:val="BalloonTextChar"/>
    <w:rsid w:val="00C31C1E"/>
    <w:rPr>
      <w:rFonts w:ascii="Tahoma" w:hAnsi="Tahoma" w:cs="Tahoma"/>
      <w:sz w:val="16"/>
      <w:szCs w:val="16"/>
    </w:rPr>
  </w:style>
  <w:style w:type="character" w:customStyle="1" w:styleId="BalloonTextChar">
    <w:name w:val="Balloon Text Char"/>
    <w:link w:val="BalloonText"/>
    <w:rsid w:val="00C31C1E"/>
    <w:rPr>
      <w:rFonts w:ascii="Tahoma" w:hAnsi="Tahoma" w:cs="Tahoma"/>
      <w:sz w:val="16"/>
      <w:szCs w:val="16"/>
    </w:rPr>
  </w:style>
  <w:style w:type="character" w:styleId="FollowedHyperlink">
    <w:name w:val="FollowedHyperlink"/>
    <w:rsid w:val="000E43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sheries.noaa.gov/dolphin-saf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w.cornell.edu/uscode/text/16/1385"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hyperlink" Target="https://www.fisheries.noaa.gov/dolphin-sa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16/1385" TargetMode="Externa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nmfs.noaa.gov/pr/laws/mmpa/tex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fs.noaa.gov/pr/laws/mmpa/text.htm" TargetMode="External"/><Relationship Id="rId14" Type="http://schemas.openxmlformats.org/officeDocument/2006/relationships/hyperlink" Target="https://www.fisheries.noaa.gov/dolphin-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302A-9032-4163-9AFC-0064580F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14392</CharactersWithSpaces>
  <SharedDoc>false</SharedDoc>
  <HLinks>
    <vt:vector size="54" baseType="variant">
      <vt:variant>
        <vt:i4>7798847</vt:i4>
      </vt:variant>
      <vt:variant>
        <vt:i4>28</vt:i4>
      </vt:variant>
      <vt:variant>
        <vt:i4>0</vt:i4>
      </vt:variant>
      <vt:variant>
        <vt:i4>5</vt:i4>
      </vt:variant>
      <vt:variant>
        <vt:lpwstr>http://www.corporateservices.noaa.gov/ames/administrative_orders/chapter_216/216-100.html</vt:lpwstr>
      </vt:variant>
      <vt:variant>
        <vt:lpwstr/>
      </vt:variant>
      <vt:variant>
        <vt:i4>7602289</vt:i4>
      </vt:variant>
      <vt:variant>
        <vt:i4>25</vt:i4>
      </vt:variant>
      <vt:variant>
        <vt:i4>0</vt:i4>
      </vt:variant>
      <vt:variant>
        <vt:i4>5</vt:i4>
      </vt:variant>
      <vt:variant>
        <vt:lpwstr>https://www.fisheries.noaa.gov/dolphin-safe</vt:lpwstr>
      </vt:variant>
      <vt:variant>
        <vt:lpwstr/>
      </vt:variant>
      <vt:variant>
        <vt:i4>852034</vt:i4>
      </vt:variant>
      <vt:variant>
        <vt:i4>22</vt:i4>
      </vt:variant>
      <vt:variant>
        <vt:i4>0</vt:i4>
      </vt:variant>
      <vt:variant>
        <vt:i4>5</vt:i4>
      </vt:variant>
      <vt:variant>
        <vt:lpwstr>http://www.fws.gov/informationquality/section515.html</vt:lpwstr>
      </vt:variant>
      <vt:variant>
        <vt:lpwstr/>
      </vt:variant>
      <vt:variant>
        <vt:i4>7602289</vt:i4>
      </vt:variant>
      <vt:variant>
        <vt:i4>19</vt:i4>
      </vt:variant>
      <vt:variant>
        <vt:i4>0</vt:i4>
      </vt:variant>
      <vt:variant>
        <vt:i4>5</vt:i4>
      </vt:variant>
      <vt:variant>
        <vt:lpwstr>https://www.fisheries.noaa.gov/dolphin-safe</vt:lpwstr>
      </vt:variant>
      <vt:variant>
        <vt:lpwstr/>
      </vt:variant>
      <vt:variant>
        <vt:i4>7602289</vt:i4>
      </vt:variant>
      <vt:variant>
        <vt:i4>16</vt:i4>
      </vt:variant>
      <vt:variant>
        <vt:i4>0</vt:i4>
      </vt:variant>
      <vt:variant>
        <vt:i4>5</vt:i4>
      </vt:variant>
      <vt:variant>
        <vt:lpwstr>https://www.fisheries.noaa.gov/dolphin-safe</vt:lpwstr>
      </vt:variant>
      <vt:variant>
        <vt:lpwstr/>
      </vt:variant>
      <vt:variant>
        <vt:i4>7078002</vt:i4>
      </vt:variant>
      <vt:variant>
        <vt:i4>9</vt:i4>
      </vt:variant>
      <vt:variant>
        <vt:i4>0</vt:i4>
      </vt:variant>
      <vt:variant>
        <vt:i4>5</vt:i4>
      </vt:variant>
      <vt:variant>
        <vt:lpwstr>http://www.law.cornell.edu/uscode/text/16/1385</vt:lpwstr>
      </vt:variant>
      <vt:variant>
        <vt:lpwstr/>
      </vt:variant>
      <vt:variant>
        <vt:i4>7078002</vt:i4>
      </vt:variant>
      <vt:variant>
        <vt:i4>6</vt:i4>
      </vt:variant>
      <vt:variant>
        <vt:i4>0</vt:i4>
      </vt:variant>
      <vt:variant>
        <vt:i4>5</vt:i4>
      </vt:variant>
      <vt:variant>
        <vt:lpwstr>http://www.law.cornell.edu/uscode/text/16/1385</vt:lpwstr>
      </vt:variant>
      <vt:variant>
        <vt:lpwstr/>
      </vt:variant>
      <vt:variant>
        <vt:i4>7929907</vt:i4>
      </vt:variant>
      <vt:variant>
        <vt:i4>3</vt:i4>
      </vt:variant>
      <vt:variant>
        <vt:i4>0</vt:i4>
      </vt:variant>
      <vt:variant>
        <vt:i4>5</vt:i4>
      </vt:variant>
      <vt:variant>
        <vt:lpwstr>http://www.nmfs.noaa.gov/pr/laws/mmpa/text.htm</vt:lpwstr>
      </vt:variant>
      <vt:variant>
        <vt:lpwstr/>
      </vt:variant>
      <vt:variant>
        <vt:i4>7929907</vt:i4>
      </vt:variant>
      <vt:variant>
        <vt:i4>0</vt:i4>
      </vt:variant>
      <vt:variant>
        <vt:i4>0</vt:i4>
      </vt:variant>
      <vt:variant>
        <vt:i4>5</vt:i4>
      </vt:variant>
      <vt:variant>
        <vt:lpwstr>http://www.nmfs.noaa.gov/pr/laws/mmpa/text.htm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2001-03-13T13:05:00Z</cp:lastPrinted>
  <dcterms:created xsi:type="dcterms:W3CDTF">2019-05-21T18:40:00Z</dcterms:created>
  <dcterms:modified xsi:type="dcterms:W3CDTF">2019-05-21T18:40:00Z</dcterms:modified>
</cp:coreProperties>
</file>