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E6388A" w:rsidP="00E6388A" w:rsidRDefault="00E6388A">
      <w:pPr>
        <w:jc w:val="center"/>
        <w:rPr>
          <w:b/>
          <w:sz w:val="24"/>
          <w:szCs w:val="24"/>
        </w:rPr>
      </w:pPr>
      <w:r w:rsidRPr="00B701E8">
        <w:rPr>
          <w:b/>
          <w:sz w:val="24"/>
          <w:szCs w:val="24"/>
        </w:rPr>
        <w:t>SUPPORTING STATEMENT</w:t>
      </w:r>
    </w:p>
    <w:p w:rsidRPr="00B701E8" w:rsidR="00E6388A" w:rsidP="00E6388A" w:rsidRDefault="00E6388A">
      <w:pPr>
        <w:jc w:val="center"/>
        <w:rPr>
          <w:b/>
          <w:sz w:val="24"/>
          <w:szCs w:val="24"/>
        </w:rPr>
      </w:pPr>
      <w:r w:rsidRPr="00B701E8">
        <w:rPr>
          <w:b/>
          <w:sz w:val="24"/>
          <w:szCs w:val="24"/>
        </w:rPr>
        <w:t>U.S. Department of Commerce</w:t>
      </w:r>
    </w:p>
    <w:p w:rsidRPr="00B701E8" w:rsidR="00E6388A" w:rsidP="00E6388A" w:rsidRDefault="00E6388A">
      <w:pPr>
        <w:jc w:val="center"/>
        <w:rPr>
          <w:b/>
          <w:sz w:val="24"/>
          <w:szCs w:val="24"/>
        </w:rPr>
      </w:pPr>
      <w:r w:rsidRPr="00B701E8">
        <w:rPr>
          <w:b/>
          <w:sz w:val="24"/>
          <w:szCs w:val="24"/>
        </w:rPr>
        <w:t>National Oceanic &amp; Atmospheric Administration</w:t>
      </w:r>
    </w:p>
    <w:p w:rsidRPr="00B709C5" w:rsidR="00E6388A" w:rsidP="00E6388A" w:rsidRDefault="00E6388A">
      <w:pPr>
        <w:tabs>
          <w:tab w:val="left" w:pos="9360"/>
        </w:tabs>
        <w:jc w:val="center"/>
        <w:rPr>
          <w:b/>
          <w:color w:val="000000" w:themeColor="text1"/>
          <w:sz w:val="24"/>
          <w:szCs w:val="24"/>
        </w:rPr>
      </w:pPr>
      <w:r w:rsidRPr="00B709C5">
        <w:rPr>
          <w:b/>
          <w:color w:val="000000" w:themeColor="text1"/>
          <w:sz w:val="24"/>
          <w:szCs w:val="24"/>
        </w:rPr>
        <w:t>Economic Analysis of Shoreline Treatment Options for Coastal New Hampshire</w:t>
      </w:r>
    </w:p>
    <w:p w:rsidRPr="00B701E8" w:rsidR="00E6388A" w:rsidP="00E6388A" w:rsidRDefault="00E6388A">
      <w:pPr>
        <w:jc w:val="center"/>
        <w:rPr>
          <w:b/>
          <w:sz w:val="24"/>
          <w:szCs w:val="24"/>
        </w:rPr>
      </w:pPr>
      <w:r w:rsidRPr="00B701E8">
        <w:rPr>
          <w:b/>
          <w:sz w:val="24"/>
          <w:szCs w:val="24"/>
        </w:rPr>
        <w:t>OMB Control No. 0648-xxxx</w:t>
      </w:r>
    </w:p>
    <w:p w:rsidR="00E6388A" w:rsidP="00E6388A" w:rsidRDefault="00E6388A">
      <w:pPr>
        <w:pStyle w:val="Heading1"/>
        <w:tabs>
          <w:tab w:val="left" w:pos="9360"/>
        </w:tabs>
        <w:spacing w:before="0" w:after="120"/>
        <w:jc w:val="both"/>
        <w:rPr>
          <w:rFonts w:asciiTheme="majorHAnsi" w:hAnsiTheme="majorHAnsi" w:cstheme="majorHAnsi"/>
          <w:b/>
          <w:color w:val="000000" w:themeColor="text1"/>
          <w:sz w:val="22"/>
          <w:szCs w:val="22"/>
        </w:rPr>
      </w:pPr>
    </w:p>
    <w:p w:rsidRPr="00751F88" w:rsidR="00E6388A" w:rsidP="00E6388A" w:rsidRDefault="00E6388A">
      <w:pPr>
        <w:pStyle w:val="Heading1"/>
        <w:tabs>
          <w:tab w:val="left" w:pos="9360"/>
        </w:tabs>
        <w:spacing w:before="0" w:after="12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B. COLLECTIONS OF INFORMATION EMPLOYING STATISTICAL METHODS</w:t>
      </w:r>
    </w:p>
    <w:p w:rsidRPr="00751F88" w:rsidR="00E6388A" w:rsidP="00E6388A" w:rsidRDefault="00E6388A">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 xml:space="preserve">1. Describe (including a numerical estimate) the potential respondent universe and any sampling or other respondent selection method to </w:t>
      </w:r>
      <w:proofErr w:type="gramStart"/>
      <w:r w:rsidRPr="00751F88">
        <w:rPr>
          <w:rFonts w:asciiTheme="majorHAnsi" w:hAnsiTheme="majorHAnsi" w:cstheme="majorHAnsi"/>
          <w:sz w:val="22"/>
          <w:szCs w:val="22"/>
        </w:rPr>
        <w:t>be used</w:t>
      </w:r>
      <w:proofErr w:type="gramEnd"/>
      <w:r w:rsidRPr="00751F88">
        <w:rPr>
          <w:rFonts w:asciiTheme="majorHAnsi" w:hAnsiTheme="majorHAnsi" w:cstheme="majorHAnsi"/>
          <w:sz w:val="22"/>
          <w:szCs w:val="22"/>
        </w:rPr>
        <w:t xml:space="preserve">. Data on the number of entities (e.g. establishments, State and local governmental units, households, or persons) in the universe and the corresponding sample are to </w:t>
      </w:r>
      <w:proofErr w:type="gramStart"/>
      <w:r w:rsidRPr="00751F88">
        <w:rPr>
          <w:rFonts w:asciiTheme="majorHAnsi" w:hAnsiTheme="majorHAnsi" w:cstheme="majorHAnsi"/>
          <w:sz w:val="22"/>
          <w:szCs w:val="22"/>
        </w:rPr>
        <w:t>be provided</w:t>
      </w:r>
      <w:proofErr w:type="gramEnd"/>
      <w:r w:rsidRPr="00751F88">
        <w:rPr>
          <w:rFonts w:asciiTheme="majorHAnsi" w:hAnsiTheme="majorHAnsi" w:cstheme="majorHAnsi"/>
          <w:sz w:val="22"/>
          <w:szCs w:val="22"/>
        </w:rPr>
        <w:t xml:space="preserve"> in tabular form. The tabulation must also include expected response rates for the collection as a whole. If the collection </w:t>
      </w:r>
      <w:proofErr w:type="gramStart"/>
      <w:r w:rsidRPr="00751F88">
        <w:rPr>
          <w:rFonts w:asciiTheme="majorHAnsi" w:hAnsiTheme="majorHAnsi" w:cstheme="majorHAnsi"/>
          <w:sz w:val="22"/>
          <w:szCs w:val="22"/>
        </w:rPr>
        <w:t>has been conducted</w:t>
      </w:r>
      <w:proofErr w:type="gramEnd"/>
      <w:r w:rsidRPr="00751F88">
        <w:rPr>
          <w:rFonts w:asciiTheme="majorHAnsi" w:hAnsiTheme="majorHAnsi" w:cstheme="majorHAnsi"/>
          <w:sz w:val="22"/>
          <w:szCs w:val="22"/>
        </w:rPr>
        <w:t xml:space="preserve"> before, provide the actual response rate achieved.</w:t>
      </w:r>
    </w:p>
    <w:p w:rsidRPr="00751F88" w:rsidR="00E6388A" w:rsidP="00E6388A" w:rsidRDefault="00E6388A">
      <w:pPr>
        <w:pStyle w:val="Style1"/>
        <w:numPr>
          <w:ilvl w:val="0"/>
          <w:numId w:val="3"/>
        </w:numPr>
        <w:tabs>
          <w:tab w:val="left" w:pos="9360"/>
        </w:tabs>
        <w:spacing w:before="0" w:after="120"/>
        <w:rPr>
          <w:rFonts w:cstheme="majorHAnsi"/>
          <w:color w:val="000000" w:themeColor="text1"/>
        </w:rPr>
      </w:pPr>
      <w:r w:rsidRPr="00751F88">
        <w:rPr>
          <w:rFonts w:cstheme="majorHAnsi"/>
          <w:color w:val="000000" w:themeColor="text1"/>
        </w:rPr>
        <w:t>Potential Respondent Universe and Response Rate</w:t>
      </w:r>
    </w:p>
    <w:p w:rsidRPr="000717DE" w:rsidR="00E6388A" w:rsidP="00E6388A" w:rsidRDefault="00E6388A">
      <w:pPr>
        <w:pStyle w:val="BodyText"/>
        <w:spacing w:before="119"/>
        <w:jc w:val="both"/>
        <w:rPr>
          <w:rFonts w:asciiTheme="majorHAnsi" w:hAnsiTheme="majorHAnsi" w:cstheme="majorHAnsi"/>
          <w:sz w:val="22"/>
          <w:szCs w:val="22"/>
        </w:rPr>
      </w:pPr>
      <w:r w:rsidRPr="000717DE">
        <w:rPr>
          <w:rFonts w:asciiTheme="majorHAnsi" w:hAnsiTheme="majorHAnsi" w:cstheme="majorHAnsi"/>
          <w:sz w:val="22"/>
          <w:szCs w:val="22"/>
        </w:rPr>
        <w:t>The potential respondent universe for this study includes residents aged 18 and over living in Census Block Groups located 1) in the two coastal counties in New Hampshire, 2) in Massachusetts within Census Block Groups bordering the Hampton-Seabrook Estuary, and 3) in Maine within Census Block Groups bordering the Piscataqua River. The sample will be stratified by households living in block groups bordering three water bodies of interest (Great Bay Estuary, Hampton-Seabrook Estuary, and Piscataqua River), as well as by residents of the 17 communities located in the coastal zone to enable subgroup analyses of interest.</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estimated total number of occupied households in the study region is 610,855 (US Census Bureau/American FactFinder, 2015a) and the estimated total population 18 years and over is 1,242,040 (US Census Bureau/American FactFinder, 2015b).</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In terms of response rate, as a part of the 2010 decennial census, the U.S. Census Bureau reported mail back participation rates ranging from 51% to 78% for New Hampshire counties (US Census Bureau, 2010). Recent studies conducted in the region on similar topics </w:t>
      </w:r>
      <w:proofErr w:type="gramStart"/>
      <w:r w:rsidRPr="00751F88">
        <w:rPr>
          <w:rFonts w:asciiTheme="majorHAnsi" w:hAnsiTheme="majorHAnsi" w:cstheme="majorHAnsi"/>
          <w:color w:val="000000" w:themeColor="text1"/>
          <w:sz w:val="22"/>
          <w:szCs w:val="22"/>
        </w:rPr>
        <w:t>being investigated</w:t>
      </w:r>
      <w:proofErr w:type="gramEnd"/>
      <w:r w:rsidRPr="00751F88">
        <w:rPr>
          <w:rFonts w:asciiTheme="majorHAnsi" w:hAnsiTheme="majorHAnsi" w:cstheme="majorHAnsi"/>
          <w:color w:val="000000" w:themeColor="text1"/>
          <w:sz w:val="22"/>
          <w:szCs w:val="22"/>
        </w:rPr>
        <w:t xml:space="preserve"> in the present study were examined to determine a reasonable response rate. </w:t>
      </w:r>
      <w:proofErr w:type="gramStart"/>
      <w:r w:rsidRPr="00751F88">
        <w:rPr>
          <w:rFonts w:asciiTheme="majorHAnsi" w:hAnsiTheme="majorHAnsi" w:cstheme="majorHAnsi"/>
          <w:color w:val="000000" w:themeColor="text1"/>
          <w:sz w:val="22"/>
          <w:szCs w:val="22"/>
        </w:rPr>
        <w:t xml:space="preserve">Johnston, </w:t>
      </w:r>
      <w:proofErr w:type="spellStart"/>
      <w:r w:rsidRPr="00751F88">
        <w:rPr>
          <w:rFonts w:asciiTheme="majorHAnsi" w:hAnsiTheme="majorHAnsi" w:cstheme="majorHAnsi"/>
          <w:color w:val="000000" w:themeColor="text1"/>
          <w:sz w:val="22"/>
          <w:szCs w:val="22"/>
        </w:rPr>
        <w:t>Feurt</w:t>
      </w:r>
      <w:proofErr w:type="spellEnd"/>
      <w:r w:rsidRPr="00751F88">
        <w:rPr>
          <w:rFonts w:asciiTheme="majorHAnsi" w:hAnsiTheme="majorHAnsi" w:cstheme="majorHAnsi"/>
          <w:color w:val="000000" w:themeColor="text1"/>
          <w:sz w:val="22"/>
          <w:szCs w:val="22"/>
        </w:rPr>
        <w:t>, and Holland (2015) reported a response rate of 32.4% on their mail back contingent choice survey of Maine watershed residents; Myers et al. (2010) and Edwards et al. (2011)</w:t>
      </w:r>
      <w:r w:rsidRPr="00751F88">
        <w:rPr>
          <w:rStyle w:val="FootnoteReference"/>
          <w:rFonts w:asciiTheme="majorHAnsi" w:hAnsiTheme="majorHAnsi" w:cstheme="majorHAnsi"/>
          <w:color w:val="000000" w:themeColor="text1"/>
          <w:sz w:val="22"/>
          <w:szCs w:val="22"/>
        </w:rPr>
        <w:t xml:space="preserve"> </w:t>
      </w:r>
      <w:r w:rsidRPr="00751F88">
        <w:rPr>
          <w:rFonts w:asciiTheme="majorHAnsi" w:hAnsiTheme="majorHAnsi" w:cstheme="majorHAnsi"/>
          <w:color w:val="000000" w:themeColor="text1"/>
          <w:sz w:val="22"/>
          <w:szCs w:val="22"/>
        </w:rPr>
        <w:t>reported a 65% response rate from an intercept survey in the Delaware Bay to estimate the economic value of birdwatching; and ERG (2016) reported a 51% response rate from an online survey of New York households to understand preferences and values for shoreline armoring versus living shorelines and a 54% response rate from an online survey of New Jersey households to understand values of salt marsh restoration at Forsyth National Wildlife Refuge.</w:t>
      </w:r>
      <w:proofErr w:type="gramEnd"/>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To better understand the social context of the issue in the region of interest, researchers talked with key partners to gather anecdotal information on the level of public knowledge, interest, and awareness of shoreline treatment options. Additionally, researchers attended a public workshop for local property owners interested in learning how to protect their property from coastal flooding.</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Based on the anecdotal information gathered, researchers anticipate heightened resident awareness and interest in the issue within the region, which may improve survey response rates. Given the response rates reported from mail back surveys in the study region achieved by Census, along with rates from topically comparable surveys in other similar areas, researchers plan for a response rate of approximately 25% plus an additional 10% from the incentive for a total response rate of 35%. </w:t>
      </w:r>
    </w:p>
    <w:p w:rsidRPr="00751F88" w:rsidR="00E6388A" w:rsidP="00E6388A" w:rsidRDefault="00E6388A">
      <w:pPr>
        <w:pStyle w:val="Style1"/>
        <w:numPr>
          <w:ilvl w:val="0"/>
          <w:numId w:val="3"/>
        </w:numPr>
        <w:tabs>
          <w:tab w:val="left" w:pos="9360"/>
        </w:tabs>
        <w:spacing w:before="0" w:after="120"/>
        <w:rPr>
          <w:rFonts w:cstheme="majorHAnsi"/>
          <w:color w:val="000000" w:themeColor="text1"/>
        </w:rPr>
      </w:pPr>
      <w:r w:rsidRPr="00751F88">
        <w:rPr>
          <w:rFonts w:cstheme="majorHAnsi"/>
          <w:color w:val="000000" w:themeColor="text1"/>
        </w:rPr>
        <w:t>Sampling and Respondent Selection Method</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pretest </w:t>
      </w:r>
      <w:proofErr w:type="gramStart"/>
      <w:r w:rsidRPr="00751F88">
        <w:rPr>
          <w:rFonts w:asciiTheme="majorHAnsi" w:hAnsiTheme="majorHAnsi" w:cstheme="majorHAnsi"/>
          <w:color w:val="000000" w:themeColor="text1"/>
          <w:sz w:val="22"/>
          <w:szCs w:val="22"/>
        </w:rPr>
        <w:t>will be conducted</w:t>
      </w:r>
      <w:proofErr w:type="gramEnd"/>
      <w:r w:rsidRPr="00751F88">
        <w:rPr>
          <w:rFonts w:asciiTheme="majorHAnsi" w:hAnsiTheme="majorHAnsi" w:cstheme="majorHAnsi"/>
          <w:color w:val="000000" w:themeColor="text1"/>
          <w:sz w:val="22"/>
          <w:szCs w:val="22"/>
        </w:rPr>
        <w:t xml:space="preserve"> on 450 individuals. We propose use of address-based sampling to select </w:t>
      </w:r>
      <w:r w:rsidRPr="00751F88">
        <w:rPr>
          <w:rFonts w:asciiTheme="majorHAnsi" w:hAnsiTheme="majorHAnsi" w:cstheme="majorHAnsi"/>
          <w:color w:val="000000" w:themeColor="text1"/>
          <w:sz w:val="22"/>
          <w:szCs w:val="22"/>
        </w:rPr>
        <w:lastRenderedPageBreak/>
        <w:t xml:space="preserve">residential households randomly within each of the strata. The vendor that </w:t>
      </w:r>
      <w:proofErr w:type="gramStart"/>
      <w:r w:rsidRPr="00751F88">
        <w:rPr>
          <w:rFonts w:asciiTheme="majorHAnsi" w:hAnsiTheme="majorHAnsi" w:cstheme="majorHAnsi"/>
          <w:color w:val="000000" w:themeColor="text1"/>
          <w:sz w:val="22"/>
          <w:szCs w:val="22"/>
        </w:rPr>
        <w:t>is contracted</w:t>
      </w:r>
      <w:proofErr w:type="gramEnd"/>
      <w:r w:rsidRPr="00751F88">
        <w:rPr>
          <w:rFonts w:asciiTheme="majorHAnsi" w:hAnsiTheme="majorHAnsi" w:cstheme="majorHAnsi"/>
          <w:color w:val="000000" w:themeColor="text1"/>
          <w:sz w:val="22"/>
          <w:szCs w:val="22"/>
        </w:rPr>
        <w:t xml:space="preserve"> to supply data will secure the address-based frame. </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Data </w:t>
      </w:r>
      <w:proofErr w:type="gramStart"/>
      <w:r w:rsidRPr="00751F88">
        <w:rPr>
          <w:rFonts w:asciiTheme="majorHAnsi" w:hAnsiTheme="majorHAnsi" w:cstheme="majorHAnsi"/>
          <w:color w:val="000000" w:themeColor="text1"/>
          <w:sz w:val="22"/>
          <w:szCs w:val="22"/>
        </w:rPr>
        <w:t>will be collected</w:t>
      </w:r>
      <w:proofErr w:type="gramEnd"/>
      <w:r w:rsidRPr="00751F88">
        <w:rPr>
          <w:rFonts w:asciiTheme="majorHAnsi" w:hAnsiTheme="majorHAnsi" w:cstheme="majorHAnsi"/>
          <w:color w:val="000000" w:themeColor="text1"/>
          <w:sz w:val="22"/>
          <w:szCs w:val="22"/>
        </w:rPr>
        <w:t xml:space="preserve"> using a two-stage stratified sampling design. The study region </w:t>
      </w:r>
      <w:proofErr w:type="gramStart"/>
      <w:r w:rsidRPr="00751F88">
        <w:rPr>
          <w:rFonts w:asciiTheme="majorHAnsi" w:hAnsiTheme="majorHAnsi" w:cstheme="majorHAnsi"/>
          <w:color w:val="000000" w:themeColor="text1"/>
          <w:sz w:val="22"/>
          <w:szCs w:val="22"/>
        </w:rPr>
        <w:t>will be stratified</w:t>
      </w:r>
      <w:proofErr w:type="gramEnd"/>
      <w:r w:rsidRPr="00751F88">
        <w:rPr>
          <w:rFonts w:asciiTheme="majorHAnsi" w:hAnsiTheme="majorHAnsi" w:cstheme="majorHAnsi"/>
          <w:color w:val="000000" w:themeColor="text1"/>
          <w:sz w:val="22"/>
          <w:szCs w:val="22"/>
        </w:rPr>
        <w:t xml:space="preserve"> geographically. Details of the strata </w:t>
      </w:r>
      <w:proofErr w:type="gramStart"/>
      <w:r w:rsidRPr="00751F88">
        <w:rPr>
          <w:rFonts w:asciiTheme="majorHAnsi" w:hAnsiTheme="majorHAnsi" w:cstheme="majorHAnsi"/>
          <w:color w:val="000000" w:themeColor="text1"/>
          <w:sz w:val="22"/>
          <w:szCs w:val="22"/>
        </w:rPr>
        <w:t>are explained</w:t>
      </w:r>
      <w:proofErr w:type="gramEnd"/>
      <w:r w:rsidRPr="00751F88">
        <w:rPr>
          <w:rFonts w:asciiTheme="majorHAnsi" w:hAnsiTheme="majorHAnsi" w:cstheme="majorHAnsi"/>
          <w:color w:val="000000" w:themeColor="text1"/>
          <w:sz w:val="22"/>
          <w:szCs w:val="22"/>
        </w:rPr>
        <w:t xml:space="preserve"> below. Within each stratum, we will be selecting households at random, and within each selected household, the individual with the next upcoming birthday who is aged 18 or older </w:t>
      </w:r>
      <w:proofErr w:type="gramStart"/>
      <w:r w:rsidRPr="00751F88">
        <w:rPr>
          <w:rFonts w:asciiTheme="majorHAnsi" w:hAnsiTheme="majorHAnsi" w:cstheme="majorHAnsi"/>
          <w:color w:val="000000" w:themeColor="text1"/>
          <w:sz w:val="22"/>
          <w:szCs w:val="22"/>
        </w:rPr>
        <w:t>will be selected</w:t>
      </w:r>
      <w:proofErr w:type="gramEnd"/>
      <w:r w:rsidRPr="00751F88">
        <w:rPr>
          <w:rFonts w:asciiTheme="majorHAnsi" w:hAnsiTheme="majorHAnsi" w:cstheme="majorHAnsi"/>
          <w:color w:val="000000" w:themeColor="text1"/>
          <w:sz w:val="22"/>
          <w:szCs w:val="22"/>
        </w:rPr>
        <w:t>. Therefore, the primary sampling unit (PSU) is the household, and the secondary sampling unit (SSU) consists of individuals selected within each household. The proposed strata will allow the researchers to examine the influence of geographic proximity on respondent opinions and values.</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strata are comprised of the following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_Ref532462835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Pr="005E42FD">
        <w:rPr>
          <w:rFonts w:asciiTheme="majorHAnsi" w:hAnsiTheme="majorHAnsi" w:cstheme="majorHAnsi"/>
          <w:color w:val="000000" w:themeColor="text1"/>
          <w:sz w:val="22"/>
          <w:szCs w:val="22"/>
        </w:rPr>
        <w:t xml:space="preserve">Figure </w:t>
      </w:r>
      <w:r w:rsidRPr="005E42FD">
        <w:rPr>
          <w:rFonts w:asciiTheme="majorHAnsi" w:hAnsiTheme="majorHAnsi" w:cstheme="majorHAnsi"/>
          <w:noProof/>
          <w:color w:val="000000" w:themeColor="text1"/>
          <w:sz w:val="22"/>
          <w:szCs w:val="22"/>
        </w:rPr>
        <w:t>1</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w:t>
      </w:r>
    </w:p>
    <w:p w:rsidRPr="00751F88" w:rsidR="00E6388A" w:rsidP="00E6388A" w:rsidRDefault="00E6388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Block groups bordering the Great Bay Estuary (bordering Great Bay)</w:t>
      </w:r>
    </w:p>
    <w:p w:rsidRPr="00751F88" w:rsidR="00E6388A" w:rsidP="00E6388A" w:rsidRDefault="00E6388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Block groups bordering the Hampton-Seabrook Estuary (bordering Hampton-Seabrook)</w:t>
      </w:r>
    </w:p>
    <w:p w:rsidRPr="00751F88" w:rsidR="00E6388A" w:rsidP="00E6388A" w:rsidRDefault="00E6388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Block groups bordering the Piscataqua River (bordering Piscataqua)</w:t>
      </w:r>
    </w:p>
    <w:p w:rsidRPr="00751F88" w:rsidR="00E6388A" w:rsidP="00E6388A" w:rsidRDefault="00E6388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Block groups within the 17 coastal zone communities (other Coastal NH)</w:t>
      </w:r>
    </w:p>
    <w:p w:rsidRPr="00751F88" w:rsidR="00E6388A" w:rsidP="00E6388A" w:rsidRDefault="00E6388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Block groups within the two coastal counties (coastal NH counties)</w:t>
      </w: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r w:rsidRPr="00751F88">
        <w:rPr>
          <w:rFonts w:asciiTheme="majorHAnsi" w:hAnsiTheme="majorHAnsi" w:cstheme="majorHAnsi"/>
          <w:b/>
          <w:noProof/>
          <w:color w:val="000000" w:themeColor="text1"/>
          <w:sz w:val="22"/>
          <w:szCs w:val="22"/>
        </w:rPr>
        <w:drawing>
          <wp:anchor distT="0" distB="0" distL="114300" distR="114300" simplePos="0" relativeHeight="251660288" behindDoc="1" locked="0" layoutInCell="1" allowOverlap="1" wp14:editId="7E6B8DEE" wp14:anchorId="6DA56DA0">
            <wp:simplePos x="0" y="0"/>
            <wp:positionH relativeFrom="column">
              <wp:posOffset>1188720</wp:posOffset>
            </wp:positionH>
            <wp:positionV relativeFrom="paragraph">
              <wp:posOffset>0</wp:posOffset>
            </wp:positionV>
            <wp:extent cx="3300730" cy="4572000"/>
            <wp:effectExtent l="0" t="0" r="0" b="0"/>
            <wp:wrapTight wrapText="bothSides">
              <wp:wrapPolygon edited="0">
                <wp:start x="0" y="0"/>
                <wp:lineTo x="0" y="21510"/>
                <wp:lineTo x="21442" y="21510"/>
                <wp:lineTo x="2144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00730" cy="4572000"/>
                    </a:xfrm>
                    <a:prstGeom prst="rect">
                      <a:avLst/>
                    </a:prstGeom>
                  </pic:spPr>
                </pic:pic>
              </a:graphicData>
            </a:graphic>
          </wp:anchor>
        </w:drawing>
      </w:r>
      <w:r w:rsidRPr="00751F88">
        <w:rPr>
          <w:rFonts w:asciiTheme="majorHAnsi" w:hAnsiTheme="majorHAnsi" w:cstheme="majorHAnsi"/>
          <w:noProof/>
          <w:color w:val="000000" w:themeColor="text1"/>
          <w:sz w:val="22"/>
          <w:szCs w:val="22"/>
        </w:rPr>
        <w:t xml:space="preserve"> </w:t>
      </w: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keepNext/>
        <w:tabs>
          <w:tab w:val="left" w:pos="9360"/>
        </w:tabs>
        <w:spacing w:after="120"/>
        <w:jc w:val="both"/>
        <w:rPr>
          <w:rFonts w:asciiTheme="majorHAnsi" w:hAnsiTheme="majorHAnsi" w:cstheme="majorHAnsi"/>
          <w:b/>
          <w:color w:val="000000" w:themeColor="text1"/>
          <w:sz w:val="22"/>
          <w:szCs w:val="22"/>
        </w:rPr>
      </w:pPr>
    </w:p>
    <w:p w:rsidRPr="00751F88" w:rsidR="00E6388A" w:rsidP="00E6388A" w:rsidRDefault="00E6388A">
      <w:pPr>
        <w:tabs>
          <w:tab w:val="left" w:pos="9360"/>
        </w:tabs>
        <w:spacing w:after="120"/>
        <w:ind w:right="360"/>
        <w:jc w:val="both"/>
        <w:rPr>
          <w:rFonts w:asciiTheme="majorHAnsi" w:hAnsiTheme="majorHAnsi" w:cstheme="majorHAnsi"/>
          <w:b/>
          <w:color w:val="000000" w:themeColor="text1"/>
          <w:sz w:val="22"/>
          <w:szCs w:val="22"/>
        </w:rPr>
      </w:pPr>
    </w:p>
    <w:p w:rsidRPr="00751F88" w:rsidR="00E6388A" w:rsidP="00E6388A" w:rsidRDefault="00E6388A">
      <w:pPr>
        <w:tabs>
          <w:tab w:val="left" w:pos="9360"/>
        </w:tabs>
        <w:spacing w:after="120"/>
        <w:ind w:right="360"/>
        <w:jc w:val="both"/>
        <w:rPr>
          <w:rFonts w:asciiTheme="majorHAnsi" w:hAnsiTheme="majorHAnsi" w:cstheme="majorHAnsi"/>
          <w:b/>
          <w:color w:val="000000" w:themeColor="text1"/>
          <w:sz w:val="22"/>
          <w:szCs w:val="22"/>
        </w:rPr>
      </w:pPr>
      <w:r w:rsidRPr="00751F88">
        <w:rPr>
          <w:rFonts w:asciiTheme="majorHAnsi" w:hAnsiTheme="majorHAnsi" w:cstheme="majorHAnsi"/>
          <w:noProof/>
          <w:color w:val="000000" w:themeColor="text1"/>
          <w:sz w:val="22"/>
          <w:szCs w:val="22"/>
        </w:rPr>
        <mc:AlternateContent>
          <mc:Choice Requires="wps">
            <w:drawing>
              <wp:anchor distT="0" distB="0" distL="114300" distR="114300" simplePos="0" relativeHeight="251659264" behindDoc="1" locked="0" layoutInCell="1" allowOverlap="1" wp14:editId="0FF155A6" wp14:anchorId="7F30D892">
                <wp:simplePos x="0" y="0"/>
                <wp:positionH relativeFrom="column">
                  <wp:posOffset>1314450</wp:posOffset>
                </wp:positionH>
                <wp:positionV relativeFrom="paragraph">
                  <wp:posOffset>193675</wp:posOffset>
                </wp:positionV>
                <wp:extent cx="3309620" cy="219075"/>
                <wp:effectExtent l="0" t="0" r="3175" b="5715"/>
                <wp:wrapTight wrapText="bothSides">
                  <wp:wrapPolygon edited="0">
                    <wp:start x="0" y="0"/>
                    <wp:lineTo x="0" y="20041"/>
                    <wp:lineTo x="21487" y="20041"/>
                    <wp:lineTo x="2148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309620" cy="219075"/>
                        </a:xfrm>
                        <a:prstGeom prst="rect">
                          <a:avLst/>
                        </a:prstGeom>
                        <a:solidFill>
                          <a:prstClr val="white"/>
                        </a:solidFill>
                        <a:ln>
                          <a:noFill/>
                        </a:ln>
                      </wps:spPr>
                      <wps:txbx>
                        <w:txbxContent>
                          <w:p w:rsidRPr="0002176A" w:rsidR="00E6388A" w:rsidP="00E6388A" w:rsidRDefault="00E6388A">
                            <w:pPr>
                              <w:pStyle w:val="Caption"/>
                              <w:rPr>
                                <w:rFonts w:asciiTheme="minorHAnsi" w:hAnsiTheme="minorHAnsi"/>
                                <w:b/>
                                <w:noProof/>
                                <w:color w:val="auto"/>
                                <w:sz w:val="24"/>
                                <w:szCs w:val="24"/>
                              </w:rPr>
                            </w:pPr>
                            <w:bookmarkStart w:name="_Ref532462835" w:id="0"/>
                            <w:r w:rsidRPr="0002176A">
                              <w:rPr>
                                <w:rFonts w:asciiTheme="minorHAnsi" w:hAnsiTheme="minorHAnsi"/>
                                <w:color w:val="auto"/>
                                <w:sz w:val="24"/>
                                <w:szCs w:val="24"/>
                              </w:rPr>
                              <w:t xml:space="preserve">Figure </w:t>
                            </w:r>
                            <w:r w:rsidRPr="0002176A">
                              <w:rPr>
                                <w:rFonts w:asciiTheme="minorHAnsi" w:hAnsiTheme="minorHAnsi"/>
                                <w:color w:val="auto"/>
                                <w:sz w:val="24"/>
                                <w:szCs w:val="24"/>
                              </w:rPr>
                              <w:fldChar w:fldCharType="begin"/>
                            </w:r>
                            <w:r w:rsidRPr="0002176A">
                              <w:rPr>
                                <w:rFonts w:asciiTheme="minorHAnsi" w:hAnsiTheme="minorHAnsi"/>
                                <w:color w:val="auto"/>
                                <w:sz w:val="24"/>
                                <w:szCs w:val="24"/>
                              </w:rPr>
                              <w:instrText xml:space="preserve"> SEQ Figure \* ARABIC </w:instrText>
                            </w:r>
                            <w:r w:rsidRPr="0002176A">
                              <w:rPr>
                                <w:rFonts w:asciiTheme="minorHAnsi" w:hAnsiTheme="minorHAnsi"/>
                                <w:color w:val="auto"/>
                                <w:sz w:val="24"/>
                                <w:szCs w:val="24"/>
                              </w:rPr>
                              <w:fldChar w:fldCharType="separate"/>
                            </w:r>
                            <w:r w:rsidRPr="0002176A">
                              <w:rPr>
                                <w:rFonts w:asciiTheme="minorHAnsi" w:hAnsiTheme="minorHAnsi"/>
                                <w:noProof/>
                                <w:color w:val="auto"/>
                                <w:sz w:val="24"/>
                                <w:szCs w:val="24"/>
                              </w:rPr>
                              <w:t>1</w:t>
                            </w:r>
                            <w:r w:rsidRPr="0002176A">
                              <w:rPr>
                                <w:rFonts w:asciiTheme="minorHAnsi" w:hAnsiTheme="minorHAnsi"/>
                                <w:color w:val="auto"/>
                                <w:sz w:val="24"/>
                                <w:szCs w:val="24"/>
                              </w:rPr>
                              <w:fldChar w:fldCharType="end"/>
                            </w:r>
                            <w:bookmarkEnd w:id="0"/>
                            <w:r>
                              <w:rPr>
                                <w:rFonts w:asciiTheme="minorHAnsi" w:hAnsiTheme="minorHAnsi"/>
                                <w:color w:val="auto"/>
                                <w:sz w:val="24"/>
                                <w:szCs w:val="24"/>
                              </w:rPr>
                              <w:t>: Sampling geography by strata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30D892">
                <v:stroke joinstyle="miter"/>
                <v:path gradientshapeok="t" o:connecttype="rect"/>
              </v:shapetype>
              <v:shape id="Text Box 1" style="position:absolute;left:0;text-align:left;margin-left:103.5pt;margin-top:15.25pt;width:260.6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">
                <v:textbox inset="0,0,0,0">
                  <w:txbxContent>
                    <w:p w:rsidRPr="0002176A" w:rsidR="00E6388A" w:rsidP="00E6388A" w:rsidRDefault="00E6388A">
                      <w:pPr>
                        <w:pStyle w:val="Caption"/>
                        <w:rPr>
                          <w:rFonts w:asciiTheme="minorHAnsi" w:hAnsiTheme="minorHAnsi"/>
                          <w:b/>
                          <w:noProof/>
                          <w:color w:val="auto"/>
                          <w:sz w:val="24"/>
                          <w:szCs w:val="24"/>
                        </w:rPr>
                      </w:pPr>
                      <w:bookmarkStart w:name="_Ref532462835" w:id="2"/>
                      <w:r w:rsidRPr="0002176A">
                        <w:rPr>
                          <w:rFonts w:asciiTheme="minorHAnsi" w:hAnsiTheme="minorHAnsi"/>
                          <w:color w:val="auto"/>
                          <w:sz w:val="24"/>
                          <w:szCs w:val="24"/>
                        </w:rPr>
                        <w:t xml:space="preserve">Figure </w:t>
                      </w:r>
                      <w:r w:rsidRPr="0002176A">
                        <w:rPr>
                          <w:rFonts w:asciiTheme="minorHAnsi" w:hAnsiTheme="minorHAnsi"/>
                          <w:color w:val="auto"/>
                          <w:sz w:val="24"/>
                          <w:szCs w:val="24"/>
                        </w:rPr>
                        <w:fldChar w:fldCharType="begin"/>
                      </w:r>
                      <w:r w:rsidRPr="0002176A">
                        <w:rPr>
                          <w:rFonts w:asciiTheme="minorHAnsi" w:hAnsiTheme="minorHAnsi"/>
                          <w:color w:val="auto"/>
                          <w:sz w:val="24"/>
                          <w:szCs w:val="24"/>
                        </w:rPr>
                        <w:instrText xml:space="preserve"> SEQ Figure \* ARABIC </w:instrText>
                      </w:r>
                      <w:r w:rsidRPr="0002176A">
                        <w:rPr>
                          <w:rFonts w:asciiTheme="minorHAnsi" w:hAnsiTheme="minorHAnsi"/>
                          <w:color w:val="auto"/>
                          <w:sz w:val="24"/>
                          <w:szCs w:val="24"/>
                        </w:rPr>
                        <w:fldChar w:fldCharType="separate"/>
                      </w:r>
                      <w:r w:rsidRPr="0002176A">
                        <w:rPr>
                          <w:rFonts w:asciiTheme="minorHAnsi" w:hAnsiTheme="minorHAnsi"/>
                          <w:noProof/>
                          <w:color w:val="auto"/>
                          <w:sz w:val="24"/>
                          <w:szCs w:val="24"/>
                        </w:rPr>
                        <w:t>1</w:t>
                      </w:r>
                      <w:r w:rsidRPr="0002176A">
                        <w:rPr>
                          <w:rFonts w:asciiTheme="minorHAnsi" w:hAnsiTheme="minorHAnsi"/>
                          <w:color w:val="auto"/>
                          <w:sz w:val="24"/>
                          <w:szCs w:val="24"/>
                        </w:rPr>
                        <w:fldChar w:fldCharType="end"/>
                      </w:r>
                      <w:bookmarkEnd w:id="2"/>
                      <w:r>
                        <w:rPr>
                          <w:rFonts w:asciiTheme="minorHAnsi" w:hAnsiTheme="minorHAnsi"/>
                          <w:color w:val="auto"/>
                          <w:sz w:val="24"/>
                          <w:szCs w:val="24"/>
                        </w:rPr>
                        <w:t>: Sampling geography by strata</w:t>
                      </w:r>
                    </w:p>
                  </w:txbxContent>
                </v:textbox>
                <w10:wrap type="tight"/>
              </v:shape>
            </w:pict>
          </mc:Fallback>
        </mc:AlternateContent>
      </w:r>
    </w:p>
    <w:p w:rsidRPr="00751F88" w:rsidR="00E6388A" w:rsidP="00E6388A" w:rsidRDefault="00E6388A">
      <w:pPr>
        <w:tabs>
          <w:tab w:val="left" w:pos="9360"/>
        </w:tabs>
        <w:spacing w:after="120"/>
        <w:ind w:right="360"/>
        <w:jc w:val="both"/>
        <w:rPr>
          <w:rFonts w:asciiTheme="majorHAnsi" w:hAnsiTheme="majorHAnsi" w:cstheme="majorHAnsi"/>
          <w:color w:val="000000" w:themeColor="text1"/>
          <w:sz w:val="22"/>
          <w:szCs w:val="22"/>
        </w:rPr>
      </w:pP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REF _Ref24722685 \h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751F88">
        <w:rPr>
          <w:rFonts w:asciiTheme="majorHAnsi" w:hAnsiTheme="majorHAnsi" w:cstheme="majorHAnsi"/>
          <w:color w:val="000000" w:themeColor="text1"/>
          <w:sz w:val="22"/>
          <w:szCs w:val="22"/>
        </w:rPr>
        <w:t xml:space="preserve">Table </w:t>
      </w:r>
      <w:r>
        <w:rPr>
          <w:rFonts w:asciiTheme="majorHAnsi" w:hAnsiTheme="majorHAnsi" w:cstheme="majorHAnsi"/>
          <w:noProof/>
          <w:color w:val="000000" w:themeColor="text1"/>
          <w:sz w:val="22"/>
          <w:szCs w:val="22"/>
        </w:rPr>
        <w:t>2</w:t>
      </w:r>
      <w:r>
        <w:rPr>
          <w:rFonts w:asciiTheme="majorHAnsi" w:hAnsiTheme="majorHAnsi" w:cstheme="majorHAnsi"/>
          <w:color w:val="000000" w:themeColor="text1"/>
          <w:sz w:val="22"/>
          <w:szCs w:val="22"/>
        </w:rPr>
        <w:fldChar w:fldCharType="end"/>
      </w:r>
      <w:r>
        <w:rPr>
          <w:rFonts w:asciiTheme="majorHAnsi" w:hAnsiTheme="majorHAnsi" w:cstheme="majorHAnsi"/>
          <w:color w:val="000000" w:themeColor="text1"/>
          <w:sz w:val="22"/>
          <w:szCs w:val="22"/>
        </w:rPr>
        <w:t xml:space="preserve"> </w:t>
      </w:r>
      <w:r w:rsidRPr="00751F88">
        <w:rPr>
          <w:rFonts w:asciiTheme="majorHAnsi" w:hAnsiTheme="majorHAnsi" w:cstheme="majorHAnsi"/>
          <w:color w:val="000000" w:themeColor="text1"/>
          <w:sz w:val="22"/>
          <w:szCs w:val="22"/>
        </w:rPr>
        <w:t xml:space="preserve">provides a breakdown of the tentative estimated number of completed surveys desired for each stratum, along with the sample size per stratum, assuming a 35% response rate and 10% non-deliverable </w:t>
      </w:r>
      <w:r w:rsidRPr="00751F88">
        <w:rPr>
          <w:rFonts w:asciiTheme="majorHAnsi" w:hAnsiTheme="majorHAnsi" w:cstheme="majorHAnsi"/>
          <w:color w:val="000000" w:themeColor="text1"/>
          <w:sz w:val="22"/>
          <w:szCs w:val="22"/>
        </w:rPr>
        <w:lastRenderedPageBreak/>
        <w:t xml:space="preserve">rate. </w:t>
      </w:r>
      <w:r w:rsidRPr="00751F88">
        <w:rPr>
          <w:rFonts w:asciiTheme="majorHAnsi" w:hAnsiTheme="majorHAnsi" w:eastAsiaTheme="minorEastAsia" w:cstheme="majorHAnsi"/>
          <w:color w:val="000000" w:themeColor="text1"/>
          <w:sz w:val="22"/>
          <w:szCs w:val="22"/>
        </w:rPr>
        <w:t xml:space="preserve">The “coastal NH counties” strata </w:t>
      </w:r>
      <w:proofErr w:type="gramStart"/>
      <w:r w:rsidRPr="00751F88">
        <w:rPr>
          <w:rFonts w:asciiTheme="majorHAnsi" w:hAnsiTheme="majorHAnsi" w:eastAsiaTheme="minorEastAsia" w:cstheme="majorHAnsi"/>
          <w:color w:val="000000" w:themeColor="text1"/>
          <w:sz w:val="22"/>
          <w:szCs w:val="22"/>
        </w:rPr>
        <w:t>is further stratified</w:t>
      </w:r>
      <w:proofErr w:type="gramEnd"/>
      <w:r w:rsidRPr="00751F88">
        <w:rPr>
          <w:rFonts w:asciiTheme="majorHAnsi" w:hAnsiTheme="majorHAnsi" w:eastAsiaTheme="minorEastAsia" w:cstheme="majorHAnsi"/>
          <w:color w:val="000000" w:themeColor="text1"/>
          <w:sz w:val="22"/>
          <w:szCs w:val="22"/>
        </w:rPr>
        <w:t xml:space="preserve"> by county to help ensure geographic coverage.</w:t>
      </w:r>
    </w:p>
    <w:p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38088B">
        <w:rPr>
          <w:rFonts w:asciiTheme="majorHAnsi" w:hAnsiTheme="majorHAnsi" w:cstheme="majorHAnsi"/>
          <w:color w:val="000000" w:themeColor="text1"/>
          <w:sz w:val="22"/>
          <w:szCs w:val="22"/>
        </w:rPr>
        <w:t xml:space="preserve">As we are interested in comparing differences between strata, an equal allocation </w:t>
      </w:r>
      <w:proofErr w:type="gramStart"/>
      <w:r w:rsidRPr="0038088B">
        <w:rPr>
          <w:rFonts w:asciiTheme="majorHAnsi" w:hAnsiTheme="majorHAnsi" w:cstheme="majorHAnsi"/>
          <w:color w:val="000000" w:themeColor="text1"/>
          <w:sz w:val="22"/>
          <w:szCs w:val="22"/>
        </w:rPr>
        <w:t>is used</w:t>
      </w:r>
      <w:proofErr w:type="gramEnd"/>
      <w:r w:rsidRPr="0038088B">
        <w:rPr>
          <w:rFonts w:asciiTheme="majorHAnsi" w:hAnsiTheme="majorHAnsi" w:cstheme="majorHAnsi"/>
          <w:color w:val="000000" w:themeColor="text1"/>
          <w:sz w:val="22"/>
          <w:szCs w:val="22"/>
        </w:rPr>
        <w:t xml:space="preserve"> to minimize the sampling variance. However, the sample size for the “coastal NH counties” </w:t>
      </w:r>
      <w:proofErr w:type="gramStart"/>
      <w:r w:rsidRPr="0038088B">
        <w:rPr>
          <w:rFonts w:asciiTheme="majorHAnsi" w:hAnsiTheme="majorHAnsi" w:cstheme="majorHAnsi"/>
          <w:color w:val="000000" w:themeColor="text1"/>
          <w:sz w:val="22"/>
          <w:szCs w:val="22"/>
        </w:rPr>
        <w:t>is doubled and proportionately allocated between the two counties to reduce the variance in sampling weights</w:t>
      </w:r>
      <w:proofErr w:type="gramEnd"/>
      <w:r w:rsidRPr="0038088B">
        <w:rPr>
          <w:rFonts w:asciiTheme="majorHAnsi" w:hAnsiTheme="majorHAnsi" w:cstheme="majorHAnsi"/>
          <w:color w:val="000000" w:themeColor="text1"/>
          <w:sz w:val="22"/>
          <w:szCs w:val="22"/>
        </w:rPr>
        <w:t>. See Section 2.v. below for more details.</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final sample size (completes and adjusted) for the final collection will be calculated with the assistance of the vendor selected to conduct the data collection, based on their expertise conducting similar surveys in the region of interest. Additionally, the final sample size for the final collection may be adjusted based on information gained after a pretest of the survey. </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To approximate random selection of one respondent within the household, instruction will be given in the informational letter accompanying the survey package asking that the survey be completed by the person in the household age of 18 or older who has the next upcoming birthday.</w:t>
      </w:r>
    </w:p>
    <w:p w:rsidRPr="00751F88" w:rsidR="00E6388A" w:rsidP="00E6388A" w:rsidRDefault="00E6388A">
      <w:pPr>
        <w:pStyle w:val="Caption"/>
        <w:keepNext/>
        <w:rPr>
          <w:rFonts w:asciiTheme="majorHAnsi" w:hAnsiTheme="majorHAnsi" w:cstheme="majorHAnsi"/>
          <w:color w:val="000000" w:themeColor="text1"/>
          <w:sz w:val="22"/>
          <w:szCs w:val="22"/>
        </w:rPr>
      </w:pPr>
      <w:bookmarkStart w:name="_Ref24722685" w:id="1"/>
      <w:r w:rsidRPr="00751F88">
        <w:rPr>
          <w:rFonts w:asciiTheme="majorHAnsi" w:hAnsiTheme="majorHAnsi" w:cstheme="majorHAnsi"/>
          <w:color w:val="000000" w:themeColor="text1"/>
          <w:sz w:val="22"/>
          <w:szCs w:val="22"/>
        </w:rPr>
        <w:t xml:space="preserve">Table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SEQ Table \* ARABIC </w:instrText>
      </w:r>
      <w:r w:rsidRPr="00751F88">
        <w:rPr>
          <w:rFonts w:asciiTheme="majorHAnsi" w:hAnsiTheme="majorHAnsi" w:cstheme="majorHAnsi"/>
          <w:color w:val="000000" w:themeColor="text1"/>
          <w:sz w:val="22"/>
          <w:szCs w:val="22"/>
        </w:rPr>
        <w:fldChar w:fldCharType="separate"/>
      </w:r>
      <w:r>
        <w:rPr>
          <w:rFonts w:asciiTheme="majorHAnsi" w:hAnsiTheme="majorHAnsi" w:cstheme="majorHAnsi"/>
          <w:noProof/>
          <w:color w:val="000000" w:themeColor="text1"/>
          <w:sz w:val="22"/>
          <w:szCs w:val="22"/>
        </w:rPr>
        <w:t>2</w:t>
      </w:r>
      <w:r w:rsidRPr="00751F88">
        <w:rPr>
          <w:rFonts w:asciiTheme="majorHAnsi" w:hAnsiTheme="majorHAnsi" w:cstheme="majorHAnsi"/>
          <w:color w:val="000000" w:themeColor="text1"/>
          <w:sz w:val="22"/>
          <w:szCs w:val="22"/>
        </w:rPr>
        <w:fldChar w:fldCharType="end"/>
      </w:r>
      <w:bookmarkEnd w:id="1"/>
      <w:r w:rsidRPr="00751F88">
        <w:rPr>
          <w:rFonts w:asciiTheme="majorHAnsi" w:hAnsiTheme="majorHAnsi" w:cstheme="majorHAnsi"/>
          <w:color w:val="000000" w:themeColor="text1"/>
          <w:sz w:val="22"/>
          <w:szCs w:val="22"/>
        </w:rPr>
        <w:t xml:space="preserve">: total households, pretest sample, final collection estimated completes </w:t>
      </w:r>
      <w:proofErr w:type="gramStart"/>
      <w:r w:rsidRPr="00751F88">
        <w:rPr>
          <w:rFonts w:asciiTheme="majorHAnsi" w:hAnsiTheme="majorHAnsi" w:cstheme="majorHAnsi"/>
          <w:color w:val="000000" w:themeColor="text1"/>
          <w:sz w:val="22"/>
          <w:szCs w:val="22"/>
        </w:rPr>
        <w:t>needed,</w:t>
      </w:r>
      <w:proofErr w:type="gramEnd"/>
      <w:r w:rsidRPr="00751F88">
        <w:rPr>
          <w:rFonts w:asciiTheme="majorHAnsi" w:hAnsiTheme="majorHAnsi" w:cstheme="majorHAnsi"/>
          <w:color w:val="000000" w:themeColor="text1"/>
          <w:sz w:val="22"/>
          <w:szCs w:val="22"/>
        </w:rPr>
        <w:t xml:space="preserve"> and final collection adjusted sample size by strata</w:t>
      </w:r>
    </w:p>
    <w:tbl>
      <w:tblPr>
        <w:tblW w:w="11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24"/>
        <w:gridCol w:w="1311"/>
        <w:gridCol w:w="1280"/>
        <w:gridCol w:w="1269"/>
        <w:gridCol w:w="918"/>
        <w:gridCol w:w="1201"/>
        <w:gridCol w:w="2024"/>
        <w:gridCol w:w="1713"/>
      </w:tblGrid>
      <w:tr w:rsidRPr="00955217" w:rsidR="00E6388A" w:rsidTr="0005554B">
        <w:trPr>
          <w:trHeight w:val="20"/>
          <w:jc w:val="center"/>
        </w:trPr>
        <w:tc>
          <w:tcPr>
            <w:tcW w:w="1924" w:type="dxa"/>
            <w:shd w:val="clear" w:color="auto" w:fill="D9D9D9"/>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Strata</w:t>
            </w:r>
          </w:p>
        </w:tc>
        <w:tc>
          <w:tcPr>
            <w:tcW w:w="1311"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Sub-strata</w:t>
            </w:r>
          </w:p>
        </w:tc>
        <w:tc>
          <w:tcPr>
            <w:tcW w:w="1280"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Estimated</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Population</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18 and over</w:t>
            </w:r>
          </w:p>
        </w:tc>
        <w:tc>
          <w:tcPr>
            <w:tcW w:w="1269"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Estimated</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Occupied</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Households</w:t>
            </w:r>
          </w:p>
        </w:tc>
        <w:tc>
          <w:tcPr>
            <w:tcW w:w="918"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Pretest</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Sample</w:t>
            </w:r>
          </w:p>
        </w:tc>
        <w:tc>
          <w:tcPr>
            <w:tcW w:w="1201"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Completes</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Needed</w:t>
            </w:r>
          </w:p>
        </w:tc>
        <w:tc>
          <w:tcPr>
            <w:tcW w:w="2024"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Adjusted</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(35% Response Rate)</w:t>
            </w:r>
          </w:p>
        </w:tc>
        <w:tc>
          <w:tcPr>
            <w:tcW w:w="1713"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Adjusted</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(10% Non-</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Deliverable Rate)</w:t>
            </w:r>
          </w:p>
        </w:tc>
      </w:tr>
      <w:tr w:rsidRPr="00955217" w:rsidR="00E6388A" w:rsidTr="0005554B">
        <w:trPr>
          <w:trHeight w:val="20"/>
          <w:jc w:val="center"/>
        </w:trPr>
        <w:tc>
          <w:tcPr>
            <w:tcW w:w="1924"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Great Bay</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1280"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30,037 </w:t>
            </w:r>
          </w:p>
        </w:tc>
        <w:tc>
          <w:tcPr>
            <w:tcW w:w="126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12,237 </w:t>
            </w:r>
          </w:p>
        </w:tc>
        <w:tc>
          <w:tcPr>
            <w:tcW w:w="918"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90</w:t>
            </w:r>
          </w:p>
        </w:tc>
        <w:tc>
          <w:tcPr>
            <w:tcW w:w="1201"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384</w:t>
            </w:r>
          </w:p>
        </w:tc>
        <w:tc>
          <w:tcPr>
            <w:tcW w:w="2024"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1,098</w:t>
            </w:r>
          </w:p>
        </w:tc>
        <w:tc>
          <w:tcPr>
            <w:tcW w:w="1713"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1,221</w:t>
            </w:r>
          </w:p>
        </w:tc>
      </w:tr>
      <w:tr w:rsidRPr="00955217" w:rsidR="00E6388A" w:rsidTr="0005554B">
        <w:trPr>
          <w:trHeight w:val="20"/>
          <w:jc w:val="center"/>
        </w:trPr>
        <w:tc>
          <w:tcPr>
            <w:tcW w:w="1924"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Hampton-Seabrook</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1280"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18,725 </w:t>
            </w:r>
          </w:p>
        </w:tc>
        <w:tc>
          <w:tcPr>
            <w:tcW w:w="126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10,169 </w:t>
            </w:r>
          </w:p>
        </w:tc>
        <w:tc>
          <w:tcPr>
            <w:tcW w:w="918"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90</w:t>
            </w:r>
          </w:p>
        </w:tc>
        <w:tc>
          <w:tcPr>
            <w:tcW w:w="1201"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384</w:t>
            </w:r>
          </w:p>
        </w:tc>
        <w:tc>
          <w:tcPr>
            <w:tcW w:w="2024"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1,098</w:t>
            </w:r>
          </w:p>
        </w:tc>
        <w:tc>
          <w:tcPr>
            <w:tcW w:w="1713"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1,221</w:t>
            </w:r>
          </w:p>
        </w:tc>
      </w:tr>
      <w:tr w:rsidRPr="00955217" w:rsidR="00E6388A" w:rsidTr="0005554B">
        <w:trPr>
          <w:trHeight w:val="20"/>
          <w:jc w:val="center"/>
        </w:trPr>
        <w:tc>
          <w:tcPr>
            <w:tcW w:w="1924"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Piscataqua</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1280"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30,638 </w:t>
            </w:r>
          </w:p>
        </w:tc>
        <w:tc>
          <w:tcPr>
            <w:tcW w:w="126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16,891 </w:t>
            </w:r>
          </w:p>
        </w:tc>
        <w:tc>
          <w:tcPr>
            <w:tcW w:w="918"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90</w:t>
            </w:r>
          </w:p>
        </w:tc>
        <w:tc>
          <w:tcPr>
            <w:tcW w:w="1201"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384</w:t>
            </w:r>
          </w:p>
        </w:tc>
        <w:tc>
          <w:tcPr>
            <w:tcW w:w="2024"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1,098</w:t>
            </w:r>
          </w:p>
        </w:tc>
        <w:tc>
          <w:tcPr>
            <w:tcW w:w="1713"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1,221</w:t>
            </w:r>
          </w:p>
        </w:tc>
      </w:tr>
      <w:tr w:rsidRPr="00955217" w:rsidR="00E6388A" w:rsidTr="0005554B">
        <w:trPr>
          <w:trHeight w:val="20"/>
          <w:jc w:val="center"/>
        </w:trPr>
        <w:tc>
          <w:tcPr>
            <w:tcW w:w="1924"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other Coastal NH</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1280"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63,165 </w:t>
            </w:r>
          </w:p>
        </w:tc>
        <w:tc>
          <w:tcPr>
            <w:tcW w:w="126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28,511 </w:t>
            </w:r>
          </w:p>
        </w:tc>
        <w:tc>
          <w:tcPr>
            <w:tcW w:w="918"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90</w:t>
            </w:r>
          </w:p>
        </w:tc>
        <w:tc>
          <w:tcPr>
            <w:tcW w:w="1201"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384</w:t>
            </w:r>
          </w:p>
        </w:tc>
        <w:tc>
          <w:tcPr>
            <w:tcW w:w="2024"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1,098</w:t>
            </w:r>
          </w:p>
        </w:tc>
        <w:tc>
          <w:tcPr>
            <w:tcW w:w="1713"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1,221</w:t>
            </w:r>
          </w:p>
        </w:tc>
      </w:tr>
      <w:tr w:rsidRPr="00955217" w:rsidR="00E6388A" w:rsidTr="0005554B">
        <w:trPr>
          <w:trHeight w:val="20"/>
          <w:jc w:val="center"/>
        </w:trPr>
        <w:tc>
          <w:tcPr>
            <w:tcW w:w="1924" w:type="dxa"/>
            <w:vMerge w:val="restart"/>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coastal NH counties</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Rockingham</w:t>
            </w:r>
          </w:p>
        </w:tc>
        <w:tc>
          <w:tcPr>
            <w:tcW w:w="1280"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160,393 </w:t>
            </w:r>
          </w:p>
        </w:tc>
        <w:tc>
          <w:tcPr>
            <w:tcW w:w="126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highlight w:val="yellow"/>
              </w:rPr>
            </w:pPr>
            <w:r w:rsidRPr="00955217">
              <w:rPr>
                <w:rFonts w:asciiTheme="majorHAnsi" w:hAnsiTheme="majorHAnsi" w:cstheme="majorHAnsi"/>
                <w:sz w:val="22"/>
                <w:szCs w:val="22"/>
              </w:rPr>
              <w:t xml:space="preserve"> 77,121 </w:t>
            </w:r>
          </w:p>
        </w:tc>
        <w:tc>
          <w:tcPr>
            <w:tcW w:w="918"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129 </w:t>
            </w:r>
          </w:p>
        </w:tc>
        <w:tc>
          <w:tcPr>
            <w:tcW w:w="1201"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552 </w:t>
            </w:r>
          </w:p>
        </w:tc>
        <w:tc>
          <w:tcPr>
            <w:tcW w:w="2024"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1,578 </w:t>
            </w:r>
          </w:p>
        </w:tc>
        <w:tc>
          <w:tcPr>
            <w:tcW w:w="1713"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1,752 </w:t>
            </w:r>
          </w:p>
        </w:tc>
      </w:tr>
      <w:tr w:rsidRPr="00955217" w:rsidR="00E6388A" w:rsidTr="0005554B">
        <w:trPr>
          <w:trHeight w:val="20"/>
          <w:jc w:val="center"/>
        </w:trPr>
        <w:tc>
          <w:tcPr>
            <w:tcW w:w="1924" w:type="dxa"/>
            <w:vMerge/>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Strafford</w:t>
            </w:r>
          </w:p>
        </w:tc>
        <w:tc>
          <w:tcPr>
            <w:tcW w:w="1280"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59,036 </w:t>
            </w:r>
          </w:p>
        </w:tc>
        <w:tc>
          <w:tcPr>
            <w:tcW w:w="126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30,091 </w:t>
            </w:r>
          </w:p>
        </w:tc>
        <w:tc>
          <w:tcPr>
            <w:tcW w:w="918"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51 </w:t>
            </w:r>
          </w:p>
        </w:tc>
        <w:tc>
          <w:tcPr>
            <w:tcW w:w="1201"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216 </w:t>
            </w:r>
          </w:p>
        </w:tc>
        <w:tc>
          <w:tcPr>
            <w:tcW w:w="2024"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618 </w:t>
            </w:r>
          </w:p>
        </w:tc>
        <w:tc>
          <w:tcPr>
            <w:tcW w:w="1713"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687 </w:t>
            </w:r>
          </w:p>
        </w:tc>
      </w:tr>
      <w:tr w:rsidRPr="00955217" w:rsidR="00E6388A" w:rsidTr="0005554B">
        <w:trPr>
          <w:trHeight w:val="20"/>
          <w:jc w:val="center"/>
        </w:trPr>
        <w:tc>
          <w:tcPr>
            <w:tcW w:w="1924" w:type="dxa"/>
            <w:shd w:val="clear" w:color="auto" w:fill="D9D9D9" w:themeFill="background1" w:themeFillShade="D9"/>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TOTAL</w:t>
            </w:r>
          </w:p>
        </w:tc>
        <w:tc>
          <w:tcPr>
            <w:tcW w:w="1311" w:type="dxa"/>
            <w:shd w:val="clear" w:color="auto" w:fill="D9D9D9" w:themeFill="background1" w:themeFillShade="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p>
        </w:tc>
        <w:tc>
          <w:tcPr>
            <w:tcW w:w="1280" w:type="dxa"/>
            <w:shd w:val="clear" w:color="auto" w:fill="D9D9D9" w:themeFill="background1" w:themeFillShade="D9"/>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361,994 </w:t>
            </w:r>
          </w:p>
        </w:tc>
        <w:tc>
          <w:tcPr>
            <w:tcW w:w="1269" w:type="dxa"/>
            <w:shd w:val="clear" w:color="auto" w:fill="D9D9D9" w:themeFill="background1" w:themeFillShade="D9"/>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175,020 </w:t>
            </w:r>
          </w:p>
        </w:tc>
        <w:tc>
          <w:tcPr>
            <w:tcW w:w="918" w:type="dxa"/>
            <w:shd w:val="clear" w:color="auto" w:fill="D9D9D9" w:themeFill="background1" w:themeFillShade="D9"/>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540 </w:t>
            </w:r>
          </w:p>
        </w:tc>
        <w:tc>
          <w:tcPr>
            <w:tcW w:w="1201" w:type="dxa"/>
            <w:shd w:val="clear" w:color="auto" w:fill="D9D9D9" w:themeFill="background1" w:themeFillShade="D9"/>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w:t>
            </w:r>
            <w:r>
              <w:rPr>
                <w:rFonts w:asciiTheme="majorHAnsi" w:hAnsiTheme="majorHAnsi" w:cstheme="majorHAnsi"/>
                <w:sz w:val="22"/>
                <w:szCs w:val="22"/>
              </w:rPr>
              <w:t>2,304</w:t>
            </w:r>
          </w:p>
        </w:tc>
        <w:tc>
          <w:tcPr>
            <w:tcW w:w="2024" w:type="dxa"/>
            <w:shd w:val="clear" w:color="auto" w:fill="D9D9D9" w:themeFill="background1" w:themeFillShade="D9"/>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6,588 </w:t>
            </w:r>
          </w:p>
        </w:tc>
        <w:tc>
          <w:tcPr>
            <w:tcW w:w="1713" w:type="dxa"/>
            <w:shd w:val="clear" w:color="auto" w:fill="D9D9D9" w:themeFill="background1" w:themeFillShade="D9"/>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7,323 </w:t>
            </w:r>
          </w:p>
        </w:tc>
      </w:tr>
    </w:tbl>
    <w:p w:rsidRPr="00955217"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p>
    <w:p w:rsidRPr="00751F88" w:rsidR="00E6388A" w:rsidP="00E6388A" w:rsidRDefault="00E6388A">
      <w:pPr>
        <w:pStyle w:val="OMB1"/>
        <w:tabs>
          <w:tab w:val="left" w:pos="9360"/>
        </w:tabs>
        <w:spacing w:before="0" w:after="120"/>
        <w:jc w:val="both"/>
        <w:rPr>
          <w:rFonts w:asciiTheme="majorHAnsi" w:hAnsiTheme="majorHAnsi" w:cstheme="majorHAnsi"/>
          <w:sz w:val="22"/>
          <w:szCs w:val="22"/>
        </w:rPr>
      </w:pPr>
      <w:r>
        <w:rPr>
          <w:rFonts w:asciiTheme="majorHAnsi" w:hAnsiTheme="majorHAnsi" w:cstheme="majorHAnsi"/>
          <w:sz w:val="22"/>
          <w:szCs w:val="22"/>
        </w:rPr>
        <w:t xml:space="preserve">2. </w:t>
      </w:r>
      <w:r w:rsidRPr="00751F88">
        <w:rPr>
          <w:rFonts w:asciiTheme="majorHAnsi" w:hAnsiTheme="majorHAnsi" w:cstheme="majorHAnsi"/>
          <w:sz w:val="22"/>
          <w:szCs w:val="22"/>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751F88" w:rsidR="00E6388A" w:rsidP="00E6388A" w:rsidRDefault="00E6388A">
      <w:pPr>
        <w:pStyle w:val="Style1"/>
        <w:numPr>
          <w:ilvl w:val="0"/>
          <w:numId w:val="4"/>
        </w:numPr>
        <w:tabs>
          <w:tab w:val="left" w:pos="9360"/>
        </w:tabs>
        <w:spacing w:before="0" w:after="120"/>
        <w:rPr>
          <w:rFonts w:cstheme="majorHAnsi"/>
          <w:color w:val="000000" w:themeColor="text1"/>
        </w:rPr>
      </w:pPr>
      <w:r w:rsidRPr="00751F88">
        <w:rPr>
          <w:rFonts w:cstheme="majorHAnsi"/>
          <w:color w:val="000000" w:themeColor="text1"/>
        </w:rPr>
        <w:t>Stratification and Sample Selection</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Residential households </w:t>
      </w:r>
      <w:proofErr w:type="gramStart"/>
      <w:r w:rsidRPr="00751F88">
        <w:rPr>
          <w:rFonts w:asciiTheme="majorHAnsi" w:hAnsiTheme="majorHAnsi" w:cstheme="majorHAnsi"/>
          <w:color w:val="000000" w:themeColor="text1"/>
          <w:sz w:val="22"/>
          <w:szCs w:val="22"/>
        </w:rPr>
        <w:t>will be randomly selected</w:t>
      </w:r>
      <w:proofErr w:type="gramEnd"/>
      <w:r w:rsidRPr="00751F88">
        <w:rPr>
          <w:rFonts w:asciiTheme="majorHAnsi" w:hAnsiTheme="majorHAnsi" w:cstheme="majorHAnsi"/>
          <w:color w:val="000000" w:themeColor="text1"/>
          <w:sz w:val="22"/>
          <w:szCs w:val="22"/>
        </w:rPr>
        <w:t xml:space="preserve"> from each stratum using an address-based frame procured from the U.S. Postal Service. The desired sample size for each stratum </w:t>
      </w:r>
      <w:proofErr w:type="gramStart"/>
      <w:r w:rsidRPr="00751F88">
        <w:rPr>
          <w:rFonts w:asciiTheme="majorHAnsi" w:hAnsiTheme="majorHAnsi" w:cstheme="majorHAnsi"/>
          <w:color w:val="000000" w:themeColor="text1"/>
          <w:sz w:val="22"/>
          <w:szCs w:val="22"/>
        </w:rPr>
        <w:t>was calculated</w:t>
      </w:r>
      <w:proofErr w:type="gramEnd"/>
      <w:r w:rsidRPr="00751F88">
        <w:rPr>
          <w:rFonts w:asciiTheme="majorHAnsi" w:hAnsiTheme="majorHAnsi" w:cstheme="majorHAnsi"/>
          <w:color w:val="000000" w:themeColor="text1"/>
          <w:sz w:val="22"/>
          <w:szCs w:val="22"/>
        </w:rPr>
        <w:t xml:space="preserve"> using Equation 1, provided above. </w:t>
      </w:r>
    </w:p>
    <w:p w:rsidRPr="00751F88" w:rsidR="00E6388A" w:rsidP="00E6388A" w:rsidRDefault="00E6388A">
      <w:pPr>
        <w:pStyle w:val="Style1"/>
        <w:numPr>
          <w:ilvl w:val="0"/>
          <w:numId w:val="4"/>
        </w:numPr>
        <w:tabs>
          <w:tab w:val="left" w:pos="9360"/>
        </w:tabs>
        <w:spacing w:before="0" w:after="120"/>
        <w:rPr>
          <w:rFonts w:cstheme="majorHAnsi"/>
          <w:color w:val="000000" w:themeColor="text1"/>
        </w:rPr>
      </w:pPr>
      <w:bookmarkStart w:name="_Ref532464250" w:id="2"/>
      <w:r w:rsidRPr="00751F88">
        <w:rPr>
          <w:rFonts w:cstheme="majorHAnsi"/>
          <w:color w:val="000000" w:themeColor="text1"/>
        </w:rPr>
        <w:t>Weighting</w:t>
      </w:r>
      <w:bookmarkEnd w:id="2"/>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For obtaining population-based estimates of various parameters, each responding household </w:t>
      </w:r>
      <w:proofErr w:type="gramStart"/>
      <w:r w:rsidRPr="00751F88">
        <w:rPr>
          <w:rFonts w:asciiTheme="majorHAnsi" w:hAnsiTheme="majorHAnsi" w:cstheme="majorHAnsi"/>
          <w:color w:val="000000" w:themeColor="text1"/>
          <w:sz w:val="22"/>
          <w:szCs w:val="22"/>
        </w:rPr>
        <w:t>will be assigned</w:t>
      </w:r>
      <w:proofErr w:type="gramEnd"/>
      <w:r w:rsidRPr="00751F88">
        <w:rPr>
          <w:rFonts w:asciiTheme="majorHAnsi" w:hAnsiTheme="majorHAnsi" w:cstheme="majorHAnsi"/>
          <w:color w:val="000000" w:themeColor="text1"/>
          <w:sz w:val="22"/>
          <w:szCs w:val="22"/>
        </w:rPr>
        <w:t xml:space="preserve"> a sampling weight. The weights </w:t>
      </w:r>
      <w:proofErr w:type="gramStart"/>
      <w:r w:rsidRPr="00751F88">
        <w:rPr>
          <w:rFonts w:asciiTheme="majorHAnsi" w:hAnsiTheme="majorHAnsi" w:cstheme="majorHAnsi"/>
          <w:color w:val="000000" w:themeColor="text1"/>
          <w:sz w:val="22"/>
          <w:szCs w:val="22"/>
        </w:rPr>
        <w:t>will be used</w:t>
      </w:r>
      <w:proofErr w:type="gramEnd"/>
      <w:r w:rsidRPr="00751F88">
        <w:rPr>
          <w:rFonts w:asciiTheme="majorHAnsi" w:hAnsiTheme="majorHAnsi" w:cstheme="majorHAnsi"/>
          <w:color w:val="000000" w:themeColor="text1"/>
          <w:sz w:val="22"/>
          <w:szCs w:val="22"/>
        </w:rPr>
        <w:t xml:space="preserve"> to produce estimates that: </w:t>
      </w:r>
    </w:p>
    <w:p w:rsidRPr="00751F88" w:rsidR="00E6388A" w:rsidP="00E6388A" w:rsidRDefault="00E6388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are generalizable to the population from which the sample was selected; </w:t>
      </w:r>
    </w:p>
    <w:p w:rsidRPr="00751F88" w:rsidR="00E6388A" w:rsidP="00E6388A" w:rsidRDefault="00E6388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account for differential probabilities of selection across the sampling strata; </w:t>
      </w:r>
    </w:p>
    <w:p w:rsidRPr="00751F88" w:rsidR="00E6388A" w:rsidP="00E6388A" w:rsidRDefault="00E6388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match the population distributions of selected demographic variables within strata; and </w:t>
      </w:r>
    </w:p>
    <w:p w:rsidRPr="00751F88" w:rsidR="00E6388A" w:rsidP="00E6388A" w:rsidRDefault="00E6388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allow</w:t>
      </w:r>
      <w:proofErr w:type="gramEnd"/>
      <w:r w:rsidRPr="00751F88">
        <w:rPr>
          <w:rFonts w:asciiTheme="majorHAnsi" w:hAnsiTheme="majorHAnsi" w:cstheme="majorHAnsi"/>
          <w:color w:val="000000" w:themeColor="text1"/>
          <w:sz w:val="22"/>
          <w:szCs w:val="22"/>
        </w:rPr>
        <w:t xml:space="preserve"> for adjustments to reduce potential non-response bias. </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These weights combine: </w:t>
      </w:r>
    </w:p>
    <w:p w:rsidRPr="00751F88" w:rsidR="00E6388A" w:rsidP="00E6388A" w:rsidRDefault="00E6388A">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base sampling weight which is the inverse of the probability of selection of the household; </w:t>
      </w:r>
    </w:p>
    <w:p w:rsidRPr="00751F88" w:rsidR="00E6388A" w:rsidP="00E6388A" w:rsidRDefault="00E6388A">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a</w:t>
      </w:r>
      <w:proofErr w:type="spellEnd"/>
      <w:r w:rsidRPr="00751F88">
        <w:rPr>
          <w:rFonts w:asciiTheme="majorHAnsi" w:hAnsiTheme="majorHAnsi" w:cstheme="majorHAnsi"/>
          <w:color w:val="000000" w:themeColor="text1"/>
          <w:sz w:val="22"/>
          <w:szCs w:val="22"/>
        </w:rPr>
        <w:t xml:space="preserve"> within-stratum adjustment for differential non-response across strata; and </w:t>
      </w:r>
    </w:p>
    <w:p w:rsidRPr="00751F88" w:rsidR="00E6388A" w:rsidP="00E6388A" w:rsidRDefault="00E6388A">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a</w:t>
      </w:r>
      <w:proofErr w:type="gramEnd"/>
      <w:r w:rsidRPr="00751F88">
        <w:rPr>
          <w:rFonts w:asciiTheme="majorHAnsi" w:hAnsiTheme="majorHAnsi" w:cstheme="majorHAnsi"/>
          <w:color w:val="000000" w:themeColor="text1"/>
          <w:sz w:val="22"/>
          <w:szCs w:val="22"/>
        </w:rPr>
        <w:t xml:space="preserve"> non-response weight.</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Post-stratification adjustments will be made to match the sample to known population values (e.g., from Census data). </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There are various models that</w:t>
      </w:r>
      <w:proofErr w:type="gramEnd"/>
      <w:r w:rsidRPr="00751F88">
        <w:rPr>
          <w:rFonts w:asciiTheme="majorHAnsi" w:hAnsiTheme="majorHAnsi" w:cstheme="majorHAnsi"/>
          <w:color w:val="000000" w:themeColor="text1"/>
          <w:sz w:val="22"/>
          <w:szCs w:val="22"/>
        </w:rPr>
        <w:t xml:space="preserve"> can be used for non-response weighting. For example, non-response weights </w:t>
      </w:r>
      <w:proofErr w:type="gramStart"/>
      <w:r w:rsidRPr="00751F88">
        <w:rPr>
          <w:rFonts w:asciiTheme="majorHAnsi" w:hAnsiTheme="majorHAnsi" w:cstheme="majorHAnsi"/>
          <w:color w:val="000000" w:themeColor="text1"/>
          <w:sz w:val="22"/>
          <w:szCs w:val="22"/>
        </w:rPr>
        <w:t>can be constructed</w:t>
      </w:r>
      <w:proofErr w:type="gramEnd"/>
      <w:r w:rsidRPr="00751F88">
        <w:rPr>
          <w:rFonts w:asciiTheme="majorHAnsi" w:hAnsiTheme="majorHAnsi" w:cstheme="majorHAnsi"/>
          <w:color w:val="000000" w:themeColor="text1"/>
          <w:sz w:val="22"/>
          <w:szCs w:val="22"/>
        </w:rPr>
        <w:t xml:space="preserve"> based on estimated response propensities or on weighting class adjustments. Response propensities </w:t>
      </w:r>
      <w:proofErr w:type="gramStart"/>
      <w:r w:rsidRPr="00751F88">
        <w:rPr>
          <w:rFonts w:asciiTheme="majorHAnsi" w:hAnsiTheme="majorHAnsi" w:cstheme="majorHAnsi"/>
          <w:color w:val="000000" w:themeColor="text1"/>
          <w:sz w:val="22"/>
          <w:szCs w:val="22"/>
        </w:rPr>
        <w:t>are designed</w:t>
      </w:r>
      <w:proofErr w:type="gramEnd"/>
      <w:r w:rsidRPr="00751F88">
        <w:rPr>
          <w:rFonts w:asciiTheme="majorHAnsi" w:hAnsiTheme="majorHAnsi" w:cstheme="majorHAnsi"/>
          <w:color w:val="000000" w:themeColor="text1"/>
          <w:sz w:val="22"/>
          <w:szCs w:val="22"/>
        </w:rPr>
        <w:t xml:space="preserve"> to treat non-response as a stochastic process in which there are shared causes of the likelihood of non-response and the value of the survey variable. The weighting class approach assumes that within a weighting class (typically </w:t>
      </w:r>
      <w:proofErr w:type="gramStart"/>
      <w:r w:rsidRPr="00751F88">
        <w:rPr>
          <w:rFonts w:asciiTheme="majorHAnsi" w:hAnsiTheme="majorHAnsi" w:cstheme="majorHAnsi"/>
          <w:color w:val="000000" w:themeColor="text1"/>
          <w:sz w:val="22"/>
          <w:szCs w:val="22"/>
        </w:rPr>
        <w:t>demographically-defined</w:t>
      </w:r>
      <w:proofErr w:type="gramEnd"/>
      <w:r w:rsidRPr="00751F88">
        <w:rPr>
          <w:rFonts w:asciiTheme="majorHAnsi" w:hAnsiTheme="majorHAnsi" w:cstheme="majorHAnsi"/>
          <w:color w:val="000000" w:themeColor="text1"/>
          <w:sz w:val="22"/>
          <w:szCs w:val="22"/>
        </w:rPr>
        <w:t xml:space="preserve">), non-respondents and respondents have the same or very similar distributions on the survey variables. If this model assumption holds, then applying weights to the respondents reduces bias in the estimator that is due to non-response. Several factors, including the difference between the sample and population distributions of demographic characteristics, and the plan for how to use weights in the regression models will determine which approach is most efficient for both estimating population parameters and for the stated-preference modeling. </w:t>
      </w:r>
    </w:p>
    <w:p w:rsidRPr="00751F88" w:rsidR="00E6388A" w:rsidP="00E6388A" w:rsidRDefault="00E6388A">
      <w:pPr>
        <w:pStyle w:val="Style1"/>
        <w:numPr>
          <w:ilvl w:val="0"/>
          <w:numId w:val="7"/>
        </w:numPr>
        <w:rPr>
          <w:rFonts w:eastAsiaTheme="minorEastAsia" w:cstheme="majorHAnsi"/>
          <w:color w:val="000000" w:themeColor="text1"/>
        </w:rPr>
      </w:pPr>
      <w:r w:rsidRPr="00751F88">
        <w:rPr>
          <w:rFonts w:eastAsiaTheme="minorEastAsia" w:cstheme="majorHAnsi"/>
          <w:color w:val="000000" w:themeColor="text1"/>
        </w:rPr>
        <w:t>Experimental Design</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As the complexity of the research question increases (more vignette factors and/or more levels for the vignette factors), so does the number of possible vignette combinations. For the proposed study, the factorial combination of all six factors results in a population of </w:t>
      </w:r>
      <m:oMath>
        <m:sSup>
          <m:sSupPr>
            <m:ctrlPr>
              <w:rPr>
                <w:rFonts w:ascii="Cambria Math" w:hAnsi="Cambria Math" w:cstheme="majorHAnsi"/>
                <w:i/>
                <w:color w:val="000000" w:themeColor="text1"/>
                <w:sz w:val="22"/>
                <w:szCs w:val="22"/>
              </w:rPr>
            </m:ctrlPr>
          </m:sSupPr>
          <m:e>
            <m:r>
              <w:rPr>
                <w:rFonts w:ascii="Cambria Math" w:hAnsi="Cambria Math" w:cstheme="majorHAnsi"/>
                <w:color w:val="000000" w:themeColor="text1"/>
                <w:sz w:val="22"/>
                <w:szCs w:val="22"/>
              </w:rPr>
              <m:t>3</m:t>
            </m:r>
          </m:e>
          <m:sup>
            <m:r>
              <w:rPr>
                <w:rFonts w:ascii="Cambria Math" w:hAnsi="Cambria Math" w:cstheme="majorHAnsi"/>
                <w:color w:val="000000" w:themeColor="text1"/>
                <w:sz w:val="22"/>
                <w:szCs w:val="22"/>
              </w:rPr>
              <m:t>6</m:t>
            </m:r>
          </m:sup>
        </m:sSup>
        <m:r>
          <w:rPr>
            <w:rFonts w:ascii="Cambria Math" w:hAnsi="Cambria Math" w:cstheme="majorHAnsi"/>
            <w:color w:val="000000" w:themeColor="text1"/>
            <w:sz w:val="22"/>
            <w:szCs w:val="22"/>
          </w:rPr>
          <m:t>=729</m:t>
        </m:r>
      </m:oMath>
      <w:r w:rsidRPr="00751F88">
        <w:rPr>
          <w:rFonts w:asciiTheme="majorHAnsi" w:hAnsiTheme="majorHAnsi" w:eastAsiaTheme="minorEastAsia" w:cstheme="majorHAnsi"/>
          <w:color w:val="000000" w:themeColor="text1"/>
          <w:sz w:val="22"/>
          <w:szCs w:val="22"/>
        </w:rPr>
        <w:t xml:space="preserve"> possible vignettes. However, this is neither useful (respondents would get tired of the repetition) nor required because three-way and higher-order interaction effects are rarely of importance. Therefore, the entire vignette population </w:t>
      </w:r>
      <w:proofErr w:type="gramStart"/>
      <w:r w:rsidRPr="00751F88">
        <w:rPr>
          <w:rFonts w:asciiTheme="majorHAnsi" w:hAnsiTheme="majorHAnsi" w:eastAsiaTheme="minorEastAsia" w:cstheme="majorHAnsi"/>
          <w:color w:val="000000" w:themeColor="text1"/>
          <w:sz w:val="22"/>
          <w:szCs w:val="22"/>
        </w:rPr>
        <w:t>is systematically partitioned</w:t>
      </w:r>
      <w:proofErr w:type="gramEnd"/>
      <w:r w:rsidRPr="00751F88">
        <w:rPr>
          <w:rFonts w:asciiTheme="majorHAnsi" w:hAnsiTheme="majorHAnsi" w:eastAsiaTheme="minorEastAsia" w:cstheme="majorHAnsi"/>
          <w:color w:val="000000" w:themeColor="text1"/>
          <w:sz w:val="22"/>
          <w:szCs w:val="22"/>
        </w:rPr>
        <w:t xml:space="preserve"> into small and mutually exclusive sets such that </w:t>
      </w:r>
      <w:r w:rsidRPr="00751F88">
        <w:rPr>
          <w:rFonts w:asciiTheme="majorHAnsi" w:hAnsiTheme="majorHAnsi" w:cstheme="majorHAnsi"/>
          <w:color w:val="000000" w:themeColor="text1"/>
          <w:sz w:val="22"/>
          <w:szCs w:val="22"/>
        </w:rPr>
        <w:t xml:space="preserve">all main effects and two-way interaction effects remain estimable. </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In order to create vignette sets, an optimized design of 18 vignettes </w:t>
      </w:r>
      <w:proofErr w:type="gramStart"/>
      <w:r w:rsidRPr="00751F88">
        <w:rPr>
          <w:rFonts w:asciiTheme="majorHAnsi" w:hAnsiTheme="majorHAnsi" w:cstheme="majorHAnsi"/>
          <w:color w:val="000000" w:themeColor="text1"/>
          <w:sz w:val="22"/>
          <w:szCs w:val="22"/>
        </w:rPr>
        <w:t>was selected</w:t>
      </w:r>
      <w:proofErr w:type="gramEnd"/>
      <w:r w:rsidRPr="00751F88">
        <w:rPr>
          <w:rFonts w:asciiTheme="majorHAnsi" w:hAnsiTheme="majorHAnsi" w:cstheme="majorHAnsi"/>
          <w:color w:val="000000" w:themeColor="text1"/>
          <w:sz w:val="22"/>
          <w:szCs w:val="22"/>
        </w:rPr>
        <w:t xml:space="preserve"> from the vignette population using the </w:t>
      </w:r>
      <w:proofErr w:type="spellStart"/>
      <w:r w:rsidRPr="00943401">
        <w:rPr>
          <w:rFonts w:asciiTheme="majorHAnsi" w:hAnsiTheme="majorHAnsi" w:cstheme="majorHAnsi"/>
          <w:color w:val="000000" w:themeColor="text1"/>
          <w:sz w:val="22"/>
          <w:szCs w:val="22"/>
        </w:rPr>
        <w:t>DoE.base</w:t>
      </w:r>
      <w:proofErr w:type="spellEnd"/>
      <w:r w:rsidRPr="00943401">
        <w:rPr>
          <w:rFonts w:asciiTheme="majorHAnsi" w:hAnsiTheme="majorHAnsi" w:cstheme="majorHAnsi"/>
          <w:color w:val="000000" w:themeColor="text1"/>
          <w:sz w:val="22"/>
          <w:szCs w:val="22"/>
        </w:rPr>
        <w:t xml:space="preserve"> package in R</w:t>
      </w:r>
      <w:r>
        <w:rPr>
          <w:rFonts w:asciiTheme="majorHAnsi" w:hAnsiTheme="majorHAnsi" w:cstheme="majorHAnsi"/>
          <w:color w:val="000000" w:themeColor="text1"/>
          <w:sz w:val="22"/>
          <w:szCs w:val="22"/>
        </w:rPr>
        <w:t xml:space="preserve"> (</w:t>
      </w:r>
      <w:proofErr w:type="spellStart"/>
      <w:r>
        <w:rPr>
          <w:rFonts w:asciiTheme="majorHAnsi" w:hAnsiTheme="majorHAnsi" w:cstheme="majorHAnsi"/>
          <w:color w:val="000000" w:themeColor="text1"/>
          <w:sz w:val="22"/>
          <w:szCs w:val="22"/>
        </w:rPr>
        <w:t>Groemping</w:t>
      </w:r>
      <w:proofErr w:type="spellEnd"/>
      <w:r>
        <w:rPr>
          <w:rFonts w:asciiTheme="majorHAnsi" w:hAnsiTheme="majorHAnsi" w:cstheme="majorHAnsi"/>
          <w:color w:val="000000" w:themeColor="text1"/>
          <w:sz w:val="22"/>
          <w:szCs w:val="22"/>
        </w:rPr>
        <w:t>, 2029)</w:t>
      </w:r>
      <w:r w:rsidRPr="00751F88">
        <w:rPr>
          <w:rFonts w:asciiTheme="majorHAnsi" w:hAnsiTheme="majorHAnsi" w:cstheme="majorHAnsi"/>
          <w:color w:val="000000" w:themeColor="text1"/>
          <w:sz w:val="22"/>
          <w:szCs w:val="22"/>
        </w:rPr>
        <w:t xml:space="preserve">. The “who pays” factor was then used as a blocking factor to form three sets of six vignettes – one set consisting of vignettes describing only residents of coastal New Hampshire paying, another describing all residents of New Hampshire paying, and another describing anyone who resides in or visits coastal New Hampshire paying. A set size of six vignettes </w:t>
      </w:r>
      <w:proofErr w:type="gramStart"/>
      <w:r w:rsidRPr="00751F88">
        <w:rPr>
          <w:rFonts w:asciiTheme="majorHAnsi" w:hAnsiTheme="majorHAnsi" w:cstheme="majorHAnsi"/>
          <w:color w:val="000000" w:themeColor="text1"/>
          <w:sz w:val="22"/>
          <w:szCs w:val="22"/>
        </w:rPr>
        <w:t>was chosen</w:t>
      </w:r>
      <w:proofErr w:type="gramEnd"/>
      <w:r w:rsidRPr="00751F88">
        <w:rPr>
          <w:rFonts w:asciiTheme="majorHAnsi" w:hAnsiTheme="majorHAnsi" w:cstheme="majorHAnsi"/>
          <w:color w:val="000000" w:themeColor="text1"/>
          <w:sz w:val="22"/>
          <w:szCs w:val="22"/>
        </w:rPr>
        <w:t xml:space="preserve"> for three reasons. First, six vignettes can be judged by each respondent without getting tired or frustrated over the repetitive task. Second, respondents can compare and assess the six vignettes simultaneously instead of sequentially. This helps to avoid sequence and carry over effects and, thus, increases the reliability of vignette measurements. Third, the systematic confounding according to the RBCF-3</w:t>
      </w:r>
      <w:r w:rsidRPr="00751F88">
        <w:rPr>
          <w:rFonts w:asciiTheme="majorHAnsi" w:hAnsiTheme="majorHAnsi" w:cstheme="majorHAnsi"/>
          <w:color w:val="000000" w:themeColor="text1"/>
          <w:sz w:val="22"/>
          <w:szCs w:val="22"/>
          <w:vertAlign w:val="superscript"/>
        </w:rPr>
        <w:t xml:space="preserve">5 </w:t>
      </w:r>
      <w:r w:rsidRPr="00751F88">
        <w:rPr>
          <w:rFonts w:asciiTheme="majorHAnsi" w:hAnsiTheme="majorHAnsi" w:cstheme="majorHAnsi"/>
          <w:color w:val="000000" w:themeColor="text1"/>
          <w:sz w:val="22"/>
          <w:szCs w:val="22"/>
        </w:rPr>
        <w:t>design still allows us to estimate all main and two-way interaction effects without any confounding.</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Splitting the overall vignette population into three “who pays” subpopulations is referred to as a confounding factorial design and results in vignette sets that do not vary the “who pays” factor. Consequently, a single respondent will never see different “who pays” vignettes simultaneously, implying that this vignette factor is a </w:t>
      </w:r>
      <w:r w:rsidRPr="00751F88">
        <w:rPr>
          <w:rFonts w:asciiTheme="majorHAnsi" w:hAnsiTheme="majorHAnsi" w:cstheme="majorHAnsi"/>
          <w:i/>
          <w:color w:val="000000" w:themeColor="text1"/>
          <w:sz w:val="22"/>
          <w:szCs w:val="22"/>
        </w:rPr>
        <w:t>between-subjects</w:t>
      </w:r>
      <w:r w:rsidRPr="00751F88">
        <w:rPr>
          <w:rFonts w:asciiTheme="majorHAnsi" w:hAnsiTheme="majorHAnsi" w:cstheme="majorHAnsi"/>
          <w:color w:val="000000" w:themeColor="text1"/>
          <w:sz w:val="22"/>
          <w:szCs w:val="22"/>
        </w:rPr>
        <w:t xml:space="preserve"> factor while all other vignette factors are </w:t>
      </w:r>
      <w:r w:rsidRPr="00751F88">
        <w:rPr>
          <w:rFonts w:asciiTheme="majorHAnsi" w:hAnsiTheme="majorHAnsi" w:cstheme="majorHAnsi"/>
          <w:i/>
          <w:color w:val="000000" w:themeColor="text1"/>
          <w:sz w:val="22"/>
          <w:szCs w:val="22"/>
        </w:rPr>
        <w:t>within-subjects</w:t>
      </w:r>
      <w:r w:rsidRPr="00751F88">
        <w:rPr>
          <w:rFonts w:asciiTheme="majorHAnsi" w:hAnsiTheme="majorHAnsi" w:cstheme="majorHAnsi"/>
          <w:color w:val="000000" w:themeColor="text1"/>
          <w:sz w:val="22"/>
          <w:szCs w:val="22"/>
        </w:rPr>
        <w:t xml:space="preserve"> factors. It is essential in a between-subjects experiment that the potential respondents within the different vignette subpopulations are highly similar to each other so that extraneous respondent variables across subpopulations do not become confounding variables. To address this concern, the vignette subpopulations </w:t>
      </w:r>
      <w:proofErr w:type="gramStart"/>
      <w:r w:rsidRPr="00751F88">
        <w:rPr>
          <w:rFonts w:asciiTheme="majorHAnsi" w:hAnsiTheme="majorHAnsi" w:cstheme="majorHAnsi"/>
          <w:color w:val="000000" w:themeColor="text1"/>
          <w:sz w:val="22"/>
          <w:szCs w:val="22"/>
        </w:rPr>
        <w:t>will be distributed</w:t>
      </w:r>
      <w:proofErr w:type="gramEnd"/>
      <w:r w:rsidRPr="00751F88">
        <w:rPr>
          <w:rFonts w:asciiTheme="majorHAnsi" w:hAnsiTheme="majorHAnsi" w:cstheme="majorHAnsi"/>
          <w:color w:val="000000" w:themeColor="text1"/>
          <w:sz w:val="22"/>
          <w:szCs w:val="22"/>
        </w:rPr>
        <w:t xml:space="preserve"> evenly and randomly within each strata and respondent characteristics will be controlled for in analysis. Additionally, vignettes </w:t>
      </w:r>
      <w:proofErr w:type="gramStart"/>
      <w:r w:rsidRPr="00751F88">
        <w:rPr>
          <w:rFonts w:asciiTheme="majorHAnsi" w:hAnsiTheme="majorHAnsi" w:cstheme="majorHAnsi"/>
          <w:color w:val="000000" w:themeColor="text1"/>
          <w:sz w:val="22"/>
          <w:szCs w:val="22"/>
        </w:rPr>
        <w:t>will be randomly ordered</w:t>
      </w:r>
      <w:proofErr w:type="gramEnd"/>
      <w:r w:rsidRPr="00751F88">
        <w:rPr>
          <w:rFonts w:asciiTheme="majorHAnsi" w:hAnsiTheme="majorHAnsi" w:cstheme="majorHAnsi"/>
          <w:color w:val="000000" w:themeColor="text1"/>
          <w:sz w:val="22"/>
          <w:szCs w:val="22"/>
        </w:rPr>
        <w:t xml:space="preserve"> within sets to reduce ordering effects. The final design </w:t>
      </w:r>
      <w:proofErr w:type="gramStart"/>
      <w:r w:rsidRPr="00751F88">
        <w:rPr>
          <w:rFonts w:asciiTheme="majorHAnsi" w:hAnsiTheme="majorHAnsi" w:cstheme="majorHAnsi"/>
          <w:color w:val="000000" w:themeColor="text1"/>
          <w:sz w:val="22"/>
          <w:szCs w:val="22"/>
        </w:rPr>
        <w:t>can be found</w:t>
      </w:r>
      <w:proofErr w:type="gramEnd"/>
      <w:r w:rsidRPr="00751F88">
        <w:rPr>
          <w:rFonts w:asciiTheme="majorHAnsi" w:hAnsiTheme="majorHAnsi" w:cstheme="majorHAnsi"/>
          <w:color w:val="000000" w:themeColor="text1"/>
          <w:sz w:val="22"/>
          <w:szCs w:val="22"/>
        </w:rPr>
        <w:t xml:space="preserve"> in </w:t>
      </w:r>
      <w:r w:rsidR="00E232C7">
        <w:rPr>
          <w:rFonts w:asciiTheme="majorHAnsi" w:hAnsiTheme="majorHAnsi" w:cstheme="majorHAnsi"/>
          <w:color w:val="000000" w:themeColor="text1"/>
          <w:sz w:val="22"/>
          <w:szCs w:val="22"/>
        </w:rPr>
        <w:t>the Vignette supporting document</w:t>
      </w:r>
      <w:r w:rsidRPr="00751F88">
        <w:rPr>
          <w:rFonts w:asciiTheme="majorHAnsi" w:hAnsiTheme="majorHAnsi" w:cstheme="majorHAnsi"/>
          <w:color w:val="000000" w:themeColor="text1"/>
          <w:sz w:val="22"/>
          <w:szCs w:val="22"/>
        </w:rPr>
        <w:t>.</w:t>
      </w:r>
    </w:p>
    <w:p w:rsidRPr="00751F88" w:rsidR="00E6388A" w:rsidP="00E6388A" w:rsidRDefault="00E6388A">
      <w:pPr>
        <w:pStyle w:val="Style1"/>
        <w:numPr>
          <w:ilvl w:val="0"/>
          <w:numId w:val="7"/>
        </w:numPr>
        <w:spacing w:before="0" w:after="120"/>
        <w:rPr>
          <w:rFonts w:cstheme="majorHAnsi"/>
          <w:color w:val="000000" w:themeColor="text1"/>
        </w:rPr>
      </w:pPr>
      <w:r w:rsidRPr="00751F88">
        <w:rPr>
          <w:rFonts w:cstheme="majorHAnsi"/>
          <w:color w:val="000000" w:themeColor="text1"/>
        </w:rPr>
        <w:t xml:space="preserve">Estimation Procedures </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first step of analysis is to investigate whether respondents significantly differ between the three “who pay” vignette subpopulations. This is important because this is a between-subjects factor and prone to biases caused by differences between the respondent groups. However, given that the vignette subpopulations </w:t>
      </w:r>
      <w:proofErr w:type="gramStart"/>
      <w:r w:rsidRPr="00751F88">
        <w:rPr>
          <w:rFonts w:asciiTheme="majorHAnsi" w:hAnsiTheme="majorHAnsi" w:cstheme="majorHAnsi"/>
          <w:color w:val="000000" w:themeColor="text1"/>
          <w:sz w:val="22"/>
          <w:szCs w:val="22"/>
        </w:rPr>
        <w:t>will be evenly and randomly distributed</w:t>
      </w:r>
      <w:proofErr w:type="gramEnd"/>
      <w:r w:rsidRPr="00751F88">
        <w:rPr>
          <w:rFonts w:asciiTheme="majorHAnsi" w:hAnsiTheme="majorHAnsi" w:cstheme="majorHAnsi"/>
          <w:color w:val="000000" w:themeColor="text1"/>
          <w:sz w:val="22"/>
          <w:szCs w:val="22"/>
        </w:rPr>
        <w:t xml:space="preserve"> within each strata, the risk of bias is low.</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main component of the analysis is a multilevel model modeling with vignettes as level-one units and respondents as level-two units. The goal is to estimate the effects of the vignette factors and respondent characteristics on support for the proposed policies. The mathematical equation system for a multilevel model is as follows:</w:t>
      </w:r>
    </w:p>
    <w:p w:rsidRPr="00751F88" w:rsidR="00E6388A" w:rsidP="00E6388A" w:rsidRDefault="00E6388A">
      <w:pPr>
        <w:spacing w:after="120"/>
        <w:rPr>
          <w:rFonts w:asciiTheme="majorHAnsi" w:hAnsiTheme="majorHAnsi" w:eastAsiaTheme="minorEastAsia" w:cstheme="majorHAnsi"/>
          <w:color w:val="000000" w:themeColor="text1"/>
          <w:sz w:val="22"/>
          <w:szCs w:val="22"/>
        </w:rPr>
      </w:pPr>
      <w:r w:rsidRPr="00751F88">
        <w:rPr>
          <w:rFonts w:asciiTheme="majorHAnsi" w:hAnsiTheme="majorHAnsi" w:cstheme="majorHAnsi"/>
          <w:color w:val="000000" w:themeColor="text1"/>
          <w:sz w:val="22"/>
          <w:szCs w:val="22"/>
        </w:rPr>
        <w:t xml:space="preserve">Vignette Level (Level 1):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Y</m:t>
            </m:r>
          </m:e>
          <m:sub>
            <m:r>
              <w:rPr>
                <w:rFonts w:ascii="Cambria Math" w:hAnsi="Cambria Math" w:cstheme="majorHAnsi"/>
                <w:color w:val="000000" w:themeColor="text1"/>
                <w:sz w:val="22"/>
                <w:szCs w:val="22"/>
              </w:rPr>
              <m:t>ij</m:t>
            </m:r>
          </m:sub>
        </m:sSub>
        <m:r>
          <w:rPr>
            <w:rFonts w:ascii="Cambria Math" w:hAnsi="Cambria Math" w:cstheme="majorHAnsi"/>
            <w:color w:val="000000" w:themeColor="text1"/>
            <w:sz w:val="22"/>
            <w:szCs w:val="22"/>
          </w:rPr>
          <m:t>=</m:t>
        </m:r>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β</m:t>
            </m:r>
          </m:e>
          <m:sub>
            <m:r>
              <w:rPr>
                <w:rFonts w:ascii="Cambria Math" w:hAnsi="Cambria Math" w:cstheme="majorHAnsi"/>
                <w:color w:val="000000" w:themeColor="text1"/>
                <w:sz w:val="22"/>
                <w:szCs w:val="22"/>
              </w:rPr>
              <m:t>0j</m:t>
            </m:r>
          </m:sub>
        </m:sSub>
        <m:r>
          <w:rPr>
            <w:rFonts w:ascii="Cambria Math" w:hAnsi="Cambria Math" w:cstheme="majorHAnsi"/>
            <w:color w:val="000000" w:themeColor="text1"/>
            <w:sz w:val="22"/>
            <w:szCs w:val="22"/>
          </w:rPr>
          <m:t>+</m:t>
        </m:r>
        <m:sSubSup>
          <m:sSubSupPr>
            <m:ctrlPr>
              <w:rPr>
                <w:rFonts w:ascii="Cambria Math" w:hAnsi="Cambria Math" w:cstheme="majorHAnsi"/>
                <w:b/>
                <w:i/>
                <w:color w:val="000000" w:themeColor="text1"/>
                <w:sz w:val="22"/>
                <w:szCs w:val="22"/>
              </w:rPr>
            </m:ctrlPr>
          </m:sSubSupPr>
          <m:e>
            <m:r>
              <m:rPr>
                <m:sty m:val="bi"/>
              </m:rPr>
              <w:rPr>
                <w:rFonts w:ascii="Cambria Math" w:hAnsi="Cambria Math" w:cstheme="majorHAnsi"/>
                <w:color w:val="000000" w:themeColor="text1"/>
                <w:sz w:val="22"/>
                <w:szCs w:val="22"/>
              </w:rPr>
              <m:t>X</m:t>
            </m:r>
          </m:e>
          <m:sub>
            <m:r>
              <m:rPr>
                <m:sty m:val="bi"/>
              </m:rPr>
              <w:rPr>
                <w:rFonts w:ascii="Cambria Math" w:hAnsi="Cambria Math" w:cstheme="majorHAnsi"/>
                <w:color w:val="000000" w:themeColor="text1"/>
                <w:sz w:val="22"/>
                <w:szCs w:val="22"/>
              </w:rPr>
              <m:t>ij</m:t>
            </m:r>
          </m:sub>
          <m:sup>
            <m:r>
              <m:rPr>
                <m:sty m:val="bi"/>
              </m:rPr>
              <w:rPr>
                <w:rFonts w:ascii="Cambria Math" w:hAnsi="Cambria Math" w:cstheme="majorHAnsi"/>
                <w:color w:val="000000" w:themeColor="text1"/>
                <w:sz w:val="22"/>
                <w:szCs w:val="22"/>
              </w:rPr>
              <m:t>'</m:t>
            </m:r>
          </m:sup>
        </m:sSubSup>
        <m:r>
          <m:rPr>
            <m:sty m:val="bi"/>
          </m:rPr>
          <w:rPr>
            <w:rFonts w:ascii="Cambria Math" w:hAnsi="Cambria Math" w:cstheme="majorHAnsi"/>
            <w:color w:val="000000" w:themeColor="text1"/>
            <w:sz w:val="22"/>
            <w:szCs w:val="22"/>
          </w:rPr>
          <m:t>β</m:t>
        </m:r>
        <m:r>
          <w:rPr>
            <w:rFonts w:ascii="Cambria Math" w:hAnsi="Cambria Math" w:cstheme="majorHAnsi"/>
            <w:color w:val="000000" w:themeColor="text1"/>
            <w:sz w:val="22"/>
            <w:szCs w:val="22"/>
          </w:rPr>
          <m:t>+</m:t>
        </m:r>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r</m:t>
            </m:r>
          </m:e>
          <m:sub>
            <m:r>
              <w:rPr>
                <w:rFonts w:ascii="Cambria Math" w:hAnsi="Cambria Math" w:cstheme="majorHAnsi"/>
                <w:color w:val="000000" w:themeColor="text1"/>
                <w:sz w:val="22"/>
                <w:szCs w:val="22"/>
              </w:rPr>
              <m:t>ij</m:t>
            </m:r>
          </m:sub>
        </m:sSub>
      </m:oMath>
    </w:p>
    <w:p w:rsidRPr="00751F88" w:rsidR="00E6388A" w:rsidP="00E6388A" w:rsidRDefault="00E6388A">
      <w:pPr>
        <w:spacing w:after="120"/>
        <w:rPr>
          <w:rFonts w:asciiTheme="majorHAnsi" w:hAnsiTheme="majorHAnsi" w:eastAsiaTheme="minorEastAsia" w:cstheme="majorHAnsi"/>
          <w:color w:val="000000" w:themeColor="text1"/>
          <w:sz w:val="22"/>
          <w:szCs w:val="22"/>
        </w:rPr>
      </w:pPr>
      <w:r w:rsidRPr="00751F88">
        <w:rPr>
          <w:rFonts w:asciiTheme="majorHAnsi" w:hAnsiTheme="majorHAnsi" w:eastAsiaTheme="minorEastAsia" w:cstheme="majorHAnsi"/>
          <w:color w:val="000000" w:themeColor="text1"/>
          <w:sz w:val="22"/>
          <w:szCs w:val="22"/>
        </w:rPr>
        <w:t xml:space="preserve">Respondent Level (Level 2):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β</m:t>
            </m:r>
          </m:e>
          <m:sub>
            <m:r>
              <w:rPr>
                <w:rFonts w:ascii="Cambria Math" w:hAnsi="Cambria Math" w:cstheme="majorHAnsi"/>
                <w:color w:val="000000" w:themeColor="text1"/>
                <w:sz w:val="22"/>
                <w:szCs w:val="22"/>
              </w:rPr>
              <m:t>0j</m:t>
            </m:r>
          </m:sub>
        </m:sSub>
        <m:r>
          <w:rPr>
            <w:rFonts w:ascii="Cambria Math" w:hAnsi="Cambria Math" w:cstheme="majorHAnsi"/>
            <w:color w:val="000000" w:themeColor="text1"/>
            <w:sz w:val="22"/>
            <w:szCs w:val="22"/>
          </w:rPr>
          <m:t>=</m:t>
        </m:r>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γ</m:t>
            </m:r>
          </m:e>
          <m:sub>
            <m:r>
              <w:rPr>
                <w:rFonts w:ascii="Cambria Math" w:hAnsi="Cambria Math" w:cstheme="majorHAnsi"/>
                <w:color w:val="000000" w:themeColor="text1"/>
                <w:sz w:val="22"/>
                <w:szCs w:val="22"/>
              </w:rPr>
              <m:t>00</m:t>
            </m:r>
          </m:sub>
        </m:sSub>
        <m:r>
          <w:rPr>
            <w:rFonts w:ascii="Cambria Math" w:hAnsi="Cambria Math" w:cstheme="majorHAnsi"/>
            <w:color w:val="000000" w:themeColor="text1"/>
            <w:sz w:val="22"/>
            <w:szCs w:val="22"/>
          </w:rPr>
          <m:t>+</m:t>
        </m:r>
        <m:sSubSup>
          <m:sSubSupPr>
            <m:ctrlPr>
              <w:rPr>
                <w:rFonts w:ascii="Cambria Math" w:hAnsi="Cambria Math" w:cstheme="majorHAnsi"/>
                <w:b/>
                <w:i/>
                <w:color w:val="000000" w:themeColor="text1"/>
                <w:sz w:val="22"/>
                <w:szCs w:val="22"/>
              </w:rPr>
            </m:ctrlPr>
          </m:sSubSupPr>
          <m:e>
            <m:r>
              <m:rPr>
                <m:sty m:val="bi"/>
              </m:rPr>
              <w:rPr>
                <w:rFonts w:ascii="Cambria Math" w:hAnsi="Cambria Math" w:cstheme="majorHAnsi"/>
                <w:color w:val="000000" w:themeColor="text1"/>
                <w:sz w:val="22"/>
                <w:szCs w:val="22"/>
              </w:rPr>
              <m:t>set</m:t>
            </m:r>
          </m:e>
          <m:sub>
            <m:r>
              <m:rPr>
                <m:sty m:val="bi"/>
              </m:rPr>
              <w:rPr>
                <w:rFonts w:ascii="Cambria Math" w:hAnsi="Cambria Math" w:cstheme="majorHAnsi"/>
                <w:color w:val="000000" w:themeColor="text1"/>
                <w:sz w:val="22"/>
                <w:szCs w:val="22"/>
              </w:rPr>
              <m:t>j</m:t>
            </m:r>
          </m:sub>
          <m:sup>
            <m:r>
              <m:rPr>
                <m:sty m:val="bi"/>
              </m:rPr>
              <w:rPr>
                <w:rFonts w:ascii="Cambria Math" w:hAnsi="Cambria Math" w:cstheme="majorHAnsi"/>
                <w:color w:val="000000" w:themeColor="text1"/>
                <w:sz w:val="22"/>
                <w:szCs w:val="22"/>
              </w:rPr>
              <m:t>'</m:t>
            </m:r>
          </m:sup>
        </m:sSubSup>
        <m:sSub>
          <m:sSubPr>
            <m:ctrlPr>
              <w:rPr>
                <w:rFonts w:ascii="Cambria Math" w:hAnsi="Cambria Math" w:cstheme="majorHAnsi"/>
                <w:b/>
                <w:i/>
                <w:color w:val="000000" w:themeColor="text1"/>
                <w:sz w:val="22"/>
                <w:szCs w:val="22"/>
              </w:rPr>
            </m:ctrlPr>
          </m:sSubPr>
          <m:e>
            <m:r>
              <m:rPr>
                <m:sty m:val="bi"/>
              </m:rPr>
              <w:rPr>
                <w:rFonts w:ascii="Cambria Math" w:hAnsi="Cambria Math" w:cstheme="majorHAnsi"/>
                <w:color w:val="000000" w:themeColor="text1"/>
                <w:sz w:val="22"/>
                <w:szCs w:val="22"/>
              </w:rPr>
              <m:t>γ</m:t>
            </m:r>
          </m:e>
          <m:sub>
            <m:r>
              <m:rPr>
                <m:sty m:val="bi"/>
              </m:rPr>
              <w:rPr>
                <w:rFonts w:ascii="Cambria Math" w:hAnsi="Cambria Math" w:cstheme="majorHAnsi"/>
                <w:color w:val="000000" w:themeColor="text1"/>
                <w:sz w:val="22"/>
                <w:szCs w:val="22"/>
              </w:rPr>
              <m:t>01</m:t>
            </m:r>
          </m:sub>
        </m:sSub>
        <m:r>
          <m:rPr>
            <m:sty m:val="bi"/>
          </m:rPr>
          <w:rPr>
            <w:rFonts w:ascii="Cambria Math" w:hAnsi="Cambria Math" w:cstheme="majorHAnsi"/>
            <w:color w:val="000000" w:themeColor="text1"/>
            <w:sz w:val="22"/>
            <w:szCs w:val="22"/>
          </w:rPr>
          <m:t>+</m:t>
        </m:r>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γ</m:t>
            </m:r>
          </m:e>
          <m:sub>
            <m:r>
              <w:rPr>
                <w:rFonts w:ascii="Cambria Math" w:hAnsi="Cambria Math" w:cstheme="majorHAnsi"/>
                <w:color w:val="000000" w:themeColor="text1"/>
                <w:sz w:val="22"/>
                <w:szCs w:val="22"/>
              </w:rPr>
              <m:t>02</m:t>
            </m:r>
          </m:sub>
        </m:sSub>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vpay</m:t>
            </m:r>
          </m:e>
          <m:sub>
            <m:r>
              <w:rPr>
                <w:rFonts w:ascii="Cambria Math" w:hAnsi="Cambria Math" w:cstheme="majorHAnsi"/>
                <w:color w:val="000000" w:themeColor="text1"/>
                <w:sz w:val="22"/>
                <w:szCs w:val="22"/>
              </w:rPr>
              <m:t>j</m:t>
            </m:r>
          </m:sub>
        </m:sSub>
        <m:r>
          <w:rPr>
            <w:rFonts w:ascii="Cambria Math" w:hAnsi="Cambria Math" w:eastAsiaTheme="minorEastAsia" w:cstheme="majorHAnsi"/>
            <w:color w:val="000000" w:themeColor="text1"/>
            <w:sz w:val="22"/>
            <w:szCs w:val="22"/>
          </w:rPr>
          <m:t>+</m:t>
        </m:r>
        <m:sSubSup>
          <m:sSubSupPr>
            <m:ctrlPr>
              <w:rPr>
                <w:rFonts w:ascii="Cambria Math" w:hAnsi="Cambria Math" w:eastAsiaTheme="minorEastAsia" w:cstheme="majorHAnsi"/>
                <w:b/>
                <w:i/>
                <w:color w:val="000000" w:themeColor="text1"/>
                <w:sz w:val="22"/>
                <w:szCs w:val="22"/>
              </w:rPr>
            </m:ctrlPr>
          </m:sSubSupPr>
          <m:e>
            <m:r>
              <m:rPr>
                <m:sty m:val="bi"/>
              </m:rPr>
              <w:rPr>
                <w:rFonts w:ascii="Cambria Math" w:hAnsi="Cambria Math" w:eastAsiaTheme="minorEastAsia" w:cstheme="majorHAnsi"/>
                <w:color w:val="000000" w:themeColor="text1"/>
                <w:sz w:val="22"/>
                <w:szCs w:val="22"/>
              </w:rPr>
              <m:t>strata</m:t>
            </m:r>
          </m:e>
          <m:sub>
            <m:r>
              <m:rPr>
                <m:sty m:val="bi"/>
              </m:rPr>
              <w:rPr>
                <w:rFonts w:ascii="Cambria Math" w:hAnsi="Cambria Math" w:eastAsiaTheme="minorEastAsia" w:cstheme="majorHAnsi"/>
                <w:color w:val="000000" w:themeColor="text1"/>
                <w:sz w:val="22"/>
                <w:szCs w:val="22"/>
              </w:rPr>
              <m:t>j</m:t>
            </m:r>
          </m:sub>
          <m:sup>
            <m:r>
              <m:rPr>
                <m:sty m:val="bi"/>
              </m:rPr>
              <w:rPr>
                <w:rFonts w:ascii="Cambria Math" w:hAnsi="Cambria Math" w:eastAsiaTheme="minorEastAsia" w:cstheme="majorHAnsi"/>
                <w:color w:val="000000" w:themeColor="text1"/>
                <w:sz w:val="22"/>
                <w:szCs w:val="22"/>
              </w:rPr>
              <m:t>'</m:t>
            </m:r>
          </m:sup>
        </m:sSubSup>
        <m:sSub>
          <m:sSubPr>
            <m:ctrlPr>
              <w:rPr>
                <w:rFonts w:ascii="Cambria Math" w:hAnsi="Cambria Math" w:cstheme="majorHAnsi"/>
                <w:b/>
                <w:i/>
                <w:color w:val="000000" w:themeColor="text1"/>
                <w:sz w:val="22"/>
                <w:szCs w:val="22"/>
              </w:rPr>
            </m:ctrlPr>
          </m:sSubPr>
          <m:e>
            <m:r>
              <m:rPr>
                <m:sty m:val="bi"/>
              </m:rPr>
              <w:rPr>
                <w:rFonts w:ascii="Cambria Math" w:hAnsi="Cambria Math" w:cstheme="majorHAnsi"/>
                <w:color w:val="000000" w:themeColor="text1"/>
                <w:sz w:val="22"/>
                <w:szCs w:val="22"/>
              </w:rPr>
              <m:t>γ</m:t>
            </m:r>
          </m:e>
          <m:sub>
            <m:r>
              <m:rPr>
                <m:sty m:val="bi"/>
              </m:rPr>
              <w:rPr>
                <w:rFonts w:ascii="Cambria Math" w:hAnsi="Cambria Math" w:cstheme="majorHAnsi"/>
                <w:color w:val="000000" w:themeColor="text1"/>
                <w:sz w:val="22"/>
                <w:szCs w:val="22"/>
              </w:rPr>
              <m:t>03</m:t>
            </m:r>
          </m:sub>
        </m:sSub>
        <m:r>
          <w:rPr>
            <w:rFonts w:ascii="Cambria Math" w:hAnsi="Cambria Math" w:eastAsiaTheme="minorEastAsia" w:cstheme="majorHAnsi"/>
            <w:color w:val="000000" w:themeColor="text1"/>
            <w:sz w:val="22"/>
            <w:szCs w:val="22"/>
          </w:rPr>
          <m:t>+</m:t>
        </m:r>
        <m:sSubSup>
          <m:sSubSupPr>
            <m:ctrlPr>
              <w:rPr>
                <w:rFonts w:ascii="Cambria Math" w:hAnsi="Cambria Math" w:eastAsiaTheme="minorEastAsia" w:cstheme="majorHAnsi"/>
                <w:b/>
                <w:i/>
                <w:color w:val="000000" w:themeColor="text1"/>
                <w:sz w:val="22"/>
                <w:szCs w:val="22"/>
              </w:rPr>
            </m:ctrlPr>
          </m:sSubSupPr>
          <m:e>
            <m:r>
              <m:rPr>
                <m:sty m:val="bi"/>
              </m:rPr>
              <w:rPr>
                <w:rFonts w:ascii="Cambria Math" w:hAnsi="Cambria Math" w:eastAsiaTheme="minorEastAsia" w:cstheme="majorHAnsi"/>
                <w:color w:val="000000" w:themeColor="text1"/>
                <w:sz w:val="22"/>
                <w:szCs w:val="22"/>
              </w:rPr>
              <m:t>resp</m:t>
            </m:r>
          </m:e>
          <m:sub>
            <m:r>
              <m:rPr>
                <m:sty m:val="bi"/>
              </m:rPr>
              <w:rPr>
                <w:rFonts w:ascii="Cambria Math" w:hAnsi="Cambria Math" w:eastAsiaTheme="minorEastAsia" w:cstheme="majorHAnsi"/>
                <w:color w:val="000000" w:themeColor="text1"/>
                <w:sz w:val="22"/>
                <w:szCs w:val="22"/>
              </w:rPr>
              <m:t>j</m:t>
            </m:r>
          </m:sub>
          <m:sup>
            <m:r>
              <m:rPr>
                <m:sty m:val="bi"/>
              </m:rPr>
              <w:rPr>
                <w:rFonts w:ascii="Cambria Math" w:hAnsi="Cambria Math" w:eastAsiaTheme="minorEastAsia" w:cstheme="majorHAnsi"/>
                <w:color w:val="000000" w:themeColor="text1"/>
                <w:sz w:val="22"/>
                <w:szCs w:val="22"/>
              </w:rPr>
              <m:t>'</m:t>
            </m:r>
          </m:sup>
        </m:sSubSup>
        <m:sSub>
          <m:sSubPr>
            <m:ctrlPr>
              <w:rPr>
                <w:rFonts w:ascii="Cambria Math" w:hAnsi="Cambria Math" w:cstheme="majorHAnsi"/>
                <w:b/>
                <w:i/>
                <w:color w:val="000000" w:themeColor="text1"/>
                <w:sz w:val="22"/>
                <w:szCs w:val="22"/>
              </w:rPr>
            </m:ctrlPr>
          </m:sSubPr>
          <m:e>
            <m:r>
              <m:rPr>
                <m:sty m:val="bi"/>
              </m:rPr>
              <w:rPr>
                <w:rFonts w:ascii="Cambria Math" w:hAnsi="Cambria Math" w:cstheme="majorHAnsi"/>
                <w:color w:val="000000" w:themeColor="text1"/>
                <w:sz w:val="22"/>
                <w:szCs w:val="22"/>
              </w:rPr>
              <m:t>γ</m:t>
            </m:r>
          </m:e>
          <m:sub>
            <m:r>
              <m:rPr>
                <m:sty m:val="bi"/>
              </m:rPr>
              <w:rPr>
                <w:rFonts w:ascii="Cambria Math" w:hAnsi="Cambria Math" w:cstheme="majorHAnsi"/>
                <w:color w:val="000000" w:themeColor="text1"/>
                <w:sz w:val="22"/>
                <w:szCs w:val="22"/>
              </w:rPr>
              <m:t>04</m:t>
            </m:r>
          </m:sub>
        </m:sSub>
        <m:r>
          <w:rPr>
            <w:rFonts w:ascii="Cambria Math" w:hAnsi="Cambria Math" w:eastAsiaTheme="minorEastAsia" w:cstheme="majorHAnsi"/>
            <w:color w:val="000000" w:themeColor="text1"/>
            <w:sz w:val="22"/>
            <w:szCs w:val="22"/>
          </w:rPr>
          <m:t>+</m:t>
        </m:r>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u</m:t>
            </m:r>
          </m:e>
          <m:sub>
            <m:r>
              <w:rPr>
                <w:rFonts w:ascii="Cambria Math" w:hAnsi="Cambria Math" w:cstheme="majorHAnsi"/>
                <w:color w:val="000000" w:themeColor="text1"/>
                <w:sz w:val="22"/>
                <w:szCs w:val="22"/>
              </w:rPr>
              <m:t>0j</m:t>
            </m:r>
          </m:sub>
        </m:sSub>
      </m:oMath>
    </w:p>
    <w:p w:rsidRPr="00751F88" w:rsidR="00E6388A" w:rsidP="00E6388A" w:rsidRDefault="00E6388A">
      <w:pPr>
        <w:spacing w:after="120"/>
        <w:jc w:val="both"/>
        <w:rPr>
          <w:rFonts w:asciiTheme="majorHAnsi" w:hAnsiTheme="majorHAnsi" w:eastAsiaTheme="minorEastAsia" w:cstheme="majorHAnsi"/>
          <w:color w:val="000000" w:themeColor="text1"/>
          <w:sz w:val="22"/>
          <w:szCs w:val="22"/>
        </w:rPr>
      </w:pPr>
      <w:r w:rsidRPr="00751F88">
        <w:rPr>
          <w:rFonts w:asciiTheme="majorHAnsi" w:hAnsiTheme="majorHAnsi" w:eastAsiaTheme="minorEastAsia" w:cstheme="majorHAnsi"/>
          <w:color w:val="000000" w:themeColor="text1"/>
          <w:sz w:val="22"/>
          <w:szCs w:val="22"/>
        </w:rPr>
        <w:t xml:space="preserve">In the level-one equation,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Y</m:t>
            </m:r>
          </m:e>
          <m:sub>
            <m:r>
              <w:rPr>
                <w:rFonts w:ascii="Cambria Math" w:hAnsi="Cambria Math" w:cstheme="majorHAnsi"/>
                <w:color w:val="000000" w:themeColor="text1"/>
                <w:sz w:val="22"/>
                <w:szCs w:val="22"/>
              </w:rPr>
              <m:t>ij</m:t>
            </m:r>
          </m:sub>
        </m:sSub>
      </m:oMath>
      <w:r w:rsidRPr="00751F88">
        <w:rPr>
          <w:rFonts w:asciiTheme="majorHAnsi" w:hAnsiTheme="majorHAnsi" w:eastAsiaTheme="minorEastAsia" w:cstheme="majorHAnsi"/>
          <w:color w:val="000000" w:themeColor="text1"/>
          <w:sz w:val="22"/>
          <w:szCs w:val="22"/>
        </w:rPr>
        <w:t xml:space="preserve"> is the support level for vignette </w:t>
      </w:r>
      <m:oMath>
        <m:r>
          <w:rPr>
            <w:rFonts w:ascii="Cambria Math" w:hAnsi="Cambria Math" w:eastAsiaTheme="minorEastAsia" w:cstheme="majorHAnsi"/>
            <w:color w:val="000000" w:themeColor="text1"/>
            <w:sz w:val="22"/>
            <w:szCs w:val="22"/>
          </w:rPr>
          <m:t>i</m:t>
        </m:r>
      </m:oMath>
      <w:r w:rsidRPr="00751F88">
        <w:rPr>
          <w:rFonts w:asciiTheme="majorHAnsi" w:hAnsiTheme="majorHAnsi" w:eastAsiaTheme="minorEastAsia" w:cstheme="majorHAnsi"/>
          <w:color w:val="000000" w:themeColor="text1"/>
          <w:sz w:val="22"/>
          <w:szCs w:val="22"/>
        </w:rPr>
        <w:t xml:space="preserve"> judged by respondent j.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β</m:t>
            </m:r>
          </m:e>
          <m:sub>
            <m:r>
              <w:rPr>
                <w:rFonts w:ascii="Cambria Math" w:hAnsi="Cambria Math" w:cstheme="majorHAnsi"/>
                <w:color w:val="000000" w:themeColor="text1"/>
                <w:sz w:val="22"/>
                <w:szCs w:val="22"/>
              </w:rPr>
              <m:t>0j</m:t>
            </m:r>
          </m:sub>
        </m:sSub>
      </m:oMath>
      <w:r w:rsidRPr="00751F88">
        <w:rPr>
          <w:rFonts w:asciiTheme="majorHAnsi" w:hAnsiTheme="majorHAnsi" w:eastAsiaTheme="minorEastAsia" w:cstheme="majorHAnsi"/>
          <w:color w:val="000000" w:themeColor="text1"/>
          <w:sz w:val="22"/>
          <w:szCs w:val="22"/>
        </w:rPr>
        <w:t xml:space="preserve"> is the random intercept for respondent j. </w:t>
      </w:r>
      <m:oMath>
        <m:sSub>
          <m:sSubPr>
            <m:ctrlPr>
              <w:rPr>
                <w:rFonts w:ascii="Cambria Math" w:hAnsi="Cambria Math" w:eastAsiaTheme="minorEastAsia" w:cstheme="majorHAnsi"/>
                <w:b/>
                <w:i/>
                <w:color w:val="000000" w:themeColor="text1"/>
                <w:sz w:val="22"/>
                <w:szCs w:val="22"/>
              </w:rPr>
            </m:ctrlPr>
          </m:sSubPr>
          <m:e>
            <m:r>
              <m:rPr>
                <m:sty m:val="bi"/>
              </m:rPr>
              <w:rPr>
                <w:rFonts w:ascii="Cambria Math" w:hAnsi="Cambria Math" w:eastAsiaTheme="minorEastAsia" w:cstheme="majorHAnsi"/>
                <w:color w:val="000000" w:themeColor="text1"/>
                <w:sz w:val="22"/>
                <w:szCs w:val="22"/>
              </w:rPr>
              <m:t>X</m:t>
            </m:r>
          </m:e>
          <m:sub>
            <m:r>
              <m:rPr>
                <m:sty m:val="bi"/>
              </m:rPr>
              <w:rPr>
                <w:rFonts w:ascii="Cambria Math" w:hAnsi="Cambria Math" w:eastAsiaTheme="minorEastAsia" w:cstheme="majorHAnsi"/>
                <w:color w:val="000000" w:themeColor="text1"/>
                <w:sz w:val="22"/>
                <w:szCs w:val="22"/>
              </w:rPr>
              <m:t>ij</m:t>
            </m:r>
          </m:sub>
        </m:sSub>
      </m:oMath>
      <w:r w:rsidRPr="00751F88">
        <w:rPr>
          <w:rFonts w:asciiTheme="majorHAnsi" w:hAnsiTheme="majorHAnsi" w:eastAsiaTheme="minorEastAsia" w:cstheme="majorHAnsi"/>
          <w:color w:val="000000" w:themeColor="text1"/>
          <w:sz w:val="22"/>
          <w:szCs w:val="22"/>
        </w:rPr>
        <w:t xml:space="preserve"> is the design vector containing the levels of the vignette factors (wetlands, sand dunes, armoring, flooding, and erosion) and selected interaction terms and </w:t>
      </w:r>
      <m:oMath>
        <m:r>
          <m:rPr>
            <m:sty m:val="bi"/>
          </m:rPr>
          <w:rPr>
            <w:rFonts w:ascii="Cambria Math" w:hAnsi="Cambria Math" w:cstheme="majorHAnsi"/>
            <w:color w:val="000000" w:themeColor="text1"/>
            <w:sz w:val="22"/>
            <w:szCs w:val="22"/>
          </w:rPr>
          <m:t>β</m:t>
        </m:r>
      </m:oMath>
      <w:r w:rsidRPr="00751F88">
        <w:rPr>
          <w:rFonts w:asciiTheme="majorHAnsi" w:hAnsiTheme="majorHAnsi" w:eastAsiaTheme="minorEastAsia" w:cstheme="majorHAnsi"/>
          <w:b/>
          <w:color w:val="000000" w:themeColor="text1"/>
          <w:sz w:val="22"/>
          <w:szCs w:val="22"/>
        </w:rPr>
        <w:t xml:space="preserve"> </w:t>
      </w:r>
      <w:r w:rsidRPr="00751F88">
        <w:rPr>
          <w:rFonts w:asciiTheme="majorHAnsi" w:hAnsiTheme="majorHAnsi" w:eastAsiaTheme="minorEastAsia" w:cstheme="majorHAnsi"/>
          <w:color w:val="000000" w:themeColor="text1"/>
          <w:sz w:val="22"/>
          <w:szCs w:val="22"/>
        </w:rPr>
        <w:t>is the corresponding coefficient vector. The error term</w:t>
      </w:r>
      <w:proofErr w:type="gramStart"/>
      <w:r w:rsidRPr="00751F88">
        <w:rPr>
          <w:rFonts w:asciiTheme="majorHAnsi" w:hAnsiTheme="majorHAnsi" w:eastAsiaTheme="minorEastAsia" w:cstheme="majorHAnsi"/>
          <w:color w:val="000000" w:themeColor="text1"/>
          <w:sz w:val="22"/>
          <w:szCs w:val="22"/>
        </w:rPr>
        <w:t xml:space="preserve">, </w:t>
      </w:r>
      <w:proofErr w:type="gramEnd"/>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r</m:t>
            </m:r>
          </m:e>
          <m:sub>
            <m:r>
              <w:rPr>
                <w:rFonts w:ascii="Cambria Math" w:hAnsi="Cambria Math" w:cstheme="majorHAnsi"/>
                <w:color w:val="000000" w:themeColor="text1"/>
                <w:sz w:val="22"/>
                <w:szCs w:val="22"/>
              </w:rPr>
              <m:t>ij</m:t>
            </m:r>
          </m:sub>
        </m:sSub>
      </m:oMath>
      <w:r w:rsidRPr="00751F88">
        <w:rPr>
          <w:rFonts w:asciiTheme="majorHAnsi" w:hAnsiTheme="majorHAnsi" w:eastAsiaTheme="minorEastAsia" w:cstheme="majorHAnsi"/>
          <w:color w:val="000000" w:themeColor="text1"/>
          <w:sz w:val="22"/>
          <w:szCs w:val="22"/>
        </w:rPr>
        <w:t xml:space="preserve">, is independent and identically normally distributed with mean zero and variance, </w:t>
      </w:r>
      <m:oMath>
        <m:sSubSup>
          <m:sSubSupPr>
            <m:ctrlPr>
              <w:rPr>
                <w:rFonts w:ascii="Cambria Math" w:hAnsi="Cambria Math" w:eastAsiaTheme="minorEastAsia" w:cstheme="majorHAnsi"/>
                <w:i/>
                <w:color w:val="000000" w:themeColor="text1"/>
                <w:sz w:val="22"/>
                <w:szCs w:val="22"/>
              </w:rPr>
            </m:ctrlPr>
          </m:sSubSupPr>
          <m:e>
            <m:r>
              <w:rPr>
                <w:rFonts w:ascii="Cambria Math" w:hAnsi="Cambria Math" w:eastAsiaTheme="minorEastAsia" w:cstheme="majorHAnsi"/>
                <w:color w:val="000000" w:themeColor="text1"/>
                <w:sz w:val="22"/>
                <w:szCs w:val="22"/>
              </w:rPr>
              <m:t>σ</m:t>
            </m:r>
          </m:e>
          <m:sub>
            <m:r>
              <w:rPr>
                <w:rFonts w:ascii="Cambria Math" w:hAnsi="Cambria Math" w:eastAsiaTheme="minorEastAsia" w:cstheme="majorHAnsi"/>
                <w:color w:val="000000" w:themeColor="text1"/>
                <w:sz w:val="22"/>
                <w:szCs w:val="22"/>
              </w:rPr>
              <m:t>r</m:t>
            </m:r>
          </m:sub>
          <m:sup>
            <m:r>
              <w:rPr>
                <w:rFonts w:ascii="Cambria Math" w:hAnsi="Cambria Math" w:eastAsiaTheme="minorEastAsia" w:cstheme="majorHAnsi"/>
                <w:color w:val="000000" w:themeColor="text1"/>
                <w:sz w:val="22"/>
                <w:szCs w:val="22"/>
              </w:rPr>
              <m:t>2</m:t>
            </m:r>
          </m:sup>
        </m:sSubSup>
      </m:oMath>
      <w:r w:rsidRPr="00751F88">
        <w:rPr>
          <w:rFonts w:asciiTheme="majorHAnsi" w:hAnsiTheme="majorHAnsi" w:eastAsiaTheme="minorEastAsia" w:cstheme="majorHAnsi"/>
          <w:color w:val="000000" w:themeColor="text1"/>
          <w:sz w:val="22"/>
          <w:szCs w:val="22"/>
        </w:rPr>
        <w:t xml:space="preserve">. </w:t>
      </w:r>
    </w:p>
    <w:p w:rsidRPr="00751F88" w:rsidR="00E6388A" w:rsidP="00E6388A" w:rsidRDefault="00E6388A">
      <w:pPr>
        <w:spacing w:after="120"/>
        <w:jc w:val="both"/>
        <w:rPr>
          <w:rFonts w:asciiTheme="majorHAnsi" w:hAnsiTheme="majorHAnsi" w:eastAsiaTheme="minorEastAsia" w:cstheme="majorHAnsi"/>
          <w:color w:val="000000" w:themeColor="text1"/>
          <w:sz w:val="22"/>
          <w:szCs w:val="22"/>
        </w:rPr>
      </w:pPr>
      <w:proofErr w:type="gramStart"/>
      <w:r w:rsidRPr="00751F88">
        <w:rPr>
          <w:rFonts w:asciiTheme="majorHAnsi" w:hAnsiTheme="majorHAnsi" w:eastAsiaTheme="minorEastAsia" w:cstheme="majorHAnsi"/>
          <w:color w:val="000000" w:themeColor="text1"/>
          <w:sz w:val="22"/>
          <w:szCs w:val="22"/>
        </w:rPr>
        <w:t xml:space="preserve">In the level-two equation,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γ</m:t>
            </m:r>
          </m:e>
          <m:sub>
            <m:r>
              <w:rPr>
                <w:rFonts w:ascii="Cambria Math" w:hAnsi="Cambria Math" w:cstheme="majorHAnsi"/>
                <w:color w:val="000000" w:themeColor="text1"/>
                <w:sz w:val="22"/>
                <w:szCs w:val="22"/>
              </w:rPr>
              <m:t>00</m:t>
            </m:r>
          </m:sub>
        </m:sSub>
      </m:oMath>
      <w:r w:rsidRPr="00751F88">
        <w:rPr>
          <w:rFonts w:asciiTheme="majorHAnsi" w:hAnsiTheme="majorHAnsi" w:eastAsiaTheme="minorEastAsia" w:cstheme="majorHAnsi"/>
          <w:color w:val="000000" w:themeColor="text1"/>
          <w:sz w:val="22"/>
          <w:szCs w:val="22"/>
        </w:rPr>
        <w:t xml:space="preserve"> represents the average intercept across respondents, </w:t>
      </w:r>
      <m:oMath>
        <m:sSub>
          <m:sSubPr>
            <m:ctrlPr>
              <w:rPr>
                <w:rFonts w:ascii="Cambria Math" w:hAnsi="Cambria Math" w:eastAsiaTheme="minorEastAsia" w:cstheme="majorHAnsi"/>
                <w:b/>
                <w:i/>
                <w:color w:val="000000" w:themeColor="text1"/>
                <w:sz w:val="22"/>
                <w:szCs w:val="22"/>
              </w:rPr>
            </m:ctrlPr>
          </m:sSubPr>
          <m:e>
            <m:r>
              <m:rPr>
                <m:sty m:val="bi"/>
              </m:rPr>
              <w:rPr>
                <w:rFonts w:ascii="Cambria Math" w:hAnsi="Cambria Math" w:eastAsiaTheme="minorEastAsia" w:cstheme="majorHAnsi"/>
                <w:color w:val="000000" w:themeColor="text1"/>
                <w:sz w:val="22"/>
                <w:szCs w:val="22"/>
              </w:rPr>
              <m:t>set</m:t>
            </m:r>
          </m:e>
          <m:sub>
            <m:r>
              <m:rPr>
                <m:sty m:val="bi"/>
              </m:rPr>
              <w:rPr>
                <w:rFonts w:ascii="Cambria Math" w:hAnsi="Cambria Math" w:eastAsiaTheme="minorEastAsia" w:cstheme="majorHAnsi"/>
                <w:color w:val="000000" w:themeColor="text1"/>
                <w:sz w:val="22"/>
                <w:szCs w:val="22"/>
              </w:rPr>
              <m:t>j</m:t>
            </m:r>
          </m:sub>
        </m:sSub>
      </m:oMath>
      <w:r w:rsidRPr="00751F88">
        <w:rPr>
          <w:rFonts w:asciiTheme="majorHAnsi" w:hAnsiTheme="majorHAnsi" w:eastAsiaTheme="minorEastAsia" w:cstheme="majorHAnsi"/>
          <w:color w:val="000000" w:themeColor="text1"/>
          <w:sz w:val="22"/>
          <w:szCs w:val="22"/>
        </w:rPr>
        <w:t xml:space="preserve"> is the vector of set predictors and </w:t>
      </w:r>
      <m:oMath>
        <m:sSub>
          <m:sSubPr>
            <m:ctrlPr>
              <w:rPr>
                <w:rFonts w:ascii="Cambria Math" w:hAnsi="Cambria Math" w:cstheme="majorHAnsi"/>
                <w:b/>
                <w:i/>
                <w:color w:val="000000" w:themeColor="text1"/>
                <w:sz w:val="22"/>
                <w:szCs w:val="22"/>
              </w:rPr>
            </m:ctrlPr>
          </m:sSubPr>
          <m:e>
            <m:r>
              <m:rPr>
                <m:sty m:val="bi"/>
              </m:rPr>
              <w:rPr>
                <w:rFonts w:ascii="Cambria Math" w:hAnsi="Cambria Math" w:cstheme="majorHAnsi"/>
                <w:color w:val="000000" w:themeColor="text1"/>
                <w:sz w:val="22"/>
                <w:szCs w:val="22"/>
              </w:rPr>
              <m:t>γ</m:t>
            </m:r>
          </m:e>
          <m:sub>
            <m:r>
              <m:rPr>
                <m:sty m:val="bi"/>
              </m:rPr>
              <w:rPr>
                <w:rFonts w:ascii="Cambria Math" w:hAnsi="Cambria Math" w:cstheme="majorHAnsi"/>
                <w:color w:val="000000" w:themeColor="text1"/>
                <w:sz w:val="22"/>
                <w:szCs w:val="22"/>
              </w:rPr>
              <m:t>01</m:t>
            </m:r>
          </m:sub>
        </m:sSub>
      </m:oMath>
      <w:r w:rsidRPr="00751F88">
        <w:rPr>
          <w:rFonts w:asciiTheme="majorHAnsi" w:hAnsiTheme="majorHAnsi" w:eastAsiaTheme="minorEastAsia" w:cstheme="majorHAnsi"/>
          <w:b/>
          <w:color w:val="000000" w:themeColor="text1"/>
          <w:sz w:val="22"/>
          <w:szCs w:val="22"/>
        </w:rPr>
        <w:t xml:space="preserve"> </w:t>
      </w:r>
      <w:r w:rsidRPr="00751F88">
        <w:rPr>
          <w:rFonts w:asciiTheme="majorHAnsi" w:hAnsiTheme="majorHAnsi" w:eastAsiaTheme="minorEastAsia" w:cstheme="majorHAnsi"/>
          <w:color w:val="000000" w:themeColor="text1"/>
          <w:sz w:val="22"/>
          <w:szCs w:val="22"/>
        </w:rPr>
        <w:t>is the corresponding coefficient vector.</w:t>
      </w:r>
      <w:proofErr w:type="gramEnd"/>
      <w:r w:rsidRPr="00751F88">
        <w:rPr>
          <w:rFonts w:asciiTheme="majorHAnsi" w:hAnsiTheme="majorHAnsi" w:eastAsiaTheme="minorEastAsia" w:cstheme="majorHAnsi"/>
          <w:color w:val="000000" w:themeColor="text1"/>
          <w:sz w:val="22"/>
          <w:szCs w:val="22"/>
        </w:rPr>
        <w:t xml:space="preserve"> The effect of “who pays” is given by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γ</m:t>
            </m:r>
          </m:e>
          <m:sub>
            <m:r>
              <w:rPr>
                <w:rFonts w:ascii="Cambria Math" w:hAnsi="Cambria Math" w:cstheme="majorHAnsi"/>
                <w:color w:val="000000" w:themeColor="text1"/>
                <w:sz w:val="22"/>
                <w:szCs w:val="22"/>
              </w:rPr>
              <m:t>02</m:t>
            </m:r>
          </m:sub>
        </m:sSub>
      </m:oMath>
      <w:r w:rsidRPr="00751F88">
        <w:rPr>
          <w:rFonts w:asciiTheme="majorHAnsi" w:hAnsiTheme="majorHAnsi" w:eastAsiaTheme="minorEastAsia" w:cstheme="majorHAnsi"/>
          <w:color w:val="000000" w:themeColor="text1"/>
          <w:sz w:val="22"/>
          <w:szCs w:val="22"/>
        </w:rPr>
        <w:t xml:space="preserve"> where </w:t>
      </w:r>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vpay</m:t>
            </m:r>
          </m:e>
          <m:sub>
            <m:r>
              <w:rPr>
                <w:rFonts w:ascii="Cambria Math" w:hAnsi="Cambria Math" w:cstheme="majorHAnsi"/>
                <w:color w:val="000000" w:themeColor="text1"/>
                <w:sz w:val="22"/>
                <w:szCs w:val="22"/>
              </w:rPr>
              <m:t>j</m:t>
            </m:r>
          </m:sub>
        </m:sSub>
      </m:oMath>
      <w:r w:rsidRPr="00751F88">
        <w:rPr>
          <w:rFonts w:asciiTheme="majorHAnsi" w:hAnsiTheme="majorHAnsi" w:eastAsiaTheme="minorEastAsia" w:cstheme="majorHAnsi"/>
          <w:color w:val="000000" w:themeColor="text1"/>
          <w:sz w:val="22"/>
          <w:szCs w:val="22"/>
        </w:rPr>
        <w:t xml:space="preserve"> represents who pays in the vignette. The sampling strata </w:t>
      </w:r>
      <w:proofErr w:type="gramStart"/>
      <w:r w:rsidRPr="00751F88">
        <w:rPr>
          <w:rFonts w:asciiTheme="majorHAnsi" w:hAnsiTheme="majorHAnsi" w:eastAsiaTheme="minorEastAsia" w:cstheme="majorHAnsi"/>
          <w:color w:val="000000" w:themeColor="text1"/>
          <w:sz w:val="22"/>
          <w:szCs w:val="22"/>
        </w:rPr>
        <w:t>are given</w:t>
      </w:r>
      <w:proofErr w:type="gramEnd"/>
      <w:r w:rsidRPr="00751F88">
        <w:rPr>
          <w:rFonts w:asciiTheme="majorHAnsi" w:hAnsiTheme="majorHAnsi" w:eastAsiaTheme="minorEastAsia" w:cstheme="majorHAnsi"/>
          <w:color w:val="000000" w:themeColor="text1"/>
          <w:sz w:val="22"/>
          <w:szCs w:val="22"/>
        </w:rPr>
        <w:t xml:space="preserve"> by the vector </w:t>
      </w:r>
      <m:oMath>
        <m:sSub>
          <m:sSubPr>
            <m:ctrlPr>
              <w:rPr>
                <w:rFonts w:ascii="Cambria Math" w:hAnsi="Cambria Math" w:eastAsiaTheme="minorEastAsia" w:cstheme="majorHAnsi"/>
                <w:b/>
                <w:i/>
                <w:color w:val="000000" w:themeColor="text1"/>
                <w:sz w:val="22"/>
                <w:szCs w:val="22"/>
              </w:rPr>
            </m:ctrlPr>
          </m:sSubPr>
          <m:e>
            <m:r>
              <m:rPr>
                <m:sty m:val="bi"/>
              </m:rPr>
              <w:rPr>
                <w:rFonts w:ascii="Cambria Math" w:hAnsi="Cambria Math" w:eastAsiaTheme="minorEastAsia" w:cstheme="majorHAnsi"/>
                <w:color w:val="000000" w:themeColor="text1"/>
                <w:sz w:val="22"/>
                <w:szCs w:val="22"/>
              </w:rPr>
              <m:t>strata</m:t>
            </m:r>
          </m:e>
          <m:sub>
            <m:r>
              <m:rPr>
                <m:sty m:val="bi"/>
              </m:rPr>
              <w:rPr>
                <w:rFonts w:ascii="Cambria Math" w:hAnsi="Cambria Math" w:eastAsiaTheme="minorEastAsia" w:cstheme="majorHAnsi"/>
                <w:color w:val="000000" w:themeColor="text1"/>
                <w:sz w:val="22"/>
                <w:szCs w:val="22"/>
              </w:rPr>
              <m:t>j</m:t>
            </m:r>
          </m:sub>
        </m:sSub>
      </m:oMath>
      <w:r w:rsidRPr="00751F88">
        <w:rPr>
          <w:rFonts w:asciiTheme="majorHAnsi" w:hAnsiTheme="majorHAnsi" w:eastAsiaTheme="minorEastAsia" w:cstheme="majorHAnsi"/>
          <w:color w:val="000000" w:themeColor="text1"/>
          <w:sz w:val="22"/>
          <w:szCs w:val="22"/>
        </w:rPr>
        <w:t xml:space="preserve"> and </w:t>
      </w:r>
      <m:oMath>
        <m:sSub>
          <m:sSubPr>
            <m:ctrlPr>
              <w:rPr>
                <w:rFonts w:ascii="Cambria Math" w:hAnsi="Cambria Math" w:cstheme="majorHAnsi"/>
                <w:b/>
                <w:i/>
                <w:color w:val="000000" w:themeColor="text1"/>
                <w:sz w:val="22"/>
                <w:szCs w:val="22"/>
              </w:rPr>
            </m:ctrlPr>
          </m:sSubPr>
          <m:e>
            <m:r>
              <m:rPr>
                <m:sty m:val="bi"/>
              </m:rPr>
              <w:rPr>
                <w:rFonts w:ascii="Cambria Math" w:hAnsi="Cambria Math" w:cstheme="majorHAnsi"/>
                <w:color w:val="000000" w:themeColor="text1"/>
                <w:sz w:val="22"/>
                <w:szCs w:val="22"/>
              </w:rPr>
              <m:t>γ</m:t>
            </m:r>
          </m:e>
          <m:sub>
            <m:r>
              <m:rPr>
                <m:sty m:val="bi"/>
              </m:rPr>
              <w:rPr>
                <w:rFonts w:ascii="Cambria Math" w:hAnsi="Cambria Math" w:cstheme="majorHAnsi"/>
                <w:color w:val="000000" w:themeColor="text1"/>
                <w:sz w:val="22"/>
                <w:szCs w:val="22"/>
              </w:rPr>
              <m:t>03</m:t>
            </m:r>
          </m:sub>
        </m:sSub>
      </m:oMath>
      <w:r w:rsidRPr="00751F88">
        <w:rPr>
          <w:rFonts w:asciiTheme="majorHAnsi" w:hAnsiTheme="majorHAnsi" w:eastAsiaTheme="minorEastAsia" w:cstheme="majorHAnsi"/>
          <w:color w:val="000000" w:themeColor="text1"/>
          <w:sz w:val="22"/>
          <w:szCs w:val="22"/>
        </w:rPr>
        <w:t xml:space="preserve"> is the corresponding coefficient vector. Alternate specifications for this vector could include </w:t>
      </w:r>
      <w:proofErr w:type="gramStart"/>
      <w:r w:rsidRPr="00751F88">
        <w:rPr>
          <w:rFonts w:asciiTheme="majorHAnsi" w:hAnsiTheme="majorHAnsi" w:eastAsiaTheme="minorEastAsia" w:cstheme="majorHAnsi"/>
          <w:color w:val="000000" w:themeColor="text1"/>
          <w:sz w:val="22"/>
          <w:szCs w:val="22"/>
        </w:rPr>
        <w:t>a measure of distance from water or whether the respondent lives within a specified distance of specific water bodies of interest</w:t>
      </w:r>
      <w:proofErr w:type="gramEnd"/>
      <w:r w:rsidRPr="00751F88">
        <w:rPr>
          <w:rFonts w:asciiTheme="majorHAnsi" w:hAnsiTheme="majorHAnsi" w:eastAsiaTheme="minorEastAsia" w:cstheme="majorHAnsi"/>
          <w:color w:val="000000" w:themeColor="text1"/>
          <w:sz w:val="22"/>
          <w:szCs w:val="22"/>
        </w:rPr>
        <w:t xml:space="preserve">. Individual respondent characteristics </w:t>
      </w:r>
      <w:proofErr w:type="gramStart"/>
      <w:r w:rsidRPr="00751F88">
        <w:rPr>
          <w:rFonts w:asciiTheme="majorHAnsi" w:hAnsiTheme="majorHAnsi" w:eastAsiaTheme="minorEastAsia" w:cstheme="majorHAnsi"/>
          <w:color w:val="000000" w:themeColor="text1"/>
          <w:sz w:val="22"/>
          <w:szCs w:val="22"/>
        </w:rPr>
        <w:t>are given</w:t>
      </w:r>
      <w:proofErr w:type="gramEnd"/>
      <w:r w:rsidRPr="00751F88">
        <w:rPr>
          <w:rFonts w:asciiTheme="majorHAnsi" w:hAnsiTheme="majorHAnsi" w:eastAsiaTheme="minorEastAsia" w:cstheme="majorHAnsi"/>
          <w:color w:val="000000" w:themeColor="text1"/>
          <w:sz w:val="22"/>
          <w:szCs w:val="22"/>
        </w:rPr>
        <w:t xml:space="preserve"> by </w:t>
      </w:r>
      <m:oMath>
        <m:sSub>
          <m:sSubPr>
            <m:ctrlPr>
              <w:rPr>
                <w:rFonts w:ascii="Cambria Math" w:hAnsi="Cambria Math" w:eastAsiaTheme="minorEastAsia" w:cstheme="majorHAnsi"/>
                <w:b/>
                <w:i/>
                <w:color w:val="000000" w:themeColor="text1"/>
                <w:sz w:val="22"/>
                <w:szCs w:val="22"/>
              </w:rPr>
            </m:ctrlPr>
          </m:sSubPr>
          <m:e>
            <m:r>
              <m:rPr>
                <m:sty m:val="bi"/>
              </m:rPr>
              <w:rPr>
                <w:rFonts w:ascii="Cambria Math" w:hAnsi="Cambria Math" w:eastAsiaTheme="minorEastAsia" w:cstheme="majorHAnsi"/>
                <w:color w:val="000000" w:themeColor="text1"/>
                <w:sz w:val="22"/>
                <w:szCs w:val="22"/>
              </w:rPr>
              <m:t>resp</m:t>
            </m:r>
          </m:e>
          <m:sub>
            <m:r>
              <m:rPr>
                <m:sty m:val="bi"/>
              </m:rPr>
              <w:rPr>
                <w:rFonts w:ascii="Cambria Math" w:hAnsi="Cambria Math" w:eastAsiaTheme="minorEastAsia" w:cstheme="majorHAnsi"/>
                <w:color w:val="000000" w:themeColor="text1"/>
                <w:sz w:val="22"/>
                <w:szCs w:val="22"/>
              </w:rPr>
              <m:t>j</m:t>
            </m:r>
          </m:sub>
        </m:sSub>
      </m:oMath>
      <w:r w:rsidRPr="00751F88">
        <w:rPr>
          <w:rFonts w:asciiTheme="majorHAnsi" w:hAnsiTheme="majorHAnsi" w:eastAsiaTheme="minorEastAsia" w:cstheme="majorHAnsi"/>
          <w:color w:val="000000" w:themeColor="text1"/>
          <w:sz w:val="22"/>
          <w:szCs w:val="22"/>
        </w:rPr>
        <w:t xml:space="preserve"> and </w:t>
      </w:r>
      <m:oMath>
        <m:sSub>
          <m:sSubPr>
            <m:ctrlPr>
              <w:rPr>
                <w:rFonts w:ascii="Cambria Math" w:hAnsi="Cambria Math" w:cstheme="majorHAnsi"/>
                <w:b/>
                <w:i/>
                <w:color w:val="000000" w:themeColor="text1"/>
                <w:sz w:val="22"/>
                <w:szCs w:val="22"/>
              </w:rPr>
            </m:ctrlPr>
          </m:sSubPr>
          <m:e>
            <m:r>
              <m:rPr>
                <m:sty m:val="bi"/>
              </m:rPr>
              <w:rPr>
                <w:rFonts w:ascii="Cambria Math" w:hAnsi="Cambria Math" w:cstheme="majorHAnsi"/>
                <w:color w:val="000000" w:themeColor="text1"/>
                <w:sz w:val="22"/>
                <w:szCs w:val="22"/>
              </w:rPr>
              <m:t>γ</m:t>
            </m:r>
          </m:e>
          <m:sub>
            <m:r>
              <m:rPr>
                <m:sty m:val="bi"/>
              </m:rPr>
              <w:rPr>
                <w:rFonts w:ascii="Cambria Math" w:hAnsi="Cambria Math" w:cstheme="majorHAnsi"/>
                <w:color w:val="000000" w:themeColor="text1"/>
                <w:sz w:val="22"/>
                <w:szCs w:val="22"/>
              </w:rPr>
              <m:t>04</m:t>
            </m:r>
          </m:sub>
        </m:sSub>
      </m:oMath>
      <w:r w:rsidRPr="00751F88">
        <w:rPr>
          <w:rFonts w:asciiTheme="majorHAnsi" w:hAnsiTheme="majorHAnsi" w:eastAsiaTheme="minorEastAsia" w:cstheme="majorHAnsi"/>
          <w:color w:val="000000" w:themeColor="text1"/>
          <w:sz w:val="22"/>
          <w:szCs w:val="22"/>
        </w:rPr>
        <w:t xml:space="preserve"> is the corresponding coefficient vector. The error term</w:t>
      </w:r>
      <w:proofErr w:type="gramStart"/>
      <w:r w:rsidRPr="00751F88">
        <w:rPr>
          <w:rFonts w:asciiTheme="majorHAnsi" w:hAnsiTheme="majorHAnsi" w:eastAsiaTheme="minorEastAsia" w:cstheme="majorHAnsi"/>
          <w:color w:val="000000" w:themeColor="text1"/>
          <w:sz w:val="22"/>
          <w:szCs w:val="22"/>
        </w:rPr>
        <w:t xml:space="preserve">, </w:t>
      </w:r>
      <w:proofErr w:type="gramEnd"/>
      <m:oMath>
        <m:sSub>
          <m:sSubPr>
            <m:ctrlPr>
              <w:rPr>
                <w:rFonts w:ascii="Cambria Math" w:hAnsi="Cambria Math" w:cstheme="majorHAnsi"/>
                <w:i/>
                <w:color w:val="000000" w:themeColor="text1"/>
                <w:sz w:val="22"/>
                <w:szCs w:val="22"/>
              </w:rPr>
            </m:ctrlPr>
          </m:sSubPr>
          <m:e>
            <m:r>
              <w:rPr>
                <w:rFonts w:ascii="Cambria Math" w:hAnsi="Cambria Math" w:cstheme="majorHAnsi"/>
                <w:color w:val="000000" w:themeColor="text1"/>
                <w:sz w:val="22"/>
                <w:szCs w:val="22"/>
              </w:rPr>
              <m:t>u</m:t>
            </m:r>
          </m:e>
          <m:sub>
            <m:r>
              <w:rPr>
                <w:rFonts w:ascii="Cambria Math" w:hAnsi="Cambria Math" w:cstheme="majorHAnsi"/>
                <w:color w:val="000000" w:themeColor="text1"/>
                <w:sz w:val="22"/>
                <w:szCs w:val="22"/>
              </w:rPr>
              <m:t>0j</m:t>
            </m:r>
          </m:sub>
        </m:sSub>
      </m:oMath>
      <w:r w:rsidRPr="00751F88">
        <w:rPr>
          <w:rFonts w:asciiTheme="majorHAnsi" w:hAnsiTheme="majorHAnsi" w:eastAsiaTheme="minorEastAsia" w:cstheme="majorHAnsi"/>
          <w:color w:val="000000" w:themeColor="text1"/>
          <w:sz w:val="22"/>
          <w:szCs w:val="22"/>
        </w:rPr>
        <w:t xml:space="preserve">, is independent and identically normally distributed with mean zero and variance, </w:t>
      </w:r>
      <m:oMath>
        <m:sSubSup>
          <m:sSubSupPr>
            <m:ctrlPr>
              <w:rPr>
                <w:rFonts w:ascii="Cambria Math" w:hAnsi="Cambria Math" w:eastAsiaTheme="minorEastAsia" w:cstheme="majorHAnsi"/>
                <w:i/>
                <w:color w:val="000000" w:themeColor="text1"/>
                <w:sz w:val="22"/>
                <w:szCs w:val="22"/>
              </w:rPr>
            </m:ctrlPr>
          </m:sSubSupPr>
          <m:e>
            <m:r>
              <w:rPr>
                <w:rFonts w:ascii="Cambria Math" w:hAnsi="Cambria Math" w:eastAsiaTheme="minorEastAsia" w:cstheme="majorHAnsi"/>
                <w:color w:val="000000" w:themeColor="text1"/>
                <w:sz w:val="22"/>
                <w:szCs w:val="22"/>
              </w:rPr>
              <m:t>σ</m:t>
            </m:r>
          </m:e>
          <m:sub>
            <m:r>
              <w:rPr>
                <w:rFonts w:ascii="Cambria Math" w:hAnsi="Cambria Math" w:eastAsiaTheme="minorEastAsia" w:cstheme="majorHAnsi"/>
                <w:color w:val="000000" w:themeColor="text1"/>
                <w:sz w:val="22"/>
                <w:szCs w:val="22"/>
              </w:rPr>
              <m:t>u</m:t>
            </m:r>
          </m:sub>
          <m:sup>
            <m:r>
              <w:rPr>
                <w:rFonts w:ascii="Cambria Math" w:hAnsi="Cambria Math" w:eastAsiaTheme="minorEastAsia" w:cstheme="majorHAnsi"/>
                <w:color w:val="000000" w:themeColor="text1"/>
                <w:sz w:val="22"/>
                <w:szCs w:val="22"/>
              </w:rPr>
              <m:t>2</m:t>
            </m:r>
          </m:sup>
        </m:sSubSup>
      </m:oMath>
      <w:r w:rsidRPr="00751F88">
        <w:rPr>
          <w:rFonts w:asciiTheme="majorHAnsi" w:hAnsiTheme="majorHAnsi" w:eastAsiaTheme="minorEastAsia" w:cstheme="majorHAnsi"/>
          <w:color w:val="000000" w:themeColor="text1"/>
          <w:sz w:val="22"/>
          <w:szCs w:val="22"/>
        </w:rPr>
        <w:t>.</w:t>
      </w:r>
    </w:p>
    <w:p w:rsidRPr="00751F88" w:rsidR="00E6388A" w:rsidP="00E6388A" w:rsidRDefault="00E6388A">
      <w:pPr>
        <w:pStyle w:val="Style1"/>
        <w:numPr>
          <w:ilvl w:val="0"/>
          <w:numId w:val="7"/>
        </w:numPr>
        <w:tabs>
          <w:tab w:val="left" w:pos="9360"/>
        </w:tabs>
        <w:spacing w:before="0" w:after="120"/>
        <w:rPr>
          <w:rFonts w:cstheme="majorHAnsi"/>
          <w:color w:val="000000" w:themeColor="text1"/>
        </w:rPr>
      </w:pPr>
      <w:r w:rsidRPr="00751F88">
        <w:rPr>
          <w:rFonts w:cstheme="majorHAnsi"/>
          <w:color w:val="000000" w:themeColor="text1"/>
        </w:rPr>
        <w:t>Degree of Accuracy Needed for the Purpose Described in the Justification</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following formula can be used to determine the minimum required sample size,</w:t>
      </w:r>
      <m:oMath>
        <m:r>
          <w:rPr>
            <w:rFonts w:ascii="Cambria Math" w:hAnsi="Cambria Math" w:cstheme="majorHAnsi"/>
            <w:color w:val="000000" w:themeColor="text1"/>
            <w:sz w:val="22"/>
            <w:szCs w:val="22"/>
          </w:rPr>
          <m:t xml:space="preserve"> n</m:t>
        </m:r>
      </m:oMath>
      <w:proofErr w:type="gramStart"/>
      <w:r w:rsidRPr="00751F88">
        <w:rPr>
          <w:rFonts w:asciiTheme="majorHAnsi" w:hAnsiTheme="majorHAnsi" w:cstheme="majorHAnsi"/>
          <w:color w:val="000000" w:themeColor="text1"/>
          <w:sz w:val="22"/>
          <w:szCs w:val="22"/>
        </w:rPr>
        <w:t>,</w:t>
      </w:r>
      <w:proofErr w:type="gramEnd"/>
      <w:r w:rsidRPr="00751F88">
        <w:rPr>
          <w:rFonts w:asciiTheme="majorHAnsi" w:hAnsiTheme="majorHAnsi" w:cstheme="majorHAnsi"/>
          <w:color w:val="000000" w:themeColor="text1"/>
          <w:sz w:val="22"/>
          <w:szCs w:val="22"/>
        </w:rPr>
        <w:t xml:space="preserve"> for analysis</w:t>
      </w:r>
    </w:p>
    <w:p w:rsidRPr="00751F88" w:rsidR="00E6388A" w:rsidP="00E6388A" w:rsidRDefault="00E6388A">
      <w:pPr>
        <w:spacing w:after="120"/>
        <w:jc w:val="both"/>
        <w:rPr>
          <w:rFonts w:asciiTheme="majorHAnsi" w:hAnsiTheme="majorHAnsi" w:eastAsiaTheme="minorEastAsia" w:cstheme="majorHAnsi"/>
          <w:color w:val="000000" w:themeColor="text1"/>
          <w:sz w:val="22"/>
          <w:szCs w:val="22"/>
        </w:rPr>
      </w:pPr>
      <m:oMathPara>
        <m:oMath>
          <m:r>
            <w:rPr>
              <w:rFonts w:ascii="Cambria Math" w:hAnsi="Cambria Math" w:cstheme="majorHAnsi"/>
              <w:color w:val="000000" w:themeColor="text1"/>
              <w:sz w:val="22"/>
              <w:szCs w:val="22"/>
            </w:rPr>
            <m:t>n=</m:t>
          </m:r>
          <m:f>
            <m:fPr>
              <m:ctrlPr>
                <w:rPr>
                  <w:rFonts w:ascii="Cambria Math" w:hAnsi="Cambria Math" w:cstheme="majorHAnsi"/>
                  <w:i/>
                  <w:color w:val="000000" w:themeColor="text1"/>
                  <w:sz w:val="22"/>
                  <w:szCs w:val="22"/>
                </w:rPr>
              </m:ctrlPr>
            </m:fPr>
            <m:num>
              <m:sSup>
                <m:sSupPr>
                  <m:ctrlPr>
                    <w:rPr>
                      <w:rFonts w:ascii="Cambria Math" w:hAnsi="Cambria Math" w:cstheme="majorHAnsi"/>
                      <w:i/>
                      <w:color w:val="000000" w:themeColor="text1"/>
                      <w:sz w:val="22"/>
                      <w:szCs w:val="22"/>
                    </w:rPr>
                  </m:ctrlPr>
                </m:sSupPr>
                <m:e>
                  <m:r>
                    <w:rPr>
                      <w:rFonts w:ascii="Cambria Math" w:hAnsi="Cambria Math" w:cstheme="majorHAnsi"/>
                      <w:color w:val="000000" w:themeColor="text1"/>
                      <w:sz w:val="22"/>
                      <w:szCs w:val="22"/>
                    </w:rPr>
                    <m:t>z</m:t>
                  </m:r>
                </m:e>
                <m:sup>
                  <m:r>
                    <w:rPr>
                      <w:rFonts w:ascii="Cambria Math" w:hAnsi="Cambria Math" w:cstheme="majorHAnsi"/>
                      <w:color w:val="000000" w:themeColor="text1"/>
                      <w:sz w:val="22"/>
                      <w:szCs w:val="22"/>
                    </w:rPr>
                    <m:t>2</m:t>
                  </m:r>
                </m:sup>
              </m:sSup>
              <m:r>
                <w:rPr>
                  <w:rFonts w:ascii="Cambria Math" w:hAnsi="Cambria Math" w:cstheme="majorHAnsi"/>
                  <w:color w:val="000000" w:themeColor="text1"/>
                  <w:sz w:val="22"/>
                  <w:szCs w:val="22"/>
                </w:rPr>
                <m:t>p(1-p)</m:t>
              </m:r>
            </m:num>
            <m:den>
              <m:sSup>
                <m:sSupPr>
                  <m:ctrlPr>
                    <w:rPr>
                      <w:rFonts w:ascii="Cambria Math" w:hAnsi="Cambria Math" w:cstheme="majorHAnsi"/>
                      <w:i/>
                      <w:color w:val="000000" w:themeColor="text1"/>
                      <w:sz w:val="22"/>
                      <w:szCs w:val="22"/>
                    </w:rPr>
                  </m:ctrlPr>
                </m:sSupPr>
                <m:e>
                  <m:r>
                    <w:rPr>
                      <w:rFonts w:ascii="Cambria Math" w:hAnsi="Cambria Math" w:cstheme="majorHAnsi"/>
                      <w:color w:val="000000" w:themeColor="text1"/>
                      <w:sz w:val="22"/>
                      <w:szCs w:val="22"/>
                    </w:rPr>
                    <m:t>c</m:t>
                  </m:r>
                </m:e>
                <m:sup>
                  <m:r>
                    <w:rPr>
                      <w:rFonts w:ascii="Cambria Math" w:hAnsi="Cambria Math" w:cstheme="majorHAnsi"/>
                      <w:color w:val="000000" w:themeColor="text1"/>
                      <w:sz w:val="22"/>
                      <w:szCs w:val="22"/>
                    </w:rPr>
                    <m:t>2</m:t>
                  </m:r>
                </m:sup>
              </m:sSup>
            </m:den>
          </m:f>
        </m:oMath>
      </m:oMathPara>
    </w:p>
    <w:p w:rsidRPr="00751F88" w:rsidR="00E6388A" w:rsidP="00E6388A" w:rsidRDefault="00E6388A">
      <w:pPr>
        <w:spacing w:after="120"/>
        <w:jc w:val="both"/>
        <w:rPr>
          <w:rFonts w:asciiTheme="majorHAnsi" w:hAnsiTheme="majorHAnsi" w:eastAsiaTheme="minorEastAsia" w:cstheme="majorHAnsi"/>
          <w:color w:val="000000" w:themeColor="text1"/>
          <w:sz w:val="22"/>
          <w:szCs w:val="22"/>
        </w:rPr>
      </w:pPr>
      <w:r w:rsidRPr="00751F88">
        <w:rPr>
          <w:rFonts w:asciiTheme="majorHAnsi" w:hAnsiTheme="majorHAnsi" w:eastAsiaTheme="minorEastAsia" w:cstheme="majorHAnsi"/>
          <w:color w:val="000000" w:themeColor="text1"/>
          <w:sz w:val="22"/>
          <w:szCs w:val="22"/>
        </w:rPr>
        <w:t xml:space="preserve">Where </w:t>
      </w:r>
      <m:oMath>
        <m:r>
          <w:rPr>
            <w:rFonts w:ascii="Cambria Math" w:hAnsi="Cambria Math" w:cstheme="majorHAnsi"/>
            <w:color w:val="000000" w:themeColor="text1"/>
            <w:sz w:val="22"/>
            <w:szCs w:val="22"/>
          </w:rPr>
          <m:t>z</m:t>
        </m:r>
      </m:oMath>
      <w:r w:rsidRPr="00751F88">
        <w:rPr>
          <w:rFonts w:asciiTheme="majorHAnsi" w:hAnsiTheme="majorHAnsi" w:eastAsiaTheme="minorEastAsia" w:cstheme="majorHAnsi"/>
          <w:color w:val="000000" w:themeColor="text1"/>
          <w:sz w:val="22"/>
          <w:szCs w:val="22"/>
        </w:rPr>
        <w:t xml:space="preserve"> is the z-value required for a specified confidence level (here, 95%), </w:t>
      </w:r>
      <m:oMath>
        <m:r>
          <w:rPr>
            <w:rFonts w:ascii="Cambria Math" w:hAnsi="Cambria Math" w:cstheme="majorHAnsi"/>
            <w:color w:val="000000" w:themeColor="text1"/>
            <w:sz w:val="22"/>
            <w:szCs w:val="22"/>
          </w:rPr>
          <m:t>p</m:t>
        </m:r>
      </m:oMath>
      <w:r w:rsidRPr="00751F88">
        <w:rPr>
          <w:rFonts w:asciiTheme="majorHAnsi" w:hAnsiTheme="majorHAnsi" w:eastAsiaTheme="minorEastAsia" w:cstheme="majorHAnsi"/>
          <w:color w:val="000000" w:themeColor="text1"/>
          <w:sz w:val="22"/>
          <w:szCs w:val="22"/>
        </w:rPr>
        <w:t xml:space="preserve"> is the proportion of the population with a characteristic of interest (here, p=0.5 conservatively), and </w:t>
      </w:r>
      <m:oMath>
        <m:r>
          <w:rPr>
            <w:rFonts w:ascii="Cambria Math" w:hAnsi="Cambria Math" w:eastAsiaTheme="minorEastAsia" w:cstheme="majorHAnsi"/>
            <w:color w:val="000000" w:themeColor="text1"/>
            <w:sz w:val="22"/>
            <w:szCs w:val="22"/>
          </w:rPr>
          <m:t>c</m:t>
        </m:r>
      </m:oMath>
      <w:r w:rsidRPr="00751F88">
        <w:rPr>
          <w:rFonts w:asciiTheme="majorHAnsi" w:hAnsiTheme="majorHAnsi" w:eastAsiaTheme="minorEastAsia" w:cstheme="majorHAnsi"/>
          <w:color w:val="000000" w:themeColor="text1"/>
          <w:sz w:val="22"/>
          <w:szCs w:val="22"/>
        </w:rPr>
        <w:t xml:space="preserve"> is the confidence interval (here, 0.05). Therefore,</w:t>
      </w:r>
    </w:p>
    <w:p w:rsidRPr="00751F88" w:rsidR="00E6388A" w:rsidP="00E6388A" w:rsidRDefault="00E6388A">
      <w:pPr>
        <w:spacing w:after="120"/>
        <w:jc w:val="both"/>
        <w:rPr>
          <w:rFonts w:asciiTheme="majorHAnsi" w:hAnsiTheme="majorHAnsi" w:eastAsiaTheme="minorEastAsia" w:cstheme="majorHAnsi"/>
          <w:color w:val="000000" w:themeColor="text1"/>
          <w:sz w:val="22"/>
          <w:szCs w:val="22"/>
        </w:rPr>
      </w:pPr>
      <m:oMathPara>
        <m:oMath>
          <m:r>
            <w:rPr>
              <w:rFonts w:ascii="Cambria Math" w:hAnsi="Cambria Math" w:cstheme="majorHAnsi"/>
              <w:color w:val="000000" w:themeColor="text1"/>
              <w:sz w:val="22"/>
              <w:szCs w:val="22"/>
            </w:rPr>
            <m:t>n=</m:t>
          </m:r>
          <m:f>
            <m:fPr>
              <m:ctrlPr>
                <w:rPr>
                  <w:rFonts w:ascii="Cambria Math" w:hAnsi="Cambria Math" w:cstheme="majorHAnsi"/>
                  <w:i/>
                  <w:color w:val="000000" w:themeColor="text1"/>
                  <w:sz w:val="22"/>
                  <w:szCs w:val="22"/>
                </w:rPr>
              </m:ctrlPr>
            </m:fPr>
            <m:num>
              <m:sSup>
                <m:sSupPr>
                  <m:ctrlPr>
                    <w:rPr>
                      <w:rFonts w:ascii="Cambria Math" w:hAnsi="Cambria Math" w:cstheme="majorHAnsi"/>
                      <w:i/>
                      <w:color w:val="000000" w:themeColor="text1"/>
                      <w:sz w:val="22"/>
                      <w:szCs w:val="22"/>
                    </w:rPr>
                  </m:ctrlPr>
                </m:sSupPr>
                <m:e>
                  <m:r>
                    <w:rPr>
                      <w:rFonts w:ascii="Cambria Math" w:hAnsi="Cambria Math" w:cstheme="majorHAnsi"/>
                      <w:color w:val="000000" w:themeColor="text1"/>
                      <w:sz w:val="22"/>
                      <w:szCs w:val="22"/>
                    </w:rPr>
                    <m:t>1.96</m:t>
                  </m:r>
                </m:e>
                <m:sup>
                  <m:r>
                    <w:rPr>
                      <w:rFonts w:ascii="Cambria Math" w:hAnsi="Cambria Math" w:cstheme="majorHAnsi"/>
                      <w:color w:val="000000" w:themeColor="text1"/>
                      <w:sz w:val="22"/>
                      <w:szCs w:val="22"/>
                    </w:rPr>
                    <m:t>2</m:t>
                  </m:r>
                </m:sup>
              </m:sSup>
              <m:r>
                <w:rPr>
                  <w:rFonts w:ascii="Cambria Math" w:hAnsi="Cambria Math" w:cstheme="majorHAnsi"/>
                  <w:color w:val="000000" w:themeColor="text1"/>
                  <w:sz w:val="22"/>
                  <w:szCs w:val="22"/>
                </w:rPr>
                <m:t>∙0.5∙0.5</m:t>
              </m:r>
            </m:num>
            <m:den>
              <m:sSup>
                <m:sSupPr>
                  <m:ctrlPr>
                    <w:rPr>
                      <w:rFonts w:ascii="Cambria Math" w:hAnsi="Cambria Math" w:cstheme="majorHAnsi"/>
                      <w:i/>
                      <w:color w:val="000000" w:themeColor="text1"/>
                      <w:sz w:val="22"/>
                      <w:szCs w:val="22"/>
                    </w:rPr>
                  </m:ctrlPr>
                </m:sSupPr>
                <m:e>
                  <m:r>
                    <w:rPr>
                      <w:rFonts w:ascii="Cambria Math" w:hAnsi="Cambria Math" w:cstheme="majorHAnsi"/>
                      <w:color w:val="000000" w:themeColor="text1"/>
                      <w:sz w:val="22"/>
                      <w:szCs w:val="22"/>
                    </w:rPr>
                    <m:t>0.05</m:t>
                  </m:r>
                </m:e>
                <m:sup>
                  <m:r>
                    <w:rPr>
                      <w:rFonts w:ascii="Cambria Math" w:hAnsi="Cambria Math" w:cstheme="majorHAnsi"/>
                      <w:color w:val="000000" w:themeColor="text1"/>
                      <w:sz w:val="22"/>
                      <w:szCs w:val="22"/>
                    </w:rPr>
                    <m:t>2</m:t>
                  </m:r>
                </m:sup>
              </m:sSup>
            </m:den>
          </m:f>
          <m:r>
            <w:rPr>
              <w:rFonts w:ascii="Cambria Math" w:hAnsi="Cambria Math" w:cstheme="majorHAnsi"/>
              <w:color w:val="000000" w:themeColor="text1"/>
              <w:sz w:val="22"/>
              <w:szCs w:val="22"/>
            </w:rPr>
            <m:t>≈384</m:t>
          </m:r>
        </m:oMath>
      </m:oMathPara>
    </w:p>
    <w:p w:rsidR="00E6388A" w:rsidP="00E6388A" w:rsidRDefault="00E6388A">
      <w:pPr>
        <w:spacing w:after="12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This means each strata requires a minimum sample size of 384 to be able to test </w:t>
      </w:r>
      <w:proofErr w:type="gramStart"/>
      <w:r w:rsidRPr="00751F88">
        <w:rPr>
          <w:rFonts w:asciiTheme="majorHAnsi" w:hAnsiTheme="majorHAnsi" w:cstheme="majorHAnsi"/>
          <w:color w:val="000000" w:themeColor="text1"/>
          <w:sz w:val="22"/>
          <w:szCs w:val="22"/>
        </w:rPr>
        <w:t>for differences in means at the 95% confidence level with a 5% confidence interval</w:t>
      </w:r>
      <w:proofErr w:type="gramEnd"/>
      <w:r w:rsidRPr="00751F88">
        <w:rPr>
          <w:rFonts w:asciiTheme="majorHAnsi" w:hAnsiTheme="majorHAnsi" w:cstheme="majorHAnsi"/>
          <w:color w:val="000000" w:themeColor="text1"/>
          <w:sz w:val="22"/>
          <w:szCs w:val="22"/>
        </w:rPr>
        <w:t xml:space="preserve">. This will allow a sample size of 128 for each vignette set within each strata. For the pre-test, each strata will have a minimum sample size of </w:t>
      </w:r>
      <w:proofErr w:type="gramStart"/>
      <w:r w:rsidRPr="00751F88">
        <w:rPr>
          <w:rFonts w:asciiTheme="majorHAnsi" w:hAnsiTheme="majorHAnsi" w:cstheme="majorHAnsi"/>
          <w:color w:val="000000" w:themeColor="text1"/>
          <w:sz w:val="22"/>
          <w:szCs w:val="22"/>
        </w:rPr>
        <w:t>90 which</w:t>
      </w:r>
      <w:proofErr w:type="gramEnd"/>
      <w:r w:rsidRPr="00751F88">
        <w:rPr>
          <w:rFonts w:asciiTheme="majorHAnsi" w:hAnsiTheme="majorHAnsi" w:cstheme="majorHAnsi"/>
          <w:color w:val="000000" w:themeColor="text1"/>
          <w:sz w:val="22"/>
          <w:szCs w:val="22"/>
        </w:rPr>
        <w:t xml:space="preserve"> will allow a sample size of 30 for each vignette set within each strata. </w:t>
      </w:r>
    </w:p>
    <w:p w:rsidRPr="00751F88" w:rsidR="00E6388A" w:rsidP="00E6388A" w:rsidRDefault="00E6388A">
      <w:pPr>
        <w:spacing w:after="120"/>
        <w:rPr>
          <w:rFonts w:asciiTheme="majorHAnsi" w:hAnsiTheme="majorHAnsi" w:cstheme="majorHAnsi"/>
          <w:color w:val="000000" w:themeColor="text1"/>
          <w:sz w:val="22"/>
          <w:szCs w:val="22"/>
        </w:rPr>
      </w:pP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power and sample-size (PSS) analysis </w:t>
      </w:r>
      <w:proofErr w:type="gramStart"/>
      <w:r w:rsidRPr="00751F88">
        <w:rPr>
          <w:rFonts w:asciiTheme="majorHAnsi" w:hAnsiTheme="majorHAnsi" w:cstheme="majorHAnsi"/>
          <w:color w:val="000000" w:themeColor="text1"/>
          <w:sz w:val="22"/>
          <w:szCs w:val="22"/>
        </w:rPr>
        <w:t>will be conducted</w:t>
      </w:r>
      <w:proofErr w:type="gramEnd"/>
      <w:r w:rsidRPr="00751F88">
        <w:rPr>
          <w:rFonts w:asciiTheme="majorHAnsi" w:hAnsiTheme="majorHAnsi" w:cstheme="majorHAnsi"/>
          <w:color w:val="000000" w:themeColor="text1"/>
          <w:sz w:val="22"/>
          <w:szCs w:val="22"/>
        </w:rPr>
        <w:t xml:space="preserve"> on the pre-test data to determine if the minimum required sample size needs to be modified. PSS analysis </w:t>
      </w:r>
      <w:proofErr w:type="gramStart"/>
      <w:r w:rsidRPr="00751F88">
        <w:rPr>
          <w:rFonts w:asciiTheme="majorHAnsi" w:hAnsiTheme="majorHAnsi" w:cstheme="majorHAnsi"/>
          <w:color w:val="000000" w:themeColor="text1"/>
          <w:sz w:val="22"/>
          <w:szCs w:val="22"/>
        </w:rPr>
        <w:t>is commonly used</w:t>
      </w:r>
      <w:proofErr w:type="gramEnd"/>
      <w:r w:rsidRPr="00751F88">
        <w:rPr>
          <w:rFonts w:asciiTheme="majorHAnsi" w:hAnsiTheme="majorHAnsi" w:cstheme="majorHAnsi"/>
          <w:color w:val="000000" w:themeColor="text1"/>
          <w:sz w:val="22"/>
          <w:szCs w:val="22"/>
        </w:rPr>
        <w:t xml:space="preserve"> to determine the size of the sample needed for the chosen statistical test to have adequate power to detect an effect of a specified magnitude at a pre-specified significance level given fixed values of other study parameters.  </w:t>
      </w:r>
    </w:p>
    <w:p w:rsidRPr="00751F88" w:rsidR="00E6388A" w:rsidP="00E6388A" w:rsidRDefault="00E6388A">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 xml:space="preserve">3. Describe the methods used to maximize response rates and to deal with nonresponse. The accuracy and reliability of the information collected </w:t>
      </w:r>
      <w:proofErr w:type="gramStart"/>
      <w:r w:rsidRPr="00751F88">
        <w:rPr>
          <w:rFonts w:asciiTheme="majorHAnsi" w:hAnsiTheme="majorHAnsi" w:cstheme="majorHAnsi"/>
          <w:sz w:val="22"/>
          <w:szCs w:val="22"/>
        </w:rPr>
        <w:t>must be shown</w:t>
      </w:r>
      <w:proofErr w:type="gramEnd"/>
      <w:r w:rsidRPr="00751F88">
        <w:rPr>
          <w:rFonts w:asciiTheme="majorHAnsi" w:hAnsiTheme="majorHAnsi" w:cstheme="majorHAnsi"/>
          <w:sz w:val="22"/>
          <w:szCs w:val="22"/>
        </w:rPr>
        <w:t xml:space="preserve"> to be adequate for the intended uses. For collections based on sampling, a special justification </w:t>
      </w:r>
      <w:proofErr w:type="gramStart"/>
      <w:r w:rsidRPr="00751F88">
        <w:rPr>
          <w:rFonts w:asciiTheme="majorHAnsi" w:hAnsiTheme="majorHAnsi" w:cstheme="majorHAnsi"/>
          <w:sz w:val="22"/>
          <w:szCs w:val="22"/>
        </w:rPr>
        <w:t>must be provided</w:t>
      </w:r>
      <w:proofErr w:type="gramEnd"/>
      <w:r w:rsidRPr="00751F88">
        <w:rPr>
          <w:rFonts w:asciiTheme="majorHAnsi" w:hAnsiTheme="majorHAnsi" w:cstheme="majorHAnsi"/>
          <w:sz w:val="22"/>
          <w:szCs w:val="22"/>
        </w:rPr>
        <w:t xml:space="preserve"> if they will not yield "reliable" data that can be generalized to the universe studied.</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Focus Groups</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first step in achieving a high response rate is to develop a survey that is easy for respondents to complete. Researchers met with nine focus group members to determine 1) if they understood the tasks they </w:t>
      </w:r>
      <w:proofErr w:type="gramStart"/>
      <w:r w:rsidRPr="00751F88">
        <w:rPr>
          <w:rFonts w:asciiTheme="majorHAnsi" w:hAnsiTheme="majorHAnsi" w:cstheme="majorHAnsi"/>
          <w:color w:val="000000" w:themeColor="text1"/>
          <w:sz w:val="22"/>
          <w:szCs w:val="22"/>
        </w:rPr>
        <w:t>were asked</w:t>
      </w:r>
      <w:proofErr w:type="gramEnd"/>
      <w:r w:rsidRPr="00751F88">
        <w:rPr>
          <w:rFonts w:asciiTheme="majorHAnsi" w:hAnsiTheme="majorHAnsi" w:cstheme="majorHAnsi"/>
          <w:color w:val="000000" w:themeColor="text1"/>
          <w:sz w:val="22"/>
          <w:szCs w:val="22"/>
        </w:rPr>
        <w:t xml:space="preserve"> to complete, 2) their process for responding, 3) if they considered all outcomes or if any were missing, and 4) if enough information was provided for them to confidently respond.</w:t>
      </w:r>
    </w:p>
    <w:p w:rsidRPr="00751F88" w:rsidR="00E6388A" w:rsidP="00E6388A" w:rsidRDefault="00E6388A">
      <w:pPr>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Overall, the responses from the focus group participants were encouraging. Participants generally understood the instructions and made thoughtful, rational choice selections. They understood the outcomes in the experiment as coastal hazards are an important, relevant issue in coastal New Hampshire, and enough information </w:t>
      </w:r>
      <w:proofErr w:type="gramStart"/>
      <w:r w:rsidRPr="00751F88">
        <w:rPr>
          <w:rFonts w:asciiTheme="majorHAnsi" w:hAnsiTheme="majorHAnsi" w:cstheme="majorHAnsi"/>
          <w:color w:val="000000" w:themeColor="text1"/>
          <w:sz w:val="22"/>
          <w:szCs w:val="22"/>
        </w:rPr>
        <w:t>was provided</w:t>
      </w:r>
      <w:proofErr w:type="gramEnd"/>
      <w:r w:rsidRPr="00751F88">
        <w:rPr>
          <w:rFonts w:asciiTheme="majorHAnsi" w:hAnsiTheme="majorHAnsi" w:cstheme="majorHAnsi"/>
          <w:color w:val="000000" w:themeColor="text1"/>
          <w:sz w:val="22"/>
          <w:szCs w:val="22"/>
        </w:rPr>
        <w:t xml:space="preserve"> for them to make their selections. </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Implementation Techniques</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implementation techniques that </w:t>
      </w:r>
      <w:proofErr w:type="gramStart"/>
      <w:r w:rsidRPr="00751F88">
        <w:rPr>
          <w:rFonts w:asciiTheme="majorHAnsi" w:hAnsiTheme="majorHAnsi" w:cstheme="majorHAnsi"/>
          <w:color w:val="000000" w:themeColor="text1"/>
          <w:sz w:val="22"/>
          <w:szCs w:val="22"/>
        </w:rPr>
        <w:t>will be used</w:t>
      </w:r>
      <w:proofErr w:type="gramEnd"/>
      <w:r w:rsidRPr="00751F88">
        <w:rPr>
          <w:rFonts w:asciiTheme="majorHAnsi" w:hAnsiTheme="majorHAnsi" w:cstheme="majorHAnsi"/>
          <w:color w:val="000000" w:themeColor="text1"/>
          <w:sz w:val="22"/>
          <w:szCs w:val="22"/>
        </w:rPr>
        <w:t xml:space="preserve"> are consistent with methods that maximize response rates. Researchers propose a mixed-mode system, employing mail contact and recruitment, following the </w:t>
      </w:r>
      <w:proofErr w:type="spellStart"/>
      <w:r w:rsidRPr="00751F88">
        <w:rPr>
          <w:rFonts w:asciiTheme="majorHAnsi" w:hAnsiTheme="majorHAnsi" w:cstheme="majorHAnsi"/>
          <w:color w:val="000000" w:themeColor="text1"/>
          <w:sz w:val="22"/>
          <w:szCs w:val="22"/>
        </w:rPr>
        <w:t>Dillman</w:t>
      </w:r>
      <w:proofErr w:type="spellEnd"/>
      <w:r w:rsidRPr="00751F88">
        <w:rPr>
          <w:rFonts w:asciiTheme="majorHAnsi" w:hAnsiTheme="majorHAnsi" w:cstheme="majorHAnsi"/>
          <w:color w:val="000000" w:themeColor="text1"/>
          <w:sz w:val="22"/>
          <w:szCs w:val="22"/>
        </w:rPr>
        <w:t xml:space="preserve"> Tailored Design Method (</w:t>
      </w:r>
      <w:proofErr w:type="spellStart"/>
      <w:r w:rsidRPr="00751F88">
        <w:rPr>
          <w:rFonts w:asciiTheme="majorHAnsi" w:hAnsiTheme="majorHAnsi" w:cstheme="majorHAnsi"/>
          <w:color w:val="000000" w:themeColor="text1"/>
          <w:sz w:val="22"/>
          <w:szCs w:val="22"/>
        </w:rPr>
        <w:t>Dillman</w:t>
      </w:r>
      <w:proofErr w:type="spellEnd"/>
      <w:r w:rsidRPr="00751F88">
        <w:rPr>
          <w:rFonts w:asciiTheme="majorHAnsi" w:hAnsiTheme="majorHAnsi" w:cstheme="majorHAnsi"/>
          <w:color w:val="000000" w:themeColor="text1"/>
          <w:sz w:val="22"/>
          <w:szCs w:val="22"/>
        </w:rPr>
        <w:t xml:space="preserve"> et al., 2014), and online survey administration. To maximize response, potential respondents </w:t>
      </w:r>
      <w:proofErr w:type="gramStart"/>
      <w:r w:rsidRPr="00751F88">
        <w:rPr>
          <w:rFonts w:asciiTheme="majorHAnsi" w:hAnsiTheme="majorHAnsi" w:cstheme="majorHAnsi"/>
          <w:color w:val="000000" w:themeColor="text1"/>
          <w:sz w:val="22"/>
          <w:szCs w:val="22"/>
        </w:rPr>
        <w:t>will be contacted</w:t>
      </w:r>
      <w:proofErr w:type="gramEnd"/>
      <w:r w:rsidRPr="00751F88">
        <w:rPr>
          <w:rFonts w:asciiTheme="majorHAnsi" w:hAnsiTheme="majorHAnsi" w:cstheme="majorHAnsi"/>
          <w:color w:val="000000" w:themeColor="text1"/>
          <w:sz w:val="22"/>
          <w:szCs w:val="22"/>
        </w:rPr>
        <w:t xml:space="preserve"> multiple times via postcards and other mailings; this will include a pre-survey notification postcard, a letter of invitation, and fol</w:t>
      </w:r>
      <w:r>
        <w:rPr>
          <w:rFonts w:asciiTheme="majorHAnsi" w:hAnsiTheme="majorHAnsi" w:cstheme="majorHAnsi"/>
          <w:color w:val="000000" w:themeColor="text1"/>
          <w:sz w:val="22"/>
          <w:szCs w:val="22"/>
        </w:rPr>
        <w:t xml:space="preserve">low-up reminders (see </w:t>
      </w:r>
      <w:r w:rsidR="00814901">
        <w:rPr>
          <w:rFonts w:asciiTheme="majorHAnsi" w:hAnsiTheme="majorHAnsi" w:cstheme="majorHAnsi"/>
          <w:color w:val="000000" w:themeColor="text1"/>
          <w:sz w:val="22"/>
          <w:szCs w:val="22"/>
        </w:rPr>
        <w:t>“</w:t>
      </w:r>
      <w:r w:rsidR="00E232C7">
        <w:rPr>
          <w:rFonts w:asciiTheme="majorHAnsi" w:hAnsiTheme="majorHAnsi" w:cstheme="majorHAnsi"/>
          <w:color w:val="000000" w:themeColor="text1"/>
          <w:sz w:val="22"/>
          <w:szCs w:val="22"/>
        </w:rPr>
        <w:t>Wave</w:t>
      </w:r>
      <w:r w:rsidR="00814901">
        <w:rPr>
          <w:rFonts w:asciiTheme="majorHAnsi" w:hAnsiTheme="majorHAnsi" w:cstheme="majorHAnsi"/>
          <w:color w:val="000000" w:themeColor="text1"/>
          <w:sz w:val="22"/>
          <w:szCs w:val="22"/>
        </w:rPr>
        <w:t>”</w:t>
      </w:r>
      <w:bookmarkStart w:name="_GoBack" w:id="3"/>
      <w:bookmarkEnd w:id="3"/>
      <w:r w:rsidR="00E232C7">
        <w:rPr>
          <w:rFonts w:asciiTheme="majorHAnsi" w:hAnsiTheme="majorHAnsi" w:cstheme="majorHAnsi"/>
          <w:color w:val="000000" w:themeColor="text1"/>
          <w:sz w:val="22"/>
          <w:szCs w:val="22"/>
        </w:rPr>
        <w:t xml:space="preserve"> </w:t>
      </w:r>
      <w:r w:rsidR="00814901">
        <w:rPr>
          <w:rFonts w:asciiTheme="majorHAnsi" w:hAnsiTheme="majorHAnsi" w:cstheme="majorHAnsi"/>
          <w:color w:val="000000" w:themeColor="text1"/>
          <w:sz w:val="22"/>
          <w:szCs w:val="22"/>
        </w:rPr>
        <w:t>supporting documents</w:t>
      </w:r>
      <w:r w:rsidRPr="00751F88">
        <w:rPr>
          <w:rFonts w:asciiTheme="majorHAnsi" w:hAnsiTheme="majorHAnsi" w:cstheme="majorHAnsi"/>
          <w:color w:val="000000" w:themeColor="text1"/>
          <w:sz w:val="22"/>
          <w:szCs w:val="22"/>
        </w:rPr>
        <w:t xml:space="preserve"> for postcard and letter text). Final survey administration procedures and design of the survey administration tool will be subject to the guidance and expertise of the vendor hired to provide the data with regard to maximizing response rate, based on their experience conducting similar collections in the region of interest.</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Incentives</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Incentives are consistent with numerous theories about survey participation (Singer and Ye, 2013), such as the theory of reasoned action (</w:t>
      </w:r>
      <w:proofErr w:type="spellStart"/>
      <w:r w:rsidRPr="00751F88">
        <w:rPr>
          <w:rFonts w:asciiTheme="majorHAnsi" w:hAnsiTheme="majorHAnsi" w:cstheme="majorHAnsi"/>
          <w:color w:val="000000" w:themeColor="text1"/>
          <w:sz w:val="22"/>
          <w:szCs w:val="22"/>
        </w:rPr>
        <w:t>Ajzen</w:t>
      </w:r>
      <w:proofErr w:type="spellEnd"/>
      <w:r w:rsidRPr="00751F88">
        <w:rPr>
          <w:rFonts w:asciiTheme="majorHAnsi" w:hAnsiTheme="majorHAnsi" w:cstheme="majorHAnsi"/>
          <w:color w:val="000000" w:themeColor="text1"/>
          <w:sz w:val="22"/>
          <w:szCs w:val="22"/>
        </w:rPr>
        <w:t xml:space="preserve"> and </w:t>
      </w:r>
      <w:proofErr w:type="spellStart"/>
      <w:r w:rsidRPr="00751F88">
        <w:rPr>
          <w:rFonts w:asciiTheme="majorHAnsi" w:hAnsiTheme="majorHAnsi" w:cstheme="majorHAnsi"/>
          <w:color w:val="000000" w:themeColor="text1"/>
          <w:sz w:val="22"/>
          <w:szCs w:val="22"/>
        </w:rPr>
        <w:t>Fishbein</w:t>
      </w:r>
      <w:proofErr w:type="spellEnd"/>
      <w:r w:rsidRPr="00751F88">
        <w:rPr>
          <w:rFonts w:asciiTheme="majorHAnsi" w:hAnsiTheme="majorHAnsi" w:cstheme="majorHAnsi"/>
          <w:color w:val="000000" w:themeColor="text1"/>
          <w:sz w:val="22"/>
          <w:szCs w:val="22"/>
        </w:rPr>
        <w:t>, 1980), social exchange theory (</w:t>
      </w:r>
      <w:proofErr w:type="spellStart"/>
      <w:r w:rsidRPr="00751F88">
        <w:rPr>
          <w:rFonts w:asciiTheme="majorHAnsi" w:hAnsiTheme="majorHAnsi" w:cstheme="majorHAnsi"/>
          <w:color w:val="000000" w:themeColor="text1"/>
          <w:sz w:val="22"/>
          <w:szCs w:val="22"/>
        </w:rPr>
        <w:t>Dillman</w:t>
      </w:r>
      <w:proofErr w:type="spellEnd"/>
      <w:r w:rsidRPr="00751F88">
        <w:rPr>
          <w:rFonts w:asciiTheme="majorHAnsi" w:hAnsiTheme="majorHAnsi" w:cstheme="majorHAnsi"/>
          <w:color w:val="000000" w:themeColor="text1"/>
          <w:sz w:val="22"/>
          <w:szCs w:val="22"/>
        </w:rPr>
        <w:t xml:space="preserve"> et al., 2014), and leverage-salience theory (Groves et al., 2000). Inclusion of an incentive acts as a sign of good will on the part of the study sponsors and encourages reciprocity of that goodwill by the respondent.</w:t>
      </w:r>
    </w:p>
    <w:p w:rsidRPr="00751F88" w:rsidR="00E6388A" w:rsidP="00E6388A" w:rsidRDefault="00E6388A">
      <w:pPr>
        <w:tabs>
          <w:tab w:val="left" w:pos="9360"/>
        </w:tabs>
        <w:spacing w:after="12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Dillman</w:t>
      </w:r>
      <w:proofErr w:type="spellEnd"/>
      <w:r w:rsidRPr="00751F88">
        <w:rPr>
          <w:rFonts w:asciiTheme="majorHAnsi" w:hAnsiTheme="majorHAnsi" w:cstheme="majorHAnsi"/>
          <w:color w:val="000000" w:themeColor="text1"/>
          <w:sz w:val="22"/>
          <w:szCs w:val="22"/>
        </w:rPr>
        <w:t xml:space="preserve"> et al. (2014) recommends including incentives to not only increase response rates, but to decrease nonresponse bias. Specifically, an incentive amount between $1 and $5 </w:t>
      </w:r>
      <w:proofErr w:type="gramStart"/>
      <w:r w:rsidRPr="00751F88">
        <w:rPr>
          <w:rFonts w:asciiTheme="majorHAnsi" w:hAnsiTheme="majorHAnsi" w:cstheme="majorHAnsi"/>
          <w:color w:val="000000" w:themeColor="text1"/>
          <w:sz w:val="22"/>
          <w:szCs w:val="22"/>
        </w:rPr>
        <w:t>is recommended</w:t>
      </w:r>
      <w:proofErr w:type="gramEnd"/>
      <w:r w:rsidRPr="00751F88">
        <w:rPr>
          <w:rFonts w:asciiTheme="majorHAnsi" w:hAnsiTheme="majorHAnsi" w:cstheme="majorHAnsi"/>
          <w:color w:val="000000" w:themeColor="text1"/>
          <w:sz w:val="22"/>
          <w:szCs w:val="22"/>
        </w:rPr>
        <w:t xml:space="preserve"> for surveys of most populations. </w:t>
      </w:r>
    </w:p>
    <w:p w:rsidRPr="00751F88" w:rsidR="00E6388A" w:rsidP="00E6388A" w:rsidRDefault="00E6388A">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Church (1993) conducted a meta-analysis of 38 studies that implemented some form of mail survey incentive to increase response rates and found that providing a prepaid monetary incentive with the initial survey mailing increase response rates by 19.1% on average. Lesser et al. (2001) analyzed the impact of financial incentives in mail surveys and found that including a $2 bill increased response rates by 11% to 31%. Gajic et al. (2012) administered a stated-preference survey of a general community population using a mixed-mode approach where community members </w:t>
      </w:r>
      <w:proofErr w:type="gramStart"/>
      <w:r w:rsidRPr="00751F88">
        <w:rPr>
          <w:rFonts w:asciiTheme="majorHAnsi" w:hAnsiTheme="majorHAnsi" w:cstheme="majorHAnsi"/>
          <w:color w:val="000000" w:themeColor="text1"/>
          <w:sz w:val="22"/>
          <w:szCs w:val="22"/>
        </w:rPr>
        <w:t>were invited</w:t>
      </w:r>
      <w:proofErr w:type="gramEnd"/>
      <w:r w:rsidRPr="00751F88">
        <w:rPr>
          <w:rFonts w:asciiTheme="majorHAnsi" w:hAnsiTheme="majorHAnsi" w:cstheme="majorHAnsi"/>
          <w:color w:val="000000" w:themeColor="text1"/>
          <w:sz w:val="22"/>
          <w:szCs w:val="22"/>
        </w:rPr>
        <w:t xml:space="preserve"> to participate a web-based survey using a traditional mailed letter. A prepaid cash incentive of $2 </w:t>
      </w:r>
      <w:proofErr w:type="gramStart"/>
      <w:r w:rsidRPr="00751F88">
        <w:rPr>
          <w:rFonts w:asciiTheme="majorHAnsi" w:hAnsiTheme="majorHAnsi" w:cstheme="majorHAnsi"/>
          <w:color w:val="000000" w:themeColor="text1"/>
          <w:sz w:val="22"/>
          <w:szCs w:val="22"/>
        </w:rPr>
        <w:t>was found</w:t>
      </w:r>
      <w:proofErr w:type="gramEnd"/>
      <w:r w:rsidRPr="00751F88">
        <w:rPr>
          <w:rFonts w:asciiTheme="majorHAnsi" w:hAnsiTheme="majorHAnsi" w:cstheme="majorHAnsi"/>
          <w:color w:val="000000" w:themeColor="text1"/>
          <w:sz w:val="22"/>
          <w:szCs w:val="22"/>
        </w:rPr>
        <w:t xml:space="preserve"> to increase response rates by 11.6%.</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Given these findings, we believe a small, prepaid incentive will boost response rates by at least 10% and would be the most cost effective means to increase response rates. A $2 bill incentive </w:t>
      </w:r>
      <w:proofErr w:type="gramStart"/>
      <w:r w:rsidRPr="00751F88">
        <w:rPr>
          <w:rFonts w:asciiTheme="majorHAnsi" w:hAnsiTheme="majorHAnsi" w:cstheme="majorHAnsi"/>
          <w:color w:val="000000" w:themeColor="text1"/>
          <w:sz w:val="22"/>
          <w:szCs w:val="22"/>
        </w:rPr>
        <w:t>was chosen</w:t>
      </w:r>
      <w:proofErr w:type="gramEnd"/>
      <w:r w:rsidRPr="00751F88">
        <w:rPr>
          <w:rFonts w:asciiTheme="majorHAnsi" w:hAnsiTheme="majorHAnsi" w:cstheme="majorHAnsi"/>
          <w:color w:val="000000" w:themeColor="text1"/>
          <w:sz w:val="22"/>
          <w:szCs w:val="22"/>
        </w:rPr>
        <w:t xml:space="preserve"> due to considerations for the population being targeted and the funding available for the project. As this increase in response rate will require a smaller sample size, the cost per response </w:t>
      </w:r>
      <w:proofErr w:type="gramStart"/>
      <w:r w:rsidRPr="00751F88">
        <w:rPr>
          <w:rFonts w:asciiTheme="majorHAnsi" w:hAnsiTheme="majorHAnsi" w:cstheme="majorHAnsi"/>
          <w:color w:val="000000" w:themeColor="text1"/>
          <w:sz w:val="22"/>
          <w:szCs w:val="22"/>
        </w:rPr>
        <w:t>is only expec</w:t>
      </w:r>
      <w:r>
        <w:rPr>
          <w:rFonts w:asciiTheme="majorHAnsi" w:hAnsiTheme="majorHAnsi" w:cstheme="majorHAnsi"/>
          <w:color w:val="000000" w:themeColor="text1"/>
          <w:sz w:val="22"/>
          <w:szCs w:val="22"/>
        </w:rPr>
        <w:t>ted</w:t>
      </w:r>
      <w:proofErr w:type="gramEnd"/>
      <w:r>
        <w:rPr>
          <w:rFonts w:asciiTheme="majorHAnsi" w:hAnsiTheme="majorHAnsi" w:cstheme="majorHAnsi"/>
          <w:color w:val="000000" w:themeColor="text1"/>
          <w:sz w:val="22"/>
          <w:szCs w:val="22"/>
        </w:rPr>
        <w:t xml:space="preserve"> to increase by roughly $1.03</w:t>
      </w:r>
      <w:r w:rsidRPr="00751F88">
        <w:rPr>
          <w:rFonts w:asciiTheme="majorHAnsi" w:hAnsiTheme="majorHAnsi" w:cstheme="majorHAnsi"/>
          <w:color w:val="000000" w:themeColor="text1"/>
          <w:sz w:val="22"/>
          <w:szCs w:val="22"/>
        </w:rPr>
        <w:t>.</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Non-Response Bias Study</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In order to determine if and how respondents and non-respondents differ, a non-response bias study </w:t>
      </w:r>
      <w:proofErr w:type="gramStart"/>
      <w:r w:rsidRPr="00751F88">
        <w:rPr>
          <w:rFonts w:asciiTheme="majorHAnsi" w:hAnsiTheme="majorHAnsi" w:cstheme="majorHAnsi"/>
          <w:color w:val="000000" w:themeColor="text1"/>
          <w:sz w:val="22"/>
          <w:szCs w:val="22"/>
        </w:rPr>
        <w:t>will be conducted</w:t>
      </w:r>
      <w:proofErr w:type="gramEnd"/>
      <w:r w:rsidRPr="00751F88">
        <w:rPr>
          <w:rFonts w:asciiTheme="majorHAnsi" w:hAnsiTheme="majorHAnsi" w:cstheme="majorHAnsi"/>
          <w:color w:val="000000" w:themeColor="text1"/>
          <w:sz w:val="22"/>
          <w:szCs w:val="22"/>
        </w:rPr>
        <w:t xml:space="preserve"> in which a short survey will be administered to a random sample of households that receive the main survey but do not complete and return it. The short questionnaire will ask a few awareness, attitudinal and demographic questions that </w:t>
      </w:r>
      <w:proofErr w:type="gramStart"/>
      <w:r w:rsidRPr="00751F88">
        <w:rPr>
          <w:rFonts w:asciiTheme="majorHAnsi" w:hAnsiTheme="majorHAnsi" w:cstheme="majorHAnsi"/>
          <w:color w:val="000000" w:themeColor="text1"/>
          <w:sz w:val="22"/>
          <w:szCs w:val="22"/>
        </w:rPr>
        <w:t>can be used</w:t>
      </w:r>
      <w:proofErr w:type="gramEnd"/>
      <w:r w:rsidRPr="00751F88">
        <w:rPr>
          <w:rFonts w:asciiTheme="majorHAnsi" w:hAnsiTheme="majorHAnsi" w:cstheme="majorHAnsi"/>
          <w:color w:val="000000" w:themeColor="text1"/>
          <w:sz w:val="22"/>
          <w:szCs w:val="22"/>
        </w:rPr>
        <w:t xml:space="preserve"> to statistically examine differences, if any, between respondents and non-respondents. It will take respondents about 5 minutes to complete the </w:t>
      </w:r>
      <w:proofErr w:type="gramStart"/>
      <w:r w:rsidRPr="00751F88">
        <w:rPr>
          <w:rFonts w:asciiTheme="majorHAnsi" w:hAnsiTheme="majorHAnsi" w:cstheme="majorHAnsi"/>
          <w:color w:val="000000" w:themeColor="text1"/>
          <w:sz w:val="22"/>
          <w:szCs w:val="22"/>
        </w:rPr>
        <w:t>non-response bias study survey</w:t>
      </w:r>
      <w:proofErr w:type="gramEnd"/>
      <w:r w:rsidRPr="00751F88">
        <w:rPr>
          <w:rFonts w:asciiTheme="majorHAnsi" w:hAnsiTheme="majorHAnsi" w:cstheme="majorHAnsi"/>
          <w:color w:val="000000" w:themeColor="text1"/>
          <w:sz w:val="22"/>
          <w:szCs w:val="22"/>
        </w:rPr>
        <w:t xml:space="preserve">. The samples for the non-response follow up </w:t>
      </w:r>
      <w:proofErr w:type="gramStart"/>
      <w:r w:rsidRPr="00751F88">
        <w:rPr>
          <w:rFonts w:asciiTheme="majorHAnsi" w:hAnsiTheme="majorHAnsi" w:cstheme="majorHAnsi"/>
          <w:color w:val="000000" w:themeColor="text1"/>
          <w:sz w:val="22"/>
          <w:szCs w:val="22"/>
        </w:rPr>
        <w:t>will be allocated</w:t>
      </w:r>
      <w:proofErr w:type="gramEnd"/>
      <w:r w:rsidRPr="00751F88">
        <w:rPr>
          <w:rFonts w:asciiTheme="majorHAnsi" w:hAnsiTheme="majorHAnsi" w:cstheme="majorHAnsi"/>
          <w:color w:val="000000" w:themeColor="text1"/>
          <w:sz w:val="22"/>
          <w:szCs w:val="22"/>
        </w:rPr>
        <w:t xml:space="preserve"> proportionately to the number of the original mailings in the geographic division (strata). </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25% response rate </w:t>
      </w:r>
      <w:proofErr w:type="gramStart"/>
      <w:r w:rsidRPr="00751F88">
        <w:rPr>
          <w:rFonts w:asciiTheme="majorHAnsi" w:hAnsiTheme="majorHAnsi" w:cstheme="majorHAnsi"/>
          <w:color w:val="000000" w:themeColor="text1"/>
          <w:sz w:val="22"/>
          <w:szCs w:val="22"/>
        </w:rPr>
        <w:t>is expected</w:t>
      </w:r>
      <w:proofErr w:type="gramEnd"/>
      <w:r w:rsidRPr="00751F88">
        <w:rPr>
          <w:rFonts w:asciiTheme="majorHAnsi" w:hAnsiTheme="majorHAnsi" w:cstheme="majorHAnsi"/>
          <w:color w:val="000000" w:themeColor="text1"/>
          <w:sz w:val="22"/>
          <w:szCs w:val="22"/>
        </w:rPr>
        <w:t xml:space="preserve"> for this follow-up survey and the target sample sizes of </w:t>
      </w:r>
      <w:r>
        <w:rPr>
          <w:rFonts w:asciiTheme="majorHAnsi" w:hAnsiTheme="majorHAnsi" w:cstheme="majorHAnsi"/>
          <w:color w:val="000000" w:themeColor="text1"/>
          <w:sz w:val="22"/>
          <w:szCs w:val="22"/>
        </w:rPr>
        <w:t>333</w:t>
      </w:r>
      <w:r w:rsidRPr="00751F88">
        <w:rPr>
          <w:rFonts w:asciiTheme="majorHAnsi" w:hAnsiTheme="majorHAnsi" w:cstheme="majorHAnsi"/>
          <w:color w:val="000000" w:themeColor="text1"/>
          <w:sz w:val="22"/>
          <w:szCs w:val="22"/>
        </w:rPr>
        <w:t xml:space="preserve"> and </w:t>
      </w:r>
      <w:r>
        <w:rPr>
          <w:rFonts w:asciiTheme="majorHAnsi" w:hAnsiTheme="majorHAnsi" w:cstheme="majorHAnsi"/>
          <w:color w:val="000000" w:themeColor="text1"/>
          <w:sz w:val="22"/>
          <w:szCs w:val="22"/>
        </w:rPr>
        <w:t>737</w:t>
      </w:r>
      <w:r w:rsidRPr="00751F88">
        <w:rPr>
          <w:rFonts w:asciiTheme="majorHAnsi" w:hAnsiTheme="majorHAnsi" w:cstheme="majorHAnsi"/>
          <w:color w:val="000000" w:themeColor="text1"/>
          <w:sz w:val="22"/>
          <w:szCs w:val="22"/>
        </w:rPr>
        <w:t xml:space="preserve"> completed non-response surveys for the pre-test and full implementations should provide a margin of error of approximately 5% with a 95% confidence interval. The return envelope </w:t>
      </w:r>
      <w:proofErr w:type="gramStart"/>
      <w:r w:rsidRPr="00751F88">
        <w:rPr>
          <w:rFonts w:asciiTheme="majorHAnsi" w:hAnsiTheme="majorHAnsi" w:cstheme="majorHAnsi"/>
          <w:color w:val="000000" w:themeColor="text1"/>
          <w:sz w:val="22"/>
          <w:szCs w:val="22"/>
        </w:rPr>
        <w:t>will be imprinted</w:t>
      </w:r>
      <w:proofErr w:type="gramEnd"/>
      <w:r w:rsidRPr="00751F88">
        <w:rPr>
          <w:rFonts w:asciiTheme="majorHAnsi" w:hAnsiTheme="majorHAnsi" w:cstheme="majorHAnsi"/>
          <w:color w:val="000000" w:themeColor="text1"/>
          <w:sz w:val="22"/>
          <w:szCs w:val="22"/>
        </w:rPr>
        <w:t xml:space="preserve"> with a stamp requesting the recipient to “Please return within 2 weeks.”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_Ref532463214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Pr="00751F88">
        <w:rPr>
          <w:rFonts w:asciiTheme="majorHAnsi" w:hAnsiTheme="majorHAnsi" w:cstheme="majorHAnsi"/>
          <w:color w:val="000000" w:themeColor="text1"/>
          <w:sz w:val="22"/>
          <w:szCs w:val="22"/>
        </w:rPr>
        <w:t xml:space="preserve">Table </w:t>
      </w:r>
      <w:r>
        <w:rPr>
          <w:rFonts w:asciiTheme="majorHAnsi" w:hAnsiTheme="majorHAnsi" w:cstheme="majorHAnsi"/>
          <w:noProof/>
          <w:color w:val="000000" w:themeColor="text1"/>
          <w:sz w:val="22"/>
          <w:szCs w:val="22"/>
        </w:rPr>
        <w:t>3</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illustrates the target sample size of the non-response survey across survey regions.</w:t>
      </w:r>
    </w:p>
    <w:p w:rsidRPr="00751F88" w:rsidR="00E6388A" w:rsidP="00E6388A" w:rsidRDefault="00E6388A">
      <w:pPr>
        <w:pStyle w:val="Caption"/>
        <w:keepNext/>
        <w:tabs>
          <w:tab w:val="left" w:pos="9360"/>
        </w:tabs>
        <w:rPr>
          <w:rFonts w:asciiTheme="majorHAnsi" w:hAnsiTheme="majorHAnsi" w:cstheme="majorHAnsi"/>
          <w:color w:val="000000" w:themeColor="text1"/>
          <w:sz w:val="22"/>
          <w:szCs w:val="22"/>
        </w:rPr>
      </w:pPr>
      <w:bookmarkStart w:name="_Ref532463214" w:id="4"/>
      <w:r w:rsidRPr="00751F88">
        <w:rPr>
          <w:rFonts w:asciiTheme="majorHAnsi" w:hAnsiTheme="majorHAnsi" w:cstheme="majorHAnsi"/>
          <w:color w:val="000000" w:themeColor="text1"/>
          <w:sz w:val="22"/>
          <w:szCs w:val="22"/>
        </w:rPr>
        <w:t xml:space="preserve">Table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SEQ Table \* ARABIC </w:instrText>
      </w:r>
      <w:r w:rsidRPr="00751F88">
        <w:rPr>
          <w:rFonts w:asciiTheme="majorHAnsi" w:hAnsiTheme="majorHAnsi" w:cstheme="majorHAnsi"/>
          <w:color w:val="000000" w:themeColor="text1"/>
          <w:sz w:val="22"/>
          <w:szCs w:val="22"/>
        </w:rPr>
        <w:fldChar w:fldCharType="separate"/>
      </w:r>
      <w:r>
        <w:rPr>
          <w:rFonts w:asciiTheme="majorHAnsi" w:hAnsiTheme="majorHAnsi" w:cstheme="majorHAnsi"/>
          <w:noProof/>
          <w:color w:val="000000" w:themeColor="text1"/>
          <w:sz w:val="22"/>
          <w:szCs w:val="22"/>
        </w:rPr>
        <w:t>3</w:t>
      </w:r>
      <w:r w:rsidRPr="00751F88">
        <w:rPr>
          <w:rFonts w:asciiTheme="majorHAnsi" w:hAnsiTheme="majorHAnsi" w:cstheme="majorHAnsi"/>
          <w:color w:val="000000" w:themeColor="text1"/>
          <w:sz w:val="22"/>
          <w:szCs w:val="22"/>
        </w:rPr>
        <w:fldChar w:fldCharType="end"/>
      </w:r>
      <w:bookmarkEnd w:id="4"/>
      <w:r w:rsidRPr="00751F88">
        <w:rPr>
          <w:rFonts w:asciiTheme="majorHAnsi" w:hAnsiTheme="majorHAnsi" w:cstheme="majorHAnsi"/>
          <w:color w:val="000000" w:themeColor="text1"/>
          <w:sz w:val="22"/>
          <w:szCs w:val="22"/>
        </w:rPr>
        <w:t xml:space="preserve">: Pretest sample, final collection estimated completes </w:t>
      </w:r>
      <w:proofErr w:type="gramStart"/>
      <w:r w:rsidRPr="00751F88">
        <w:rPr>
          <w:rFonts w:asciiTheme="majorHAnsi" w:hAnsiTheme="majorHAnsi" w:cstheme="majorHAnsi"/>
          <w:color w:val="000000" w:themeColor="text1"/>
          <w:sz w:val="22"/>
          <w:szCs w:val="22"/>
        </w:rPr>
        <w:t>needed,</w:t>
      </w:r>
      <w:proofErr w:type="gramEnd"/>
      <w:r w:rsidRPr="00751F88">
        <w:rPr>
          <w:rFonts w:asciiTheme="majorHAnsi" w:hAnsiTheme="majorHAnsi" w:cstheme="majorHAnsi"/>
          <w:color w:val="000000" w:themeColor="text1"/>
          <w:sz w:val="22"/>
          <w:szCs w:val="22"/>
        </w:rPr>
        <w:t xml:space="preserve"> and final collection adjusted sample size by strata for non-response bias study</w:t>
      </w:r>
    </w:p>
    <w:tbl>
      <w:tblPr>
        <w:tblW w:w="77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95"/>
        <w:gridCol w:w="1311"/>
        <w:gridCol w:w="2149"/>
        <w:gridCol w:w="2168"/>
      </w:tblGrid>
      <w:tr w:rsidRPr="00751F88" w:rsidR="00E6388A" w:rsidTr="0005554B">
        <w:trPr>
          <w:trHeight w:val="20"/>
          <w:jc w:val="center"/>
        </w:trPr>
        <w:tc>
          <w:tcPr>
            <w:tcW w:w="2095" w:type="dxa"/>
            <w:shd w:val="clear" w:color="auto" w:fill="D9D9D9"/>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Strata</w:t>
            </w:r>
          </w:p>
        </w:tc>
        <w:tc>
          <w:tcPr>
            <w:tcW w:w="1311" w:type="dxa"/>
            <w:shd w:val="clear" w:color="auto" w:fill="D9D9D9"/>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Sub-strata</w:t>
            </w:r>
          </w:p>
        </w:tc>
        <w:tc>
          <w:tcPr>
            <w:tcW w:w="2149" w:type="dxa"/>
            <w:shd w:val="clear" w:color="auto" w:fill="D9D9D9"/>
            <w:vAlign w:val="center"/>
          </w:tcPr>
          <w:p w:rsidR="00E6388A" w:rsidP="0005554B" w:rsidRDefault="00E6388A">
            <w:pPr>
              <w:keepNext/>
              <w:keepLines/>
              <w:tabs>
                <w:tab w:val="left" w:pos="9360"/>
              </w:tabs>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Pretest</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Expected Completes</w:t>
            </w:r>
          </w:p>
        </w:tc>
        <w:tc>
          <w:tcPr>
            <w:tcW w:w="2168" w:type="dxa"/>
            <w:shd w:val="clear" w:color="auto" w:fill="D9D9D9"/>
            <w:vAlign w:val="center"/>
          </w:tcPr>
          <w:p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Final Collection</w:t>
            </w:r>
          </w:p>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Expected Completes</w:t>
            </w:r>
          </w:p>
        </w:tc>
      </w:tr>
      <w:tr w:rsidRPr="00751F88" w:rsidR="00E6388A" w:rsidTr="0005554B">
        <w:trPr>
          <w:trHeight w:val="20"/>
          <w:jc w:val="center"/>
        </w:trPr>
        <w:tc>
          <w:tcPr>
            <w:tcW w:w="2095"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Great Bay</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2149"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57</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125 </w:t>
            </w:r>
          </w:p>
        </w:tc>
      </w:tr>
      <w:tr w:rsidRPr="00751F88" w:rsidR="00E6388A" w:rsidTr="0005554B">
        <w:trPr>
          <w:trHeight w:val="20"/>
          <w:jc w:val="center"/>
        </w:trPr>
        <w:tc>
          <w:tcPr>
            <w:tcW w:w="2095"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Hampton-Seabrook</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2149"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57</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125 </w:t>
            </w:r>
          </w:p>
        </w:tc>
      </w:tr>
      <w:tr w:rsidRPr="00751F88" w:rsidR="00E6388A" w:rsidTr="0005554B">
        <w:trPr>
          <w:trHeight w:val="20"/>
          <w:jc w:val="center"/>
        </w:trPr>
        <w:tc>
          <w:tcPr>
            <w:tcW w:w="2095"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Piscataqua</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2149"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57</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125 </w:t>
            </w:r>
          </w:p>
        </w:tc>
      </w:tr>
      <w:tr w:rsidRPr="00751F88" w:rsidR="00E6388A" w:rsidTr="0005554B">
        <w:trPr>
          <w:trHeight w:val="20"/>
          <w:jc w:val="center"/>
        </w:trPr>
        <w:tc>
          <w:tcPr>
            <w:tcW w:w="2095"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other Coastal NH</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w:t>
            </w:r>
          </w:p>
        </w:tc>
        <w:tc>
          <w:tcPr>
            <w:tcW w:w="2149" w:type="dxa"/>
            <w:shd w:val="clear" w:color="auto" w:fill="auto"/>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57</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125 </w:t>
            </w:r>
          </w:p>
        </w:tc>
      </w:tr>
      <w:tr w:rsidRPr="00751F88" w:rsidR="00E6388A" w:rsidTr="0005554B">
        <w:trPr>
          <w:trHeight w:val="20"/>
          <w:jc w:val="center"/>
        </w:trPr>
        <w:tc>
          <w:tcPr>
            <w:tcW w:w="2095" w:type="dxa"/>
            <w:vMerge w:val="restart"/>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coastal NH counties</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Rockingham</w:t>
            </w:r>
          </w:p>
        </w:tc>
        <w:tc>
          <w:tcPr>
            <w:tcW w:w="214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66 </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140 </w:t>
            </w:r>
          </w:p>
        </w:tc>
      </w:tr>
      <w:tr w:rsidRPr="00751F88" w:rsidR="00E6388A" w:rsidTr="0005554B">
        <w:trPr>
          <w:trHeight w:val="20"/>
          <w:jc w:val="center"/>
        </w:trPr>
        <w:tc>
          <w:tcPr>
            <w:tcW w:w="2095" w:type="dxa"/>
            <w:vMerge/>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Strafford</w:t>
            </w:r>
          </w:p>
        </w:tc>
        <w:tc>
          <w:tcPr>
            <w:tcW w:w="214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39 </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98 </w:t>
            </w:r>
          </w:p>
        </w:tc>
      </w:tr>
      <w:tr w:rsidRPr="00751F88" w:rsidR="00E6388A" w:rsidTr="0005554B">
        <w:trPr>
          <w:trHeight w:val="20"/>
          <w:jc w:val="center"/>
        </w:trPr>
        <w:tc>
          <w:tcPr>
            <w:tcW w:w="2095" w:type="dxa"/>
            <w:shd w:val="clear" w:color="auto" w:fill="auto"/>
            <w:vAlign w:val="center"/>
          </w:tcPr>
          <w:p w:rsidRPr="00955217" w:rsidR="00E6388A" w:rsidP="0005554B" w:rsidRDefault="00E63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color w:val="000000" w:themeColor="text1"/>
                <w:sz w:val="22"/>
                <w:szCs w:val="22"/>
              </w:rPr>
              <w:t>TOTAL</w:t>
            </w:r>
          </w:p>
        </w:tc>
        <w:tc>
          <w:tcPr>
            <w:tcW w:w="1311" w:type="dxa"/>
            <w:vAlign w:val="center"/>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p>
        </w:tc>
        <w:tc>
          <w:tcPr>
            <w:tcW w:w="2149" w:type="dxa"/>
            <w:shd w:val="clear" w:color="auto" w:fill="auto"/>
          </w:tcPr>
          <w:p w:rsidRPr="00955217"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955217">
              <w:rPr>
                <w:rFonts w:asciiTheme="majorHAnsi" w:hAnsiTheme="majorHAnsi" w:cstheme="majorHAnsi"/>
                <w:sz w:val="22"/>
                <w:szCs w:val="22"/>
              </w:rPr>
              <w:t xml:space="preserve"> 333 </w:t>
            </w:r>
          </w:p>
        </w:tc>
        <w:tc>
          <w:tcPr>
            <w:tcW w:w="2168" w:type="dxa"/>
            <w:shd w:val="clear" w:color="auto" w:fill="auto"/>
          </w:tcPr>
          <w:p w:rsidRPr="008837B8" w:rsidR="00E6388A" w:rsidP="0005554B" w:rsidRDefault="00E6388A">
            <w:pPr>
              <w:keepNext/>
              <w:keepLines/>
              <w:tabs>
                <w:tab w:val="left" w:pos="9360"/>
              </w:tabs>
              <w:jc w:val="center"/>
              <w:rPr>
                <w:rFonts w:asciiTheme="majorHAnsi" w:hAnsiTheme="majorHAnsi" w:cstheme="majorHAnsi"/>
                <w:color w:val="000000" w:themeColor="text1"/>
                <w:sz w:val="22"/>
                <w:szCs w:val="22"/>
              </w:rPr>
            </w:pPr>
            <w:r w:rsidRPr="008837B8">
              <w:rPr>
                <w:rFonts w:asciiTheme="majorHAnsi" w:hAnsiTheme="majorHAnsi" w:cstheme="majorHAnsi"/>
                <w:sz w:val="22"/>
                <w:szCs w:val="22"/>
              </w:rPr>
              <w:t xml:space="preserve"> 737 </w:t>
            </w:r>
          </w:p>
        </w:tc>
      </w:tr>
    </w:tbl>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subset of the questions from the main questionnaire </w:t>
      </w:r>
      <w:proofErr w:type="gramStart"/>
      <w:r w:rsidRPr="00751F88">
        <w:rPr>
          <w:rFonts w:asciiTheme="majorHAnsi" w:hAnsiTheme="majorHAnsi" w:cstheme="majorHAnsi"/>
          <w:color w:val="000000" w:themeColor="text1"/>
          <w:sz w:val="22"/>
          <w:szCs w:val="22"/>
        </w:rPr>
        <w:t>was selected</w:t>
      </w:r>
      <w:proofErr w:type="gramEnd"/>
      <w:r w:rsidRPr="00751F88">
        <w:rPr>
          <w:rFonts w:asciiTheme="majorHAnsi" w:hAnsiTheme="majorHAnsi" w:cstheme="majorHAnsi"/>
          <w:color w:val="000000" w:themeColor="text1"/>
          <w:sz w:val="22"/>
          <w:szCs w:val="22"/>
        </w:rPr>
        <w:t xml:space="preserve"> for the non-response bias study survey:</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bookmarkStart w:name="_Ref5620293" w:id="5"/>
      <w:bookmarkStart w:name="_Ref530141341" w:id="6"/>
      <w:r w:rsidRPr="00751F88">
        <w:rPr>
          <w:rFonts w:asciiTheme="majorHAnsi" w:hAnsiTheme="majorHAnsi" w:cstheme="majorHAnsi"/>
          <w:i/>
          <w:color w:val="000000" w:themeColor="text1"/>
          <w:sz w:val="22"/>
          <w:szCs w:val="22"/>
        </w:rPr>
        <w:t>Please indicate how strongly you agree or disagree with the following statements?</w:t>
      </w:r>
    </w:p>
    <w:p w:rsidRPr="005E42FD" w:rsidR="00E6388A" w:rsidP="00E6388A" w:rsidRDefault="00E6388A">
      <w:pPr>
        <w:pStyle w:val="ListParagraph"/>
        <w:numPr>
          <w:ilvl w:val="3"/>
          <w:numId w:val="2"/>
        </w:numPr>
        <w:ind w:left="720"/>
        <w:rPr>
          <w:rFonts w:asciiTheme="majorHAnsi" w:hAnsiTheme="majorHAnsi" w:cstheme="majorHAnsi"/>
          <w:i/>
          <w:color w:val="000000" w:themeColor="text1"/>
          <w:sz w:val="22"/>
          <w:szCs w:val="22"/>
        </w:rPr>
      </w:pPr>
      <w:bookmarkStart w:name="_Ref30166222" w:id="7"/>
      <w:r w:rsidRPr="005E42FD">
        <w:rPr>
          <w:rFonts w:asciiTheme="majorHAnsi" w:hAnsiTheme="majorHAnsi" w:cstheme="majorHAnsi"/>
          <w:i/>
          <w:color w:val="000000" w:themeColor="text1"/>
          <w:sz w:val="22"/>
          <w:szCs w:val="22"/>
        </w:rPr>
        <w:t xml:space="preserve">Please indicate whether you </w:t>
      </w:r>
      <w:proofErr w:type="gramStart"/>
      <w:r w:rsidRPr="005E42FD">
        <w:rPr>
          <w:rFonts w:asciiTheme="majorHAnsi" w:hAnsiTheme="majorHAnsi" w:cstheme="majorHAnsi"/>
          <w:i/>
          <w:color w:val="000000" w:themeColor="text1"/>
          <w:sz w:val="22"/>
          <w:szCs w:val="22"/>
        </w:rPr>
        <w:t>think</w:t>
      </w:r>
      <w:proofErr w:type="gramEnd"/>
      <w:r w:rsidRPr="005E42FD">
        <w:rPr>
          <w:rFonts w:asciiTheme="majorHAnsi" w:hAnsiTheme="majorHAnsi" w:cstheme="majorHAnsi"/>
          <w:i/>
          <w:color w:val="000000" w:themeColor="text1"/>
          <w:sz w:val="22"/>
          <w:szCs w:val="22"/>
        </w:rPr>
        <w:t xml:space="preserve"> the following will increase or decrease in the next 10 years.</w:t>
      </w:r>
      <w:bookmarkEnd w:id="7"/>
    </w:p>
    <w:p w:rsidRPr="00751F88" w:rsidR="00E6388A" w:rsidP="00E6388A" w:rsidRDefault="00E6388A">
      <w:pPr>
        <w:pStyle w:val="ListParagraph"/>
        <w:tabs>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Questions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_Ref5620293 \r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Pr>
          <w:rFonts w:asciiTheme="majorHAnsi" w:hAnsiTheme="majorHAnsi" w:cstheme="majorHAnsi"/>
          <w:color w:val="000000" w:themeColor="text1"/>
          <w:sz w:val="22"/>
          <w:szCs w:val="22"/>
        </w:rPr>
        <w:t>1</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and </w:t>
      </w:r>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REF _Ref30166222 \r \h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Pr>
          <w:rFonts w:asciiTheme="majorHAnsi" w:hAnsiTheme="majorHAnsi" w:cstheme="majorHAnsi"/>
          <w:color w:val="000000" w:themeColor="text1"/>
          <w:sz w:val="22"/>
          <w:szCs w:val="22"/>
        </w:rPr>
        <w:t>2</w:t>
      </w:r>
      <w:r>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are two questions from the main survey that may influence an individual’s response probability. For example, those who do not live in coastal New Hampshire or those who do not believe coastal storms, flooding, or shoreline erosion are major concerns may be less likely to respond.</w:t>
      </w:r>
      <w:bookmarkEnd w:id="5"/>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bookmarkStart w:name="_Ref5620326" w:id="8"/>
      <w:bookmarkEnd w:id="6"/>
      <w:r w:rsidRPr="00751F88">
        <w:rPr>
          <w:rFonts w:asciiTheme="majorHAnsi" w:hAnsiTheme="majorHAnsi" w:cstheme="majorHAnsi"/>
          <w:i/>
          <w:color w:val="000000" w:themeColor="text1"/>
          <w:sz w:val="22"/>
          <w:szCs w:val="22"/>
        </w:rPr>
        <w:t>Please rate how much you agree or disagree with the following statements.</w:t>
      </w:r>
      <w:bookmarkEnd w:id="8"/>
    </w:p>
    <w:p w:rsidRPr="00751F88" w:rsidR="00E6388A" w:rsidP="00E6388A" w:rsidRDefault="00E6388A">
      <w:pPr>
        <w:pStyle w:val="ListParagraph"/>
        <w:widowControl/>
        <w:pBdr>
          <w:top w:val="none" w:color="auto" w:sz="0" w:space="0"/>
          <w:left w:val="none" w:color="auto" w:sz="0" w:space="0"/>
          <w:bottom w:val="none" w:color="auto" w:sz="0" w:space="0"/>
          <w:right w:val="none" w:color="auto" w:sz="0" w:space="0"/>
          <w:between w:val="none" w:color="auto" w:sz="0" w:space="0"/>
        </w:pBdr>
        <w:tabs>
          <w:tab w:val="left" w:pos="9360"/>
        </w:tabs>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items in question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_Ref5620326 \r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Pr>
          <w:rFonts w:asciiTheme="majorHAnsi" w:hAnsiTheme="majorHAnsi" w:cstheme="majorHAnsi"/>
          <w:color w:val="000000" w:themeColor="text1"/>
          <w:sz w:val="22"/>
          <w:szCs w:val="22"/>
        </w:rPr>
        <w:t>3</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ask about attitudes toward managing estuarine and coastal lands in Coastal New Hampshire, costs to one’s household, and government regulations. Comparing responses to these questions across the main survey study and the non-response bias study will allow researchers to assess whether non-respondents did not complete the main survey for reasons related to the survey topic. In contrast, the last item in question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_Ref5620326 \r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Pr>
          <w:rFonts w:asciiTheme="majorHAnsi" w:hAnsiTheme="majorHAnsi" w:cstheme="majorHAnsi"/>
          <w:color w:val="000000" w:themeColor="text1"/>
          <w:sz w:val="22"/>
          <w:szCs w:val="22"/>
        </w:rPr>
        <w:t>3</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inquires about respondents’ ability or propensity to take surveys in general, comparing responses to this item will help researchers assess whether non-response was related to factors that are likely uncorrelated with the experiment. </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What is your sex?</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In what year were you born?</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Do you own or rent property on a shoreline?</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Are you a seasonal or year-round resident of coastal New Hampshire?</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Are you Hispanic or Latino?</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What is your race? (select all that apply)</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What is the highest level of education you have completed?</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What was your annual household income in 2019?</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tabs>
          <w:tab w:val="left" w:pos="9360"/>
        </w:tabs>
        <w:spacing w:after="120"/>
        <w:ind w:left="720"/>
        <w:contextualSpacing w:val="0"/>
        <w:jc w:val="both"/>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How many people, including yourself, live in your household?</w:t>
      </w:r>
    </w:p>
    <w:p w:rsidRPr="00751F88" w:rsidR="00E6388A" w:rsidP="00E6388A" w:rsidRDefault="00E6388A">
      <w:pPr>
        <w:pStyle w:val="ListParagraph"/>
        <w:widowControl/>
        <w:numPr>
          <w:ilvl w:val="3"/>
          <w:numId w:val="2"/>
        </w:numPr>
        <w:pBdr>
          <w:top w:val="none" w:color="auto" w:sz="0" w:space="0"/>
          <w:left w:val="none" w:color="auto" w:sz="0" w:space="0"/>
          <w:bottom w:val="none" w:color="auto" w:sz="0" w:space="0"/>
          <w:right w:val="none" w:color="auto" w:sz="0" w:space="0"/>
          <w:between w:val="none" w:color="auto" w:sz="0" w:space="0"/>
        </w:pBdr>
        <w:spacing w:after="160" w:line="259" w:lineRule="auto"/>
        <w:ind w:left="720"/>
        <w:rPr>
          <w:rFonts w:asciiTheme="majorHAnsi" w:hAnsiTheme="majorHAnsi" w:cstheme="majorHAnsi"/>
          <w:i/>
          <w:color w:val="000000" w:themeColor="text1"/>
          <w:sz w:val="22"/>
          <w:szCs w:val="22"/>
        </w:rPr>
      </w:pPr>
      <w:r w:rsidRPr="00751F88">
        <w:rPr>
          <w:rFonts w:asciiTheme="majorHAnsi" w:hAnsiTheme="majorHAnsi" w:cstheme="majorHAnsi"/>
          <w:i/>
          <w:color w:val="000000" w:themeColor="text1"/>
          <w:sz w:val="22"/>
          <w:szCs w:val="22"/>
        </w:rPr>
        <w:t>How many of these people are at least 18 years old? __________</w:t>
      </w:r>
    </w:p>
    <w:p w:rsidRPr="00751F88" w:rsidR="00E6388A" w:rsidP="00E6388A" w:rsidRDefault="00E6388A">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By including demographic questions in both the survey and non-response follow-up survey, statistical comparisons of household characteristics can be made across the samples of responding and non-responding households. These data </w:t>
      </w:r>
      <w:proofErr w:type="gramStart"/>
      <w:r w:rsidRPr="00751F88">
        <w:rPr>
          <w:rFonts w:asciiTheme="majorHAnsi" w:hAnsiTheme="majorHAnsi" w:cstheme="majorHAnsi"/>
          <w:color w:val="000000" w:themeColor="text1"/>
          <w:sz w:val="22"/>
          <w:szCs w:val="22"/>
        </w:rPr>
        <w:t>can also be compared</w:t>
      </w:r>
      <w:proofErr w:type="gramEnd"/>
      <w:r w:rsidRPr="00751F88">
        <w:rPr>
          <w:rFonts w:asciiTheme="majorHAnsi" w:hAnsiTheme="majorHAnsi" w:cstheme="majorHAnsi"/>
          <w:color w:val="000000" w:themeColor="text1"/>
          <w:sz w:val="22"/>
          <w:szCs w:val="22"/>
        </w:rPr>
        <w:t xml:space="preserve"> to household characteristics from the population, which are available from the 2010 Census.</w:t>
      </w:r>
    </w:p>
    <w:p w:rsidRPr="00751F88" w:rsidR="00E6388A" w:rsidP="00E6388A" w:rsidRDefault="00E6388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Two-sided statistical tests </w:t>
      </w:r>
      <w:proofErr w:type="gramStart"/>
      <w:r w:rsidRPr="00751F88">
        <w:rPr>
          <w:rFonts w:asciiTheme="majorHAnsi" w:hAnsiTheme="majorHAnsi" w:cstheme="majorHAnsi"/>
          <w:color w:val="000000" w:themeColor="text1"/>
          <w:sz w:val="22"/>
          <w:szCs w:val="22"/>
        </w:rPr>
        <w:t>will be used</w:t>
      </w:r>
      <w:proofErr w:type="gramEnd"/>
      <w:r w:rsidRPr="00751F88">
        <w:rPr>
          <w:rFonts w:asciiTheme="majorHAnsi" w:hAnsiTheme="majorHAnsi" w:cstheme="majorHAnsi"/>
          <w:color w:val="000000" w:themeColor="text1"/>
          <w:sz w:val="22"/>
          <w:szCs w:val="22"/>
        </w:rPr>
        <w:t xml:space="preserve"> to compare responses across the sample of respondents to the main survey and those who completed the non-response questionnaire. </w:t>
      </w:r>
      <w:proofErr w:type="gramStart"/>
      <w:r w:rsidRPr="00751F88">
        <w:rPr>
          <w:rFonts w:asciiTheme="majorHAnsi" w:hAnsiTheme="majorHAnsi" w:cstheme="majorHAnsi"/>
          <w:color w:val="000000" w:themeColor="text1"/>
          <w:sz w:val="22"/>
          <w:szCs w:val="22"/>
        </w:rPr>
        <w:t>There are two types of biases that can arise from non-respondents</w:t>
      </w:r>
      <w:r>
        <w:rPr>
          <w:rFonts w:asciiTheme="majorHAnsi" w:hAnsiTheme="majorHAnsi" w:cstheme="majorHAnsi"/>
          <w:color w:val="000000" w:themeColor="text1"/>
          <w:sz w:val="22"/>
          <w:szCs w:val="22"/>
        </w:rPr>
        <w:t>: nonresponse and selection bias</w:t>
      </w:r>
      <w:r w:rsidRPr="00751F88">
        <w:rPr>
          <w:rFonts w:asciiTheme="majorHAnsi" w:hAnsiTheme="majorHAnsi" w:cstheme="majorHAnsi"/>
          <w:color w:val="000000" w:themeColor="text1"/>
          <w:sz w:val="22"/>
          <w:szCs w:val="22"/>
        </w:rPr>
        <w:t xml:space="preserve"> (Whitehead, 2006).</w:t>
      </w:r>
      <w:proofErr w:type="gramEnd"/>
      <w:r w:rsidRPr="00751F88">
        <w:rPr>
          <w:rFonts w:asciiTheme="majorHAnsi" w:hAnsiTheme="majorHAnsi" w:cstheme="majorHAnsi"/>
          <w:color w:val="000000" w:themeColor="text1"/>
          <w:sz w:val="22"/>
          <w:szCs w:val="22"/>
        </w:rPr>
        <w:t xml:space="preserve"> </w:t>
      </w:r>
      <w:r w:rsidRPr="0038088B">
        <w:rPr>
          <w:rFonts w:asciiTheme="majorHAnsi" w:hAnsiTheme="majorHAnsi" w:cstheme="majorHAnsi"/>
          <w:color w:val="000000" w:themeColor="text1"/>
          <w:sz w:val="22"/>
          <w:szCs w:val="22"/>
        </w:rPr>
        <w:t>The statistical comparisons above will allow for the assessment of the presence of nonresponse bias, which is when respondents and non-respondents differ for spurious reasons. If found</w:t>
      </w:r>
      <w:r w:rsidRPr="00751F88">
        <w:rPr>
          <w:rFonts w:asciiTheme="majorHAnsi" w:hAnsiTheme="majorHAnsi" w:cstheme="majorHAnsi"/>
          <w:color w:val="000000" w:themeColor="text1"/>
          <w:sz w:val="22"/>
          <w:szCs w:val="22"/>
        </w:rPr>
        <w:t>, a weighting procedure, as discussed in Section B.1.</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_Ref532464250 \w \p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proofErr w:type="gramStart"/>
      <w:r>
        <w:rPr>
          <w:rFonts w:asciiTheme="majorHAnsi" w:hAnsiTheme="majorHAnsi" w:cstheme="majorHAnsi"/>
          <w:color w:val="000000" w:themeColor="text1"/>
          <w:sz w:val="22"/>
          <w:szCs w:val="22"/>
        </w:rPr>
        <w:t>ii</w:t>
      </w:r>
      <w:proofErr w:type="gramEnd"/>
      <w:r>
        <w:rPr>
          <w:rFonts w:asciiTheme="majorHAnsi" w:hAnsiTheme="majorHAnsi" w:cstheme="majorHAnsi"/>
          <w:color w:val="000000" w:themeColor="text1"/>
          <w:sz w:val="22"/>
          <w:szCs w:val="22"/>
        </w:rPr>
        <w:t xml:space="preserve"> above</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can be applied. An inherent assumption in this weighting approach is that, within weight classes, respondents and non-respondents are similar. This assumption may not hold in the presence of selection bias, which is when respondents and non-respondents differ due to unobserved influences associated with the survey topic itself, and perhaps</w:t>
      </w:r>
      <w:r>
        <w:rPr>
          <w:rFonts w:asciiTheme="majorHAnsi" w:hAnsiTheme="majorHAnsi" w:cstheme="majorHAnsi"/>
          <w:color w:val="000000" w:themeColor="text1"/>
          <w:sz w:val="22"/>
          <w:szCs w:val="22"/>
        </w:rPr>
        <w:t xml:space="preserve"> </w:t>
      </w:r>
      <w:r w:rsidRPr="0038088B">
        <w:rPr>
          <w:rFonts w:asciiTheme="majorHAnsi" w:hAnsiTheme="majorHAnsi" w:cstheme="majorHAnsi"/>
          <w:color w:val="000000" w:themeColor="text1"/>
          <w:sz w:val="22"/>
          <w:szCs w:val="22"/>
        </w:rPr>
        <w:t xml:space="preserve">correlated with policy outcome preferences. Researchers will assess the potential for selection bias by comparing responses to the familiarity and attitude questions discussed above. If the results of such comparisons suggest a potential selection bias, the implications towards policy outcome preferences </w:t>
      </w:r>
      <w:proofErr w:type="gramStart"/>
      <w:r w:rsidRPr="0038088B">
        <w:rPr>
          <w:rFonts w:asciiTheme="majorHAnsi" w:hAnsiTheme="majorHAnsi" w:cstheme="majorHAnsi"/>
          <w:color w:val="000000" w:themeColor="text1"/>
          <w:sz w:val="22"/>
          <w:szCs w:val="22"/>
        </w:rPr>
        <w:t>will be examined and discussed</w:t>
      </w:r>
      <w:proofErr w:type="gramEnd"/>
      <w:r w:rsidRPr="00751F88">
        <w:rPr>
          <w:rFonts w:asciiTheme="majorHAnsi" w:hAnsiTheme="majorHAnsi" w:cstheme="majorHAnsi"/>
          <w:color w:val="000000" w:themeColor="text1"/>
          <w:sz w:val="22"/>
          <w:szCs w:val="22"/>
        </w:rPr>
        <w:t>.</w:t>
      </w:r>
    </w:p>
    <w:p w:rsidRPr="00751F88" w:rsidR="00E6388A" w:rsidP="00E6388A" w:rsidRDefault="00E6388A">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 xml:space="preserve">4. Describe any tests of procedures or methods to be undertaken. Tests are encouraged as effective means to refine collections, but if ten or more test respondents are </w:t>
      </w:r>
      <w:proofErr w:type="gramStart"/>
      <w:r w:rsidRPr="00751F88">
        <w:rPr>
          <w:rFonts w:asciiTheme="majorHAnsi" w:hAnsiTheme="majorHAnsi" w:cstheme="majorHAnsi"/>
          <w:sz w:val="22"/>
          <w:szCs w:val="22"/>
        </w:rPr>
        <w:t>involved</w:t>
      </w:r>
      <w:proofErr w:type="gramEnd"/>
      <w:r w:rsidRPr="00751F88">
        <w:rPr>
          <w:rFonts w:asciiTheme="majorHAnsi" w:hAnsiTheme="majorHAnsi" w:cstheme="majorHAnsi"/>
          <w:sz w:val="22"/>
          <w:szCs w:val="22"/>
        </w:rPr>
        <w:t xml:space="preserve"> OMB must give prior approval.</w:t>
      </w:r>
    </w:p>
    <w:p w:rsidRPr="00751F88" w:rsidR="00E6388A" w:rsidP="00E6388A" w:rsidRDefault="00E63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See response to Part B Question 3 above.</w:t>
      </w:r>
    </w:p>
    <w:p w:rsidRPr="00751F88" w:rsidR="00E6388A" w:rsidP="00E6388A" w:rsidRDefault="00E6388A">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5. Provide the name and telephone number of individuals consulted on the statistical aspects of the design, and the name of the agency unit, contractor(s), grantee(s), or other person(s) who will actually collect and/or analyze the information for the agency.</w:t>
      </w:r>
    </w:p>
    <w:p w:rsidRPr="00751F88" w:rsidR="00E6388A" w:rsidP="00E6388A" w:rsidRDefault="00E6388A">
      <w:pPr>
        <w:tabs>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Consultation on the statistical aspects of the study design, including sampling design, survey length, and problematic survey items, was provided by Dr. Robert Johnston (508-751-4619)</w:t>
      </w:r>
      <w:proofErr w:type="gramEnd"/>
      <w:r w:rsidRPr="00751F88">
        <w:rPr>
          <w:rFonts w:asciiTheme="majorHAnsi" w:hAnsiTheme="majorHAnsi" w:cstheme="majorHAnsi"/>
          <w:color w:val="000000" w:themeColor="text1"/>
          <w:sz w:val="22"/>
          <w:szCs w:val="22"/>
        </w:rPr>
        <w:t>.</w:t>
      </w:r>
    </w:p>
    <w:p w:rsidR="00E6388A" w:rsidP="00E6388A" w:rsidRDefault="00E6388A">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Researchers with NOAA’s National Centers for Coastal Ocean Science lead this project. Project Principal Investigators are:</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Sarah </w:t>
      </w:r>
      <w:proofErr w:type="spellStart"/>
      <w:r w:rsidRPr="00751F88">
        <w:rPr>
          <w:rFonts w:asciiTheme="majorHAnsi" w:hAnsiTheme="majorHAnsi" w:cstheme="majorHAnsi"/>
          <w:color w:val="000000" w:themeColor="text1"/>
          <w:sz w:val="22"/>
          <w:szCs w:val="22"/>
        </w:rPr>
        <w:t>Gonyo</w:t>
      </w:r>
      <w:proofErr w:type="spellEnd"/>
      <w:r w:rsidRPr="00751F88">
        <w:rPr>
          <w:rFonts w:asciiTheme="majorHAnsi" w:hAnsiTheme="majorHAnsi" w:cstheme="majorHAnsi"/>
          <w:color w:val="000000" w:themeColor="text1"/>
          <w:sz w:val="22"/>
          <w:szCs w:val="22"/>
        </w:rPr>
        <w:t>, PhD (Lead)</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Economist</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NOAA National Ocean Service </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National Centers for Coastal Ocean Science</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1305 East West Hwy</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Building SSMC4, Rm 9320</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Silver Spring, MD 20910</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Ph</w:t>
      </w:r>
      <w:proofErr w:type="spellEnd"/>
      <w:r w:rsidRPr="00751F88">
        <w:rPr>
          <w:rFonts w:asciiTheme="majorHAnsi" w:hAnsiTheme="majorHAnsi" w:cstheme="majorHAnsi"/>
          <w:color w:val="000000" w:themeColor="text1"/>
          <w:sz w:val="22"/>
          <w:szCs w:val="22"/>
        </w:rPr>
        <w:t>: 240-533-0382</w:t>
      </w:r>
    </w:p>
    <w:p w:rsidRPr="00751F88" w:rsidR="00E6388A" w:rsidP="00E6388A" w:rsidRDefault="00E6388A">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Email: </w:t>
      </w:r>
      <w:hyperlink r:id="rId9">
        <w:r w:rsidRPr="00751F88">
          <w:rPr>
            <w:rFonts w:asciiTheme="majorHAnsi" w:hAnsiTheme="majorHAnsi" w:cstheme="majorHAnsi"/>
            <w:color w:val="000000" w:themeColor="text1"/>
            <w:sz w:val="22"/>
            <w:szCs w:val="22"/>
            <w:u w:val="single"/>
          </w:rPr>
          <w:t>sarah.gonyo@noaa.gov</w:t>
        </w:r>
      </w:hyperlink>
    </w:p>
    <w:p w:rsidRPr="00751F88" w:rsidR="00E6388A" w:rsidP="00E6388A" w:rsidRDefault="00E6388A">
      <w:pPr>
        <w:pStyle w:val="NoSpacing"/>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Data will be collected and purchased from an external vendor, which has yet to be </w:t>
      </w:r>
      <w:proofErr w:type="gramStart"/>
      <w:r w:rsidRPr="00751F88">
        <w:rPr>
          <w:rFonts w:asciiTheme="majorHAnsi" w:hAnsiTheme="majorHAnsi" w:cstheme="majorHAnsi"/>
          <w:color w:val="000000" w:themeColor="text1"/>
          <w:sz w:val="22"/>
          <w:szCs w:val="22"/>
        </w:rPr>
        <w:t>solicited</w:t>
      </w:r>
      <w:proofErr w:type="gramEnd"/>
      <w:r w:rsidRPr="00751F88">
        <w:rPr>
          <w:rFonts w:asciiTheme="majorHAnsi" w:hAnsiTheme="majorHAnsi" w:cstheme="majorHAnsi"/>
          <w:color w:val="000000" w:themeColor="text1"/>
          <w:sz w:val="22"/>
          <w:szCs w:val="22"/>
        </w:rPr>
        <w:t xml:space="preserve"> and selected. </w:t>
      </w:r>
      <w:proofErr w:type="gramStart"/>
      <w:r w:rsidRPr="00751F88">
        <w:rPr>
          <w:rFonts w:asciiTheme="majorHAnsi" w:hAnsiTheme="majorHAnsi" w:cstheme="majorHAnsi"/>
          <w:color w:val="000000" w:themeColor="text1"/>
          <w:sz w:val="22"/>
          <w:szCs w:val="22"/>
        </w:rPr>
        <w:t>Data analysis will be conducted by the project principal investigators along with the following research team member</w:t>
      </w:r>
      <w:proofErr w:type="gramEnd"/>
      <w:r w:rsidRPr="00751F88">
        <w:rPr>
          <w:rFonts w:asciiTheme="majorHAnsi" w:hAnsiTheme="majorHAnsi" w:cstheme="majorHAnsi"/>
          <w:color w:val="000000" w:themeColor="text1"/>
          <w:sz w:val="22"/>
          <w:szCs w:val="22"/>
        </w:rPr>
        <w:t>:</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Amy </w:t>
      </w:r>
      <w:proofErr w:type="spellStart"/>
      <w:r w:rsidRPr="00751F88">
        <w:rPr>
          <w:rFonts w:asciiTheme="majorHAnsi" w:hAnsiTheme="majorHAnsi" w:cstheme="majorHAnsi"/>
          <w:color w:val="000000" w:themeColor="text1"/>
          <w:sz w:val="22"/>
          <w:szCs w:val="22"/>
        </w:rPr>
        <w:t>Freitag</w:t>
      </w:r>
      <w:proofErr w:type="spellEnd"/>
      <w:r w:rsidRPr="00751F88">
        <w:rPr>
          <w:rFonts w:asciiTheme="majorHAnsi" w:hAnsiTheme="majorHAnsi" w:cstheme="majorHAnsi"/>
          <w:color w:val="000000" w:themeColor="text1"/>
          <w:sz w:val="22"/>
          <w:szCs w:val="22"/>
        </w:rPr>
        <w:t>, PhD</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Social Science Analyst</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NOAA National Ocean Service </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National Centers for Coastal Ocean Science</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Cooperative Oxford Laboratory</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904 S Morris St,</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Oxford, MD 21654</w:t>
      </w:r>
    </w:p>
    <w:p w:rsidRPr="00751F88" w:rsidR="00E6388A" w:rsidP="00E6388A" w:rsidRDefault="00E6388A">
      <w:pPr>
        <w:pStyle w:val="NoSpacing"/>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CSS, Inc.</w:t>
      </w:r>
    </w:p>
    <w:p w:rsidR="00E6388A" w:rsidP="00E6388A" w:rsidRDefault="00E6388A">
      <w:pPr>
        <w:pStyle w:val="NoSpacing"/>
        <w:tabs>
          <w:tab w:val="left" w:pos="9360"/>
        </w:tabs>
        <w:jc w:val="both"/>
        <w:rPr>
          <w:rFonts w:asciiTheme="majorHAnsi" w:hAnsiTheme="majorHAnsi" w:cstheme="majorHAnsi"/>
          <w:color w:val="000000" w:themeColor="text1"/>
          <w:sz w:val="22"/>
          <w:szCs w:val="22"/>
        </w:rPr>
      </w:pPr>
      <w:proofErr w:type="spellStart"/>
      <w:r>
        <w:rPr>
          <w:rFonts w:asciiTheme="majorHAnsi" w:hAnsiTheme="majorHAnsi" w:cstheme="majorHAnsi"/>
          <w:color w:val="000000" w:themeColor="text1"/>
          <w:sz w:val="22"/>
          <w:szCs w:val="22"/>
        </w:rPr>
        <w:t>Ph</w:t>
      </w:r>
      <w:proofErr w:type="spellEnd"/>
      <w:r>
        <w:rPr>
          <w:rFonts w:asciiTheme="majorHAnsi" w:hAnsiTheme="majorHAnsi" w:cstheme="majorHAnsi"/>
          <w:color w:val="000000" w:themeColor="text1"/>
          <w:sz w:val="22"/>
          <w:szCs w:val="22"/>
        </w:rPr>
        <w:t>: 443-258-6066</w:t>
      </w:r>
    </w:p>
    <w:p w:rsidR="00E6388A" w:rsidP="00E6388A" w:rsidRDefault="00E6388A">
      <w:pPr>
        <w:pStyle w:val="NoSpacing"/>
        <w:tabs>
          <w:tab w:val="left" w:pos="9360"/>
        </w:tabs>
        <w:jc w:val="both"/>
        <w:rPr>
          <w:rStyle w:val="Hyperlink"/>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Email: </w:t>
      </w:r>
      <w:hyperlink w:history="1" r:id="rId10">
        <w:r w:rsidRPr="00751F88">
          <w:rPr>
            <w:rStyle w:val="Hyperlink"/>
            <w:rFonts w:asciiTheme="majorHAnsi" w:hAnsiTheme="majorHAnsi" w:cstheme="majorHAnsi"/>
            <w:color w:val="000000" w:themeColor="text1"/>
            <w:sz w:val="22"/>
            <w:szCs w:val="22"/>
          </w:rPr>
          <w:t>amy.freitag@noaa.gov</w:t>
        </w:r>
      </w:hyperlink>
    </w:p>
    <w:p w:rsidRPr="00784789" w:rsidR="00E6388A" w:rsidP="00E6388A" w:rsidRDefault="00E6388A">
      <w:pPr>
        <w:pStyle w:val="NoSpacing"/>
        <w:tabs>
          <w:tab w:val="left" w:pos="9360"/>
        </w:tabs>
        <w:jc w:val="both"/>
        <w:rPr>
          <w:rFonts w:asciiTheme="majorHAnsi" w:hAnsiTheme="majorHAnsi" w:cstheme="majorHAnsi"/>
          <w:color w:val="000000" w:themeColor="text1"/>
          <w:sz w:val="22"/>
          <w:szCs w:val="22"/>
        </w:rPr>
      </w:pPr>
    </w:p>
    <w:p w:rsidRPr="002367E3" w:rsidR="00E6388A" w:rsidP="00E6388A" w:rsidRDefault="00E6388A">
      <w:pPr>
        <w:pStyle w:val="Heading1"/>
        <w:tabs>
          <w:tab w:val="left" w:pos="9360"/>
        </w:tabs>
        <w:spacing w:before="0" w:after="12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REFERENCES</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Adamowicz</w:t>
      </w:r>
      <w:proofErr w:type="spellEnd"/>
      <w:r w:rsidRPr="00751F88">
        <w:rPr>
          <w:rFonts w:asciiTheme="majorHAnsi" w:hAnsiTheme="majorHAnsi" w:cstheme="majorHAnsi"/>
          <w:color w:val="000000" w:themeColor="text1"/>
          <w:sz w:val="22"/>
          <w:szCs w:val="22"/>
        </w:rPr>
        <w:t xml:space="preserve">, W.L. (1994). Habit Formation and Variety Seeking in a Discrete Choice Model of Recreation Demand. </w:t>
      </w:r>
      <w:r w:rsidRPr="00751F88">
        <w:rPr>
          <w:rFonts w:asciiTheme="majorHAnsi" w:hAnsiTheme="majorHAnsi" w:cstheme="majorHAnsi"/>
          <w:i/>
          <w:color w:val="000000" w:themeColor="text1"/>
          <w:sz w:val="22"/>
          <w:szCs w:val="22"/>
        </w:rPr>
        <w:t>Journal of Agricultural and Resource Economics</w:t>
      </w:r>
      <w:r w:rsidRPr="00751F88">
        <w:rPr>
          <w:rFonts w:asciiTheme="majorHAnsi" w:hAnsiTheme="majorHAnsi" w:cstheme="majorHAnsi"/>
          <w:color w:val="000000" w:themeColor="text1"/>
          <w:sz w:val="22"/>
          <w:szCs w:val="22"/>
        </w:rPr>
        <w:t>, 19(1): 19–31.</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Altman, I., &amp; Low, S. M. (1992). </w:t>
      </w:r>
      <w:r w:rsidRPr="00751F88">
        <w:rPr>
          <w:rFonts w:asciiTheme="majorHAnsi" w:hAnsiTheme="majorHAnsi" w:cstheme="majorHAnsi"/>
          <w:i/>
          <w:color w:val="000000" w:themeColor="text1"/>
          <w:sz w:val="22"/>
          <w:szCs w:val="22"/>
        </w:rPr>
        <w:t>Place attachment</w:t>
      </w:r>
      <w:r w:rsidRPr="00751F88">
        <w:rPr>
          <w:rFonts w:asciiTheme="majorHAnsi" w:hAnsiTheme="majorHAnsi" w:cstheme="majorHAnsi"/>
          <w:color w:val="000000" w:themeColor="text1"/>
          <w:sz w:val="22"/>
          <w:szCs w:val="22"/>
        </w:rPr>
        <w:t>. New York: Plenum Press.</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2367E3">
        <w:rPr>
          <w:rFonts w:asciiTheme="majorHAnsi" w:hAnsiTheme="majorHAnsi" w:cstheme="majorHAnsi"/>
          <w:color w:val="000000" w:themeColor="text1"/>
          <w:sz w:val="22"/>
          <w:szCs w:val="22"/>
        </w:rPr>
        <w:t>Atzmüller</w:t>
      </w:r>
      <w:proofErr w:type="spellEnd"/>
      <w:r w:rsidRPr="002367E3">
        <w:rPr>
          <w:rFonts w:asciiTheme="majorHAnsi" w:hAnsiTheme="majorHAnsi" w:cstheme="majorHAnsi"/>
          <w:color w:val="000000" w:themeColor="text1"/>
          <w:sz w:val="22"/>
          <w:szCs w:val="22"/>
        </w:rPr>
        <w:t xml:space="preserve">, C. and Steiner, P.M. (2010). Experimental vignette studies in survey research. </w:t>
      </w:r>
      <w:r w:rsidRPr="002367E3">
        <w:rPr>
          <w:rFonts w:asciiTheme="majorHAnsi" w:hAnsiTheme="majorHAnsi" w:cstheme="majorHAnsi"/>
          <w:i/>
          <w:color w:val="000000" w:themeColor="text1"/>
          <w:sz w:val="22"/>
          <w:szCs w:val="22"/>
        </w:rPr>
        <w:t>Methodology</w:t>
      </w:r>
      <w:r>
        <w:rPr>
          <w:rFonts w:asciiTheme="majorHAnsi" w:hAnsiTheme="majorHAnsi" w:cstheme="majorHAnsi"/>
          <w:color w:val="000000" w:themeColor="text1"/>
          <w:sz w:val="22"/>
          <w:szCs w:val="22"/>
        </w:rPr>
        <w:t>,</w:t>
      </w:r>
      <w:r w:rsidRPr="002367E3">
        <w:rPr>
          <w:rFonts w:asciiTheme="majorHAnsi" w:hAnsiTheme="majorHAnsi" w:cstheme="majorHAnsi"/>
          <w:color w:val="000000" w:themeColor="text1"/>
          <w:sz w:val="22"/>
          <w:szCs w:val="22"/>
        </w:rPr>
        <w:t xml:space="preserve"> 6(3):128-138.</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EC74B5">
        <w:rPr>
          <w:rFonts w:asciiTheme="majorHAnsi" w:hAnsiTheme="majorHAnsi" w:cstheme="majorHAnsi"/>
          <w:color w:val="000000" w:themeColor="text1"/>
          <w:sz w:val="22"/>
          <w:szCs w:val="22"/>
        </w:rPr>
        <w:t>Auspurg</w:t>
      </w:r>
      <w:proofErr w:type="spellEnd"/>
      <w:r w:rsidRPr="00EC74B5">
        <w:rPr>
          <w:rFonts w:asciiTheme="majorHAnsi" w:hAnsiTheme="majorHAnsi" w:cstheme="majorHAnsi"/>
          <w:color w:val="000000" w:themeColor="text1"/>
          <w:sz w:val="22"/>
          <w:szCs w:val="22"/>
        </w:rPr>
        <w:t xml:space="preserve">, K. and </w:t>
      </w:r>
      <w:proofErr w:type="spellStart"/>
      <w:r w:rsidRPr="00EC74B5">
        <w:rPr>
          <w:rFonts w:asciiTheme="majorHAnsi" w:hAnsiTheme="majorHAnsi" w:cstheme="majorHAnsi"/>
          <w:color w:val="000000" w:themeColor="text1"/>
          <w:sz w:val="22"/>
          <w:szCs w:val="22"/>
        </w:rPr>
        <w:t>Hinz</w:t>
      </w:r>
      <w:proofErr w:type="spellEnd"/>
      <w:r w:rsidRPr="00EC74B5">
        <w:rPr>
          <w:rFonts w:asciiTheme="majorHAnsi" w:hAnsiTheme="majorHAnsi" w:cstheme="majorHAnsi"/>
          <w:color w:val="000000" w:themeColor="text1"/>
          <w:sz w:val="22"/>
          <w:szCs w:val="22"/>
        </w:rPr>
        <w:t xml:space="preserve">, T. (2015). </w:t>
      </w:r>
      <w:r w:rsidRPr="00EC74B5">
        <w:rPr>
          <w:rFonts w:asciiTheme="majorHAnsi" w:hAnsiTheme="majorHAnsi" w:cstheme="majorHAnsi"/>
          <w:i/>
          <w:color w:val="000000" w:themeColor="text1"/>
          <w:sz w:val="22"/>
          <w:szCs w:val="22"/>
        </w:rPr>
        <w:t>Factorial Survey Experiments</w:t>
      </w:r>
      <w:r w:rsidRPr="00EC74B5">
        <w:rPr>
          <w:rFonts w:asciiTheme="majorHAnsi" w:hAnsiTheme="majorHAnsi" w:cstheme="majorHAnsi"/>
          <w:color w:val="000000" w:themeColor="text1"/>
          <w:sz w:val="22"/>
          <w:szCs w:val="22"/>
        </w:rPr>
        <w:t>. Los Angeles: Sage.</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Barley-Greenfield, S. and Riley, C. (2017). Buffer Options for the Bay: Synthesis of Relevant Policy Options.</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Bauer, D.M. and Johnston, R.J. (2017). Buffer Options for the Bay: Economic Valuation of Water Quality Ecosystem Services in the New Hampshire’s Great Bay Watershed.</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Bech</w:t>
      </w:r>
      <w:proofErr w:type="spellEnd"/>
      <w:r w:rsidRPr="00751F88">
        <w:rPr>
          <w:rFonts w:asciiTheme="majorHAnsi" w:hAnsiTheme="majorHAnsi" w:cstheme="majorHAnsi"/>
          <w:color w:val="000000" w:themeColor="text1"/>
          <w:sz w:val="22"/>
          <w:szCs w:val="22"/>
        </w:rPr>
        <w:t xml:space="preserve">, M., </w:t>
      </w:r>
      <w:proofErr w:type="spellStart"/>
      <w:r w:rsidRPr="00751F88">
        <w:rPr>
          <w:rFonts w:asciiTheme="majorHAnsi" w:hAnsiTheme="majorHAnsi" w:cstheme="majorHAnsi"/>
          <w:color w:val="000000" w:themeColor="text1"/>
          <w:sz w:val="22"/>
          <w:szCs w:val="22"/>
        </w:rPr>
        <w:t>Kjaer</w:t>
      </w:r>
      <w:proofErr w:type="spellEnd"/>
      <w:r w:rsidRPr="00751F88">
        <w:rPr>
          <w:rFonts w:asciiTheme="majorHAnsi" w:hAnsiTheme="majorHAnsi" w:cstheme="majorHAnsi"/>
          <w:color w:val="000000" w:themeColor="text1"/>
          <w:sz w:val="22"/>
          <w:szCs w:val="22"/>
        </w:rPr>
        <w:t xml:space="preserve">, T. </w:t>
      </w:r>
      <w:proofErr w:type="gramStart"/>
      <w:r w:rsidRPr="00751F88">
        <w:rPr>
          <w:rFonts w:asciiTheme="majorHAnsi" w:hAnsiTheme="majorHAnsi" w:cstheme="majorHAnsi"/>
          <w:color w:val="000000" w:themeColor="text1"/>
          <w:sz w:val="22"/>
          <w:szCs w:val="22"/>
        </w:rPr>
        <w:t xml:space="preserve">and  </w:t>
      </w:r>
      <w:proofErr w:type="spellStart"/>
      <w:r w:rsidRPr="00751F88">
        <w:rPr>
          <w:rFonts w:asciiTheme="majorHAnsi" w:hAnsiTheme="majorHAnsi" w:cstheme="majorHAnsi"/>
          <w:color w:val="000000" w:themeColor="text1"/>
          <w:sz w:val="22"/>
          <w:szCs w:val="22"/>
        </w:rPr>
        <w:t>Lauridsen</w:t>
      </w:r>
      <w:proofErr w:type="spellEnd"/>
      <w:proofErr w:type="gramEnd"/>
      <w:r w:rsidRPr="00751F88">
        <w:rPr>
          <w:rFonts w:asciiTheme="majorHAnsi" w:hAnsiTheme="majorHAnsi" w:cstheme="majorHAnsi"/>
          <w:color w:val="000000" w:themeColor="text1"/>
          <w:sz w:val="22"/>
          <w:szCs w:val="22"/>
        </w:rPr>
        <w:t xml:space="preserve">, J. (2011). Does the number of choice sets matter? Results from a web survey applying a discrete choice experiment. </w:t>
      </w:r>
      <w:r w:rsidRPr="00751F88">
        <w:rPr>
          <w:rFonts w:asciiTheme="majorHAnsi" w:hAnsiTheme="majorHAnsi" w:cstheme="majorHAnsi"/>
          <w:i/>
          <w:color w:val="000000" w:themeColor="text1"/>
          <w:sz w:val="22"/>
          <w:szCs w:val="22"/>
        </w:rPr>
        <w:t>Health Economics</w:t>
      </w:r>
      <w:r w:rsidRPr="00751F88">
        <w:rPr>
          <w:rFonts w:asciiTheme="majorHAnsi" w:hAnsiTheme="majorHAnsi" w:cstheme="majorHAnsi"/>
          <w:color w:val="000000" w:themeColor="text1"/>
          <w:sz w:val="22"/>
          <w:szCs w:val="22"/>
        </w:rPr>
        <w:t>, 20(3), 273-286.</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Boyle, K.J., Welsh, M.P., and Bishop, R.C. (1993). The Role of Question Order and Respondent Experience in Contingent-Valuation Studies. </w:t>
      </w:r>
      <w:r w:rsidRPr="00751F88">
        <w:rPr>
          <w:rFonts w:asciiTheme="majorHAnsi" w:hAnsiTheme="majorHAnsi" w:cstheme="majorHAnsi"/>
          <w:i/>
          <w:color w:val="000000" w:themeColor="text1"/>
          <w:sz w:val="22"/>
          <w:szCs w:val="22"/>
        </w:rPr>
        <w:t>Journal of Environmental Economics and Management</w:t>
      </w:r>
      <w:r w:rsidRPr="00751F88">
        <w:rPr>
          <w:rFonts w:asciiTheme="majorHAnsi" w:hAnsiTheme="majorHAnsi" w:cstheme="majorHAnsi"/>
          <w:color w:val="000000" w:themeColor="text1"/>
          <w:sz w:val="22"/>
          <w:szCs w:val="22"/>
        </w:rPr>
        <w:t>, 25(1): S80–S99.</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Bricker, K.S. and </w:t>
      </w:r>
      <w:proofErr w:type="spellStart"/>
      <w:r w:rsidRPr="00751F88">
        <w:rPr>
          <w:rFonts w:asciiTheme="majorHAnsi" w:hAnsiTheme="majorHAnsi" w:cstheme="majorHAnsi"/>
          <w:color w:val="000000" w:themeColor="text1"/>
          <w:sz w:val="22"/>
          <w:szCs w:val="22"/>
        </w:rPr>
        <w:t>Kerstetter</w:t>
      </w:r>
      <w:proofErr w:type="spellEnd"/>
      <w:r w:rsidRPr="00751F88">
        <w:rPr>
          <w:rFonts w:asciiTheme="majorHAnsi" w:hAnsiTheme="majorHAnsi" w:cstheme="majorHAnsi"/>
          <w:color w:val="000000" w:themeColor="text1"/>
          <w:sz w:val="22"/>
          <w:szCs w:val="22"/>
        </w:rPr>
        <w:t xml:space="preserve">, D.L. (2002). An interpretation of special place meanings whitewater recreationists attach to the South Fork of the American River. </w:t>
      </w:r>
      <w:r w:rsidRPr="00751F88">
        <w:rPr>
          <w:rFonts w:asciiTheme="majorHAnsi" w:hAnsiTheme="majorHAnsi" w:cstheme="majorHAnsi"/>
          <w:i/>
          <w:color w:val="000000" w:themeColor="text1"/>
          <w:sz w:val="22"/>
          <w:szCs w:val="22"/>
        </w:rPr>
        <w:t>Tourism Geographies: An International Journal of Tourism Space, Place, and Environment</w:t>
      </w:r>
      <w:r w:rsidRPr="00751F88">
        <w:rPr>
          <w:rFonts w:asciiTheme="majorHAnsi" w:hAnsiTheme="majorHAnsi" w:cstheme="majorHAnsi"/>
          <w:color w:val="000000" w:themeColor="text1"/>
          <w:sz w:val="22"/>
          <w:szCs w:val="22"/>
        </w:rPr>
        <w:t>, 4(4): 396-425.</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Cameron, T.A., and </w:t>
      </w:r>
      <w:proofErr w:type="spellStart"/>
      <w:r w:rsidRPr="00751F88">
        <w:rPr>
          <w:rFonts w:asciiTheme="majorHAnsi" w:hAnsiTheme="majorHAnsi" w:cstheme="majorHAnsi"/>
          <w:color w:val="000000" w:themeColor="text1"/>
          <w:sz w:val="22"/>
          <w:szCs w:val="22"/>
        </w:rPr>
        <w:t>Englin</w:t>
      </w:r>
      <w:proofErr w:type="spellEnd"/>
      <w:r w:rsidRPr="00751F88">
        <w:rPr>
          <w:rFonts w:asciiTheme="majorHAnsi" w:hAnsiTheme="majorHAnsi" w:cstheme="majorHAnsi"/>
          <w:color w:val="000000" w:themeColor="text1"/>
          <w:sz w:val="22"/>
          <w:szCs w:val="22"/>
        </w:rPr>
        <w:t xml:space="preserve">, J. (1997). Respondent Experience and Contingent Valuation of Environmental Goods. </w:t>
      </w:r>
      <w:r w:rsidRPr="00751F88">
        <w:rPr>
          <w:rFonts w:asciiTheme="majorHAnsi" w:hAnsiTheme="majorHAnsi" w:cstheme="majorHAnsi"/>
          <w:i/>
          <w:color w:val="000000" w:themeColor="text1"/>
          <w:sz w:val="22"/>
          <w:szCs w:val="22"/>
        </w:rPr>
        <w:t>Journal of Environmental Economics and Management</w:t>
      </w:r>
      <w:r w:rsidRPr="00751F88">
        <w:rPr>
          <w:rFonts w:asciiTheme="majorHAnsi" w:hAnsiTheme="majorHAnsi" w:cstheme="majorHAnsi"/>
          <w:color w:val="000000" w:themeColor="text1"/>
          <w:sz w:val="22"/>
          <w:szCs w:val="22"/>
        </w:rPr>
        <w:t>, 33 (3): 296–313.</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Champ,</w:t>
      </w:r>
      <w:proofErr w:type="gramEnd"/>
      <w:r w:rsidRPr="00751F88">
        <w:rPr>
          <w:rFonts w:asciiTheme="majorHAnsi" w:hAnsiTheme="majorHAnsi" w:cstheme="majorHAnsi"/>
          <w:color w:val="000000" w:themeColor="text1"/>
          <w:sz w:val="22"/>
          <w:szCs w:val="22"/>
        </w:rPr>
        <w:t xml:space="preserve"> P.A. and Bishop, R.C. (2001). Donation payment mechanism and contingent valuation: An empirical study of hypothetical bias. </w:t>
      </w:r>
      <w:r w:rsidRPr="00751F88">
        <w:rPr>
          <w:rFonts w:asciiTheme="majorHAnsi" w:hAnsiTheme="majorHAnsi" w:cstheme="majorHAnsi"/>
          <w:i/>
          <w:color w:val="000000" w:themeColor="text1"/>
          <w:sz w:val="22"/>
          <w:szCs w:val="22"/>
        </w:rPr>
        <w:t>Environmental and Resource Economics</w:t>
      </w:r>
      <w:r w:rsidRPr="00751F88">
        <w:rPr>
          <w:rFonts w:asciiTheme="majorHAnsi" w:hAnsiTheme="majorHAnsi" w:cstheme="majorHAnsi"/>
          <w:color w:val="000000" w:themeColor="text1"/>
          <w:sz w:val="22"/>
          <w:szCs w:val="22"/>
        </w:rPr>
        <w:t>, 19(4), 383-402.</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Church, A.H. (1993). Estimating the effect of incentives on </w:t>
      </w:r>
      <w:proofErr w:type="gramStart"/>
      <w:r w:rsidRPr="00751F88">
        <w:rPr>
          <w:rFonts w:asciiTheme="majorHAnsi" w:hAnsiTheme="majorHAnsi" w:cstheme="majorHAnsi"/>
          <w:color w:val="000000" w:themeColor="text1"/>
          <w:sz w:val="22"/>
          <w:szCs w:val="22"/>
        </w:rPr>
        <w:t>mail survey response rates</w:t>
      </w:r>
      <w:proofErr w:type="gramEnd"/>
      <w:r w:rsidRPr="00751F88">
        <w:rPr>
          <w:rFonts w:asciiTheme="majorHAnsi" w:hAnsiTheme="majorHAnsi" w:cstheme="majorHAnsi"/>
          <w:color w:val="000000" w:themeColor="text1"/>
          <w:sz w:val="22"/>
          <w:szCs w:val="22"/>
        </w:rPr>
        <w:t xml:space="preserve">: A meta-analysis. </w:t>
      </w:r>
      <w:r w:rsidRPr="00751F88">
        <w:rPr>
          <w:rFonts w:asciiTheme="majorHAnsi" w:hAnsiTheme="majorHAnsi" w:cstheme="majorHAnsi"/>
          <w:i/>
          <w:color w:val="000000" w:themeColor="text1"/>
          <w:sz w:val="22"/>
          <w:szCs w:val="22"/>
        </w:rPr>
        <w:t>Public Opinion Quarterly</w:t>
      </w:r>
      <w:r w:rsidRPr="00751F88">
        <w:rPr>
          <w:rFonts w:asciiTheme="majorHAnsi" w:hAnsiTheme="majorHAnsi" w:cstheme="majorHAnsi"/>
          <w:color w:val="000000" w:themeColor="text1"/>
          <w:sz w:val="22"/>
          <w:szCs w:val="22"/>
        </w:rPr>
        <w:t>, 57(1): 62-80.</w:t>
      </w:r>
    </w:p>
    <w:p w:rsidRPr="00327F4F" w:rsidR="00E6388A" w:rsidP="00E6388A" w:rsidRDefault="00E6388A">
      <w:pPr>
        <w:pStyle w:val="ListParagraph"/>
        <w:numPr>
          <w:ilvl w:val="0"/>
          <w:numId w:val="8"/>
        </w:numPr>
        <w:tabs>
          <w:tab w:val="left" w:pos="9360"/>
        </w:tabs>
        <w:autoSpaceDE w:val="0"/>
        <w:autoSpaceDN w:val="0"/>
        <w:adjustRightInd w:val="0"/>
        <w:spacing w:after="120"/>
        <w:ind w:left="360"/>
        <w:contextualSpacing w:val="0"/>
        <w:jc w:val="both"/>
        <w:rPr>
          <w:rFonts w:asciiTheme="majorHAnsi" w:hAnsiTheme="majorHAnsi" w:cstheme="majorHAnsi"/>
          <w:color w:val="000000" w:themeColor="text1"/>
          <w:sz w:val="22"/>
          <w:szCs w:val="22"/>
        </w:rPr>
      </w:pPr>
      <w:proofErr w:type="spellStart"/>
      <w:r w:rsidRPr="00327F4F">
        <w:rPr>
          <w:rFonts w:asciiTheme="majorHAnsi" w:hAnsiTheme="majorHAnsi" w:cstheme="majorHAnsi"/>
          <w:color w:val="000000" w:themeColor="text1"/>
          <w:sz w:val="22"/>
          <w:szCs w:val="22"/>
        </w:rPr>
        <w:t>Czajkowski</w:t>
      </w:r>
      <w:proofErr w:type="spellEnd"/>
      <w:r w:rsidRPr="00327F4F">
        <w:rPr>
          <w:rFonts w:asciiTheme="majorHAnsi" w:hAnsiTheme="majorHAnsi" w:cstheme="majorHAnsi"/>
          <w:color w:val="000000" w:themeColor="text1"/>
          <w:sz w:val="22"/>
          <w:szCs w:val="22"/>
        </w:rPr>
        <w:t xml:space="preserve">, M., Hanley, N., and </w:t>
      </w:r>
      <w:proofErr w:type="spellStart"/>
      <w:r w:rsidRPr="00327F4F">
        <w:rPr>
          <w:rFonts w:asciiTheme="majorHAnsi" w:hAnsiTheme="majorHAnsi" w:cstheme="majorHAnsi"/>
          <w:color w:val="000000" w:themeColor="text1"/>
          <w:sz w:val="22"/>
          <w:szCs w:val="22"/>
        </w:rPr>
        <w:t>LaRiveire</w:t>
      </w:r>
      <w:proofErr w:type="spellEnd"/>
      <w:r w:rsidRPr="00327F4F">
        <w:rPr>
          <w:rFonts w:asciiTheme="majorHAnsi" w:hAnsiTheme="majorHAnsi" w:cstheme="majorHAnsi"/>
          <w:color w:val="000000" w:themeColor="text1"/>
          <w:sz w:val="22"/>
          <w:szCs w:val="22"/>
        </w:rPr>
        <w:t xml:space="preserve">, J. (2014). The effect of experience on preferences: Theory and empirics for environmental goods. </w:t>
      </w:r>
      <w:r w:rsidRPr="00327F4F">
        <w:rPr>
          <w:rFonts w:asciiTheme="majorHAnsi" w:hAnsiTheme="majorHAnsi" w:cstheme="majorHAnsi"/>
          <w:i/>
          <w:color w:val="000000" w:themeColor="text1"/>
          <w:sz w:val="22"/>
          <w:szCs w:val="22"/>
        </w:rPr>
        <w:t>American Journal of Agricultural Economics</w:t>
      </w:r>
      <w:r w:rsidRPr="00327F4F">
        <w:rPr>
          <w:rFonts w:asciiTheme="majorHAnsi" w:hAnsiTheme="majorHAnsi" w:cstheme="majorHAnsi"/>
          <w:color w:val="000000" w:themeColor="text1"/>
          <w:sz w:val="22"/>
          <w:szCs w:val="22"/>
        </w:rPr>
        <w:t>, 97(1): 333-351.</w:t>
      </w:r>
    </w:p>
    <w:p w:rsidRPr="00327F4F" w:rsidR="00E6388A" w:rsidP="00E6388A" w:rsidRDefault="00E6388A">
      <w:pPr>
        <w:pStyle w:val="ListParagraph"/>
        <w:numPr>
          <w:ilvl w:val="0"/>
          <w:numId w:val="8"/>
        </w:numPr>
        <w:tabs>
          <w:tab w:val="left" w:pos="9360"/>
        </w:tabs>
        <w:autoSpaceDE w:val="0"/>
        <w:autoSpaceDN w:val="0"/>
        <w:adjustRightInd w:val="0"/>
        <w:spacing w:after="120"/>
        <w:ind w:left="360"/>
        <w:contextualSpacing w:val="0"/>
        <w:jc w:val="both"/>
        <w:rPr>
          <w:rFonts w:asciiTheme="majorHAnsi" w:hAnsiTheme="majorHAnsi" w:cstheme="majorHAnsi"/>
          <w:color w:val="000000" w:themeColor="text1"/>
          <w:sz w:val="22"/>
          <w:szCs w:val="22"/>
        </w:rPr>
      </w:pPr>
      <w:r w:rsidRPr="00327F4F">
        <w:rPr>
          <w:rFonts w:asciiTheme="majorHAnsi" w:hAnsiTheme="majorHAnsi" w:cstheme="majorHAnsi"/>
          <w:color w:val="000000" w:themeColor="text1"/>
          <w:sz w:val="22"/>
          <w:szCs w:val="22"/>
        </w:rPr>
        <w:t xml:space="preserve">Davenport, M.A. and Anderson, D. H. (2005). Getting from sense of </w:t>
      </w:r>
      <w:proofErr w:type="gramStart"/>
      <w:r w:rsidRPr="00327F4F">
        <w:rPr>
          <w:rFonts w:asciiTheme="majorHAnsi" w:hAnsiTheme="majorHAnsi" w:cstheme="majorHAnsi"/>
          <w:color w:val="000000" w:themeColor="text1"/>
          <w:sz w:val="22"/>
          <w:szCs w:val="22"/>
        </w:rPr>
        <w:t>place to place</w:t>
      </w:r>
      <w:proofErr w:type="gramEnd"/>
      <w:r w:rsidRPr="00327F4F">
        <w:rPr>
          <w:rFonts w:asciiTheme="majorHAnsi" w:hAnsiTheme="majorHAnsi" w:cstheme="majorHAnsi"/>
          <w:color w:val="000000" w:themeColor="text1"/>
          <w:sz w:val="22"/>
          <w:szCs w:val="22"/>
        </w:rPr>
        <w:t xml:space="preserve"> based management: An interpretive investigation of place meanings and perceptions on landscape change. </w:t>
      </w:r>
      <w:r w:rsidRPr="00327F4F">
        <w:rPr>
          <w:rFonts w:asciiTheme="majorHAnsi" w:hAnsiTheme="majorHAnsi" w:cstheme="majorHAnsi"/>
          <w:i/>
          <w:color w:val="000000" w:themeColor="text1"/>
          <w:sz w:val="22"/>
          <w:szCs w:val="22"/>
        </w:rPr>
        <w:t>Society &amp; Natural Resources</w:t>
      </w:r>
      <w:r w:rsidRPr="00327F4F">
        <w:rPr>
          <w:rFonts w:asciiTheme="majorHAnsi" w:hAnsiTheme="majorHAnsi" w:cstheme="majorHAnsi"/>
          <w:color w:val="000000" w:themeColor="text1"/>
          <w:sz w:val="22"/>
          <w:szCs w:val="22"/>
        </w:rPr>
        <w:t>, 18(7), 625–641.</w:t>
      </w:r>
    </w:p>
    <w:p w:rsidR="00E6388A" w:rsidP="00E6388A" w:rsidRDefault="00E6388A">
      <w:pPr>
        <w:pStyle w:val="ListParagraph"/>
        <w:numPr>
          <w:ilvl w:val="0"/>
          <w:numId w:val="8"/>
        </w:numPr>
        <w:tabs>
          <w:tab w:val="left" w:pos="9360"/>
        </w:tabs>
        <w:autoSpaceDE w:val="0"/>
        <w:autoSpaceDN w:val="0"/>
        <w:adjustRightInd w:val="0"/>
        <w:spacing w:after="120"/>
        <w:ind w:left="360"/>
        <w:contextualSpacing w:val="0"/>
        <w:jc w:val="both"/>
        <w:rPr>
          <w:rFonts w:asciiTheme="majorHAnsi" w:hAnsiTheme="majorHAnsi" w:cstheme="majorHAnsi"/>
          <w:color w:val="000000" w:themeColor="text1"/>
          <w:sz w:val="22"/>
          <w:szCs w:val="22"/>
        </w:rPr>
      </w:pPr>
      <w:proofErr w:type="spellStart"/>
      <w:r w:rsidRPr="00327F4F">
        <w:rPr>
          <w:rFonts w:asciiTheme="majorHAnsi" w:hAnsiTheme="majorHAnsi" w:cstheme="majorHAnsi"/>
          <w:color w:val="000000" w:themeColor="text1"/>
          <w:sz w:val="22"/>
          <w:szCs w:val="22"/>
        </w:rPr>
        <w:t>Dillman</w:t>
      </w:r>
      <w:proofErr w:type="spellEnd"/>
      <w:r w:rsidRPr="00327F4F">
        <w:rPr>
          <w:rFonts w:asciiTheme="majorHAnsi" w:hAnsiTheme="majorHAnsi" w:cstheme="majorHAnsi"/>
          <w:color w:val="000000" w:themeColor="text1"/>
          <w:sz w:val="22"/>
          <w:szCs w:val="22"/>
        </w:rPr>
        <w:t xml:space="preserve">, D. A., Smyth, J. D., and Christian, L. M. (2014). </w:t>
      </w:r>
      <w:r w:rsidRPr="00327F4F">
        <w:rPr>
          <w:rFonts w:asciiTheme="majorHAnsi" w:hAnsiTheme="majorHAnsi" w:cstheme="majorHAnsi"/>
          <w:i/>
          <w:color w:val="000000" w:themeColor="text1"/>
          <w:sz w:val="22"/>
          <w:szCs w:val="22"/>
        </w:rPr>
        <w:t>Internet, mail, and mixed-mode surveys: The tailored design method</w:t>
      </w:r>
      <w:r w:rsidRPr="00327F4F">
        <w:rPr>
          <w:rFonts w:asciiTheme="majorHAnsi" w:hAnsiTheme="majorHAnsi" w:cstheme="majorHAnsi"/>
          <w:color w:val="000000" w:themeColor="text1"/>
          <w:sz w:val="22"/>
          <w:szCs w:val="22"/>
        </w:rPr>
        <w:t>. Hoboken, NJ: Wiley.</w:t>
      </w:r>
    </w:p>
    <w:p w:rsidRPr="00327F4F" w:rsidR="00E6388A" w:rsidP="00E6388A" w:rsidRDefault="00E6388A">
      <w:pPr>
        <w:pStyle w:val="ListParagraph"/>
        <w:numPr>
          <w:ilvl w:val="0"/>
          <w:numId w:val="8"/>
        </w:numPr>
        <w:tabs>
          <w:tab w:val="left" w:pos="9360"/>
        </w:tabs>
        <w:autoSpaceDE w:val="0"/>
        <w:autoSpaceDN w:val="0"/>
        <w:adjustRightInd w:val="0"/>
        <w:spacing w:after="120"/>
        <w:ind w:left="360"/>
        <w:contextualSpacing w:val="0"/>
        <w:jc w:val="both"/>
        <w:rPr>
          <w:rFonts w:asciiTheme="majorHAnsi" w:hAnsiTheme="majorHAnsi" w:cstheme="majorHAnsi"/>
          <w:color w:val="000000" w:themeColor="text1"/>
          <w:sz w:val="22"/>
          <w:szCs w:val="22"/>
        </w:rPr>
      </w:pPr>
      <w:proofErr w:type="spellStart"/>
      <w:r>
        <w:rPr>
          <w:rFonts w:asciiTheme="majorHAnsi" w:hAnsiTheme="majorHAnsi" w:cstheme="majorHAnsi"/>
          <w:color w:val="000000" w:themeColor="text1"/>
          <w:sz w:val="22"/>
          <w:szCs w:val="22"/>
        </w:rPr>
        <w:t>D</w:t>
      </w:r>
      <w:r w:rsidRPr="00AA4356">
        <w:rPr>
          <w:rFonts w:asciiTheme="majorHAnsi" w:hAnsiTheme="majorHAnsi" w:cstheme="majorHAnsi"/>
          <w:color w:val="000000" w:themeColor="text1"/>
          <w:sz w:val="22"/>
          <w:szCs w:val="22"/>
        </w:rPr>
        <w:t>ü</w:t>
      </w:r>
      <w:r>
        <w:rPr>
          <w:rFonts w:asciiTheme="majorHAnsi" w:hAnsiTheme="majorHAnsi" w:cstheme="majorHAnsi"/>
          <w:color w:val="000000" w:themeColor="text1"/>
          <w:sz w:val="22"/>
          <w:szCs w:val="22"/>
        </w:rPr>
        <w:t>lmer</w:t>
      </w:r>
      <w:proofErr w:type="spellEnd"/>
      <w:r>
        <w:rPr>
          <w:rFonts w:asciiTheme="majorHAnsi" w:hAnsiTheme="majorHAnsi" w:cstheme="majorHAnsi"/>
          <w:color w:val="000000" w:themeColor="text1"/>
          <w:sz w:val="22"/>
          <w:szCs w:val="22"/>
        </w:rPr>
        <w:t xml:space="preserve">, H. (2007). Experimental plans in factorial surveys:  Random or quota design? </w:t>
      </w:r>
      <w:r>
        <w:rPr>
          <w:rFonts w:asciiTheme="majorHAnsi" w:hAnsiTheme="majorHAnsi" w:cstheme="majorHAnsi"/>
          <w:i/>
          <w:color w:val="000000" w:themeColor="text1"/>
          <w:sz w:val="22"/>
          <w:szCs w:val="22"/>
        </w:rPr>
        <w:t>Sociological Methods &amp; Research</w:t>
      </w:r>
      <w:r>
        <w:rPr>
          <w:rFonts w:asciiTheme="majorHAnsi" w:hAnsiTheme="majorHAnsi" w:cstheme="majorHAnsi"/>
          <w:color w:val="000000" w:themeColor="text1"/>
          <w:sz w:val="22"/>
          <w:szCs w:val="22"/>
        </w:rPr>
        <w:t>, 35(3): 382-409.</w:t>
      </w:r>
    </w:p>
    <w:p w:rsidRPr="00327F4F" w:rsidR="00E6388A" w:rsidP="00E6388A" w:rsidRDefault="00E6388A">
      <w:pPr>
        <w:pStyle w:val="ListParagraph"/>
        <w:numPr>
          <w:ilvl w:val="0"/>
          <w:numId w:val="8"/>
        </w:numPr>
        <w:tabs>
          <w:tab w:val="left" w:pos="9360"/>
        </w:tabs>
        <w:autoSpaceDE w:val="0"/>
        <w:autoSpaceDN w:val="0"/>
        <w:adjustRightInd w:val="0"/>
        <w:spacing w:after="120"/>
        <w:ind w:left="360"/>
        <w:contextualSpacing w:val="0"/>
        <w:jc w:val="both"/>
        <w:rPr>
          <w:rFonts w:asciiTheme="majorHAnsi" w:hAnsiTheme="majorHAnsi" w:cstheme="majorHAnsi"/>
          <w:color w:val="000000" w:themeColor="text1"/>
          <w:sz w:val="22"/>
          <w:szCs w:val="22"/>
        </w:rPr>
      </w:pPr>
      <w:r w:rsidRPr="00327F4F">
        <w:rPr>
          <w:rFonts w:asciiTheme="majorHAnsi" w:hAnsiTheme="majorHAnsi" w:cstheme="majorHAnsi"/>
          <w:color w:val="000000" w:themeColor="text1"/>
          <w:sz w:val="22"/>
          <w:szCs w:val="22"/>
        </w:rPr>
        <w:t xml:space="preserve">Edwards, P.E.T., Parsons, G.R. and Myers, K.H. (2011). The economic value of viewing migratory shorebirds on the Delaware Bay: An application of the single site travel cost model using on-site data. </w:t>
      </w:r>
      <w:r w:rsidRPr="00327F4F">
        <w:rPr>
          <w:rFonts w:asciiTheme="majorHAnsi" w:hAnsiTheme="majorHAnsi" w:cstheme="majorHAnsi"/>
          <w:i/>
          <w:color w:val="000000" w:themeColor="text1"/>
          <w:sz w:val="22"/>
          <w:szCs w:val="22"/>
        </w:rPr>
        <w:t>Human Dimensions of Wildlife</w:t>
      </w:r>
      <w:r w:rsidRPr="00327F4F">
        <w:rPr>
          <w:rFonts w:asciiTheme="majorHAnsi" w:hAnsiTheme="majorHAnsi" w:cstheme="majorHAnsi"/>
          <w:color w:val="000000" w:themeColor="text1"/>
          <w:sz w:val="22"/>
          <w:szCs w:val="22"/>
        </w:rPr>
        <w:t xml:space="preserve">, 16(6):435-444. </w:t>
      </w:r>
    </w:p>
    <w:p w:rsidRPr="00327F4F" w:rsidR="00E6388A" w:rsidP="00E6388A" w:rsidRDefault="00E6388A">
      <w:pPr>
        <w:pStyle w:val="ListParagraph"/>
        <w:numPr>
          <w:ilvl w:val="0"/>
          <w:numId w:val="8"/>
        </w:numPr>
        <w:tabs>
          <w:tab w:val="left" w:pos="9360"/>
        </w:tabs>
        <w:autoSpaceDE w:val="0"/>
        <w:autoSpaceDN w:val="0"/>
        <w:adjustRightInd w:val="0"/>
        <w:spacing w:after="120"/>
        <w:ind w:left="360"/>
        <w:contextualSpacing w:val="0"/>
        <w:jc w:val="both"/>
        <w:rPr>
          <w:rFonts w:asciiTheme="majorHAnsi" w:hAnsiTheme="majorHAnsi" w:cstheme="majorHAnsi"/>
          <w:color w:val="000000" w:themeColor="text1"/>
          <w:sz w:val="22"/>
          <w:szCs w:val="22"/>
        </w:rPr>
      </w:pPr>
      <w:r w:rsidRPr="00327F4F">
        <w:rPr>
          <w:rFonts w:asciiTheme="majorHAnsi" w:hAnsiTheme="majorHAnsi" w:cstheme="majorHAnsi"/>
          <w:color w:val="000000" w:themeColor="text1"/>
          <w:sz w:val="22"/>
          <w:szCs w:val="22"/>
        </w:rPr>
        <w:t>ERG. (2016). Hurricane Sandy and the value of trade-offs in coastal restoration and protection. Prepared for NOAA Office for Coastal Management.</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Flanagin</w:t>
      </w:r>
      <w:proofErr w:type="spellEnd"/>
      <w:r w:rsidRPr="00751F88">
        <w:rPr>
          <w:rFonts w:asciiTheme="majorHAnsi" w:hAnsiTheme="majorHAnsi" w:cstheme="majorHAnsi"/>
          <w:color w:val="000000" w:themeColor="text1"/>
          <w:sz w:val="22"/>
          <w:szCs w:val="22"/>
        </w:rPr>
        <w:t xml:space="preserve">, A.J. and Metzger, M.J. (2000). Perceptions of Internet Information Credibility. </w:t>
      </w:r>
      <w:r w:rsidRPr="00751F88">
        <w:rPr>
          <w:rFonts w:asciiTheme="majorHAnsi" w:hAnsiTheme="majorHAnsi" w:cstheme="majorHAnsi"/>
          <w:i/>
          <w:color w:val="000000" w:themeColor="text1"/>
          <w:sz w:val="22"/>
          <w:szCs w:val="22"/>
        </w:rPr>
        <w:t>Journalism and Mass Communication Quarterly</w:t>
      </w:r>
      <w:r w:rsidRPr="00751F88">
        <w:rPr>
          <w:rFonts w:asciiTheme="majorHAnsi" w:hAnsiTheme="majorHAnsi" w:cstheme="majorHAnsi"/>
          <w:color w:val="000000" w:themeColor="text1"/>
          <w:sz w:val="22"/>
          <w:szCs w:val="22"/>
        </w:rPr>
        <w:t>, 77(3): 515-540.</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Fuji</w:t>
      </w:r>
      <w:r w:rsidRPr="00751F88">
        <w:rPr>
          <w:rFonts w:asciiTheme="majorHAnsi" w:hAnsiTheme="majorHAnsi" w:cstheme="majorHAnsi"/>
          <w:color w:val="000000" w:themeColor="text1"/>
          <w:sz w:val="22"/>
          <w:szCs w:val="22"/>
        </w:rPr>
        <w:t xml:space="preserve">, S. and </w:t>
      </w:r>
      <w:proofErr w:type="spellStart"/>
      <w:r w:rsidRPr="00751F88">
        <w:rPr>
          <w:rFonts w:asciiTheme="majorHAnsi" w:hAnsiTheme="majorHAnsi" w:cstheme="majorHAnsi"/>
          <w:color w:val="000000" w:themeColor="text1"/>
          <w:sz w:val="22"/>
          <w:szCs w:val="22"/>
        </w:rPr>
        <w:t>Gärling</w:t>
      </w:r>
      <w:proofErr w:type="spellEnd"/>
      <w:r w:rsidRPr="00751F88">
        <w:rPr>
          <w:rFonts w:asciiTheme="majorHAnsi" w:hAnsiTheme="majorHAnsi" w:cstheme="majorHAnsi"/>
          <w:color w:val="000000" w:themeColor="text1"/>
          <w:sz w:val="22"/>
          <w:szCs w:val="22"/>
        </w:rPr>
        <w:t xml:space="preserve">, T. (2003). Application of attitude theory for improved predictive accuracy of stated preference methods in travel demand analysis. </w:t>
      </w:r>
      <w:r w:rsidRPr="00751F88">
        <w:rPr>
          <w:rFonts w:asciiTheme="majorHAnsi" w:hAnsiTheme="majorHAnsi" w:cstheme="majorHAnsi"/>
          <w:i/>
          <w:color w:val="000000" w:themeColor="text1"/>
          <w:sz w:val="22"/>
          <w:szCs w:val="22"/>
        </w:rPr>
        <w:t>Transportation Research Part A</w:t>
      </w:r>
      <w:r w:rsidRPr="00751F88">
        <w:rPr>
          <w:rFonts w:asciiTheme="majorHAnsi" w:hAnsiTheme="majorHAnsi" w:cstheme="majorHAnsi"/>
          <w:color w:val="000000" w:themeColor="text1"/>
          <w:sz w:val="22"/>
          <w:szCs w:val="22"/>
        </w:rPr>
        <w:t xml:space="preserve"> </w:t>
      </w:r>
      <w:r w:rsidRPr="00751F88">
        <w:rPr>
          <w:rFonts w:asciiTheme="majorHAnsi" w:hAnsiTheme="majorHAnsi" w:cstheme="majorHAnsi"/>
          <w:i/>
          <w:color w:val="000000" w:themeColor="text1"/>
          <w:sz w:val="22"/>
          <w:szCs w:val="22"/>
        </w:rPr>
        <w:t>Policy and Practice</w:t>
      </w:r>
      <w:r w:rsidRPr="00751F88">
        <w:rPr>
          <w:rFonts w:asciiTheme="majorHAnsi" w:hAnsiTheme="majorHAnsi" w:cstheme="majorHAnsi"/>
          <w:color w:val="000000" w:themeColor="text1"/>
          <w:sz w:val="22"/>
          <w:szCs w:val="22"/>
        </w:rPr>
        <w:t>, 37(4), 389-402.</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Gajic, A., Cameron, D., and Hurley, J. (2012). The cost-effectiveness of cash versus lottery incentives for a web-based, stated-preference community survey. </w:t>
      </w:r>
      <w:r w:rsidRPr="00751F88">
        <w:rPr>
          <w:rFonts w:asciiTheme="majorHAnsi" w:hAnsiTheme="majorHAnsi" w:cstheme="majorHAnsi"/>
          <w:i/>
          <w:color w:val="000000" w:themeColor="text1"/>
          <w:sz w:val="22"/>
          <w:szCs w:val="22"/>
        </w:rPr>
        <w:t>European Journal of Health Economics</w:t>
      </w:r>
      <w:r w:rsidRPr="00751F88">
        <w:rPr>
          <w:rFonts w:asciiTheme="majorHAnsi" w:hAnsiTheme="majorHAnsi" w:cstheme="majorHAnsi"/>
          <w:color w:val="000000" w:themeColor="text1"/>
          <w:sz w:val="22"/>
          <w:szCs w:val="22"/>
        </w:rPr>
        <w:t>, 13(6): 789-799.</w:t>
      </w:r>
    </w:p>
    <w:p w:rsidRPr="00751F88" w:rsidR="00E6388A" w:rsidP="00E6388A" w:rsidRDefault="00E6388A">
      <w:pPr>
        <w:pStyle w:val="NoSpacing"/>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Gilbert, A., Glass, R., and More, T. (1992). Valuation of Eastern Wilderness: </w:t>
      </w:r>
      <w:proofErr w:type="spellStart"/>
      <w:r w:rsidRPr="00751F88">
        <w:rPr>
          <w:rFonts w:asciiTheme="majorHAnsi" w:hAnsiTheme="majorHAnsi" w:cstheme="majorHAnsi"/>
          <w:color w:val="000000" w:themeColor="text1"/>
          <w:sz w:val="22"/>
          <w:szCs w:val="22"/>
        </w:rPr>
        <w:t>Extramarket</w:t>
      </w:r>
      <w:proofErr w:type="spellEnd"/>
      <w:r w:rsidRPr="00751F88">
        <w:rPr>
          <w:rFonts w:asciiTheme="majorHAnsi" w:hAnsiTheme="majorHAnsi" w:cstheme="majorHAnsi"/>
          <w:color w:val="000000" w:themeColor="text1"/>
          <w:sz w:val="22"/>
          <w:szCs w:val="22"/>
        </w:rPr>
        <w:t xml:space="preserve"> Measures of Public Support. In Payne, C., </w:t>
      </w:r>
      <w:proofErr w:type="spellStart"/>
      <w:r w:rsidRPr="00751F88">
        <w:rPr>
          <w:rFonts w:asciiTheme="majorHAnsi" w:hAnsiTheme="majorHAnsi" w:cstheme="majorHAnsi"/>
          <w:color w:val="000000" w:themeColor="text1"/>
          <w:sz w:val="22"/>
          <w:szCs w:val="22"/>
        </w:rPr>
        <w:t>Bowker</w:t>
      </w:r>
      <w:proofErr w:type="spellEnd"/>
      <w:r w:rsidRPr="00751F88">
        <w:rPr>
          <w:rFonts w:asciiTheme="majorHAnsi" w:hAnsiTheme="majorHAnsi" w:cstheme="majorHAnsi"/>
          <w:color w:val="000000" w:themeColor="text1"/>
          <w:sz w:val="22"/>
          <w:szCs w:val="22"/>
        </w:rPr>
        <w:t xml:space="preserve">, J.M., and Reed, P.C. (Eds.), </w:t>
      </w:r>
      <w:r w:rsidRPr="00751F88">
        <w:rPr>
          <w:rFonts w:asciiTheme="majorHAnsi" w:hAnsiTheme="majorHAnsi" w:cstheme="majorHAnsi"/>
          <w:i/>
          <w:color w:val="000000" w:themeColor="text1"/>
          <w:sz w:val="22"/>
          <w:szCs w:val="22"/>
        </w:rPr>
        <w:t>The Economic Value of Wilderness: Proceedings of the Conference, Jackson, WY, U.S. Forest Service, General Technical Report SE-78</w:t>
      </w:r>
      <w:r w:rsidRPr="00751F88">
        <w:rPr>
          <w:rFonts w:asciiTheme="majorHAnsi" w:hAnsiTheme="majorHAnsi" w:cstheme="majorHAnsi"/>
          <w:color w:val="000000" w:themeColor="text1"/>
          <w:sz w:val="22"/>
          <w:szCs w:val="22"/>
        </w:rPr>
        <w:t xml:space="preserve"> (pp.57-70a).</w:t>
      </w:r>
    </w:p>
    <w:p w:rsidR="00E6388A" w:rsidP="00E6388A" w:rsidRDefault="00E6388A">
      <w:pPr>
        <w:pStyle w:val="NoSpacing"/>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Pr>
          <w:rFonts w:asciiTheme="majorHAnsi" w:hAnsiTheme="majorHAnsi" w:cstheme="majorHAnsi"/>
          <w:color w:val="000000" w:themeColor="text1"/>
          <w:sz w:val="22"/>
          <w:szCs w:val="22"/>
        </w:rPr>
        <w:t>Groemping</w:t>
      </w:r>
      <w:proofErr w:type="spellEnd"/>
      <w:r>
        <w:rPr>
          <w:rFonts w:asciiTheme="majorHAnsi" w:hAnsiTheme="majorHAnsi" w:cstheme="majorHAnsi"/>
          <w:color w:val="000000" w:themeColor="text1"/>
          <w:sz w:val="22"/>
          <w:szCs w:val="22"/>
        </w:rPr>
        <w:t xml:space="preserve">, U., </w:t>
      </w:r>
      <w:proofErr w:type="spellStart"/>
      <w:r>
        <w:rPr>
          <w:rFonts w:asciiTheme="majorHAnsi" w:hAnsiTheme="majorHAnsi" w:cstheme="majorHAnsi"/>
          <w:color w:val="000000" w:themeColor="text1"/>
          <w:sz w:val="22"/>
          <w:szCs w:val="22"/>
        </w:rPr>
        <w:t>Amarov</w:t>
      </w:r>
      <w:proofErr w:type="spellEnd"/>
      <w:r>
        <w:rPr>
          <w:rFonts w:asciiTheme="majorHAnsi" w:hAnsiTheme="majorHAnsi" w:cstheme="majorHAnsi"/>
          <w:color w:val="000000" w:themeColor="text1"/>
          <w:sz w:val="22"/>
          <w:szCs w:val="22"/>
        </w:rPr>
        <w:t xml:space="preserve">, B., and Xu, H. (2019). </w:t>
      </w:r>
      <w:proofErr w:type="spellStart"/>
      <w:r>
        <w:rPr>
          <w:rFonts w:asciiTheme="majorHAnsi" w:hAnsiTheme="majorHAnsi" w:cstheme="majorHAnsi"/>
          <w:color w:val="000000" w:themeColor="text1"/>
          <w:sz w:val="22"/>
          <w:szCs w:val="22"/>
        </w:rPr>
        <w:t>DoE.base</w:t>
      </w:r>
      <w:proofErr w:type="spellEnd"/>
      <w:r>
        <w:rPr>
          <w:rFonts w:asciiTheme="majorHAnsi" w:hAnsiTheme="majorHAnsi" w:cstheme="majorHAnsi"/>
          <w:color w:val="000000" w:themeColor="text1"/>
          <w:sz w:val="22"/>
          <w:szCs w:val="22"/>
        </w:rPr>
        <w:t xml:space="preserve">: Full Factorials, Orthogonal Arrays and Base Utilities for DoE Packages. R package version 1.1-3. </w:t>
      </w:r>
      <w:r w:rsidRPr="00E70728">
        <w:rPr>
          <w:rFonts w:asciiTheme="majorHAnsi" w:hAnsiTheme="majorHAnsi" w:cstheme="majorHAnsi"/>
          <w:color w:val="000000" w:themeColor="text1"/>
          <w:sz w:val="22"/>
          <w:szCs w:val="22"/>
        </w:rPr>
        <w:t>https://CRAN.R-project.org/package=DoE.base</w:t>
      </w:r>
    </w:p>
    <w:p w:rsidRPr="00751F88" w:rsidR="00E6388A" w:rsidP="00E6388A" w:rsidRDefault="00E6388A">
      <w:pPr>
        <w:pStyle w:val="NoSpacing"/>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Groves, R.M., Singer, E., and Corning, A. (2000). Leverage-Saliency Theory of Survey Participation: Description and an Illustration. </w:t>
      </w:r>
      <w:r w:rsidRPr="00751F88">
        <w:rPr>
          <w:rFonts w:asciiTheme="majorHAnsi" w:hAnsiTheme="majorHAnsi" w:cstheme="majorHAnsi"/>
          <w:i/>
          <w:color w:val="000000" w:themeColor="text1"/>
          <w:sz w:val="22"/>
          <w:szCs w:val="22"/>
        </w:rPr>
        <w:t>Public Opinion Quarterly</w:t>
      </w:r>
      <w:r w:rsidRPr="00751F88">
        <w:rPr>
          <w:rFonts w:asciiTheme="majorHAnsi" w:hAnsiTheme="majorHAnsi" w:cstheme="majorHAnsi"/>
          <w:color w:val="000000" w:themeColor="text1"/>
          <w:sz w:val="22"/>
          <w:szCs w:val="22"/>
        </w:rPr>
        <w:t>, 64(3): 299-308.</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Haefele</w:t>
      </w:r>
      <w:proofErr w:type="spellEnd"/>
      <w:r w:rsidRPr="00751F88">
        <w:rPr>
          <w:rFonts w:asciiTheme="majorHAnsi" w:hAnsiTheme="majorHAnsi" w:cstheme="majorHAnsi"/>
          <w:color w:val="000000" w:themeColor="text1"/>
          <w:sz w:val="22"/>
          <w:szCs w:val="22"/>
        </w:rPr>
        <w:t xml:space="preserve">, M., Randall A.K., and Holmes, T. (1992). Estimating the Total Value of Forest Quality in High-Elevation Spruce-Fir Forests. In Payne, C., </w:t>
      </w:r>
      <w:proofErr w:type="spellStart"/>
      <w:r w:rsidRPr="00751F88">
        <w:rPr>
          <w:rFonts w:asciiTheme="majorHAnsi" w:hAnsiTheme="majorHAnsi" w:cstheme="majorHAnsi"/>
          <w:color w:val="000000" w:themeColor="text1"/>
          <w:sz w:val="22"/>
          <w:szCs w:val="22"/>
        </w:rPr>
        <w:t>Bowker</w:t>
      </w:r>
      <w:proofErr w:type="spellEnd"/>
      <w:r w:rsidRPr="00751F88">
        <w:rPr>
          <w:rFonts w:asciiTheme="majorHAnsi" w:hAnsiTheme="majorHAnsi" w:cstheme="majorHAnsi"/>
          <w:color w:val="000000" w:themeColor="text1"/>
          <w:sz w:val="22"/>
          <w:szCs w:val="22"/>
        </w:rPr>
        <w:t xml:space="preserve">, J.M., and Reed, P.C. (Eds.), </w:t>
      </w:r>
      <w:r w:rsidRPr="00751F88">
        <w:rPr>
          <w:rFonts w:asciiTheme="majorHAnsi" w:hAnsiTheme="majorHAnsi" w:cstheme="majorHAnsi"/>
          <w:i/>
          <w:color w:val="000000" w:themeColor="text1"/>
          <w:sz w:val="22"/>
          <w:szCs w:val="22"/>
        </w:rPr>
        <w:t>The Economic Value of Wilderness: Proceedings of the Conference, Jackson, WY, U.S. Forest Service, General Technical Report SE-78</w:t>
      </w:r>
      <w:r w:rsidRPr="00751F88">
        <w:rPr>
          <w:rFonts w:asciiTheme="majorHAnsi" w:hAnsiTheme="majorHAnsi" w:cstheme="majorHAnsi"/>
          <w:color w:val="000000" w:themeColor="text1"/>
          <w:sz w:val="22"/>
          <w:szCs w:val="22"/>
        </w:rPr>
        <w:t xml:space="preserve"> (pp.91-96).</w:t>
      </w:r>
    </w:p>
    <w:p w:rsidRPr="00751F88" w:rsidR="00E6388A" w:rsidP="00E6388A" w:rsidRDefault="00E6388A">
      <w:pPr>
        <w:pStyle w:val="NoSpacing"/>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Hanley, N., </w:t>
      </w:r>
      <w:proofErr w:type="spellStart"/>
      <w:r w:rsidRPr="00751F88">
        <w:rPr>
          <w:rFonts w:asciiTheme="majorHAnsi" w:hAnsiTheme="majorHAnsi" w:cstheme="majorHAnsi"/>
          <w:color w:val="000000" w:themeColor="text1"/>
          <w:sz w:val="22"/>
          <w:szCs w:val="22"/>
        </w:rPr>
        <w:t>Kriström</w:t>
      </w:r>
      <w:proofErr w:type="spellEnd"/>
      <w:r w:rsidRPr="00751F88">
        <w:rPr>
          <w:rFonts w:asciiTheme="majorHAnsi" w:hAnsiTheme="majorHAnsi" w:cstheme="majorHAnsi"/>
          <w:color w:val="000000" w:themeColor="text1"/>
          <w:sz w:val="22"/>
          <w:szCs w:val="22"/>
        </w:rPr>
        <w:t xml:space="preserve">, B., and </w:t>
      </w:r>
      <w:proofErr w:type="spellStart"/>
      <w:r w:rsidRPr="00751F88">
        <w:rPr>
          <w:rFonts w:asciiTheme="majorHAnsi" w:hAnsiTheme="majorHAnsi" w:cstheme="majorHAnsi"/>
          <w:color w:val="000000" w:themeColor="text1"/>
          <w:sz w:val="22"/>
          <w:szCs w:val="22"/>
        </w:rPr>
        <w:t>Shogren</w:t>
      </w:r>
      <w:proofErr w:type="spellEnd"/>
      <w:r w:rsidRPr="00751F88">
        <w:rPr>
          <w:rFonts w:asciiTheme="majorHAnsi" w:hAnsiTheme="majorHAnsi" w:cstheme="majorHAnsi"/>
          <w:color w:val="000000" w:themeColor="text1"/>
          <w:sz w:val="22"/>
          <w:szCs w:val="22"/>
        </w:rPr>
        <w:t xml:space="preserve">, J.F. (2009). Coherent Arbitrariness: On Value Uncertainty for Environmental Goods. </w:t>
      </w:r>
      <w:r w:rsidRPr="00751F88">
        <w:rPr>
          <w:rFonts w:asciiTheme="majorHAnsi" w:hAnsiTheme="majorHAnsi" w:cstheme="majorHAnsi"/>
          <w:i/>
          <w:color w:val="000000" w:themeColor="text1"/>
          <w:sz w:val="22"/>
          <w:szCs w:val="22"/>
        </w:rPr>
        <w:t>Land Economics</w:t>
      </w:r>
      <w:r w:rsidRPr="00751F88">
        <w:rPr>
          <w:rFonts w:asciiTheme="majorHAnsi" w:hAnsiTheme="majorHAnsi" w:cstheme="majorHAnsi"/>
          <w:color w:val="000000" w:themeColor="text1"/>
          <w:sz w:val="22"/>
          <w:szCs w:val="22"/>
        </w:rPr>
        <w:t>, 85(1): 41–50.</w:t>
      </w:r>
    </w:p>
    <w:p w:rsidR="00E6388A" w:rsidP="00E6388A" w:rsidRDefault="00E6388A">
      <w:pPr>
        <w:pStyle w:val="NoSpacing"/>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Horrigan, J. (2017) “How People Approach Facts and Information.” Pew Research Center.</w:t>
      </w:r>
    </w:p>
    <w:p w:rsidRPr="00751F88" w:rsidR="00E6388A" w:rsidP="00E6388A" w:rsidRDefault="00E6388A">
      <w:pPr>
        <w:pStyle w:val="NoSpacing"/>
        <w:numPr>
          <w:ilvl w:val="0"/>
          <w:numId w:val="8"/>
        </w:numPr>
        <w:tabs>
          <w:tab w:val="left" w:pos="9360"/>
        </w:tabs>
        <w:spacing w:after="120"/>
        <w:ind w:left="36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Jasso, G. (2006). Factorial survey methods for studying beliefs and judgements. </w:t>
      </w:r>
      <w:r>
        <w:rPr>
          <w:rFonts w:asciiTheme="majorHAnsi" w:hAnsiTheme="majorHAnsi" w:cstheme="majorHAnsi"/>
          <w:i/>
          <w:color w:val="000000" w:themeColor="text1"/>
          <w:sz w:val="22"/>
          <w:szCs w:val="22"/>
        </w:rPr>
        <w:t>Sociological Methods and Research</w:t>
      </w:r>
      <w:r>
        <w:rPr>
          <w:rFonts w:asciiTheme="majorHAnsi" w:hAnsiTheme="majorHAnsi" w:cstheme="majorHAnsi"/>
          <w:color w:val="000000" w:themeColor="text1"/>
          <w:sz w:val="22"/>
          <w:szCs w:val="22"/>
        </w:rPr>
        <w:t>, 34(3): 334-423.</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Johannesson</w:t>
      </w:r>
      <w:proofErr w:type="spellEnd"/>
      <w:r w:rsidRPr="00751F88">
        <w:rPr>
          <w:rFonts w:asciiTheme="majorHAnsi" w:hAnsiTheme="majorHAnsi" w:cstheme="majorHAnsi"/>
          <w:color w:val="000000" w:themeColor="text1"/>
          <w:sz w:val="22"/>
          <w:szCs w:val="22"/>
        </w:rPr>
        <w:t xml:space="preserve">, M., G., </w:t>
      </w:r>
      <w:proofErr w:type="spellStart"/>
      <w:r w:rsidRPr="00751F88">
        <w:rPr>
          <w:rFonts w:asciiTheme="majorHAnsi" w:hAnsiTheme="majorHAnsi" w:cstheme="majorHAnsi"/>
          <w:color w:val="000000" w:themeColor="text1"/>
          <w:sz w:val="22"/>
          <w:szCs w:val="22"/>
        </w:rPr>
        <w:t>Blomquist</w:t>
      </w:r>
      <w:proofErr w:type="spellEnd"/>
      <w:r w:rsidRPr="00751F88">
        <w:rPr>
          <w:rFonts w:asciiTheme="majorHAnsi" w:hAnsiTheme="majorHAnsi" w:cstheme="majorHAnsi"/>
          <w:color w:val="000000" w:themeColor="text1"/>
          <w:sz w:val="22"/>
          <w:szCs w:val="22"/>
        </w:rPr>
        <w:t xml:space="preserve">, K., Blumenschein, P., Johansson, B., </w:t>
      </w:r>
      <w:proofErr w:type="spellStart"/>
      <w:r w:rsidRPr="00751F88">
        <w:rPr>
          <w:rFonts w:asciiTheme="majorHAnsi" w:hAnsiTheme="majorHAnsi" w:cstheme="majorHAnsi"/>
          <w:color w:val="000000" w:themeColor="text1"/>
          <w:sz w:val="22"/>
          <w:szCs w:val="22"/>
        </w:rPr>
        <w:t>Liljas</w:t>
      </w:r>
      <w:proofErr w:type="spellEnd"/>
      <w:r w:rsidRPr="00751F88">
        <w:rPr>
          <w:rFonts w:asciiTheme="majorHAnsi" w:hAnsiTheme="majorHAnsi" w:cstheme="majorHAnsi"/>
          <w:color w:val="000000" w:themeColor="text1"/>
          <w:sz w:val="22"/>
          <w:szCs w:val="22"/>
        </w:rPr>
        <w:t xml:space="preserve"> and R., O’Connor. (1999). Calibrating hypothetical willingness to pay responses. </w:t>
      </w:r>
      <w:r w:rsidRPr="00751F88">
        <w:rPr>
          <w:rFonts w:asciiTheme="majorHAnsi" w:hAnsiTheme="majorHAnsi" w:cstheme="majorHAnsi"/>
          <w:i/>
          <w:color w:val="000000" w:themeColor="text1"/>
          <w:sz w:val="22"/>
          <w:szCs w:val="22"/>
        </w:rPr>
        <w:t>Journal of Risk and Uncertainty</w:t>
      </w:r>
      <w:r w:rsidRPr="00751F88">
        <w:rPr>
          <w:rFonts w:asciiTheme="majorHAnsi" w:hAnsiTheme="majorHAnsi" w:cstheme="majorHAnsi"/>
          <w:color w:val="000000" w:themeColor="text1"/>
          <w:sz w:val="22"/>
          <w:szCs w:val="22"/>
        </w:rPr>
        <w:t>, 8(1), 21-32.</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Johnson, T.J. and Kaye, B.K. (1998). Cruising is believing</w:t>
      </w:r>
      <w:proofErr w:type="gramStart"/>
      <w:r w:rsidRPr="00751F88">
        <w:rPr>
          <w:rFonts w:asciiTheme="majorHAnsi" w:hAnsiTheme="majorHAnsi" w:cstheme="majorHAnsi"/>
          <w:color w:val="000000" w:themeColor="text1"/>
          <w:sz w:val="22"/>
          <w:szCs w:val="22"/>
        </w:rPr>
        <w:t>?:</w:t>
      </w:r>
      <w:proofErr w:type="gramEnd"/>
      <w:r w:rsidRPr="00751F88">
        <w:rPr>
          <w:rFonts w:asciiTheme="majorHAnsi" w:hAnsiTheme="majorHAnsi" w:cstheme="majorHAnsi"/>
          <w:color w:val="000000" w:themeColor="text1"/>
          <w:sz w:val="22"/>
          <w:szCs w:val="22"/>
        </w:rPr>
        <w:t xml:space="preserve"> Comparing internet and traditional sources on media credibility measures. </w:t>
      </w:r>
      <w:r w:rsidRPr="00751F88">
        <w:rPr>
          <w:rFonts w:asciiTheme="majorHAnsi" w:hAnsiTheme="majorHAnsi" w:cstheme="majorHAnsi"/>
          <w:i/>
          <w:color w:val="000000" w:themeColor="text1"/>
          <w:sz w:val="22"/>
          <w:szCs w:val="22"/>
        </w:rPr>
        <w:t>Journalism and Mass Communication Quarterly</w:t>
      </w:r>
      <w:r w:rsidRPr="00751F88">
        <w:rPr>
          <w:rFonts w:asciiTheme="majorHAnsi" w:hAnsiTheme="majorHAnsi" w:cstheme="majorHAnsi"/>
          <w:color w:val="000000" w:themeColor="text1"/>
          <w:sz w:val="22"/>
          <w:szCs w:val="22"/>
        </w:rPr>
        <w:t>, 75(2): 325-340.</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Johnston, R.J., </w:t>
      </w:r>
      <w:proofErr w:type="spellStart"/>
      <w:r w:rsidRPr="00751F88">
        <w:rPr>
          <w:rFonts w:asciiTheme="majorHAnsi" w:hAnsiTheme="majorHAnsi" w:cstheme="majorHAnsi"/>
          <w:color w:val="000000" w:themeColor="text1"/>
          <w:sz w:val="22"/>
          <w:szCs w:val="22"/>
        </w:rPr>
        <w:t>Feurt</w:t>
      </w:r>
      <w:proofErr w:type="spellEnd"/>
      <w:r w:rsidRPr="00751F88">
        <w:rPr>
          <w:rFonts w:asciiTheme="majorHAnsi" w:hAnsiTheme="majorHAnsi" w:cstheme="majorHAnsi"/>
          <w:color w:val="000000" w:themeColor="text1"/>
          <w:sz w:val="22"/>
          <w:szCs w:val="22"/>
        </w:rPr>
        <w:t xml:space="preserve">, C. and Holland, B. (2015). Ecosystem Services and Riparian Land Management in the </w:t>
      </w:r>
      <w:proofErr w:type="spellStart"/>
      <w:r w:rsidRPr="00751F88">
        <w:rPr>
          <w:rFonts w:asciiTheme="majorHAnsi" w:hAnsiTheme="majorHAnsi" w:cstheme="majorHAnsi"/>
          <w:color w:val="000000" w:themeColor="text1"/>
          <w:sz w:val="22"/>
          <w:szCs w:val="22"/>
        </w:rPr>
        <w:t>Merriland</w:t>
      </w:r>
      <w:proofErr w:type="spellEnd"/>
      <w:r w:rsidRPr="00751F88">
        <w:rPr>
          <w:rFonts w:asciiTheme="majorHAnsi" w:hAnsiTheme="majorHAnsi" w:cstheme="majorHAnsi"/>
          <w:color w:val="000000" w:themeColor="text1"/>
          <w:sz w:val="22"/>
          <w:szCs w:val="22"/>
        </w:rPr>
        <w:t>, Branch Brook and Little River Watershed: Quantifying Values and Tradeoffs. George Perkins Marsh Institute, Clark University, Worcester, MA and the Wells National Estuarine Research Reserve, Wells, ME.</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Johnston, R.J., </w:t>
      </w:r>
      <w:proofErr w:type="spellStart"/>
      <w:r w:rsidRPr="00751F88">
        <w:rPr>
          <w:rFonts w:asciiTheme="majorHAnsi" w:hAnsiTheme="majorHAnsi" w:cstheme="majorHAnsi"/>
          <w:color w:val="000000" w:themeColor="text1"/>
          <w:sz w:val="22"/>
          <w:szCs w:val="22"/>
        </w:rPr>
        <w:t>Makriyannis</w:t>
      </w:r>
      <w:proofErr w:type="spellEnd"/>
      <w:r w:rsidRPr="00751F88">
        <w:rPr>
          <w:rFonts w:asciiTheme="majorHAnsi" w:hAnsiTheme="majorHAnsi" w:cstheme="majorHAnsi"/>
          <w:color w:val="000000" w:themeColor="text1"/>
          <w:sz w:val="22"/>
          <w:szCs w:val="22"/>
        </w:rPr>
        <w:t xml:space="preserve">, C., and </w:t>
      </w:r>
      <w:proofErr w:type="spellStart"/>
      <w:r w:rsidRPr="00751F88">
        <w:rPr>
          <w:rFonts w:asciiTheme="majorHAnsi" w:hAnsiTheme="majorHAnsi" w:cstheme="majorHAnsi"/>
          <w:color w:val="000000" w:themeColor="text1"/>
          <w:sz w:val="22"/>
          <w:szCs w:val="22"/>
        </w:rPr>
        <w:t>Whelchel</w:t>
      </w:r>
      <w:proofErr w:type="spellEnd"/>
      <w:r w:rsidRPr="00751F88">
        <w:rPr>
          <w:rFonts w:asciiTheme="majorHAnsi" w:hAnsiTheme="majorHAnsi" w:cstheme="majorHAnsi"/>
          <w:color w:val="000000" w:themeColor="text1"/>
          <w:sz w:val="22"/>
          <w:szCs w:val="22"/>
        </w:rPr>
        <w:t xml:space="preserve">, A.W. (2018). Using Ecosystem Service Values to Evaluate Tradeoffs in Coastal Hazard Adaptation. </w:t>
      </w:r>
      <w:r w:rsidRPr="00751F88">
        <w:rPr>
          <w:rFonts w:asciiTheme="majorHAnsi" w:hAnsiTheme="majorHAnsi" w:cstheme="majorHAnsi"/>
          <w:i/>
          <w:color w:val="000000" w:themeColor="text1"/>
          <w:sz w:val="22"/>
          <w:szCs w:val="22"/>
        </w:rPr>
        <w:t>Coastal Management</w:t>
      </w:r>
      <w:r w:rsidRPr="00751F88">
        <w:rPr>
          <w:rFonts w:asciiTheme="majorHAnsi" w:hAnsiTheme="majorHAnsi" w:cstheme="majorHAnsi"/>
          <w:color w:val="000000" w:themeColor="text1"/>
          <w:sz w:val="22"/>
          <w:szCs w:val="22"/>
        </w:rPr>
        <w:t>.</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Kruger, L.E., and Jakes, P.J. (2003). The importance of place: Advances in science and application. </w:t>
      </w:r>
      <w:r w:rsidRPr="00751F88">
        <w:rPr>
          <w:rFonts w:asciiTheme="majorHAnsi" w:hAnsiTheme="majorHAnsi" w:cstheme="majorHAnsi"/>
          <w:i/>
          <w:color w:val="000000" w:themeColor="text1"/>
          <w:sz w:val="22"/>
          <w:szCs w:val="22"/>
        </w:rPr>
        <w:t>Forest Science</w:t>
      </w:r>
      <w:r w:rsidRPr="00751F88">
        <w:rPr>
          <w:rFonts w:asciiTheme="majorHAnsi" w:hAnsiTheme="majorHAnsi" w:cstheme="majorHAnsi"/>
          <w:color w:val="000000" w:themeColor="text1"/>
          <w:sz w:val="22"/>
          <w:szCs w:val="22"/>
        </w:rPr>
        <w:t>, 49(6): 819–821.</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Kyle, G.T., </w:t>
      </w:r>
      <w:proofErr w:type="spellStart"/>
      <w:r w:rsidRPr="00751F88">
        <w:rPr>
          <w:rFonts w:asciiTheme="majorHAnsi" w:hAnsiTheme="majorHAnsi" w:cstheme="majorHAnsi"/>
          <w:color w:val="000000" w:themeColor="text1"/>
          <w:sz w:val="22"/>
          <w:szCs w:val="22"/>
        </w:rPr>
        <w:t>Absher</w:t>
      </w:r>
      <w:proofErr w:type="spellEnd"/>
      <w:r w:rsidRPr="00751F88">
        <w:rPr>
          <w:rFonts w:asciiTheme="majorHAnsi" w:hAnsiTheme="majorHAnsi" w:cstheme="majorHAnsi"/>
          <w:color w:val="000000" w:themeColor="text1"/>
          <w:sz w:val="22"/>
          <w:szCs w:val="22"/>
        </w:rPr>
        <w:t xml:space="preserve">, J.D., and </w:t>
      </w:r>
      <w:proofErr w:type="spellStart"/>
      <w:r w:rsidRPr="00751F88">
        <w:rPr>
          <w:rFonts w:asciiTheme="majorHAnsi" w:hAnsiTheme="majorHAnsi" w:cstheme="majorHAnsi"/>
          <w:color w:val="000000" w:themeColor="text1"/>
          <w:sz w:val="22"/>
          <w:szCs w:val="22"/>
        </w:rPr>
        <w:t>Graefe</w:t>
      </w:r>
      <w:proofErr w:type="spellEnd"/>
      <w:r w:rsidRPr="00751F88">
        <w:rPr>
          <w:rFonts w:asciiTheme="majorHAnsi" w:hAnsiTheme="majorHAnsi" w:cstheme="majorHAnsi"/>
          <w:color w:val="000000" w:themeColor="text1"/>
          <w:sz w:val="22"/>
          <w:szCs w:val="22"/>
        </w:rPr>
        <w:t xml:space="preserve">, A.R. (2003). The moderating role of place attachment on the relationship between attitudes toward fees and spending preferences. </w:t>
      </w:r>
      <w:r w:rsidRPr="00751F88">
        <w:rPr>
          <w:rFonts w:asciiTheme="majorHAnsi" w:hAnsiTheme="majorHAnsi" w:cstheme="majorHAnsi"/>
          <w:i/>
          <w:color w:val="000000" w:themeColor="text1"/>
          <w:sz w:val="22"/>
          <w:szCs w:val="22"/>
        </w:rPr>
        <w:t>Leisure Sciences</w:t>
      </w:r>
      <w:r w:rsidRPr="00751F88">
        <w:rPr>
          <w:rFonts w:asciiTheme="majorHAnsi" w:hAnsiTheme="majorHAnsi" w:cstheme="majorHAnsi"/>
          <w:color w:val="000000" w:themeColor="text1"/>
          <w:sz w:val="22"/>
          <w:szCs w:val="22"/>
        </w:rPr>
        <w:t>, 25(1):33–50.</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Lavrakas</w:t>
      </w:r>
      <w:proofErr w:type="spellEnd"/>
      <w:r w:rsidRPr="00751F88">
        <w:rPr>
          <w:rFonts w:asciiTheme="majorHAnsi" w:hAnsiTheme="majorHAnsi" w:cstheme="majorHAnsi"/>
          <w:color w:val="000000" w:themeColor="text1"/>
          <w:sz w:val="22"/>
          <w:szCs w:val="22"/>
        </w:rPr>
        <w:t xml:space="preserve">, P.J. (2008). </w:t>
      </w:r>
      <w:proofErr w:type="spellStart"/>
      <w:r w:rsidRPr="00751F88">
        <w:rPr>
          <w:rFonts w:asciiTheme="majorHAnsi" w:hAnsiTheme="majorHAnsi" w:cstheme="majorHAnsi"/>
          <w:i/>
          <w:color w:val="000000" w:themeColor="text1"/>
          <w:sz w:val="22"/>
          <w:szCs w:val="22"/>
        </w:rPr>
        <w:t>Encycopedia</w:t>
      </w:r>
      <w:proofErr w:type="spellEnd"/>
      <w:r w:rsidRPr="00751F88">
        <w:rPr>
          <w:rFonts w:asciiTheme="majorHAnsi" w:hAnsiTheme="majorHAnsi" w:cstheme="majorHAnsi"/>
          <w:i/>
          <w:color w:val="000000" w:themeColor="text1"/>
          <w:sz w:val="22"/>
          <w:szCs w:val="22"/>
        </w:rPr>
        <w:t xml:space="preserve"> of survey research methods</w:t>
      </w:r>
      <w:r w:rsidRPr="00751F88">
        <w:rPr>
          <w:rFonts w:asciiTheme="majorHAnsi" w:hAnsiTheme="majorHAnsi" w:cstheme="majorHAnsi"/>
          <w:color w:val="000000" w:themeColor="text1"/>
          <w:sz w:val="22"/>
          <w:szCs w:val="22"/>
        </w:rPr>
        <w:t xml:space="preserve">. Thousand Oaks, CA: Sage </w:t>
      </w:r>
      <w:proofErr w:type="spellStart"/>
      <w:r w:rsidRPr="00751F88">
        <w:rPr>
          <w:rFonts w:asciiTheme="majorHAnsi" w:hAnsiTheme="majorHAnsi" w:cstheme="majorHAnsi"/>
          <w:color w:val="000000" w:themeColor="text1"/>
          <w:sz w:val="22"/>
          <w:szCs w:val="22"/>
        </w:rPr>
        <w:t>Punlications</w:t>
      </w:r>
      <w:proofErr w:type="spellEnd"/>
      <w:r w:rsidRPr="00751F88">
        <w:rPr>
          <w:rFonts w:asciiTheme="majorHAnsi" w:hAnsiTheme="majorHAnsi" w:cstheme="majorHAnsi"/>
          <w:color w:val="000000" w:themeColor="text1"/>
          <w:sz w:val="22"/>
          <w:szCs w:val="22"/>
        </w:rPr>
        <w:t xml:space="preserve">, </w:t>
      </w:r>
      <w:proofErr w:type="spellStart"/>
      <w:r w:rsidRPr="00751F88">
        <w:rPr>
          <w:rFonts w:asciiTheme="majorHAnsi" w:hAnsiTheme="majorHAnsi" w:cstheme="majorHAnsi"/>
          <w:color w:val="000000" w:themeColor="text1"/>
          <w:sz w:val="22"/>
          <w:szCs w:val="22"/>
        </w:rPr>
        <w:t>Inc</w:t>
      </w:r>
      <w:proofErr w:type="spellEnd"/>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Lesser, V.M., </w:t>
      </w:r>
      <w:proofErr w:type="spellStart"/>
      <w:r w:rsidRPr="00751F88">
        <w:rPr>
          <w:rFonts w:asciiTheme="majorHAnsi" w:hAnsiTheme="majorHAnsi" w:cstheme="majorHAnsi"/>
          <w:color w:val="000000" w:themeColor="text1"/>
          <w:sz w:val="22"/>
          <w:szCs w:val="22"/>
        </w:rPr>
        <w:t>Dillman</w:t>
      </w:r>
      <w:proofErr w:type="spellEnd"/>
      <w:r w:rsidRPr="00751F88">
        <w:rPr>
          <w:rFonts w:asciiTheme="majorHAnsi" w:hAnsiTheme="majorHAnsi" w:cstheme="majorHAnsi"/>
          <w:color w:val="000000" w:themeColor="text1"/>
          <w:sz w:val="22"/>
          <w:szCs w:val="22"/>
        </w:rPr>
        <w:t xml:space="preserve">, D.A., Carlson, J., Lorenz, F., Mason, R., and Willits, F. (2001). </w:t>
      </w:r>
      <w:r w:rsidRPr="00751F88">
        <w:rPr>
          <w:rFonts w:asciiTheme="majorHAnsi" w:hAnsiTheme="majorHAnsi" w:cstheme="majorHAnsi"/>
          <w:i/>
          <w:color w:val="000000" w:themeColor="text1"/>
          <w:sz w:val="22"/>
          <w:szCs w:val="22"/>
        </w:rPr>
        <w:t xml:space="preserve">Quantifying the influence of incentives on </w:t>
      </w:r>
      <w:proofErr w:type="gramStart"/>
      <w:r w:rsidRPr="00751F88">
        <w:rPr>
          <w:rFonts w:asciiTheme="majorHAnsi" w:hAnsiTheme="majorHAnsi" w:cstheme="majorHAnsi"/>
          <w:i/>
          <w:color w:val="000000" w:themeColor="text1"/>
          <w:sz w:val="22"/>
          <w:szCs w:val="22"/>
        </w:rPr>
        <w:t>mail survey response rates</w:t>
      </w:r>
      <w:proofErr w:type="gramEnd"/>
      <w:r w:rsidRPr="00751F88">
        <w:rPr>
          <w:rFonts w:asciiTheme="majorHAnsi" w:hAnsiTheme="majorHAnsi" w:cstheme="majorHAnsi"/>
          <w:i/>
          <w:color w:val="000000" w:themeColor="text1"/>
          <w:sz w:val="22"/>
          <w:szCs w:val="22"/>
        </w:rPr>
        <w:t xml:space="preserve"> and nonresponse bias</w:t>
      </w:r>
      <w:r w:rsidRPr="00751F88">
        <w:rPr>
          <w:rFonts w:asciiTheme="majorHAnsi" w:hAnsiTheme="majorHAnsi" w:cstheme="majorHAnsi"/>
          <w:color w:val="000000" w:themeColor="text1"/>
          <w:sz w:val="22"/>
          <w:szCs w:val="22"/>
        </w:rPr>
        <w:t>. Presented at the Annual Meeting of the American Statistical Association, Atlanta, GA</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Lockwood, M., Loomis, J., and </w:t>
      </w:r>
      <w:proofErr w:type="spellStart"/>
      <w:r w:rsidRPr="00751F88">
        <w:rPr>
          <w:rFonts w:asciiTheme="majorHAnsi" w:hAnsiTheme="majorHAnsi" w:cstheme="majorHAnsi"/>
          <w:color w:val="000000" w:themeColor="text1"/>
          <w:sz w:val="22"/>
          <w:szCs w:val="22"/>
        </w:rPr>
        <w:t>DeLacy</w:t>
      </w:r>
      <w:proofErr w:type="spellEnd"/>
      <w:r w:rsidRPr="00751F88">
        <w:rPr>
          <w:rFonts w:asciiTheme="majorHAnsi" w:hAnsiTheme="majorHAnsi" w:cstheme="majorHAnsi"/>
          <w:color w:val="000000" w:themeColor="text1"/>
          <w:sz w:val="22"/>
          <w:szCs w:val="22"/>
        </w:rPr>
        <w:t xml:space="preserve">, T. (1993). A Contingent Valuation Survey and Benefit Cost Analysis of Forest Preservation in East </w:t>
      </w:r>
      <w:proofErr w:type="spellStart"/>
      <w:r w:rsidRPr="00751F88">
        <w:rPr>
          <w:rFonts w:asciiTheme="majorHAnsi" w:hAnsiTheme="majorHAnsi" w:cstheme="majorHAnsi"/>
          <w:color w:val="000000" w:themeColor="text1"/>
          <w:sz w:val="22"/>
          <w:szCs w:val="22"/>
        </w:rPr>
        <w:t>Gippsland</w:t>
      </w:r>
      <w:proofErr w:type="spellEnd"/>
      <w:r w:rsidRPr="00751F88">
        <w:rPr>
          <w:rFonts w:asciiTheme="majorHAnsi" w:hAnsiTheme="majorHAnsi" w:cstheme="majorHAnsi"/>
          <w:color w:val="000000" w:themeColor="text1"/>
          <w:sz w:val="22"/>
          <w:szCs w:val="22"/>
        </w:rPr>
        <w:t xml:space="preserve">, Australia. </w:t>
      </w:r>
      <w:r w:rsidRPr="00751F88">
        <w:rPr>
          <w:rFonts w:asciiTheme="majorHAnsi" w:hAnsiTheme="majorHAnsi" w:cstheme="majorHAnsi"/>
          <w:i/>
          <w:color w:val="000000" w:themeColor="text1"/>
          <w:sz w:val="22"/>
          <w:szCs w:val="22"/>
        </w:rPr>
        <w:t>Journal of Environmental Management</w:t>
      </w:r>
      <w:r w:rsidRPr="00751F88">
        <w:rPr>
          <w:rFonts w:asciiTheme="majorHAnsi" w:hAnsiTheme="majorHAnsi" w:cstheme="majorHAnsi"/>
          <w:color w:val="000000" w:themeColor="text1"/>
          <w:sz w:val="22"/>
          <w:szCs w:val="22"/>
        </w:rPr>
        <w:t>, 38(3): 233-243.</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Loomis, J. and </w:t>
      </w:r>
      <w:proofErr w:type="spellStart"/>
      <w:r w:rsidRPr="00751F88">
        <w:rPr>
          <w:rFonts w:asciiTheme="majorHAnsi" w:hAnsiTheme="majorHAnsi" w:cstheme="majorHAnsi"/>
          <w:color w:val="000000" w:themeColor="text1"/>
          <w:sz w:val="22"/>
          <w:szCs w:val="22"/>
        </w:rPr>
        <w:t>Ekstrand</w:t>
      </w:r>
      <w:proofErr w:type="spellEnd"/>
      <w:r w:rsidRPr="00751F88">
        <w:rPr>
          <w:rFonts w:asciiTheme="majorHAnsi" w:hAnsiTheme="majorHAnsi" w:cstheme="majorHAnsi"/>
          <w:color w:val="000000" w:themeColor="text1"/>
          <w:sz w:val="22"/>
          <w:szCs w:val="22"/>
        </w:rPr>
        <w:t xml:space="preserve">, E. (1998). Alternative approaches for incorporating respondent uncertainty when estimating willingness to pay: the case of the Mexican spotted owl. </w:t>
      </w:r>
      <w:r w:rsidRPr="00751F88">
        <w:rPr>
          <w:rFonts w:asciiTheme="majorHAnsi" w:hAnsiTheme="majorHAnsi" w:cstheme="majorHAnsi"/>
          <w:i/>
          <w:color w:val="000000" w:themeColor="text1"/>
          <w:sz w:val="22"/>
          <w:szCs w:val="22"/>
        </w:rPr>
        <w:t>Ecological Economics</w:t>
      </w:r>
      <w:r w:rsidRPr="00751F88">
        <w:rPr>
          <w:rFonts w:asciiTheme="majorHAnsi" w:hAnsiTheme="majorHAnsi" w:cstheme="majorHAnsi"/>
          <w:color w:val="000000" w:themeColor="text1"/>
          <w:sz w:val="22"/>
          <w:szCs w:val="22"/>
        </w:rPr>
        <w:t>, 27(1): 29-41.</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Lundhede</w:t>
      </w:r>
      <w:proofErr w:type="spellEnd"/>
      <w:r w:rsidRPr="00751F88">
        <w:rPr>
          <w:rFonts w:asciiTheme="majorHAnsi" w:hAnsiTheme="majorHAnsi" w:cstheme="majorHAnsi"/>
          <w:color w:val="000000" w:themeColor="text1"/>
          <w:sz w:val="22"/>
          <w:szCs w:val="22"/>
        </w:rPr>
        <w:t xml:space="preserve"> T., Olsen, S., Jacobsen, J., and </w:t>
      </w:r>
      <w:proofErr w:type="spellStart"/>
      <w:r w:rsidRPr="00751F88">
        <w:rPr>
          <w:rFonts w:asciiTheme="majorHAnsi" w:hAnsiTheme="majorHAnsi" w:cstheme="majorHAnsi"/>
          <w:color w:val="000000" w:themeColor="text1"/>
          <w:sz w:val="22"/>
          <w:szCs w:val="22"/>
        </w:rPr>
        <w:t>Thorsen</w:t>
      </w:r>
      <w:proofErr w:type="spellEnd"/>
      <w:r w:rsidRPr="00751F88">
        <w:rPr>
          <w:rFonts w:asciiTheme="majorHAnsi" w:hAnsiTheme="majorHAnsi" w:cstheme="majorHAnsi"/>
          <w:color w:val="000000" w:themeColor="text1"/>
          <w:sz w:val="22"/>
          <w:szCs w:val="22"/>
        </w:rPr>
        <w:t xml:space="preserve">, B. (2009). Handling respondent uncertainty in Choice Experiments: Evaluating recoding approaches against explicit modelling of uncertainty. </w:t>
      </w:r>
      <w:r w:rsidRPr="00751F88">
        <w:rPr>
          <w:rFonts w:asciiTheme="majorHAnsi" w:hAnsiTheme="majorHAnsi" w:cstheme="majorHAnsi"/>
          <w:i/>
          <w:color w:val="000000" w:themeColor="text1"/>
          <w:sz w:val="22"/>
          <w:szCs w:val="22"/>
        </w:rPr>
        <w:t>Journal of Choice Modelling</w:t>
      </w:r>
      <w:r w:rsidRPr="00751F88">
        <w:rPr>
          <w:rFonts w:asciiTheme="majorHAnsi" w:hAnsiTheme="majorHAnsi" w:cstheme="majorHAnsi"/>
          <w:color w:val="000000" w:themeColor="text1"/>
          <w:sz w:val="22"/>
          <w:szCs w:val="22"/>
        </w:rPr>
        <w:t>, 2(2): 118-147.</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Mason, S., Olander, L., and </w:t>
      </w:r>
      <w:proofErr w:type="spellStart"/>
      <w:r w:rsidRPr="00751F88">
        <w:rPr>
          <w:rFonts w:asciiTheme="majorHAnsi" w:hAnsiTheme="majorHAnsi" w:cstheme="majorHAnsi"/>
          <w:color w:val="000000" w:themeColor="text1"/>
          <w:sz w:val="22"/>
          <w:szCs w:val="22"/>
        </w:rPr>
        <w:t>Warnell</w:t>
      </w:r>
      <w:proofErr w:type="spellEnd"/>
      <w:r w:rsidRPr="00751F88">
        <w:rPr>
          <w:rFonts w:asciiTheme="majorHAnsi" w:hAnsiTheme="majorHAnsi" w:cstheme="majorHAnsi"/>
          <w:color w:val="000000" w:themeColor="text1"/>
          <w:sz w:val="22"/>
          <w:szCs w:val="22"/>
        </w:rPr>
        <w:t xml:space="preserve">, K. (2018). </w:t>
      </w:r>
      <w:r w:rsidRPr="00751F88">
        <w:rPr>
          <w:rFonts w:asciiTheme="majorHAnsi" w:hAnsiTheme="majorHAnsi" w:cstheme="majorHAnsi"/>
          <w:i/>
          <w:color w:val="000000" w:themeColor="text1"/>
          <w:sz w:val="22"/>
          <w:szCs w:val="22"/>
        </w:rPr>
        <w:t>Ecosystem Services Conceptual Model Application: NOAA and NERRS Salt Marsh Habitat Restoration</w:t>
      </w:r>
      <w:r w:rsidRPr="00751F88">
        <w:rPr>
          <w:rFonts w:asciiTheme="majorHAnsi" w:hAnsiTheme="majorHAnsi" w:cstheme="majorHAnsi"/>
          <w:color w:val="000000" w:themeColor="text1"/>
          <w:sz w:val="22"/>
          <w:szCs w:val="22"/>
        </w:rPr>
        <w:t>. Conceptual Model Series, Working paper.</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Mitchell, R.C., and Carson, R.T. (1989). </w:t>
      </w:r>
      <w:r w:rsidRPr="00751F88">
        <w:rPr>
          <w:rFonts w:asciiTheme="majorHAnsi" w:hAnsiTheme="majorHAnsi" w:cstheme="majorHAnsi"/>
          <w:i/>
          <w:color w:val="000000" w:themeColor="text1"/>
          <w:sz w:val="22"/>
          <w:szCs w:val="22"/>
        </w:rPr>
        <w:t>Using surveys to value public goods: The contingent valuation method</w:t>
      </w:r>
      <w:r w:rsidRPr="00751F88">
        <w:rPr>
          <w:rFonts w:asciiTheme="majorHAnsi" w:hAnsiTheme="majorHAnsi" w:cstheme="majorHAnsi"/>
          <w:color w:val="000000" w:themeColor="text1"/>
          <w:sz w:val="22"/>
          <w:szCs w:val="22"/>
        </w:rPr>
        <w:t>. Washington, D.C.: Resources for the Future.</w:t>
      </w:r>
    </w:p>
    <w:p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Moore, R. and </w:t>
      </w:r>
      <w:proofErr w:type="spellStart"/>
      <w:r w:rsidRPr="00751F88">
        <w:rPr>
          <w:rFonts w:asciiTheme="majorHAnsi" w:hAnsiTheme="majorHAnsi" w:cstheme="majorHAnsi"/>
          <w:color w:val="000000" w:themeColor="text1"/>
          <w:sz w:val="22"/>
          <w:szCs w:val="22"/>
        </w:rPr>
        <w:t>Graefe</w:t>
      </w:r>
      <w:proofErr w:type="spellEnd"/>
      <w:r w:rsidRPr="00751F88">
        <w:rPr>
          <w:rFonts w:asciiTheme="majorHAnsi" w:hAnsiTheme="majorHAnsi" w:cstheme="majorHAnsi"/>
          <w:color w:val="000000" w:themeColor="text1"/>
          <w:sz w:val="22"/>
          <w:szCs w:val="22"/>
        </w:rPr>
        <w:t xml:space="preserve">, A. (1994). Attachment to recreation settings: The case of rail-trail users. </w:t>
      </w:r>
      <w:r w:rsidRPr="00751F88">
        <w:rPr>
          <w:rFonts w:asciiTheme="majorHAnsi" w:hAnsiTheme="majorHAnsi" w:cstheme="majorHAnsi"/>
          <w:i/>
          <w:color w:val="000000" w:themeColor="text1"/>
          <w:sz w:val="22"/>
          <w:szCs w:val="22"/>
        </w:rPr>
        <w:t>Leisure Sciences</w:t>
      </w:r>
      <w:r w:rsidRPr="00751F88">
        <w:rPr>
          <w:rFonts w:asciiTheme="majorHAnsi" w:hAnsiTheme="majorHAnsi" w:cstheme="majorHAnsi"/>
          <w:color w:val="000000" w:themeColor="text1"/>
          <w:sz w:val="22"/>
          <w:szCs w:val="22"/>
        </w:rPr>
        <w:t>, 16(1):17-31.</w:t>
      </w:r>
    </w:p>
    <w:p w:rsidRPr="00943401"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943401">
        <w:rPr>
          <w:rFonts w:asciiTheme="majorHAnsi" w:hAnsiTheme="majorHAnsi" w:cstheme="majorHAnsi"/>
          <w:color w:val="000000" w:themeColor="text1"/>
          <w:sz w:val="22"/>
          <w:szCs w:val="22"/>
        </w:rPr>
        <w:t xml:space="preserve">Moore, C., </w:t>
      </w:r>
      <w:proofErr w:type="spellStart"/>
      <w:r w:rsidRPr="00943401">
        <w:rPr>
          <w:rFonts w:asciiTheme="majorHAnsi" w:hAnsiTheme="majorHAnsi" w:cstheme="majorHAnsi"/>
          <w:color w:val="000000" w:themeColor="text1"/>
          <w:sz w:val="22"/>
          <w:szCs w:val="22"/>
        </w:rPr>
        <w:t>Guignet</w:t>
      </w:r>
      <w:proofErr w:type="spellEnd"/>
      <w:r w:rsidRPr="00943401">
        <w:rPr>
          <w:rFonts w:asciiTheme="majorHAnsi" w:hAnsiTheme="majorHAnsi" w:cstheme="majorHAnsi"/>
          <w:color w:val="000000" w:themeColor="text1"/>
          <w:sz w:val="22"/>
          <w:szCs w:val="22"/>
        </w:rPr>
        <w:t xml:space="preserve">, D., Maguire, K., </w:t>
      </w:r>
      <w:proofErr w:type="spellStart"/>
      <w:r w:rsidRPr="00943401">
        <w:rPr>
          <w:rFonts w:asciiTheme="majorHAnsi" w:hAnsiTheme="majorHAnsi" w:cstheme="majorHAnsi"/>
          <w:color w:val="000000" w:themeColor="text1"/>
          <w:sz w:val="22"/>
          <w:szCs w:val="22"/>
        </w:rPr>
        <w:t>Dockins</w:t>
      </w:r>
      <w:proofErr w:type="spellEnd"/>
      <w:r w:rsidRPr="00943401">
        <w:rPr>
          <w:rFonts w:asciiTheme="majorHAnsi" w:hAnsiTheme="majorHAnsi" w:cstheme="majorHAnsi"/>
          <w:color w:val="000000" w:themeColor="text1"/>
          <w:sz w:val="22"/>
          <w:szCs w:val="22"/>
        </w:rPr>
        <w:t xml:space="preserve">, C., and Simon, N. (2015). </w:t>
      </w:r>
      <w:r w:rsidRPr="00943401">
        <w:rPr>
          <w:rFonts w:asciiTheme="majorHAnsi" w:hAnsiTheme="majorHAnsi" w:cstheme="majorHAnsi"/>
          <w:i/>
          <w:color w:val="000000" w:themeColor="text1"/>
          <w:sz w:val="22"/>
          <w:szCs w:val="22"/>
        </w:rPr>
        <w:t>A stated preference study of the Chesapeake Bay and watershed lakes</w:t>
      </w:r>
      <w:r w:rsidRPr="00943401">
        <w:rPr>
          <w:rFonts w:asciiTheme="majorHAnsi" w:hAnsiTheme="majorHAnsi" w:cstheme="majorHAnsi"/>
          <w:color w:val="000000" w:themeColor="text1"/>
          <w:sz w:val="22"/>
          <w:szCs w:val="22"/>
        </w:rPr>
        <w:t>. NCEE Working Paper Series. Working Paper #15-06.</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Myers, K.H., Parsons, G.R., and Edwards, P.E.T. (2010). Measuring the recreational use value of migratory shorebirds on the Delaware Bay. </w:t>
      </w:r>
      <w:r w:rsidRPr="00751F88">
        <w:rPr>
          <w:rFonts w:asciiTheme="majorHAnsi" w:hAnsiTheme="majorHAnsi" w:cstheme="majorHAnsi"/>
          <w:i/>
          <w:color w:val="000000" w:themeColor="text1"/>
          <w:sz w:val="22"/>
          <w:szCs w:val="22"/>
        </w:rPr>
        <w:t>Marine Resource Economics</w:t>
      </w:r>
      <w:r w:rsidRPr="00751F88">
        <w:rPr>
          <w:rFonts w:asciiTheme="majorHAnsi" w:hAnsiTheme="majorHAnsi" w:cstheme="majorHAnsi"/>
          <w:color w:val="000000" w:themeColor="text1"/>
          <w:sz w:val="22"/>
          <w:szCs w:val="22"/>
        </w:rPr>
        <w:t xml:space="preserve">, 25(3):247-264. </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National Science Foundation. (2012). Chapter 7. Science and Technology: Public Attitudes and Understanding. In Science and Engineering Indicators 2012.</w:t>
      </w:r>
    </w:p>
    <w:p w:rsidRPr="00981CF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981CF8">
        <w:rPr>
          <w:rFonts w:asciiTheme="majorHAnsi" w:hAnsiTheme="majorHAnsi" w:cstheme="majorHAnsi"/>
          <w:color w:val="000000" w:themeColor="text1"/>
          <w:sz w:val="22"/>
          <w:szCs w:val="22"/>
        </w:rPr>
        <w:t xml:space="preserve">Nelson, P. </w:t>
      </w:r>
      <w:r>
        <w:rPr>
          <w:rFonts w:asciiTheme="majorHAnsi" w:hAnsiTheme="majorHAnsi" w:cstheme="majorHAnsi"/>
          <w:color w:val="000000" w:themeColor="text1"/>
          <w:sz w:val="22"/>
          <w:szCs w:val="22"/>
        </w:rPr>
        <w:t>(</w:t>
      </w:r>
      <w:r w:rsidRPr="00981CF8">
        <w:rPr>
          <w:rFonts w:asciiTheme="majorHAnsi" w:hAnsiTheme="majorHAnsi" w:cstheme="majorHAnsi"/>
          <w:color w:val="000000" w:themeColor="text1"/>
          <w:sz w:val="22"/>
          <w:szCs w:val="22"/>
        </w:rPr>
        <w:t>1970</w:t>
      </w:r>
      <w:r>
        <w:rPr>
          <w:rFonts w:asciiTheme="majorHAnsi" w:hAnsiTheme="majorHAnsi" w:cstheme="majorHAnsi"/>
          <w:color w:val="000000" w:themeColor="text1"/>
          <w:sz w:val="22"/>
          <w:szCs w:val="22"/>
        </w:rPr>
        <w:t>)</w:t>
      </w:r>
      <w:r w:rsidRPr="00981CF8">
        <w:rPr>
          <w:rFonts w:asciiTheme="majorHAnsi" w:hAnsiTheme="majorHAnsi" w:cstheme="majorHAnsi"/>
          <w:color w:val="000000" w:themeColor="text1"/>
          <w:sz w:val="22"/>
          <w:szCs w:val="22"/>
        </w:rPr>
        <w:t>. Information and Consumer</w:t>
      </w:r>
      <w:r>
        <w:rPr>
          <w:rFonts w:asciiTheme="majorHAnsi" w:hAnsiTheme="majorHAnsi" w:cstheme="majorHAnsi"/>
          <w:color w:val="000000" w:themeColor="text1"/>
          <w:sz w:val="22"/>
          <w:szCs w:val="22"/>
        </w:rPr>
        <w:t xml:space="preserve"> </w:t>
      </w:r>
      <w:r w:rsidRPr="00981CF8">
        <w:rPr>
          <w:rFonts w:asciiTheme="majorHAnsi" w:hAnsiTheme="majorHAnsi" w:cstheme="majorHAnsi"/>
          <w:color w:val="000000" w:themeColor="text1"/>
          <w:sz w:val="22"/>
          <w:szCs w:val="22"/>
        </w:rPr>
        <w:t xml:space="preserve">Behavior. </w:t>
      </w:r>
      <w:r w:rsidRPr="00981CF8">
        <w:rPr>
          <w:rFonts w:asciiTheme="majorHAnsi" w:hAnsiTheme="majorHAnsi" w:cstheme="majorHAnsi"/>
          <w:i/>
          <w:color w:val="000000" w:themeColor="text1"/>
          <w:sz w:val="22"/>
          <w:szCs w:val="22"/>
        </w:rPr>
        <w:t>Journal of Political Economy</w:t>
      </w:r>
      <w:r w:rsidRPr="00981CF8">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 </w:t>
      </w:r>
      <w:r w:rsidRPr="00981CF8">
        <w:rPr>
          <w:rFonts w:asciiTheme="majorHAnsi" w:hAnsiTheme="majorHAnsi" w:cstheme="majorHAnsi"/>
          <w:color w:val="000000" w:themeColor="text1"/>
          <w:sz w:val="22"/>
          <w:szCs w:val="22"/>
        </w:rPr>
        <w:t>78 (2): 311–29.</w:t>
      </w:r>
    </w:p>
    <w:p w:rsidRPr="00981CF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981CF8">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w:t>
      </w:r>
      <w:r w:rsidRPr="00981CF8">
        <w:rPr>
          <w:rFonts w:asciiTheme="majorHAnsi" w:hAnsiTheme="majorHAnsi" w:cstheme="majorHAnsi"/>
          <w:color w:val="000000" w:themeColor="text1"/>
          <w:sz w:val="22"/>
          <w:szCs w:val="22"/>
        </w:rPr>
        <w:t>1974</w:t>
      </w:r>
      <w:r>
        <w:rPr>
          <w:rFonts w:asciiTheme="majorHAnsi" w:hAnsiTheme="majorHAnsi" w:cstheme="majorHAnsi"/>
          <w:color w:val="000000" w:themeColor="text1"/>
          <w:sz w:val="22"/>
          <w:szCs w:val="22"/>
        </w:rPr>
        <w:t>)</w:t>
      </w:r>
      <w:r w:rsidRPr="00981CF8">
        <w:rPr>
          <w:rFonts w:asciiTheme="majorHAnsi" w:hAnsiTheme="majorHAnsi" w:cstheme="majorHAnsi"/>
          <w:color w:val="000000" w:themeColor="text1"/>
          <w:sz w:val="22"/>
          <w:szCs w:val="22"/>
        </w:rPr>
        <w:t>. Advertising as Information.</w:t>
      </w:r>
      <w:r>
        <w:rPr>
          <w:rFonts w:asciiTheme="majorHAnsi" w:hAnsiTheme="majorHAnsi" w:cstheme="majorHAnsi"/>
          <w:color w:val="000000" w:themeColor="text1"/>
          <w:sz w:val="22"/>
          <w:szCs w:val="22"/>
        </w:rPr>
        <w:t xml:space="preserve"> </w:t>
      </w:r>
      <w:r w:rsidRPr="00981CF8">
        <w:rPr>
          <w:rFonts w:asciiTheme="majorHAnsi" w:hAnsiTheme="majorHAnsi" w:cstheme="majorHAnsi"/>
          <w:i/>
          <w:color w:val="000000" w:themeColor="text1"/>
          <w:sz w:val="22"/>
          <w:szCs w:val="22"/>
        </w:rPr>
        <w:t>Journal of Political Economy</w:t>
      </w:r>
      <w:r>
        <w:rPr>
          <w:rFonts w:asciiTheme="majorHAnsi" w:hAnsiTheme="majorHAnsi" w:cstheme="majorHAnsi"/>
          <w:color w:val="000000" w:themeColor="text1"/>
          <w:sz w:val="22"/>
          <w:szCs w:val="22"/>
        </w:rPr>
        <w:t>, 82(</w:t>
      </w:r>
      <w:r w:rsidRPr="00981CF8">
        <w:rPr>
          <w:rFonts w:asciiTheme="majorHAnsi" w:hAnsiTheme="majorHAnsi" w:cstheme="majorHAnsi"/>
          <w:color w:val="000000" w:themeColor="text1"/>
          <w:sz w:val="22"/>
          <w:szCs w:val="22"/>
        </w:rPr>
        <w:t>4):</w:t>
      </w:r>
      <w:r>
        <w:rPr>
          <w:rFonts w:asciiTheme="majorHAnsi" w:hAnsiTheme="majorHAnsi" w:cstheme="majorHAnsi"/>
          <w:color w:val="000000" w:themeColor="text1"/>
          <w:sz w:val="22"/>
          <w:szCs w:val="22"/>
        </w:rPr>
        <w:t xml:space="preserve"> </w:t>
      </w:r>
      <w:r w:rsidRPr="00981CF8">
        <w:rPr>
          <w:rFonts w:asciiTheme="majorHAnsi" w:hAnsiTheme="majorHAnsi" w:cstheme="majorHAnsi"/>
          <w:color w:val="000000" w:themeColor="text1"/>
          <w:sz w:val="22"/>
          <w:szCs w:val="22"/>
        </w:rPr>
        <w:t>729–54.</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Nguyen, T.C. and Robinson, J. (2015). </w:t>
      </w:r>
      <w:proofErr w:type="spellStart"/>
      <w:r w:rsidRPr="00751F88">
        <w:rPr>
          <w:rFonts w:asciiTheme="majorHAnsi" w:hAnsiTheme="majorHAnsi" w:cstheme="majorHAnsi"/>
          <w:color w:val="000000" w:themeColor="text1"/>
          <w:sz w:val="22"/>
          <w:szCs w:val="22"/>
        </w:rPr>
        <w:t>Analysing</w:t>
      </w:r>
      <w:proofErr w:type="spellEnd"/>
      <w:r w:rsidRPr="00751F88">
        <w:rPr>
          <w:rFonts w:asciiTheme="majorHAnsi" w:hAnsiTheme="majorHAnsi" w:cstheme="majorHAnsi"/>
          <w:color w:val="000000" w:themeColor="text1"/>
          <w:sz w:val="22"/>
          <w:szCs w:val="22"/>
        </w:rPr>
        <w:t xml:space="preserve"> motives behind willingness to pay for improving early warning services for tropical cyclones in Vietnam. </w:t>
      </w:r>
      <w:r w:rsidRPr="00751F88">
        <w:rPr>
          <w:rFonts w:asciiTheme="majorHAnsi" w:hAnsiTheme="majorHAnsi" w:cstheme="majorHAnsi"/>
          <w:i/>
          <w:color w:val="000000" w:themeColor="text1"/>
          <w:sz w:val="22"/>
          <w:szCs w:val="22"/>
        </w:rPr>
        <w:t>Meteorological Applications</w:t>
      </w:r>
      <w:r w:rsidRPr="00751F88">
        <w:rPr>
          <w:rFonts w:asciiTheme="majorHAnsi" w:hAnsiTheme="majorHAnsi" w:cstheme="majorHAnsi"/>
          <w:color w:val="000000" w:themeColor="text1"/>
          <w:sz w:val="22"/>
          <w:szCs w:val="22"/>
        </w:rPr>
        <w:t>, 22: 187-197.</w:t>
      </w:r>
    </w:p>
    <w:p w:rsidRPr="000717DE" w:rsidR="00E6388A" w:rsidP="00E6388A" w:rsidRDefault="00E6388A">
      <w:pPr>
        <w:pStyle w:val="ListParagraph"/>
        <w:numPr>
          <w:ilvl w:val="0"/>
          <w:numId w:val="8"/>
        </w:numPr>
        <w:ind w:left="360"/>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NHCRHC STAP (2014).</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84789">
        <w:rPr>
          <w:rFonts w:asciiTheme="majorHAnsi" w:hAnsiTheme="majorHAnsi" w:cstheme="majorHAnsi"/>
          <w:color w:val="000000" w:themeColor="text1"/>
          <w:sz w:val="22"/>
          <w:szCs w:val="22"/>
        </w:rPr>
        <w:t xml:space="preserve">Nock, S. L., &amp; Peter H. R. (1978). Ascription versus achievement in the attribution of family social status. </w:t>
      </w:r>
      <w:r w:rsidRPr="00784789">
        <w:rPr>
          <w:rFonts w:asciiTheme="majorHAnsi" w:hAnsiTheme="majorHAnsi" w:cstheme="majorHAnsi"/>
          <w:i/>
          <w:color w:val="000000" w:themeColor="text1"/>
          <w:sz w:val="22"/>
          <w:szCs w:val="22"/>
        </w:rPr>
        <w:t>American Journal of Sociology</w:t>
      </w:r>
      <w:r w:rsidRPr="00784789">
        <w:rPr>
          <w:rFonts w:asciiTheme="majorHAnsi" w:hAnsiTheme="majorHAnsi" w:cstheme="majorHAnsi"/>
          <w:color w:val="000000" w:themeColor="text1"/>
          <w:sz w:val="22"/>
          <w:szCs w:val="22"/>
        </w:rPr>
        <w:t>, 84(3): 565- 590.</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OCM, NHCP, and ERF. (2016). How people benefit from New Hampshire’s Great Bay Estuary.</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Olsen, S., </w:t>
      </w:r>
      <w:proofErr w:type="spellStart"/>
      <w:r w:rsidRPr="00751F88">
        <w:rPr>
          <w:rFonts w:asciiTheme="majorHAnsi" w:hAnsiTheme="majorHAnsi" w:cstheme="majorHAnsi"/>
          <w:color w:val="000000" w:themeColor="text1"/>
          <w:sz w:val="22"/>
          <w:szCs w:val="22"/>
        </w:rPr>
        <w:t>Lundhede</w:t>
      </w:r>
      <w:proofErr w:type="spellEnd"/>
      <w:r w:rsidRPr="00751F88">
        <w:rPr>
          <w:rFonts w:asciiTheme="majorHAnsi" w:hAnsiTheme="majorHAnsi" w:cstheme="majorHAnsi"/>
          <w:color w:val="000000" w:themeColor="text1"/>
          <w:sz w:val="22"/>
          <w:szCs w:val="22"/>
        </w:rPr>
        <w:t xml:space="preserve">, T. H., Jacobsen, J. B., and </w:t>
      </w:r>
      <w:proofErr w:type="spellStart"/>
      <w:r w:rsidRPr="00751F88">
        <w:rPr>
          <w:rFonts w:asciiTheme="majorHAnsi" w:hAnsiTheme="majorHAnsi" w:cstheme="majorHAnsi"/>
          <w:color w:val="000000" w:themeColor="text1"/>
          <w:sz w:val="22"/>
          <w:szCs w:val="22"/>
        </w:rPr>
        <w:t>Thorsen</w:t>
      </w:r>
      <w:proofErr w:type="spellEnd"/>
      <w:r w:rsidRPr="00751F88">
        <w:rPr>
          <w:rFonts w:asciiTheme="majorHAnsi" w:hAnsiTheme="majorHAnsi" w:cstheme="majorHAnsi"/>
          <w:color w:val="000000" w:themeColor="text1"/>
          <w:sz w:val="22"/>
          <w:szCs w:val="22"/>
        </w:rPr>
        <w:t xml:space="preserve">, B. (2011). Tough and Easy Choices: Testing the Influence of Utility Difference on Stated Certainty-in-Choice in Choice Experiments. </w:t>
      </w:r>
      <w:r w:rsidRPr="00751F88">
        <w:rPr>
          <w:rFonts w:asciiTheme="majorHAnsi" w:hAnsiTheme="majorHAnsi" w:cstheme="majorHAnsi"/>
          <w:i/>
          <w:color w:val="000000" w:themeColor="text1"/>
          <w:sz w:val="22"/>
          <w:szCs w:val="22"/>
        </w:rPr>
        <w:t>Environmental and Resource Economics</w:t>
      </w:r>
      <w:r w:rsidRPr="00751F88">
        <w:rPr>
          <w:rFonts w:asciiTheme="majorHAnsi" w:hAnsiTheme="majorHAnsi" w:cstheme="majorHAnsi"/>
          <w:color w:val="000000" w:themeColor="text1"/>
          <w:sz w:val="22"/>
          <w:szCs w:val="22"/>
        </w:rPr>
        <w:t>, 49(4):491–510.</w:t>
      </w:r>
    </w:p>
    <w:p w:rsidRPr="00751F88" w:rsidR="00E6388A" w:rsidP="00E6388A" w:rsidRDefault="00E6388A">
      <w:pPr>
        <w:pStyle w:val="NoSpacing"/>
        <w:tabs>
          <w:tab w:val="left" w:pos="9360"/>
        </w:tabs>
        <w:spacing w:after="120"/>
        <w:ind w:left="360"/>
        <w:jc w:val="both"/>
        <w:rPr>
          <w:rFonts w:asciiTheme="majorHAnsi" w:hAnsiTheme="majorHAnsi" w:cstheme="majorHAnsi"/>
          <w:color w:val="000000" w:themeColor="text1"/>
          <w:sz w:val="22"/>
          <w:szCs w:val="22"/>
          <w:u w:val="single"/>
        </w:rPr>
        <w:sectPr w:rsidRPr="00751F88" w:rsidR="00E6388A" w:rsidSect="00C050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sectPr>
      </w:pPr>
    </w:p>
    <w:p w:rsidRPr="00784789"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Raymond, C.M., Brown, G., and Weber, D. (2010). The Measurement of Place Attachment: Personal, Community, and Environmental Connections. </w:t>
      </w:r>
      <w:r w:rsidRPr="00751F88">
        <w:rPr>
          <w:rFonts w:asciiTheme="majorHAnsi" w:hAnsiTheme="majorHAnsi" w:cstheme="majorHAnsi"/>
          <w:i/>
          <w:color w:val="000000" w:themeColor="text1"/>
          <w:sz w:val="22"/>
          <w:szCs w:val="22"/>
        </w:rPr>
        <w:t>Journal of Environmental Psychology</w:t>
      </w:r>
      <w:r w:rsidRPr="00751F88">
        <w:rPr>
          <w:rFonts w:asciiTheme="majorHAnsi" w:hAnsiTheme="majorHAnsi" w:cstheme="majorHAnsi"/>
          <w:color w:val="000000" w:themeColor="text1"/>
          <w:sz w:val="22"/>
          <w:szCs w:val="22"/>
        </w:rPr>
        <w:t>, 30(4): 422-434.</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84789">
        <w:rPr>
          <w:rFonts w:asciiTheme="majorHAnsi" w:hAnsiTheme="majorHAnsi" w:cstheme="majorHAnsi"/>
          <w:color w:val="000000" w:themeColor="text1"/>
          <w:sz w:val="22"/>
          <w:szCs w:val="22"/>
        </w:rPr>
        <w:t xml:space="preserve">Rossi, P. H. (1979). </w:t>
      </w:r>
      <w:r w:rsidRPr="00784789">
        <w:rPr>
          <w:rFonts w:asciiTheme="majorHAnsi" w:hAnsiTheme="majorHAnsi" w:cstheme="majorHAnsi"/>
          <w:i/>
          <w:color w:val="000000" w:themeColor="text1"/>
          <w:sz w:val="22"/>
          <w:szCs w:val="22"/>
        </w:rPr>
        <w:t>Vignette analysis: Uncovering the normative structure of complex judgments</w:t>
      </w:r>
      <w:r w:rsidRPr="00784789">
        <w:rPr>
          <w:rFonts w:asciiTheme="majorHAnsi" w:hAnsiTheme="majorHAnsi" w:cstheme="majorHAnsi"/>
          <w:color w:val="000000" w:themeColor="text1"/>
          <w:sz w:val="22"/>
          <w:szCs w:val="22"/>
        </w:rPr>
        <w:t xml:space="preserve">. In R. K. Merton, J. S. Coleman &amp; P. H. Rossi (Eds.), Qualitative and quantitative social research. Papers in honor of Paul F. </w:t>
      </w:r>
      <w:proofErr w:type="spellStart"/>
      <w:r w:rsidRPr="00784789">
        <w:rPr>
          <w:rFonts w:asciiTheme="majorHAnsi" w:hAnsiTheme="majorHAnsi" w:cstheme="majorHAnsi"/>
          <w:color w:val="000000" w:themeColor="text1"/>
          <w:sz w:val="22"/>
          <w:szCs w:val="22"/>
        </w:rPr>
        <w:t>Larzarsfeld</w:t>
      </w:r>
      <w:proofErr w:type="spellEnd"/>
      <w:r w:rsidRPr="00784789">
        <w:rPr>
          <w:rFonts w:asciiTheme="majorHAnsi" w:hAnsiTheme="majorHAnsi" w:cstheme="majorHAnsi"/>
          <w:color w:val="000000" w:themeColor="text1"/>
          <w:sz w:val="22"/>
          <w:szCs w:val="22"/>
        </w:rPr>
        <w:t xml:space="preserve"> (pp. 176-186). New York: Free Press.</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84789">
        <w:rPr>
          <w:rFonts w:asciiTheme="majorHAnsi" w:hAnsiTheme="majorHAnsi" w:cstheme="majorHAnsi"/>
          <w:color w:val="000000" w:themeColor="text1"/>
          <w:sz w:val="22"/>
          <w:szCs w:val="22"/>
        </w:rPr>
        <w:t xml:space="preserve">Rossi, P. H., &amp; Anderson, A. B. (1982). </w:t>
      </w:r>
      <w:r w:rsidRPr="00784789">
        <w:rPr>
          <w:rFonts w:asciiTheme="majorHAnsi" w:hAnsiTheme="majorHAnsi" w:cstheme="majorHAnsi"/>
          <w:i/>
          <w:color w:val="000000" w:themeColor="text1"/>
          <w:sz w:val="22"/>
          <w:szCs w:val="22"/>
        </w:rPr>
        <w:t>The factorial survey approach: An introduction</w:t>
      </w:r>
      <w:r w:rsidRPr="00784789">
        <w:rPr>
          <w:rFonts w:asciiTheme="majorHAnsi" w:hAnsiTheme="majorHAnsi" w:cstheme="majorHAnsi"/>
          <w:color w:val="000000" w:themeColor="text1"/>
          <w:sz w:val="22"/>
          <w:szCs w:val="22"/>
        </w:rPr>
        <w:t>. In P. H. Rossi &amp; S. L. Nock (Eds.), Measuring social judgments: The factorial survey approach. Beverly Hills: Sage Publications.</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84789">
        <w:rPr>
          <w:rFonts w:asciiTheme="majorHAnsi" w:hAnsiTheme="majorHAnsi" w:cstheme="majorHAnsi"/>
          <w:color w:val="000000" w:themeColor="text1"/>
          <w:sz w:val="22"/>
          <w:szCs w:val="22"/>
        </w:rPr>
        <w:t xml:space="preserve">Rossi, P. H., Sampson, W. A., Bose, C. E., Jasso, G., &amp; Passel, J. (1974). Measuring household social standing. </w:t>
      </w:r>
      <w:r w:rsidRPr="00784789">
        <w:rPr>
          <w:rFonts w:asciiTheme="majorHAnsi" w:hAnsiTheme="majorHAnsi" w:cstheme="majorHAnsi"/>
          <w:i/>
          <w:color w:val="000000" w:themeColor="text1"/>
          <w:sz w:val="22"/>
          <w:szCs w:val="22"/>
        </w:rPr>
        <w:t>Social Science Research</w:t>
      </w:r>
      <w:r w:rsidRPr="00784789">
        <w:rPr>
          <w:rFonts w:asciiTheme="majorHAnsi" w:hAnsiTheme="majorHAnsi" w:cstheme="majorHAnsi"/>
          <w:color w:val="000000" w:themeColor="text1"/>
          <w:sz w:val="22"/>
          <w:szCs w:val="22"/>
        </w:rPr>
        <w:t>, 3(3): 169-190.</w:t>
      </w:r>
    </w:p>
    <w:p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proofErr w:type="spellStart"/>
      <w:r w:rsidRPr="00751F88">
        <w:rPr>
          <w:rFonts w:asciiTheme="majorHAnsi" w:hAnsiTheme="majorHAnsi" w:cstheme="majorHAnsi"/>
          <w:color w:val="000000" w:themeColor="text1"/>
          <w:sz w:val="22"/>
          <w:szCs w:val="22"/>
        </w:rPr>
        <w:t>Samnaliev</w:t>
      </w:r>
      <w:proofErr w:type="spellEnd"/>
      <w:r w:rsidRPr="00751F88">
        <w:rPr>
          <w:rFonts w:asciiTheme="majorHAnsi" w:hAnsiTheme="majorHAnsi" w:cstheme="majorHAnsi"/>
          <w:color w:val="000000" w:themeColor="text1"/>
          <w:sz w:val="22"/>
          <w:szCs w:val="22"/>
        </w:rPr>
        <w:t xml:space="preserve">, M., Stevens, T. H., and More, T. (2006). A comparison of alternative certainty calibration techniques in contingent valuation. </w:t>
      </w:r>
      <w:r w:rsidRPr="00751F88">
        <w:rPr>
          <w:rFonts w:asciiTheme="majorHAnsi" w:hAnsiTheme="majorHAnsi" w:cstheme="majorHAnsi"/>
          <w:i/>
          <w:color w:val="000000" w:themeColor="text1"/>
          <w:sz w:val="22"/>
          <w:szCs w:val="22"/>
        </w:rPr>
        <w:t>Ecological Economics</w:t>
      </w:r>
      <w:r w:rsidRPr="00751F88">
        <w:rPr>
          <w:rFonts w:asciiTheme="majorHAnsi" w:hAnsiTheme="majorHAnsi" w:cstheme="majorHAnsi"/>
          <w:color w:val="000000" w:themeColor="text1"/>
          <w:sz w:val="22"/>
          <w:szCs w:val="22"/>
        </w:rPr>
        <w:t>, 57(3): 507-519.</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84789">
        <w:rPr>
          <w:rFonts w:asciiTheme="majorHAnsi" w:hAnsiTheme="majorHAnsi" w:cstheme="majorHAnsi"/>
          <w:color w:val="000000" w:themeColor="text1"/>
          <w:sz w:val="22"/>
          <w:szCs w:val="22"/>
        </w:rPr>
        <w:t xml:space="preserve">Sauer, C., </w:t>
      </w:r>
      <w:proofErr w:type="spellStart"/>
      <w:r w:rsidRPr="00784789">
        <w:rPr>
          <w:rFonts w:asciiTheme="majorHAnsi" w:hAnsiTheme="majorHAnsi" w:cstheme="majorHAnsi"/>
          <w:color w:val="000000" w:themeColor="text1"/>
          <w:sz w:val="22"/>
          <w:szCs w:val="22"/>
        </w:rPr>
        <w:t>Auspurg</w:t>
      </w:r>
      <w:proofErr w:type="spellEnd"/>
      <w:r w:rsidRPr="00784789">
        <w:rPr>
          <w:rFonts w:asciiTheme="majorHAnsi" w:hAnsiTheme="majorHAnsi" w:cstheme="majorHAnsi"/>
          <w:color w:val="000000" w:themeColor="text1"/>
          <w:sz w:val="22"/>
          <w:szCs w:val="22"/>
        </w:rPr>
        <w:t xml:space="preserve">, K., </w:t>
      </w:r>
      <w:proofErr w:type="spellStart"/>
      <w:r w:rsidRPr="00784789">
        <w:rPr>
          <w:rFonts w:asciiTheme="majorHAnsi" w:hAnsiTheme="majorHAnsi" w:cstheme="majorHAnsi"/>
          <w:color w:val="000000" w:themeColor="text1"/>
          <w:sz w:val="22"/>
          <w:szCs w:val="22"/>
        </w:rPr>
        <w:t>Hinz</w:t>
      </w:r>
      <w:proofErr w:type="spellEnd"/>
      <w:r w:rsidRPr="00784789">
        <w:rPr>
          <w:rFonts w:asciiTheme="majorHAnsi" w:hAnsiTheme="majorHAnsi" w:cstheme="majorHAnsi"/>
          <w:color w:val="000000" w:themeColor="text1"/>
          <w:sz w:val="22"/>
          <w:szCs w:val="22"/>
        </w:rPr>
        <w:t xml:space="preserve">, T., &amp; Liebig, S. (2011). The application of factorial survey in general population surveys: The effects of respondent age and education on response times and response consistency. </w:t>
      </w:r>
      <w:r w:rsidRPr="00784789">
        <w:rPr>
          <w:rFonts w:asciiTheme="majorHAnsi" w:hAnsiTheme="majorHAnsi" w:cstheme="majorHAnsi"/>
          <w:i/>
          <w:color w:val="000000" w:themeColor="text1"/>
          <w:sz w:val="22"/>
          <w:szCs w:val="22"/>
        </w:rPr>
        <w:t>Survey Research Methods</w:t>
      </w:r>
      <w:r w:rsidRPr="00784789">
        <w:rPr>
          <w:rFonts w:asciiTheme="majorHAnsi" w:hAnsiTheme="majorHAnsi" w:cstheme="majorHAnsi"/>
          <w:color w:val="000000" w:themeColor="text1"/>
          <w:sz w:val="22"/>
          <w:szCs w:val="22"/>
        </w:rPr>
        <w:t>, 5(3): 89-102.</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Singer, E. and Ye, C. (2013). The Use and Effects of Incentives in Surveys. </w:t>
      </w:r>
      <w:r w:rsidRPr="00751F88">
        <w:rPr>
          <w:rFonts w:asciiTheme="majorHAnsi" w:hAnsiTheme="majorHAnsi" w:cstheme="majorHAnsi"/>
          <w:i/>
          <w:color w:val="000000" w:themeColor="text1"/>
          <w:sz w:val="22"/>
          <w:szCs w:val="22"/>
        </w:rPr>
        <w:t>The Annals of the American Academy of Political and Social Science</w:t>
      </w:r>
      <w:r w:rsidRPr="00751F88">
        <w:rPr>
          <w:rFonts w:asciiTheme="majorHAnsi" w:hAnsiTheme="majorHAnsi" w:cstheme="majorHAnsi"/>
          <w:color w:val="000000" w:themeColor="text1"/>
          <w:sz w:val="22"/>
          <w:szCs w:val="22"/>
        </w:rPr>
        <w:t>, 645: 112-141.</w:t>
      </w:r>
    </w:p>
    <w:p w:rsidRPr="00751F88" w:rsidR="00E6388A" w:rsidP="00E6388A" w:rsidRDefault="00E6388A">
      <w:pPr>
        <w:pStyle w:val="Comment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Smith, J.W., Davenport, M.A., Anderson, D.H., and Leahy, J.E. (2011). Place meanings and desired management outcomes. </w:t>
      </w:r>
      <w:r w:rsidRPr="00751F88">
        <w:rPr>
          <w:rFonts w:asciiTheme="majorHAnsi" w:hAnsiTheme="majorHAnsi" w:cstheme="majorHAnsi"/>
          <w:i/>
          <w:color w:val="000000" w:themeColor="text1"/>
          <w:sz w:val="22"/>
          <w:szCs w:val="22"/>
        </w:rPr>
        <w:t>Landscape and Urban Planning</w:t>
      </w:r>
      <w:r w:rsidRPr="00751F88">
        <w:rPr>
          <w:rFonts w:asciiTheme="majorHAnsi" w:hAnsiTheme="majorHAnsi" w:cstheme="majorHAnsi"/>
          <w:color w:val="000000" w:themeColor="text1"/>
          <w:sz w:val="22"/>
          <w:szCs w:val="22"/>
        </w:rPr>
        <w:t>, 101(4): 359-370</w:t>
      </w:r>
    </w:p>
    <w:p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Smith, J.W., Anderson, D.H., Davenport, M.A., Leahy, J.E. (2013). Community benefits from managed </w:t>
      </w:r>
      <w:r>
        <w:rPr>
          <w:rFonts w:asciiTheme="majorHAnsi" w:hAnsiTheme="majorHAnsi" w:cstheme="majorHAnsi"/>
          <w:color w:val="000000" w:themeColor="text1"/>
          <w:sz w:val="22"/>
          <w:szCs w:val="22"/>
        </w:rPr>
        <w:t xml:space="preserve">resource areas: An analysis of construct validity. </w:t>
      </w:r>
      <w:r>
        <w:rPr>
          <w:rFonts w:asciiTheme="majorHAnsi" w:hAnsiTheme="majorHAnsi" w:cstheme="majorHAnsi"/>
          <w:i/>
          <w:color w:val="000000" w:themeColor="text1"/>
          <w:sz w:val="22"/>
          <w:szCs w:val="22"/>
        </w:rPr>
        <w:t>Journal of Leisure Research</w:t>
      </w:r>
      <w:r>
        <w:rPr>
          <w:rFonts w:asciiTheme="majorHAnsi" w:hAnsiTheme="majorHAnsi" w:cstheme="majorHAnsi"/>
          <w:color w:val="000000" w:themeColor="text1"/>
          <w:sz w:val="22"/>
          <w:szCs w:val="22"/>
        </w:rPr>
        <w:t>, 45(2): 192-213.</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84789">
        <w:rPr>
          <w:rFonts w:asciiTheme="majorHAnsi" w:hAnsiTheme="majorHAnsi" w:cstheme="majorHAnsi"/>
          <w:color w:val="000000" w:themeColor="text1"/>
          <w:sz w:val="22"/>
          <w:szCs w:val="22"/>
        </w:rPr>
        <w:t xml:space="preserve">Steiner, P. M., &amp; </w:t>
      </w:r>
      <w:proofErr w:type="spellStart"/>
      <w:r w:rsidRPr="00784789">
        <w:rPr>
          <w:rFonts w:asciiTheme="majorHAnsi" w:hAnsiTheme="majorHAnsi" w:cstheme="majorHAnsi"/>
          <w:color w:val="000000" w:themeColor="text1"/>
          <w:sz w:val="22"/>
          <w:szCs w:val="22"/>
        </w:rPr>
        <w:t>Atzmüller</w:t>
      </w:r>
      <w:proofErr w:type="spellEnd"/>
      <w:r w:rsidRPr="00784789">
        <w:rPr>
          <w:rFonts w:asciiTheme="majorHAnsi" w:hAnsiTheme="majorHAnsi" w:cstheme="majorHAnsi"/>
          <w:color w:val="000000" w:themeColor="text1"/>
          <w:sz w:val="22"/>
          <w:szCs w:val="22"/>
        </w:rPr>
        <w:t xml:space="preserve">, C. (2006). Experimental vignette designs in factorial surveys. </w:t>
      </w:r>
      <w:proofErr w:type="spellStart"/>
      <w:r w:rsidRPr="00784789">
        <w:rPr>
          <w:rFonts w:asciiTheme="majorHAnsi" w:hAnsiTheme="majorHAnsi" w:cstheme="majorHAnsi"/>
          <w:i/>
          <w:color w:val="000000" w:themeColor="text1"/>
          <w:sz w:val="22"/>
          <w:szCs w:val="22"/>
        </w:rPr>
        <w:t>KZfSS</w:t>
      </w:r>
      <w:proofErr w:type="spellEnd"/>
      <w:r w:rsidRPr="00784789">
        <w:rPr>
          <w:rFonts w:asciiTheme="majorHAnsi" w:hAnsiTheme="majorHAnsi" w:cstheme="majorHAnsi"/>
          <w:i/>
          <w:color w:val="000000" w:themeColor="text1"/>
          <w:sz w:val="22"/>
          <w:szCs w:val="22"/>
        </w:rPr>
        <w:t xml:space="preserve"> Cologne Journal of Sociology and Social Psychology</w:t>
      </w:r>
      <w:r w:rsidRPr="00784789">
        <w:rPr>
          <w:rFonts w:asciiTheme="majorHAnsi" w:hAnsiTheme="majorHAnsi" w:cstheme="majorHAnsi"/>
          <w:color w:val="000000" w:themeColor="text1"/>
          <w:sz w:val="22"/>
          <w:szCs w:val="22"/>
        </w:rPr>
        <w:t>, 58(1), 117-146.</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US Census Bureau. (2010). Final report of mail back participation rate by county for 2010 Decennial Census, U.S. Census Bureau.</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US Census Bureau/American FactFinder. (2015a). "DP04: Selected Housing Characteristics." 2010-2015 American Community Survey. US Census Bureau's American Community Survey Office.</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US Census Bureau/American FactFinder. (2015b). "DP05: ACS Demographics and Housing Estimates." 2010-2015 American Community Survey. US Census Bureau's American Community Survey Office.</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US Census Bureau. (2016). “S2802: Types of Internet Subscriptions by Selected Characteristics.” American Community Survey 1-Year Estimates. US Census Bureau's American Community Survey Office.</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US Census Bureau. (2018). Response Outreach Area Mapper (ROAM). Available online: </w:t>
      </w:r>
      <w:hyperlink w:history="1" r:id="rId17">
        <w:r w:rsidRPr="00751F88">
          <w:rPr>
            <w:rStyle w:val="Hyperlink"/>
            <w:rFonts w:asciiTheme="majorHAnsi" w:hAnsiTheme="majorHAnsi" w:cstheme="majorHAnsi"/>
            <w:color w:val="000000" w:themeColor="text1"/>
            <w:sz w:val="22"/>
            <w:szCs w:val="22"/>
          </w:rPr>
          <w:t>https://www.census.gov/roam</w:t>
        </w:r>
      </w:hyperlink>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Vogt, C. A. and Williams, D. R. (1999). Support for wilderness recreation fees: The influence of fee purpose and day versus overnight use. </w:t>
      </w:r>
      <w:r w:rsidRPr="00751F88">
        <w:rPr>
          <w:rFonts w:asciiTheme="majorHAnsi" w:hAnsiTheme="majorHAnsi" w:cstheme="majorHAnsi"/>
          <w:i/>
          <w:color w:val="000000" w:themeColor="text1"/>
          <w:sz w:val="22"/>
          <w:szCs w:val="22"/>
        </w:rPr>
        <w:t>Journal of Park and Recreation Administration</w:t>
      </w:r>
      <w:r w:rsidRPr="00751F88">
        <w:rPr>
          <w:rFonts w:asciiTheme="majorHAnsi" w:hAnsiTheme="majorHAnsi" w:cstheme="majorHAnsi"/>
          <w:color w:val="000000" w:themeColor="text1"/>
          <w:sz w:val="22"/>
          <w:szCs w:val="22"/>
        </w:rPr>
        <w:t>, 17(3): 85–99.</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Whitehead, J.C. (2006). A practitioner’s primer on the contingent valuation method. In: </w:t>
      </w:r>
      <w:r w:rsidRPr="00751F88">
        <w:rPr>
          <w:rFonts w:asciiTheme="majorHAnsi" w:hAnsiTheme="majorHAnsi" w:cstheme="majorHAnsi"/>
          <w:i/>
          <w:color w:val="000000" w:themeColor="text1"/>
          <w:sz w:val="22"/>
          <w:szCs w:val="22"/>
        </w:rPr>
        <w:t>Handbook on Contingent Valuation</w:t>
      </w:r>
      <w:r w:rsidRPr="00751F88">
        <w:rPr>
          <w:rFonts w:asciiTheme="majorHAnsi" w:hAnsiTheme="majorHAnsi" w:cstheme="majorHAnsi"/>
          <w:color w:val="000000" w:themeColor="text1"/>
          <w:sz w:val="22"/>
          <w:szCs w:val="22"/>
        </w:rPr>
        <w:t xml:space="preserve"> (pp 137-162). Northampton MA: Edward Elgar. </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Whitehead, J.C., </w:t>
      </w:r>
      <w:proofErr w:type="spellStart"/>
      <w:r w:rsidRPr="00751F88">
        <w:rPr>
          <w:rFonts w:asciiTheme="majorHAnsi" w:hAnsiTheme="majorHAnsi" w:cstheme="majorHAnsi"/>
          <w:color w:val="000000" w:themeColor="text1"/>
          <w:sz w:val="22"/>
          <w:szCs w:val="22"/>
        </w:rPr>
        <w:t>Blomquist</w:t>
      </w:r>
      <w:proofErr w:type="spellEnd"/>
      <w:r w:rsidRPr="00751F88">
        <w:rPr>
          <w:rFonts w:asciiTheme="majorHAnsi" w:hAnsiTheme="majorHAnsi" w:cstheme="majorHAnsi"/>
          <w:color w:val="000000" w:themeColor="text1"/>
          <w:sz w:val="22"/>
          <w:szCs w:val="22"/>
        </w:rPr>
        <w:t xml:space="preserve">, G.C., Hoban, T.J., and Clifford, W.B. (1995). Assessing the Validity and Reliability of Contingent Values: A Comparison of On-Site Users, Off-Site Users, and Non-users. </w:t>
      </w:r>
      <w:r w:rsidRPr="00751F88">
        <w:rPr>
          <w:rFonts w:asciiTheme="majorHAnsi" w:hAnsiTheme="majorHAnsi" w:cstheme="majorHAnsi"/>
          <w:i/>
          <w:color w:val="000000" w:themeColor="text1"/>
          <w:sz w:val="22"/>
          <w:szCs w:val="22"/>
        </w:rPr>
        <w:t>Journal of Environmental Economics and Management</w:t>
      </w:r>
      <w:r w:rsidRPr="00751F88">
        <w:rPr>
          <w:rFonts w:asciiTheme="majorHAnsi" w:hAnsiTheme="majorHAnsi" w:cstheme="majorHAnsi"/>
          <w:color w:val="000000" w:themeColor="text1"/>
          <w:sz w:val="22"/>
          <w:szCs w:val="22"/>
        </w:rPr>
        <w:t>, 29 (2): 238–51.</w:t>
      </w:r>
    </w:p>
    <w:p w:rsidRPr="00751F88" w:rsidR="00E6388A" w:rsidP="00E6388A" w:rsidRDefault="00E6388A">
      <w:pPr>
        <w:pStyle w:val="FootnoteText"/>
        <w:numPr>
          <w:ilvl w:val="0"/>
          <w:numId w:val="8"/>
        </w:numPr>
        <w:tabs>
          <w:tab w:val="left" w:pos="9360"/>
        </w:tabs>
        <w:spacing w:after="120"/>
        <w:ind w:left="36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Williams, D., Patterson, M., </w:t>
      </w:r>
      <w:proofErr w:type="spellStart"/>
      <w:r w:rsidRPr="00751F88">
        <w:rPr>
          <w:rFonts w:asciiTheme="majorHAnsi" w:hAnsiTheme="majorHAnsi" w:cstheme="majorHAnsi"/>
          <w:color w:val="000000" w:themeColor="text1"/>
          <w:sz w:val="22"/>
          <w:szCs w:val="22"/>
        </w:rPr>
        <w:t>Roggenbuck</w:t>
      </w:r>
      <w:proofErr w:type="spellEnd"/>
      <w:r w:rsidRPr="00751F88">
        <w:rPr>
          <w:rFonts w:asciiTheme="majorHAnsi" w:hAnsiTheme="majorHAnsi" w:cstheme="majorHAnsi"/>
          <w:color w:val="000000" w:themeColor="text1"/>
          <w:sz w:val="22"/>
          <w:szCs w:val="22"/>
        </w:rPr>
        <w:t xml:space="preserve">, J. and Watson, A. (1992). Beyond the commodity metaphor: Examining emotional and symbolic attachment to place. </w:t>
      </w:r>
      <w:r w:rsidRPr="00751F88">
        <w:rPr>
          <w:rFonts w:asciiTheme="majorHAnsi" w:hAnsiTheme="majorHAnsi" w:cstheme="majorHAnsi"/>
          <w:i/>
          <w:color w:val="000000" w:themeColor="text1"/>
          <w:sz w:val="22"/>
          <w:szCs w:val="22"/>
        </w:rPr>
        <w:t>Leisure Sciences</w:t>
      </w:r>
      <w:r w:rsidRPr="00751F88">
        <w:rPr>
          <w:rFonts w:asciiTheme="majorHAnsi" w:hAnsiTheme="majorHAnsi" w:cstheme="majorHAnsi"/>
          <w:color w:val="000000" w:themeColor="text1"/>
          <w:sz w:val="22"/>
          <w:szCs w:val="22"/>
        </w:rPr>
        <w:t>, 14(1):29-46.</w:t>
      </w:r>
    </w:p>
    <w:p w:rsidRPr="00751F88" w:rsidR="00E6388A" w:rsidP="00E6388A" w:rsidRDefault="00E6388A">
      <w:pPr>
        <w:spacing w:after="120"/>
        <w:ind w:left="360"/>
        <w:rPr>
          <w:rFonts w:asciiTheme="majorHAnsi" w:hAnsiTheme="majorHAnsi" w:cstheme="majorHAnsi"/>
          <w:color w:val="000000" w:themeColor="text1"/>
          <w:sz w:val="22"/>
          <w:szCs w:val="22"/>
        </w:rPr>
      </w:pPr>
    </w:p>
    <w:p w:rsidR="005652B5" w:rsidRDefault="00814901"/>
    <w:sectPr w:rsidR="005652B5" w:rsidSect="00C05044">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4901">
      <w:r>
        <w:separator/>
      </w:r>
    </w:p>
  </w:endnote>
  <w:endnote w:type="continuationSeparator" w:id="0">
    <w:p w:rsidR="00000000" w:rsidRDefault="0081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DE" w:rsidRDefault="00814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433569"/>
      <w:docPartObj>
        <w:docPartGallery w:val="Page Numbers (Bottom of Page)"/>
        <w:docPartUnique/>
      </w:docPartObj>
    </w:sdtPr>
    <w:sdtEndPr>
      <w:rPr>
        <w:noProof/>
      </w:rPr>
    </w:sdtEndPr>
    <w:sdtContent>
      <w:p w:rsidR="000717DE" w:rsidRDefault="00814901">
        <w:pPr>
          <w:pStyle w:val="Footer"/>
          <w:jc w:val="center"/>
        </w:pPr>
      </w:p>
      <w:p w:rsidR="000717DE" w:rsidRDefault="00C47770">
        <w:pPr>
          <w:pStyle w:val="Footer"/>
          <w:jc w:val="center"/>
        </w:pPr>
        <w:r>
          <w:fldChar w:fldCharType="begin"/>
        </w:r>
        <w:r>
          <w:instrText xml:space="preserve"> PAGE   \* MERGEFORMAT </w:instrText>
        </w:r>
        <w:r>
          <w:fldChar w:fldCharType="separate"/>
        </w:r>
        <w:r w:rsidR="00814901">
          <w:rPr>
            <w:noProof/>
          </w:rPr>
          <w:t>13</w:t>
        </w:r>
        <w:r>
          <w:rPr>
            <w:noProof/>
          </w:rPr>
          <w:fldChar w:fldCharType="end"/>
        </w:r>
      </w:p>
    </w:sdtContent>
  </w:sdt>
  <w:p w:rsidR="000717DE" w:rsidRDefault="00814901">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DE" w:rsidRDefault="0081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4901">
      <w:r>
        <w:separator/>
      </w:r>
    </w:p>
  </w:footnote>
  <w:footnote w:type="continuationSeparator" w:id="0">
    <w:p w:rsidR="00000000" w:rsidRDefault="0081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DE" w:rsidRDefault="00814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DE" w:rsidRDefault="00814901">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DE" w:rsidRDefault="0081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2DA"/>
    <w:multiLevelType w:val="hybridMultilevel"/>
    <w:tmpl w:val="953C9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E4B50"/>
    <w:multiLevelType w:val="hybridMultilevel"/>
    <w:tmpl w:val="14685C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94F92"/>
    <w:multiLevelType w:val="hybridMultilevel"/>
    <w:tmpl w:val="D326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9675C"/>
    <w:multiLevelType w:val="hybridMultilevel"/>
    <w:tmpl w:val="FA64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93878"/>
    <w:multiLevelType w:val="hybridMultilevel"/>
    <w:tmpl w:val="87E8676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A216A"/>
    <w:multiLevelType w:val="hybridMultilevel"/>
    <w:tmpl w:val="1AC6A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E43BE"/>
    <w:multiLevelType w:val="hybridMultilevel"/>
    <w:tmpl w:val="2B32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147A3"/>
    <w:multiLevelType w:val="hybridMultilevel"/>
    <w:tmpl w:val="EA86DB3C"/>
    <w:lvl w:ilvl="0" w:tplc="091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8A"/>
    <w:rsid w:val="00451280"/>
    <w:rsid w:val="00814901"/>
    <w:rsid w:val="00BD7C03"/>
    <w:rsid w:val="00C47770"/>
    <w:rsid w:val="00E232C7"/>
    <w:rsid w:val="00E6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505C"/>
  <w15:chartTrackingRefBased/>
  <w15:docId w15:val="{56790BE2-78D5-481E-84D4-FBE8D9F0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88A"/>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
    <w:qFormat/>
    <w:rsid w:val="00E6388A"/>
    <w:pPr>
      <w:keepNext/>
      <w:keepLines/>
      <w:spacing w:before="240"/>
      <w:outlineLvl w:val="0"/>
    </w:pPr>
    <w:rPr>
      <w:rFonts w:ascii="Cambria" w:eastAsia="Cambria" w:hAnsi="Cambria" w:cs="Cambria"/>
      <w:color w:val="366091"/>
      <w:sz w:val="32"/>
      <w:szCs w:val="32"/>
    </w:rPr>
  </w:style>
  <w:style w:type="paragraph" w:styleId="Heading5">
    <w:name w:val="heading 5"/>
    <w:basedOn w:val="Normal"/>
    <w:next w:val="Normal"/>
    <w:link w:val="Heading5Char"/>
    <w:uiPriority w:val="9"/>
    <w:semiHidden/>
    <w:unhideWhenUsed/>
    <w:qFormat/>
    <w:rsid w:val="00E6388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8A"/>
    <w:rPr>
      <w:rFonts w:ascii="Cambria" w:eastAsia="Cambria" w:hAnsi="Cambria" w:cs="Cambria"/>
      <w:color w:val="366091"/>
      <w:sz w:val="32"/>
      <w:szCs w:val="32"/>
    </w:rPr>
  </w:style>
  <w:style w:type="paragraph" w:styleId="CommentText">
    <w:name w:val="annotation text"/>
    <w:basedOn w:val="Normal"/>
    <w:link w:val="CommentTextChar"/>
    <w:uiPriority w:val="99"/>
    <w:unhideWhenUsed/>
    <w:rsid w:val="00E6388A"/>
  </w:style>
  <w:style w:type="character" w:customStyle="1" w:styleId="CommentTextChar">
    <w:name w:val="Comment Text Char"/>
    <w:basedOn w:val="DefaultParagraphFont"/>
    <w:link w:val="CommentText"/>
    <w:uiPriority w:val="99"/>
    <w:rsid w:val="00E6388A"/>
    <w:rPr>
      <w:rFonts w:ascii="Times New Roman" w:eastAsia="Times New Roman" w:hAnsi="Times New Roman" w:cs="Times New Roman"/>
      <w:color w:val="000000"/>
      <w:sz w:val="20"/>
      <w:szCs w:val="20"/>
    </w:rPr>
  </w:style>
  <w:style w:type="paragraph" w:styleId="FootnoteText">
    <w:name w:val="footnote text"/>
    <w:basedOn w:val="Normal"/>
    <w:link w:val="FootnoteTextChar"/>
    <w:uiPriority w:val="99"/>
    <w:unhideWhenUsed/>
    <w:rsid w:val="00E6388A"/>
  </w:style>
  <w:style w:type="character" w:customStyle="1" w:styleId="FootnoteTextChar">
    <w:name w:val="Footnote Text Char"/>
    <w:basedOn w:val="DefaultParagraphFont"/>
    <w:link w:val="FootnoteText"/>
    <w:uiPriority w:val="99"/>
    <w:rsid w:val="00E6388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unhideWhenUsed/>
    <w:rsid w:val="00E6388A"/>
    <w:rPr>
      <w:vertAlign w:val="superscript"/>
    </w:rPr>
  </w:style>
  <w:style w:type="paragraph" w:styleId="ListParagraph">
    <w:name w:val="List Paragraph"/>
    <w:aliases w:val="Main_List Paragraph"/>
    <w:basedOn w:val="Normal"/>
    <w:uiPriority w:val="34"/>
    <w:qFormat/>
    <w:rsid w:val="00E6388A"/>
    <w:pPr>
      <w:ind w:left="720"/>
      <w:contextualSpacing/>
    </w:pPr>
  </w:style>
  <w:style w:type="character" w:styleId="Hyperlink">
    <w:name w:val="Hyperlink"/>
    <w:basedOn w:val="DefaultParagraphFont"/>
    <w:uiPriority w:val="99"/>
    <w:unhideWhenUsed/>
    <w:rsid w:val="00E6388A"/>
    <w:rPr>
      <w:color w:val="0563C1" w:themeColor="hyperlink"/>
      <w:u w:val="single"/>
    </w:rPr>
  </w:style>
  <w:style w:type="paragraph" w:styleId="NoSpacing">
    <w:name w:val="No Spacing"/>
    <w:uiPriority w:val="1"/>
    <w:qFormat/>
    <w:rsid w:val="00E6388A"/>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E6388A"/>
    <w:pPr>
      <w:tabs>
        <w:tab w:val="center" w:pos="4680"/>
        <w:tab w:val="right" w:pos="9360"/>
      </w:tabs>
    </w:pPr>
  </w:style>
  <w:style w:type="character" w:customStyle="1" w:styleId="HeaderChar">
    <w:name w:val="Header Char"/>
    <w:basedOn w:val="DefaultParagraphFont"/>
    <w:link w:val="Header"/>
    <w:uiPriority w:val="99"/>
    <w:rsid w:val="00E6388A"/>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E6388A"/>
    <w:pPr>
      <w:tabs>
        <w:tab w:val="center" w:pos="4680"/>
        <w:tab w:val="right" w:pos="9360"/>
      </w:tabs>
    </w:pPr>
  </w:style>
  <w:style w:type="character" w:customStyle="1" w:styleId="FooterChar">
    <w:name w:val="Footer Char"/>
    <w:basedOn w:val="DefaultParagraphFont"/>
    <w:link w:val="Footer"/>
    <w:uiPriority w:val="99"/>
    <w:rsid w:val="00E6388A"/>
    <w:rPr>
      <w:rFonts w:ascii="Times New Roman" w:eastAsia="Times New Roman" w:hAnsi="Times New Roman" w:cs="Times New Roman"/>
      <w:color w:val="000000"/>
      <w:sz w:val="20"/>
      <w:szCs w:val="20"/>
    </w:rPr>
  </w:style>
  <w:style w:type="paragraph" w:styleId="Caption">
    <w:name w:val="caption"/>
    <w:basedOn w:val="Normal"/>
    <w:next w:val="Normal"/>
    <w:uiPriority w:val="35"/>
    <w:unhideWhenUsed/>
    <w:qFormat/>
    <w:rsid w:val="00E6388A"/>
    <w:pPr>
      <w:spacing w:after="200"/>
    </w:pPr>
    <w:rPr>
      <w:i/>
      <w:iCs/>
      <w:color w:val="44546A" w:themeColor="text2"/>
      <w:sz w:val="18"/>
      <w:szCs w:val="18"/>
    </w:rPr>
  </w:style>
  <w:style w:type="paragraph" w:customStyle="1" w:styleId="OMB1">
    <w:name w:val="OMB 1"/>
    <w:basedOn w:val="Heading1"/>
    <w:link w:val="OMB1Char"/>
    <w:qFormat/>
    <w:rsid w:val="00E6388A"/>
    <w:rPr>
      <w:b/>
      <w:color w:val="000000" w:themeColor="text1"/>
      <w:sz w:val="24"/>
      <w:szCs w:val="24"/>
    </w:rPr>
  </w:style>
  <w:style w:type="paragraph" w:customStyle="1" w:styleId="Style1">
    <w:name w:val="Style1"/>
    <w:basedOn w:val="Heading5"/>
    <w:link w:val="Style1Char"/>
    <w:qFormat/>
    <w:rsid w:val="00E6388A"/>
    <w:pPr>
      <w:spacing w:before="220" w:after="40"/>
    </w:pPr>
    <w:rPr>
      <w:rFonts w:eastAsia="Times New Roman" w:cs="Times New Roman"/>
      <w:i/>
      <w:color w:val="000000"/>
    </w:rPr>
  </w:style>
  <w:style w:type="character" w:customStyle="1" w:styleId="OMB1Char">
    <w:name w:val="OMB 1 Char"/>
    <w:basedOn w:val="DefaultParagraphFont"/>
    <w:link w:val="OMB1"/>
    <w:rsid w:val="00E6388A"/>
    <w:rPr>
      <w:rFonts w:ascii="Cambria" w:eastAsia="Cambria" w:hAnsi="Cambria" w:cs="Cambria"/>
      <w:b/>
      <w:color w:val="000000" w:themeColor="text1"/>
      <w:sz w:val="24"/>
      <w:szCs w:val="24"/>
    </w:rPr>
  </w:style>
  <w:style w:type="character" w:customStyle="1" w:styleId="Style1Char">
    <w:name w:val="Style1 Char"/>
    <w:basedOn w:val="Heading5Char"/>
    <w:link w:val="Style1"/>
    <w:rsid w:val="00E6388A"/>
    <w:rPr>
      <w:rFonts w:asciiTheme="majorHAnsi" w:eastAsia="Times New Roman" w:hAnsiTheme="majorHAnsi" w:cs="Times New Roman"/>
      <w:i/>
      <w:color w:val="000000"/>
      <w:sz w:val="20"/>
      <w:szCs w:val="20"/>
    </w:rPr>
  </w:style>
  <w:style w:type="paragraph" w:styleId="BodyText">
    <w:name w:val="Body Text"/>
    <w:basedOn w:val="Normal"/>
    <w:link w:val="BodyTextChar"/>
    <w:uiPriority w:val="99"/>
    <w:unhideWhenUsed/>
    <w:rsid w:val="00E6388A"/>
    <w:pPr>
      <w:spacing w:after="120"/>
    </w:pPr>
  </w:style>
  <w:style w:type="character" w:customStyle="1" w:styleId="BodyTextChar">
    <w:name w:val="Body Text Char"/>
    <w:basedOn w:val="DefaultParagraphFont"/>
    <w:link w:val="BodyText"/>
    <w:uiPriority w:val="99"/>
    <w:rsid w:val="00E6388A"/>
    <w:rPr>
      <w:rFonts w:ascii="Times New Roman" w:eastAsia="Times New Roman" w:hAnsi="Times New Roman" w:cs="Times New Roman"/>
      <w:color w:val="000000"/>
      <w:sz w:val="20"/>
      <w:szCs w:val="20"/>
    </w:rPr>
  </w:style>
  <w:style w:type="character" w:customStyle="1" w:styleId="Heading5Char">
    <w:name w:val="Heading 5 Char"/>
    <w:basedOn w:val="DefaultParagraphFont"/>
    <w:link w:val="Heading5"/>
    <w:uiPriority w:val="9"/>
    <w:semiHidden/>
    <w:rsid w:val="00E6388A"/>
    <w:rPr>
      <w:rFonts w:asciiTheme="majorHAnsi" w:eastAsiaTheme="majorEastAsia" w:hAnsiTheme="majorHAnsi" w:cstheme="majorBidi"/>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ensus.gov/roam"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my.freitag@noa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ah.gonyo@noa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86A5-C567-4202-ACD4-DAC4D3A4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4</cp:revision>
  <dcterms:created xsi:type="dcterms:W3CDTF">2020-01-30T20:46:00Z</dcterms:created>
  <dcterms:modified xsi:type="dcterms:W3CDTF">2020-01-30T21:06:00Z</dcterms:modified>
</cp:coreProperties>
</file>