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CF2" w:rsidP="00853CF2" w:rsidRDefault="00853CF2">
      <w:pPr>
        <w:ind w:left="360"/>
        <w:rPr>
          <w:rFonts w:ascii="Times New Roman" w:hAnsi="Times New Roman"/>
          <w:sz w:val="24"/>
          <w:szCs w:val="24"/>
        </w:rPr>
      </w:pPr>
      <w:r>
        <w:rPr>
          <w:rFonts w:ascii="Times New Roman" w:hAnsi="Times New Roman"/>
          <w:sz w:val="24"/>
          <w:szCs w:val="24"/>
        </w:rPr>
        <w:t>The Agency will be collecting information from the proposer to evaluate the strengths and weaknesses to which the proposal concept possesses or lacks the attributes set forth in the proposed content and evaluation criteria.  RHS will use the collected information to select the most feasible proposals that will enhance the Agency’s chances in accomplishing the demonstration objective.  The information will be utilized to sustain and modify RHS’ current policies pertaining to revitalization and preservation of affordable rental housing in rural areas.</w:t>
      </w:r>
    </w:p>
    <w:p w:rsidR="00853CF2" w:rsidP="00853CF2" w:rsidRDefault="00853CF2">
      <w:pPr>
        <w:ind w:left="360"/>
        <w:rPr>
          <w:rFonts w:ascii="Times New Roman" w:hAnsi="Times New Roman"/>
          <w:sz w:val="24"/>
          <w:szCs w:val="24"/>
        </w:rPr>
      </w:pPr>
    </w:p>
    <w:p w:rsidR="00853CF2" w:rsidP="00853CF2" w:rsidRDefault="00853CF2">
      <w:pPr>
        <w:ind w:left="360"/>
        <w:rPr>
          <w:rFonts w:ascii="Times New Roman" w:hAnsi="Times New Roman"/>
          <w:sz w:val="24"/>
          <w:szCs w:val="24"/>
        </w:rPr>
      </w:pPr>
      <w:r>
        <w:rPr>
          <w:rFonts w:ascii="Times New Roman" w:hAnsi="Times New Roman"/>
          <w:sz w:val="24"/>
          <w:szCs w:val="24"/>
        </w:rPr>
        <w:t>The forms to be completed and signed by those that receive restructuring assistance include:</w:t>
      </w:r>
    </w:p>
    <w:p w:rsidR="00853CF2" w:rsidP="00853CF2" w:rsidRDefault="00853CF2">
      <w:pPr>
        <w:ind w:left="360"/>
        <w:rPr>
          <w:rFonts w:ascii="Times New Roman" w:hAnsi="Times New Roman"/>
          <w:sz w:val="24"/>
          <w:szCs w:val="24"/>
        </w:rPr>
      </w:pPr>
    </w:p>
    <w:p w:rsidR="00853CF2" w:rsidP="00853CF2" w:rsidRDefault="00853CF2">
      <w:pPr>
        <w:ind w:left="360"/>
        <w:rPr>
          <w:rFonts w:ascii="Times New Roman" w:hAnsi="Times New Roman"/>
          <w:sz w:val="24"/>
          <w:szCs w:val="24"/>
        </w:rPr>
      </w:pPr>
      <w:bookmarkStart w:name="_GoBack" w:id="0"/>
      <w:bookmarkEnd w:id="0"/>
      <w:r>
        <w:rPr>
          <w:rFonts w:ascii="Times New Roman" w:hAnsi="Times New Roman"/>
          <w:sz w:val="24"/>
          <w:szCs w:val="24"/>
        </w:rPr>
        <w:t>REPORTING REQUIREMENTS – NONFORMS</w:t>
      </w:r>
    </w:p>
    <w:p w:rsidR="00853CF2" w:rsidP="00853CF2" w:rsidRDefault="00853CF2">
      <w:pPr>
        <w:ind w:left="720"/>
        <w:rPr>
          <w:rFonts w:ascii="Times New Roman" w:hAnsi="Times New Roman"/>
          <w:sz w:val="24"/>
          <w:szCs w:val="24"/>
        </w:rPr>
      </w:pP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MPR Pre-Application</w:t>
      </w:r>
      <w:r>
        <w:rPr>
          <w:rFonts w:ascii="Times New Roman" w:hAnsi="Times New Roman"/>
          <w:sz w:val="24"/>
          <w:szCs w:val="24"/>
        </w:rPr>
        <w:t xml:space="preserve"> - Form is used by MFH borrowers to inform the Agency of their interest in participating in the MPR demonstration program and is used by the Agency to evaluate the project for funding potential.</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 xml:space="preserve">MPR Conditional Commitment </w:t>
      </w:r>
      <w:r>
        <w:rPr>
          <w:rFonts w:ascii="Times New Roman" w:hAnsi="Times New Roman"/>
          <w:sz w:val="24"/>
          <w:szCs w:val="24"/>
        </w:rPr>
        <w:t>– Legal document that states the Agency has committed to the offer being made to the applicant under certain conditions and terms, and the borrower’s acceptance of that offer subject to the availability of sufficient funds being appropriated to fund the commitment.</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Debt Deferral Agreement</w:t>
      </w:r>
      <w:r>
        <w:rPr>
          <w:rFonts w:ascii="Times New Roman" w:hAnsi="Times New Roman"/>
          <w:sz w:val="24"/>
          <w:szCs w:val="24"/>
        </w:rPr>
        <w:t xml:space="preserve"> - Legal document completed by the Agency for review and acceptance by the recipient.  The document indicates the recipient understands that the principle and interest payments are being deferred by the Agency for a specified term and the borrowers continued compliance with the respective program requirements.</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Restrictive-Use Covenant</w:t>
      </w:r>
      <w:r>
        <w:rPr>
          <w:rFonts w:ascii="Times New Roman" w:hAnsi="Times New Roman"/>
          <w:sz w:val="24"/>
          <w:szCs w:val="24"/>
        </w:rPr>
        <w:t xml:space="preserve"> - Legal document that is required as a condition of receiving assistance under the MPR demonstration program. The document is </w:t>
      </w:r>
      <w:bookmarkStart w:name="OLE_LINK2" w:id="1"/>
      <w:r>
        <w:rPr>
          <w:rFonts w:ascii="Times New Roman" w:hAnsi="Times New Roman"/>
          <w:sz w:val="24"/>
          <w:szCs w:val="24"/>
        </w:rPr>
        <w:t>completed by the Agency, and signed to document the recipient’s acceptance by with professional legal assistance</w:t>
      </w:r>
      <w:bookmarkEnd w:id="1"/>
      <w:r>
        <w:rPr>
          <w:rFonts w:ascii="Times New Roman" w:hAnsi="Times New Roman"/>
          <w:sz w:val="24"/>
          <w:szCs w:val="24"/>
        </w:rPr>
        <w:t>.  The document is filed with the property’s deed that limits the uses of the property for 20 years.</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Restrictive-Use Subordination Agreement</w:t>
      </w:r>
      <w:r>
        <w:rPr>
          <w:rFonts w:ascii="Times New Roman" w:hAnsi="Times New Roman"/>
          <w:sz w:val="24"/>
          <w:szCs w:val="24"/>
        </w:rPr>
        <w:t xml:space="preserve"> - Completed by the Agency and recipient and filed as a public record.  It documents the Agency’s subordination of existing loan agreements to the Restrictive-Use Covenant.</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Form of Legal Opinion</w:t>
      </w:r>
      <w:r>
        <w:rPr>
          <w:rFonts w:ascii="Times New Roman" w:hAnsi="Times New Roman"/>
          <w:sz w:val="24"/>
          <w:szCs w:val="24"/>
        </w:rPr>
        <w:t xml:space="preserve"> - Provided by recipient’s attorney to the Agency assuring legal requirements of MPR have been met.</w:t>
      </w:r>
    </w:p>
    <w:p w:rsidR="00853CF2" w:rsidP="00853CF2" w:rsidRDefault="00853CF2">
      <w:pPr>
        <w:numPr>
          <w:ilvl w:val="0"/>
          <w:numId w:val="1"/>
        </w:numPr>
        <w:rPr>
          <w:rFonts w:ascii="Times New Roman" w:hAnsi="Times New Roman"/>
          <w:sz w:val="24"/>
          <w:szCs w:val="24"/>
        </w:rPr>
      </w:pPr>
      <w:bookmarkStart w:name="OLE_LINK1" w:id="2"/>
      <w:r>
        <w:rPr>
          <w:rFonts w:ascii="Times New Roman" w:hAnsi="Times New Roman"/>
          <w:sz w:val="24"/>
          <w:szCs w:val="24"/>
          <w:u w:val="single"/>
        </w:rPr>
        <w:t>MPR Grant Agreement</w:t>
      </w:r>
      <w:r>
        <w:rPr>
          <w:rFonts w:ascii="Times New Roman" w:hAnsi="Times New Roman"/>
          <w:sz w:val="24"/>
          <w:szCs w:val="24"/>
        </w:rPr>
        <w:t xml:space="preserve"> </w:t>
      </w:r>
      <w:bookmarkEnd w:id="2"/>
      <w:r>
        <w:rPr>
          <w:rFonts w:ascii="Times New Roman" w:hAnsi="Times New Roman"/>
          <w:sz w:val="24"/>
          <w:szCs w:val="24"/>
        </w:rPr>
        <w:t>- Legal document that is required as a condition of receiving a grant under the MPR demonstration program that is completed by the recipient with professional legal assistance.  It documents the Federal requirements for receiving federal grant funds.</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MPR Loan and Grant Resolution (Non-Profit Corporation)</w:t>
      </w:r>
      <w:r>
        <w:rPr>
          <w:rFonts w:ascii="Times New Roman" w:hAnsi="Times New Roman"/>
          <w:sz w:val="24"/>
          <w:szCs w:val="24"/>
        </w:rPr>
        <w:t xml:space="preserve"> - Provides evidence that a non-profit organization has properly considered the terms and conditions of the restructuring and has authorized the acceptance of the condition.  The recipient completes it with professional legal assistance.</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Restructuring Conditional Commitment</w:t>
      </w:r>
      <w:r>
        <w:rPr>
          <w:rFonts w:ascii="Times New Roman" w:hAnsi="Times New Roman"/>
          <w:sz w:val="24"/>
          <w:szCs w:val="24"/>
        </w:rPr>
        <w:t xml:space="preserve"> - The Agency and recipient complete the form that states the terms and conditions under which the Agency will defer debt service for up to 20 years.</w:t>
      </w:r>
    </w:p>
    <w:p w:rsidR="00853CF2" w:rsidP="00853CF2" w:rsidRDefault="00853CF2">
      <w:pPr>
        <w:numPr>
          <w:ilvl w:val="0"/>
          <w:numId w:val="1"/>
        </w:numPr>
        <w:rPr>
          <w:rFonts w:ascii="Times New Roman" w:hAnsi="Times New Roman"/>
          <w:sz w:val="24"/>
          <w:szCs w:val="24"/>
        </w:rPr>
      </w:pPr>
      <w:r>
        <w:rPr>
          <w:rFonts w:ascii="Times New Roman" w:hAnsi="Times New Roman"/>
          <w:sz w:val="24"/>
          <w:szCs w:val="24"/>
          <w:u w:val="single"/>
        </w:rPr>
        <w:t>Addendum to Debt Deferral Agreement</w:t>
      </w:r>
      <w:r>
        <w:rPr>
          <w:rFonts w:ascii="Times New Roman" w:hAnsi="Times New Roman"/>
          <w:sz w:val="24"/>
          <w:szCs w:val="24"/>
        </w:rPr>
        <w:t xml:space="preserve"> - Clarifies Agency servicing authority at the time the deferred loan becomes due.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Discrimination Complaints</w:t>
      </w:r>
      <w:r>
        <w:rPr>
          <w:rFonts w:ascii="Times New Roman" w:hAnsi="Times New Roman"/>
          <w:sz w:val="24"/>
          <w:szCs w:val="24"/>
        </w:rPr>
        <w:t xml:space="preserve">.  Any tenant/member or prospective tenant/member may file a complaint if he/she believes they have been discriminated against because of race, color, religion, sex, familial status, national origin, age, or disability.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Compliance with Other Federal Requirements</w:t>
      </w:r>
      <w:r>
        <w:rPr>
          <w:rFonts w:ascii="Times New Roman" w:hAnsi="Times New Roman"/>
          <w:sz w:val="24"/>
          <w:szCs w:val="24"/>
        </w:rPr>
        <w:t>.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May 13, 1971.</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Exception Requests</w:t>
      </w:r>
      <w:r>
        <w:rPr>
          <w:rFonts w:ascii="Times New Roman" w:hAnsi="Times New Roman"/>
          <w:sz w:val="24"/>
          <w:szCs w:val="24"/>
        </w:rPr>
        <w:t>.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Market Feasibility</w:t>
      </w:r>
      <w:r>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Notification of Other Assistance</w:t>
      </w:r>
      <w:r>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Written Contract for Legal Services</w:t>
      </w:r>
      <w:r>
        <w:rPr>
          <w:rFonts w:ascii="Times New Roman" w:hAnsi="Times New Roman"/>
          <w:sz w:val="24"/>
          <w:szCs w:val="24"/>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Property, Liability, and Fidelity Insurance, Surety Bonding</w:t>
      </w:r>
      <w:r>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 must be included.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Cost Overruns</w:t>
      </w:r>
      <w:r>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Adequacy of Initial Operating Capital</w:t>
      </w:r>
      <w:r>
        <w:rPr>
          <w:rFonts w:ascii="Times New Roman" w:hAnsi="Times New Roman"/>
          <w:sz w:val="24"/>
          <w:szCs w:val="24"/>
        </w:rPr>
        <w:t>.  The borrower is required to deposit cash equal to 2 percent of the loan amount in an operation account. (Eligible Nonprofit applicants may be able to include this in their RD loan request.) This account is used to pay project operating costs before and after operating cash flow starts.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Establish Reserve Account</w:t>
      </w:r>
      <w:r>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Evidence That Funds from Other Sources Are Available</w:t>
      </w:r>
      <w:r>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Architect’s Statement Certifying Substantial Completion</w:t>
      </w:r>
      <w:r>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Evidence That Agency-Approved Accounting System Is in Place</w:t>
      </w:r>
      <w:r>
        <w:rPr>
          <w:rFonts w:ascii="Times New Roman" w:hAnsi="Times New Roman"/>
          <w:sz w:val="24"/>
          <w:szCs w:val="24"/>
        </w:rPr>
        <w:t>.  This is generally a letter from the borrower’s accountant outlining the accounting system to be used.  This is a loan closing requirement and is a good lending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Subsequent Loan Requirements</w:t>
      </w:r>
      <w:r>
        <w:rPr>
          <w:rFonts w:ascii="Times New Roman" w:hAnsi="Times New Roman"/>
          <w:sz w:val="24"/>
          <w:szCs w:val="24"/>
        </w:rPr>
        <w:t>.  The Agency may make a subsequent loan to a borrower to complete or develop additional units, improve, repair, or make modifications to multi-family housing initially financed by the Agency, or for equity or other authorized purposes as defined by the respective program regulation, NOSA, or Appropriation.  The borrower will have already submitted much of the required information in the initial loan application or transfer application package; therefore, much of the information will just have to be updated for the subsequent loan requirements.</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Management Plan.</w:t>
      </w:r>
      <w:r>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Revisions to Management Plan</w:t>
      </w:r>
      <w:r>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Written Request for Agency Approval </w:t>
      </w:r>
      <w:proofErr w:type="spellStart"/>
      <w:r>
        <w:rPr>
          <w:rFonts w:ascii="Times New Roman" w:hAnsi="Times New Roman"/>
          <w:sz w:val="24"/>
          <w:szCs w:val="24"/>
          <w:u w:val="single"/>
        </w:rPr>
        <w:t>f</w:t>
      </w:r>
      <w:proofErr w:type="spellEnd"/>
      <w:r>
        <w:rPr>
          <w:rFonts w:ascii="Times New Roman" w:hAnsi="Times New Roman"/>
          <w:sz w:val="24"/>
          <w:szCs w:val="24"/>
          <w:u w:val="single"/>
        </w:rPr>
        <w:t xml:space="preserve"> Management Entity</w:t>
      </w:r>
      <w:r>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Management Agreement</w:t>
      </w:r>
      <w:r>
        <w:rPr>
          <w:rFonts w:ascii="Times New Roman" w:hAnsi="Times New Roman"/>
          <w:sz w:val="24"/>
          <w:szCs w:val="24"/>
        </w:rPr>
        <w:t xml:space="preserve">.  This agreement is the contract between the borrower and the management agent hired to manage operation of the security property.  It is essential to have a clear understanding between the owner, management agent, and the Agency, of the division of responsibilities and compensation for service provided.  This agreement impacts directly on the </w:t>
      </w:r>
      <w:r>
        <w:rPr>
          <w:rFonts w:ascii="Times New Roman" w:hAnsi="Times New Roman"/>
          <w:sz w:val="24"/>
          <w:szCs w:val="24"/>
        </w:rPr>
        <w:lastRenderedPageBreak/>
        <w:t>borrower’s ability to fulfill its loan agreement and obligations.  This agreement is prepared when the agent is initially hired and is reviewed and modified as needed or required to achieve loan objectives.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Capital Needs Assessment</w:t>
      </w:r>
      <w:r>
        <w:rPr>
          <w:rFonts w:ascii="Times New Roman" w:hAnsi="Times New Roman"/>
          <w:sz w:val="24"/>
          <w:szCs w:val="24"/>
        </w:rPr>
        <w:t xml:space="preserve">.  The long-term capital plan will be developed as part of the budget process.  This plan ensures that long-range needs of the project will be met and that tenants will continue to reside in safe, decent, sanitary housing conditions.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Eviction of Tenants Who Do Not Recertify</w:t>
      </w:r>
      <w:r>
        <w:rPr>
          <w:rFonts w:ascii="Times New Roman" w:hAnsi="Times New Roman"/>
          <w:sz w:val="24"/>
          <w:szCs w:val="24"/>
        </w:rPr>
        <w:t>.  If a tenant refuses to cooperate in verifying income and other information, they may be evicted.  This ensures that ineligible tenants are not occupying the units.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Request to Rent to Ineligible Occupants</w:t>
      </w:r>
      <w:r>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Tenant Application Forms</w:t>
      </w:r>
      <w:r>
        <w:rPr>
          <w:rFonts w:ascii="Times New Roman" w:hAnsi="Times New Roman"/>
          <w:sz w:val="24"/>
          <w:szCs w:val="24"/>
        </w:rPr>
        <w:t>.  Borrowers must use tenant application forms that collect sufficient information to properly determine household eligibility and to monitor compliance with the Fair Housing Act.  These files enable the Agency to verify eligibility of tenants, Fair Housing and civil rights compliance by the borrower.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Authorization for Information Verification</w:t>
      </w:r>
      <w:r>
        <w:rPr>
          <w:rFonts w:ascii="Times New Roman" w:hAnsi="Times New Roman"/>
          <w:sz w:val="24"/>
          <w:szCs w:val="24"/>
        </w:rPr>
        <w:t>.  Authorization must be signed by borrowers/applicants, tenants, etc., so that we can verify such things as employment, other income, and account balances.  These verifications ensure that the borrower is providing appropriate assistance to eligible persons.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Waiting Lists</w:t>
      </w:r>
      <w:r>
        <w:rPr>
          <w:rFonts w:ascii="Times New Roman" w:hAnsi="Times New Roman"/>
          <w:sz w:val="24"/>
          <w:szCs w:val="24"/>
        </w:rPr>
        <w:t>.  This list is required to assure that eligible tenant applicants are afforded fairness of selection according to Agency requirements. Information on the place and times for tenant application submission is required to be documented in the housing project’s management plan and Affirmative Fair Housing Marketing Plan.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Notification to Ineligible Applicants/Rejections</w:t>
      </w:r>
      <w:r>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Lease/Lease Modifications</w:t>
      </w:r>
      <w:r>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at the tenant’s initial occupancy and then subsequently with each new 1-year lease term.  The Agency requires use of a written tenant lease for consistency in program conformity.  Although leases are usual and customary, the Agency requires specific language clauses dealing with specific program requirements.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Occupancy Rules</w:t>
      </w:r>
      <w:r>
        <w:rPr>
          <w:rFonts w:ascii="Times New Roman" w:hAnsi="Times New Roman"/>
          <w:sz w:val="24"/>
          <w:szCs w:val="24"/>
        </w:rPr>
        <w:t xml:space="preserve">.  The purpose of a borrower’s occupancy rules is to outline the basis for the tenant and management relationship.  Prior to Agency approval of occupancy rules, borrowers </w:t>
      </w:r>
      <w:r>
        <w:rPr>
          <w:rFonts w:ascii="Times New Roman" w:hAnsi="Times New Roman"/>
          <w:sz w:val="24"/>
          <w:szCs w:val="24"/>
        </w:rPr>
        <w:lastRenderedPageBreak/>
        <w:t>must provide written certification from their attorney that the housing project’s occupancy rules are consistent with applicable federal, state, and local laws, as well as Agency requirements and the requirements of other programs participating in the project.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Notice of Lease Violation</w:t>
      </w:r>
      <w:r>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Occupancy Termination Notice</w:t>
      </w:r>
      <w:r>
        <w:rPr>
          <w:rFonts w:ascii="Times New Roman" w:hAnsi="Times New Roman"/>
          <w:sz w:val="24"/>
          <w:szCs w:val="24"/>
        </w:rPr>
        <w:t>.  The notice follows the notice of lease violation when a tenant fails to correct previously noted lease violations.  It is the tenant’s notice that the borrower expects the tenant to cease occupancy by a prescribed date, and that failure to do so will result in the borrower seeking eviction through judicial proceedings.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Tenant Protection and Grievance Procedures</w:t>
      </w:r>
      <w:r>
        <w:rPr>
          <w:rFonts w:ascii="Times New Roman" w:hAnsi="Times New Roman"/>
          <w:sz w:val="24"/>
          <w:szCs w:val="24"/>
        </w:rPr>
        <w:t>.  The Agency will provide borrowers/management agents with a booklet outlining tenant protection and grievance procedures to distribute to tenants.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Notification to Tenant of Adverse Action</w:t>
      </w:r>
      <w:r>
        <w:rPr>
          <w:rFonts w:ascii="Times New Roman" w:hAnsi="Times New Roman"/>
          <w:sz w:val="24"/>
          <w:szCs w:val="24"/>
        </w:rPr>
        <w:t>.  The borrower must notify a tenant before they proceed with any adverse action.  This requirement provides due notice to tenant.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Grievance </w:t>
      </w:r>
      <w:proofErr w:type="gramStart"/>
      <w:r>
        <w:rPr>
          <w:rFonts w:ascii="Times New Roman" w:hAnsi="Times New Roman"/>
          <w:sz w:val="24"/>
          <w:szCs w:val="24"/>
          <w:u w:val="single"/>
        </w:rPr>
        <w:t>Or</w:t>
      </w:r>
      <w:proofErr w:type="gramEnd"/>
      <w:r>
        <w:rPr>
          <w:rFonts w:ascii="Times New Roman" w:hAnsi="Times New Roman"/>
          <w:sz w:val="24"/>
          <w:szCs w:val="24"/>
          <w:u w:val="single"/>
        </w:rPr>
        <w:t xml:space="preserve"> Response To Adverse Action</w:t>
      </w:r>
      <w:r>
        <w:rPr>
          <w:rFonts w:ascii="Times New Roman" w:hAnsi="Times New Roman"/>
          <w:sz w:val="24"/>
          <w:szCs w:val="24"/>
        </w:rPr>
        <w:t>.  The tenant must communicate to the borrower any grievance or response within 10 calendar days after occurrence of adverse action or receipt of a notice of adverse action.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Summary and Submission </w:t>
      </w:r>
      <w:proofErr w:type="gramStart"/>
      <w:r>
        <w:rPr>
          <w:rFonts w:ascii="Times New Roman" w:hAnsi="Times New Roman"/>
          <w:sz w:val="24"/>
          <w:szCs w:val="24"/>
          <w:u w:val="single"/>
        </w:rPr>
        <w:t>Of</w:t>
      </w:r>
      <w:proofErr w:type="gramEnd"/>
      <w:r>
        <w:rPr>
          <w:rFonts w:ascii="Times New Roman" w:hAnsi="Times New Roman"/>
          <w:sz w:val="24"/>
          <w:szCs w:val="24"/>
          <w:u w:val="single"/>
        </w:rPr>
        <w:t xml:space="preserve"> Problem</w:t>
      </w:r>
      <w:r>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Escrow for Tenant Payments</w:t>
      </w:r>
      <w:r>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Certification That Funds from Other Sources to Reduce Rents Will Not Be Paid </w:t>
      </w:r>
      <w:proofErr w:type="gramStart"/>
      <w:r>
        <w:rPr>
          <w:rFonts w:ascii="Times New Roman" w:hAnsi="Times New Roman"/>
          <w:sz w:val="24"/>
          <w:szCs w:val="24"/>
          <w:u w:val="single"/>
        </w:rPr>
        <w:t>From</w:t>
      </w:r>
      <w:proofErr w:type="gramEnd"/>
      <w:r>
        <w:rPr>
          <w:rFonts w:ascii="Times New Roman" w:hAnsi="Times New Roman"/>
          <w:sz w:val="24"/>
          <w:szCs w:val="24"/>
          <w:u w:val="single"/>
        </w:rPr>
        <w:t xml:space="preserve"> Agency Funds</w:t>
      </w:r>
      <w:r>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Request for Rent Changes</w:t>
      </w:r>
      <w:r>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lastRenderedPageBreak/>
        <w:t>Summary of Tenant Comments</w:t>
      </w:r>
      <w:r>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Documentation That There Are No Very Low-Income Households or That Occupancy </w:t>
      </w:r>
      <w:proofErr w:type="gramStart"/>
      <w:r>
        <w:rPr>
          <w:rFonts w:ascii="Times New Roman" w:hAnsi="Times New Roman"/>
          <w:sz w:val="24"/>
          <w:szCs w:val="24"/>
          <w:u w:val="single"/>
        </w:rPr>
        <w:t>By</w:t>
      </w:r>
      <w:proofErr w:type="gramEnd"/>
      <w:r>
        <w:rPr>
          <w:rFonts w:ascii="Times New Roman" w:hAnsi="Times New Roman"/>
          <w:sz w:val="24"/>
          <w:szCs w:val="24"/>
          <w:u w:val="single"/>
        </w:rPr>
        <w:t xml:space="preserve"> Low-Income Households Is Limited</w:t>
      </w:r>
      <w:r>
        <w:rPr>
          <w:rFonts w:ascii="Times New Roman" w:hAnsi="Times New Roman"/>
          <w:sz w:val="24"/>
          <w:szCs w:val="24"/>
        </w:rPr>
        <w:t>.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November 30, 1983,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Rental Subsidies </w:t>
      </w:r>
      <w:proofErr w:type="gramStart"/>
      <w:r>
        <w:rPr>
          <w:rFonts w:ascii="Times New Roman" w:hAnsi="Times New Roman"/>
          <w:sz w:val="24"/>
          <w:szCs w:val="24"/>
          <w:u w:val="single"/>
        </w:rPr>
        <w:t>From</w:t>
      </w:r>
      <w:proofErr w:type="gramEnd"/>
      <w:r>
        <w:rPr>
          <w:rFonts w:ascii="Times New Roman" w:hAnsi="Times New Roman"/>
          <w:sz w:val="24"/>
          <w:szCs w:val="24"/>
          <w:u w:val="single"/>
        </w:rPr>
        <w:t xml:space="preserve"> Non-Agency Sources</w:t>
      </w:r>
      <w:r>
        <w:rPr>
          <w:rFonts w:ascii="Times New Roman" w:hAnsi="Times New Roman"/>
          <w:sz w:val="24"/>
          <w:szCs w:val="24"/>
        </w:rPr>
        <w:t>.  Loan applicants using non-Agency rental subsidy must provide market documentation and the rental subsidy agreement.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CPA Certification of Separate Accountability</w:t>
      </w:r>
      <w:r>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Withdrawal of Initial 2 Percent</w:t>
      </w:r>
      <w:r>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Maintain Reserve Funds Accounts.</w:t>
      </w:r>
      <w:r>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Request for Approval of Advancement of Owners Funds.</w:t>
      </w:r>
      <w:r>
        <w:rPr>
          <w:rFonts w:ascii="Times New Roman" w:hAnsi="Times New Roman"/>
          <w:sz w:val="24"/>
          <w:szCs w:val="24"/>
        </w:rPr>
        <w:t xml:space="preserve"> Prior written approval by the Servicing Office is required. Such advances may be authorized when justified by unusual short-term conditions. </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lastRenderedPageBreak/>
        <w:t>Reports</w:t>
      </w:r>
      <w:r>
        <w:rPr>
          <w:rFonts w:ascii="Times New Roman" w:hAnsi="Times New Roman"/>
          <w:sz w:val="24"/>
          <w:szCs w:val="24"/>
        </w:rPr>
        <w:t>.  The Agency may require quarterly or monthly reports to monitor financial progress when closer supervision is warranted.  The reports must be submitted using an Agency approved format.  Also see Forms RD 3560-7 or 3560-7A.</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Response to Agency Notification of Deficiencies or Violations</w:t>
      </w:r>
      <w:r>
        <w:rPr>
          <w:rFonts w:ascii="Times New Roman" w:hAnsi="Times New Roman"/>
          <w:sz w:val="24"/>
          <w:szCs w:val="24"/>
        </w:rPr>
        <w:t>.  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Request for Payoff</w:t>
      </w:r>
      <w:r>
        <w:rPr>
          <w:rFonts w:ascii="Times New Roman" w:hAnsi="Times New Roman"/>
          <w:sz w:val="24"/>
          <w:szCs w:val="24"/>
        </w:rPr>
        <w:t>.  At the borrower’s request, the Agency will prepare a payoff statement.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Documentation of Organization Structure/Changes </w:t>
      </w:r>
      <w:proofErr w:type="gramStart"/>
      <w:r>
        <w:rPr>
          <w:rFonts w:ascii="Times New Roman" w:hAnsi="Times New Roman"/>
          <w:sz w:val="24"/>
          <w:szCs w:val="24"/>
          <w:u w:val="single"/>
        </w:rPr>
        <w:t>In</w:t>
      </w:r>
      <w:proofErr w:type="gramEnd"/>
      <w:r>
        <w:rPr>
          <w:rFonts w:ascii="Times New Roman" w:hAnsi="Times New Roman"/>
          <w:sz w:val="24"/>
          <w:szCs w:val="24"/>
          <w:u w:val="single"/>
        </w:rPr>
        <w:t xml:space="preserve"> Ownership Entity/Agency Approval For Ownership Changes Or Sales</w:t>
      </w:r>
      <w:r>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Signed Agreement Listing All Known Repairs</w:t>
      </w:r>
      <w:r>
        <w:rPr>
          <w:rFonts w:ascii="Times New Roman" w:hAnsi="Times New Roman"/>
          <w:sz w:val="24"/>
          <w:szCs w:val="24"/>
        </w:rPr>
        <w:t xml:space="preserve">.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w:t>
      </w:r>
      <w:proofErr w:type="gramStart"/>
      <w:r>
        <w:rPr>
          <w:rFonts w:ascii="Times New Roman" w:hAnsi="Times New Roman"/>
          <w:sz w:val="24"/>
          <w:szCs w:val="24"/>
        </w:rPr>
        <w:t>be in compliance with</w:t>
      </w:r>
      <w:proofErr w:type="gramEnd"/>
      <w:r>
        <w:rPr>
          <w:rFonts w:ascii="Times New Roman" w:hAnsi="Times New Roman"/>
          <w:sz w:val="24"/>
          <w:szCs w:val="24"/>
        </w:rPr>
        <w:t xml:space="preserve"> Agency requirements for decent, safe and sanitary housing.</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Financial Reports for Transferee/Buyer</w:t>
      </w:r>
      <w:r>
        <w:rPr>
          <w:rFonts w:ascii="Times New Roman" w:hAnsi="Times New Roman"/>
          <w:sz w:val="24"/>
          <w:szCs w:val="24"/>
        </w:rPr>
        <w:t>.  The underwriting requirement for financial reports applies to transfers.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 Liens, Judgments</w:t>
      </w:r>
      <w:r>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Certification That Equity Payments to Borrower Will Not Be Paid from Project Funds (Identify Sources).</w:t>
      </w:r>
      <w:r>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Applicable Restrictive Use Agreement to Be Executed </w:t>
      </w:r>
      <w:proofErr w:type="gramStart"/>
      <w:r>
        <w:rPr>
          <w:rFonts w:ascii="Times New Roman" w:hAnsi="Times New Roman"/>
          <w:sz w:val="24"/>
          <w:szCs w:val="24"/>
          <w:u w:val="single"/>
        </w:rPr>
        <w:t>By</w:t>
      </w:r>
      <w:proofErr w:type="gramEnd"/>
      <w:r>
        <w:rPr>
          <w:rFonts w:ascii="Times New Roman" w:hAnsi="Times New Roman"/>
          <w:sz w:val="24"/>
          <w:szCs w:val="24"/>
          <w:u w:val="single"/>
        </w:rPr>
        <w:t xml:space="preserve"> Transferee/Borrower</w:t>
      </w:r>
      <w:r>
        <w:rPr>
          <w:rFonts w:ascii="Times New Roman" w:hAnsi="Times New Roman"/>
          <w:sz w:val="24"/>
          <w:szCs w:val="24"/>
        </w:rPr>
        <w:t>.  A restrictive use agreement must be executed by transferee at loan closing.  This is to ensure property retains use as affordable housing as required by law.</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Written Consent for Subordination and Junior Liens</w:t>
      </w:r>
      <w:r>
        <w:rPr>
          <w:rFonts w:ascii="Times New Roman" w:hAnsi="Times New Roman"/>
          <w:sz w:val="24"/>
          <w:szCs w:val="24"/>
        </w:rPr>
        <w:t xml:space="preserve">. Borrowers must obtain Agency consent prior to entering into any financial transaction that will require a subordination of the Agency </w:t>
      </w:r>
      <w:r>
        <w:rPr>
          <w:rFonts w:ascii="Times New Roman" w:hAnsi="Times New Roman"/>
          <w:sz w:val="24"/>
          <w:szCs w:val="24"/>
        </w:rPr>
        <w:lastRenderedPageBreak/>
        <w:t>security interest in the property.  The subordination must not adversely impact the Agency’s ability to service the loan.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Filing of Financing Statement, Loan Document </w:t>
      </w:r>
      <w:proofErr w:type="gramStart"/>
      <w:r>
        <w:rPr>
          <w:rFonts w:ascii="Times New Roman" w:hAnsi="Times New Roman"/>
          <w:sz w:val="24"/>
          <w:szCs w:val="24"/>
          <w:u w:val="single"/>
        </w:rPr>
        <w:t>Or</w:t>
      </w:r>
      <w:proofErr w:type="gramEnd"/>
      <w:r>
        <w:rPr>
          <w:rFonts w:ascii="Times New Roman" w:hAnsi="Times New Roman"/>
          <w:sz w:val="24"/>
          <w:szCs w:val="24"/>
          <w:u w:val="single"/>
        </w:rPr>
        <w:t xml:space="preserve"> Contract And Security Agreement</w:t>
      </w:r>
      <w:r>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Workout Agreements/Revised Agreements</w:t>
      </w:r>
      <w:r>
        <w:rPr>
          <w:rFonts w:ascii="Times New Roman" w:hAnsi="Times New Roman"/>
          <w:sz w:val="24"/>
          <w:szCs w:val="24"/>
        </w:rPr>
        <w:t>.  Borrowers must submit a workout agreement in order for the Agency to assist the borrower in overcoming a default or problem.</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Special Servicing Rent</w:t>
      </w:r>
      <w:r>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Termination of Management Agreement</w:t>
      </w:r>
      <w:r>
        <w:rPr>
          <w:rFonts w:ascii="Times New Roman" w:hAnsi="Times New Roman"/>
          <w:sz w:val="24"/>
          <w:szCs w:val="24"/>
        </w:rPr>
        <w:t xml:space="preserve">.  If the Agency determines that a compliance violation or loan default was caused by the actions or inactions of the </w:t>
      </w:r>
      <w:proofErr w:type="gramStart"/>
      <w:r>
        <w:rPr>
          <w:rFonts w:ascii="Times New Roman" w:hAnsi="Times New Roman"/>
          <w:sz w:val="24"/>
          <w:szCs w:val="24"/>
        </w:rPr>
        <w:t>projects</w:t>
      </w:r>
      <w:proofErr w:type="gramEnd"/>
      <w:r>
        <w:rPr>
          <w:rFonts w:ascii="Times New Roman" w:hAnsi="Times New Roman"/>
          <w:sz w:val="24"/>
          <w:szCs w:val="24"/>
        </w:rPr>
        <w:t xml:space="preserve"> management agent, the Agency may require that the borrower terminate the management agreement with that agent.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Bill of Sale Itemizing Chattel Property</w:t>
      </w:r>
      <w:r>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Letters of Credit for Additional Security</w:t>
      </w:r>
      <w:r>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Special Borrower Circumstances</w:t>
      </w:r>
      <w:r>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Certification That Farm Workers Are Involved in Applicant’s Agricultural Operations</w:t>
      </w:r>
      <w:r>
        <w:rPr>
          <w:rFonts w:ascii="Times New Roman" w:hAnsi="Times New Roman"/>
          <w:sz w:val="24"/>
          <w:szCs w:val="24"/>
        </w:rPr>
        <w:t>.  Borrowers applying for a farm labor housing loan must certify that farm workers are involved in the applicant’s agricultural operations.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Certification That Operations Will Be Conducted in A Nonprofit Manner</w:t>
      </w:r>
      <w:r>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lastRenderedPageBreak/>
        <w:t>Additional Security for Loans</w:t>
      </w:r>
      <w:r>
        <w:rPr>
          <w:rFonts w:ascii="Times New Roman" w:hAnsi="Times New Roman"/>
          <w:sz w:val="24"/>
          <w:szCs w:val="24"/>
        </w:rPr>
        <w:t>.  If necessary to provide adequate security for an on-farm labor housing loan, personal liability and recourse will be required of all borrowers and the Agency may require that any household furnishings purchased with loan funds also be secured.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Prepayment Request</w:t>
      </w:r>
      <w:r>
        <w:rPr>
          <w:rFonts w:ascii="Times New Roman" w:hAnsi="Times New Roman"/>
          <w:sz w:val="24"/>
          <w:szCs w:val="24"/>
        </w:rPr>
        <w:t>.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will accept prepayment deadline. The prepayment request will contain the following:</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Copy of waiting list</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Copy of lease language</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Ability to prepay</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Federal, state, or local law compliance</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Financial assistance certification</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Fair Housing Act Certification</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Proposed use after prepayment</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Prepayment market study</w:t>
      </w:r>
    </w:p>
    <w:p w:rsidR="00853CF2" w:rsidP="00853CF2" w:rsidRDefault="00853CF2">
      <w:pPr>
        <w:numPr>
          <w:ilvl w:val="0"/>
          <w:numId w:val="2"/>
        </w:numPr>
        <w:rPr>
          <w:rFonts w:ascii="Times New Roman" w:hAnsi="Times New Roman"/>
          <w:sz w:val="24"/>
          <w:szCs w:val="24"/>
        </w:rPr>
      </w:pPr>
      <w:r>
        <w:rPr>
          <w:rFonts w:ascii="Times New Roman" w:hAnsi="Times New Roman"/>
          <w:sz w:val="24"/>
          <w:szCs w:val="24"/>
        </w:rPr>
        <w:t>Description of the loan to be prepaid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Posting Prepayment Notices</w:t>
      </w:r>
      <w:r>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Tenants May Request LOPE</w:t>
      </w:r>
      <w:r>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Borrower Must Accept or Reject Incentive Offer</w:t>
      </w:r>
      <w:r>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Appraisal Reports (Prepayment Only)</w:t>
      </w:r>
      <w:r>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Borrower May Offer to Sell to Nonprofit</w:t>
      </w:r>
      <w:r>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Provide Interested Entities with Information Regarding Project and Provide Additional Materials Requested </w:t>
      </w:r>
      <w:proofErr w:type="gramStart"/>
      <w:r>
        <w:rPr>
          <w:rFonts w:ascii="Times New Roman" w:hAnsi="Times New Roman"/>
          <w:sz w:val="24"/>
          <w:szCs w:val="24"/>
          <w:u w:val="single"/>
        </w:rPr>
        <w:t>By</w:t>
      </w:r>
      <w:proofErr w:type="gramEnd"/>
      <w:r>
        <w:rPr>
          <w:rFonts w:ascii="Times New Roman" w:hAnsi="Times New Roman"/>
          <w:sz w:val="24"/>
          <w:szCs w:val="24"/>
          <w:u w:val="single"/>
        </w:rPr>
        <w:t xml:space="preserve"> Interested Parties</w:t>
      </w:r>
      <w:r>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Document Compliance with Restrictive Use Provisions</w:t>
      </w:r>
      <w:r>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Notification of Unauthorized Assistance</w:t>
      </w:r>
      <w:r>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Corrective Actions by Tenants or Borrowers</w:t>
      </w:r>
      <w:r>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Submit Proposed Tenant Repayment Arrangements</w:t>
      </w:r>
      <w:r>
        <w:rPr>
          <w:rFonts w:ascii="Times New Roman" w:hAnsi="Times New Roman"/>
          <w:sz w:val="24"/>
          <w:szCs w:val="24"/>
        </w:rPr>
        <w:t>.  Borrower must submit documentation of arrangements borrower has made with tenant for repayment of unauthorized assistance.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Recapture of Unauthorized Assistance</w:t>
      </w:r>
      <w:r>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 regarding unauthorized assistance received by a tenant with the tenants file records.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Environmental Report</w:t>
      </w:r>
      <w:r>
        <w:rPr>
          <w:rFonts w:ascii="Times New Roman" w:hAnsi="Times New Roman"/>
          <w:sz w:val="24"/>
          <w:szCs w:val="24"/>
        </w:rPr>
        <w:t>. This requires the applicant to provide environmental information on the proposed project site and the activities to be conducted at the site by the applicant.    For actions classified as categorical exclusions, the form need not be completed at all.   The information on this form provides a basis for an environmental assessment from which the Agency official may determine whether or not an environmental impact statement (EIS) is necessary to comply with NEPA. This written report has taken the place of RD Form 1940-20 which was made obsolete.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rPr>
        <w:t>REPORTING REQUIREMENTS – FORMS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440-34, Option to Purchase Real Estate.</w:t>
      </w:r>
      <w:r>
        <w:rPr>
          <w:rFonts w:ascii="Times New Roman" w:hAnsi="Times New Roman"/>
          <w:sz w:val="24"/>
          <w:szCs w:val="24"/>
        </w:rPr>
        <w:t xml:space="preserve">  This form is used by the borrower to obtain an option on real estate to be purchased.  A standard contract may be used in lieu of this form.</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3560-1, Application for Partial Release, Subordination or Consent.</w:t>
      </w:r>
      <w:r>
        <w:rPr>
          <w:rFonts w:ascii="Times New Roman" w:hAnsi="Times New Roman"/>
          <w:sz w:val="24"/>
          <w:szCs w:val="24"/>
        </w:rPr>
        <w:t xml:space="preserve">  This form is used by borrowers to obtain consent from the Agency to permit Junior liens, or request partial release from terms of real estate security instruments.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lastRenderedPageBreak/>
        <w:t>Form RD 3560-7, Multi-Family Housing Project Budget/Utility Allowance</w:t>
      </w:r>
      <w:r>
        <w:rPr>
          <w:rFonts w:ascii="Times New Roman" w:hAnsi="Times New Roman"/>
          <w:sz w:val="24"/>
          <w:szCs w:val="24"/>
        </w:rPr>
        <w:t>.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3560-7A, On-Farm Labor Housing Project Budget</w:t>
      </w:r>
      <w:r>
        <w:rPr>
          <w:rFonts w:ascii="Times New Roman" w:hAnsi="Times New Roman"/>
          <w:sz w:val="24"/>
          <w:szCs w:val="24"/>
        </w:rPr>
        <w:t>.  Each on-farm labor housing borrower must complete this form showing expenses of the farming business.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3560-8, Tenant Certification and annual recertification</w:t>
      </w:r>
      <w:r>
        <w:rPr>
          <w:rFonts w:ascii="Times New Roman" w:hAnsi="Times New Roman"/>
          <w:sz w:val="24"/>
          <w:szCs w:val="24"/>
        </w:rPr>
        <w:t xml:space="preserve">.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w:t>
      </w:r>
      <w:proofErr w:type="gramStart"/>
      <w:r>
        <w:rPr>
          <w:rFonts w:ascii="Times New Roman" w:hAnsi="Times New Roman"/>
          <w:sz w:val="24"/>
          <w:szCs w:val="24"/>
        </w:rPr>
        <w:t>is in compliance with</w:t>
      </w:r>
      <w:proofErr w:type="gramEnd"/>
      <w:r>
        <w:rPr>
          <w:rFonts w:ascii="Times New Roman" w:hAnsi="Times New Roman"/>
          <w:sz w:val="24"/>
          <w:szCs w:val="24"/>
        </w:rPr>
        <w:t xml:space="preserve">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3560-9, Multi-Family Housing Interest Credit and Rental Assistance Agreement.</w:t>
      </w:r>
      <w:r>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3560-10, Multi-Family Housing Balance Sheet</w:t>
      </w:r>
      <w:r>
        <w:rPr>
          <w:rFonts w:ascii="Times New Roman" w:hAnsi="Times New Roman"/>
          <w:sz w:val="24"/>
          <w:szCs w:val="24"/>
        </w:rPr>
        <w:t>.  This form provides a comparison of year-end financial condition with the financial condition one year earlier.  It is a statement of borrower financial condition as of a specific date and is used for analysis of borrower progress.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3560-12, Request for Authorization to Withdraw Reserve Funds</w:t>
      </w:r>
      <w:r>
        <w:rPr>
          <w:rFonts w:ascii="Times New Roman" w:hAnsi="Times New Roman"/>
          <w:sz w:val="24"/>
          <w:szCs w:val="24"/>
        </w:rPr>
        <w:t>.  This form is to assure the steady buildup of the reserve fund, its use is restricted by requiring approval of the Agency prior to use of any portion of the reserve.  In cases of extreme emergency, the Agency can post-approve such withdrawals.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3560-13, Multifamily Project Owner’s/Management Agent’s Management Certification.</w:t>
      </w:r>
      <w:r>
        <w:rPr>
          <w:rFonts w:ascii="Times New Roman" w:hAnsi="Times New Roman"/>
          <w:sz w:val="24"/>
          <w:szCs w:val="24"/>
        </w:rPr>
        <w:t xml:space="preserve">  This form is completed by Owners of Agency multifamily housing projects that are required to submit certain data for review by the Agency for approval of a new management agent. </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Form RD 3560-15, </w:t>
      </w:r>
      <w:proofErr w:type="spellStart"/>
      <w:r>
        <w:rPr>
          <w:rFonts w:ascii="Times New Roman" w:hAnsi="Times New Roman"/>
          <w:sz w:val="24"/>
          <w:szCs w:val="24"/>
          <w:u w:val="single"/>
        </w:rPr>
        <w:t>Reamortization</w:t>
      </w:r>
      <w:proofErr w:type="spellEnd"/>
      <w:r>
        <w:rPr>
          <w:rFonts w:ascii="Times New Roman" w:hAnsi="Times New Roman"/>
          <w:sz w:val="24"/>
          <w:szCs w:val="24"/>
          <w:u w:val="single"/>
        </w:rPr>
        <w:t xml:space="preserve"> Request.</w:t>
      </w:r>
      <w:r>
        <w:rPr>
          <w:rFonts w:ascii="Times New Roman" w:hAnsi="Times New Roman"/>
          <w:sz w:val="24"/>
          <w:szCs w:val="24"/>
        </w:rPr>
        <w:t xml:space="preserve">  This form is used to request </w:t>
      </w:r>
      <w:proofErr w:type="spellStart"/>
      <w:r>
        <w:rPr>
          <w:rFonts w:ascii="Times New Roman" w:hAnsi="Times New Roman"/>
          <w:sz w:val="24"/>
          <w:szCs w:val="24"/>
        </w:rPr>
        <w:t>reamortization</w:t>
      </w:r>
      <w:proofErr w:type="spellEnd"/>
      <w:r>
        <w:rPr>
          <w:rFonts w:ascii="Times New Roman" w:hAnsi="Times New Roman"/>
          <w:sz w:val="24"/>
          <w:szCs w:val="24"/>
        </w:rPr>
        <w:t xml:space="preserve"> of certain loan types.  The terms of the existing note may be modified through use of this form.</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3560-20, Multi-Family Housing Transfer and Assumption Review and Recommendation.</w:t>
      </w:r>
      <w:r>
        <w:rPr>
          <w:rFonts w:ascii="Times New Roman" w:hAnsi="Times New Roman"/>
          <w:sz w:val="24"/>
          <w:szCs w:val="24"/>
        </w:rPr>
        <w:t xml:space="preserve">  This form is used by the Agency to assemble information needed in planning transfers of real estate security.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3560-22, Offer to Convey Security.</w:t>
      </w:r>
      <w:r>
        <w:rPr>
          <w:rFonts w:ascii="Times New Roman" w:hAnsi="Times New Roman"/>
          <w:sz w:val="24"/>
          <w:szCs w:val="24"/>
        </w:rPr>
        <w:t xml:space="preserve">  This form is used by borrowers in offering to convey real estate security property to the Agency.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3560-25, Request for Rental Assistance/Operating Assistance</w:t>
      </w:r>
      <w:r>
        <w:rPr>
          <w:rFonts w:ascii="Times New Roman" w:hAnsi="Times New Roman"/>
          <w:sz w:val="24"/>
          <w:szCs w:val="24"/>
        </w:rPr>
        <w:t>.  This form is utilized to document the initial need for rental assistance for a project.  Subsequent needs will be a checkbox on annual budgets submitted by borrower.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3560-27, Rental Assistance Agreement</w:t>
      </w:r>
      <w:r>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3560-27A, Operating Assistance Agreement</w:t>
      </w:r>
      <w:r>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assistance to a borrower.  Operating assistance is only available for Off-Farm Labor Housing.</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3560-29, Notice of Payment Due Report</w:t>
      </w:r>
      <w:r>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3560-31, Identity of Interest Disclosure and Qualification Certificate</w:t>
      </w:r>
      <w:r>
        <w:rPr>
          <w:rFonts w:ascii="Times New Roman" w:hAnsi="Times New Roman"/>
          <w:sz w:val="24"/>
          <w:szCs w:val="24"/>
        </w:rPr>
        <w:t xml:space="preserve">.  This form must be completed by the principal for each trade or business with an identity of interest relationship with the borrower.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Forms RD 3560-33, 3560-34, 3560-35, Loan Agreement/Resolution</w:t>
      </w:r>
      <w:r>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Forms RD 3560-39, 3560-40, 3560-41, 3560-42, 3560-43, Labor Housing Resolution and loan/grant agreement.</w:t>
      </w:r>
      <w:r>
        <w:rPr>
          <w:rFonts w:ascii="Times New Roman" w:hAnsi="Times New Roman"/>
          <w:sz w:val="24"/>
          <w:szCs w:val="24"/>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Forms RD 3560-33A, 3560-34A, 3560-35A, Loan Consolidation</w:t>
      </w:r>
      <w:r>
        <w:rPr>
          <w:rFonts w:ascii="Times New Roman" w:hAnsi="Times New Roman"/>
          <w:sz w:val="24"/>
          <w:szCs w:val="24"/>
        </w:rPr>
        <w:t xml:space="preserve">.  With the Agency’s approval, loans may be consolidated to reduce the administrative burden, improve cost effectiveness, and utilize facilities common to housing projects.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3560-44, Farm Labor Housing Technical Assistance Grant Agreement.</w:t>
      </w:r>
      <w:r>
        <w:rPr>
          <w:rFonts w:ascii="Times New Roman" w:hAnsi="Times New Roman"/>
          <w:sz w:val="24"/>
          <w:szCs w:val="24"/>
        </w:rPr>
        <w:t xml:space="preserve">  The Agency may award technical assistance grants to eligible private and public nonprofit agencies.  These </w:t>
      </w:r>
      <w:r>
        <w:rPr>
          <w:rFonts w:ascii="Times New Roman" w:hAnsi="Times New Roman"/>
          <w:sz w:val="24"/>
          <w:szCs w:val="24"/>
        </w:rPr>
        <w:lastRenderedPageBreak/>
        <w:t xml:space="preserve">grant recipients will assist other organizations to obtain loans and grants for the construction of farm labor housing.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3560-38, Application for Cooperative Housing Membership.</w:t>
      </w:r>
      <w:r>
        <w:rPr>
          <w:rFonts w:ascii="Times New Roman" w:hAnsi="Times New Roman"/>
          <w:sz w:val="24"/>
          <w:szCs w:val="24"/>
        </w:rPr>
        <w:t xml:space="preserve">  This form is used by cooperatives to obtain formal applications from persons seeking membership in a rural housing cooperative.</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3560-51, MFH Obligation Fund Analysis.</w:t>
      </w:r>
      <w:r>
        <w:rPr>
          <w:rFonts w:ascii="Times New Roman" w:hAnsi="Times New Roman"/>
          <w:sz w:val="24"/>
          <w:szCs w:val="24"/>
        </w:rPr>
        <w:t xml:space="preserve">  This form is used to obligate loan funds and grants for MFH projects.  It may be used to obligate or de-obligate rental or operating assistance.</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Form RD 3560-57, Application for Settlement of Indebtedness</w:t>
      </w:r>
      <w:r>
        <w:rPr>
          <w:rFonts w:ascii="Times New Roman" w:hAnsi="Times New Roman"/>
          <w:sz w:val="24"/>
          <w:szCs w:val="24"/>
        </w:rPr>
        <w:t xml:space="preserve">.  Borrowers requesting debt settlement must submit complete and accurate information from which the Agency can </w:t>
      </w:r>
      <w:proofErr w:type="gramStart"/>
      <w:r>
        <w:rPr>
          <w:rFonts w:ascii="Times New Roman" w:hAnsi="Times New Roman"/>
          <w:sz w:val="24"/>
          <w:szCs w:val="24"/>
        </w:rPr>
        <w:t>make a decision</w:t>
      </w:r>
      <w:proofErr w:type="gramEnd"/>
      <w:r>
        <w:rPr>
          <w:rFonts w:ascii="Times New Roman" w:hAnsi="Times New Roman"/>
          <w:sz w:val="24"/>
          <w:szCs w:val="24"/>
        </w:rPr>
        <w:t>.  Offers that are rejected will be returned to the borrower with comments on potential points of negotiation.  The borrower may resubmit his/her offer at any time.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rPr>
      </w:pPr>
      <w:r>
        <w:rPr>
          <w:rFonts w:ascii="Times New Roman" w:hAnsi="Times New Roman"/>
          <w:sz w:val="24"/>
          <w:szCs w:val="24"/>
          <w:u w:val="single"/>
        </w:rPr>
        <w:t>Form RD 440-11, Estimate of Funds Needed for 30-Day Period Commencing</w:t>
      </w:r>
    </w:p>
    <w:p w:rsidR="00853CF2" w:rsidP="00853CF2" w:rsidRDefault="00853CF2">
      <w:pPr>
        <w:rPr>
          <w:rFonts w:ascii="Times New Roman" w:hAnsi="Times New Roman"/>
          <w:sz w:val="24"/>
          <w:szCs w:val="24"/>
        </w:rPr>
      </w:pPr>
      <w:r>
        <w:rPr>
          <w:rFonts w:ascii="Times New Roman" w:hAnsi="Times New Roman"/>
          <w:sz w:val="24"/>
          <w:szCs w:val="24"/>
        </w:rPr>
        <w:t>This form is a request used by the applicant to indicate the amount of funds required in construction projects for a 30-day period.  It is concurred in by Rural Development as to the reasonableness of the amount.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w:t>
      </w:r>
      <w:r>
        <w:rPr>
          <w:rFonts w:ascii="Arial" w:hAnsi="Arial" w:cs="Arial"/>
          <w:sz w:val="18"/>
          <w:szCs w:val="18"/>
          <w:u w:val="single"/>
        </w:rPr>
        <w:t xml:space="preserve"> </w:t>
      </w:r>
      <w:r>
        <w:rPr>
          <w:rFonts w:ascii="Times New Roman" w:hAnsi="Times New Roman"/>
          <w:sz w:val="24"/>
          <w:szCs w:val="24"/>
          <w:u w:val="single"/>
        </w:rPr>
        <w:t>Development Plan</w:t>
      </w:r>
    </w:p>
    <w:p w:rsidR="00853CF2" w:rsidP="00853CF2" w:rsidRDefault="00853CF2">
      <w:pPr>
        <w:rPr>
          <w:rFonts w:ascii="Times New Roman" w:hAnsi="Times New Roman"/>
          <w:sz w:val="24"/>
          <w:szCs w:val="24"/>
          <w:u w:val="single"/>
        </w:rPr>
      </w:pPr>
      <w:r>
        <w:rPr>
          <w:rFonts w:ascii="Times New Roman" w:hAnsi="Times New Roman"/>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1924-2, Description of Materials</w:t>
      </w:r>
    </w:p>
    <w:p w:rsidR="00853CF2" w:rsidP="00853CF2" w:rsidRDefault="00853CF2">
      <w:pPr>
        <w:rPr>
          <w:rFonts w:ascii="Times New Roman" w:hAnsi="Times New Roman"/>
          <w:sz w:val="24"/>
          <w:szCs w:val="24"/>
        </w:rPr>
      </w:pPr>
      <w:r>
        <w:rPr>
          <w:rFonts w:ascii="Times New Roman" w:hAnsi="Times New Roman"/>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1924-3, Service Building Specifications</w:t>
      </w:r>
    </w:p>
    <w:p w:rsidR="00853CF2" w:rsidP="00853CF2" w:rsidRDefault="00853CF2">
      <w:pPr>
        <w:rPr>
          <w:rFonts w:ascii="Times New Roman" w:hAnsi="Times New Roman"/>
          <w:sz w:val="24"/>
          <w:szCs w:val="24"/>
        </w:rPr>
      </w:pPr>
      <w:r>
        <w:rPr>
          <w:rFonts w:ascii="Times New Roman" w:hAnsi="Times New Roman"/>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1924-5, Invitation for Bid</w:t>
      </w:r>
    </w:p>
    <w:p w:rsidR="00853CF2" w:rsidP="00853CF2" w:rsidRDefault="00853CF2">
      <w:pPr>
        <w:rPr>
          <w:rFonts w:ascii="Times New Roman" w:hAnsi="Times New Roman"/>
          <w:sz w:val="24"/>
          <w:szCs w:val="24"/>
        </w:rPr>
      </w:pPr>
      <w:r>
        <w:rPr>
          <w:rFonts w:ascii="Times New Roman" w:hAnsi="Times New Roman"/>
          <w:sz w:val="24"/>
          <w:szCs w:val="24"/>
        </w:rPr>
        <w:t xml:space="preserve">This form is prepared by an applicant/borrower or architect to invite builders to submit bids for constructing service buildings, single family homes, or multi-family housing units by the </w:t>
      </w:r>
      <w:r>
        <w:rPr>
          <w:rFonts w:ascii="Times New Roman" w:hAnsi="Times New Roman"/>
          <w:sz w:val="24"/>
          <w:szCs w:val="24"/>
        </w:rPr>
        <w:lastRenderedPageBreak/>
        <w:t>contract method.  The collection of information for the form is a normal business practice for contracts that are competitively bid.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1924-6, Construction Contract</w:t>
      </w:r>
    </w:p>
    <w:p w:rsidR="00853CF2" w:rsidP="00853CF2" w:rsidRDefault="00853CF2">
      <w:pPr>
        <w:rPr>
          <w:rFonts w:ascii="Times New Roman" w:hAnsi="Times New Roman"/>
          <w:sz w:val="24"/>
          <w:szCs w:val="24"/>
        </w:rPr>
      </w:pPr>
      <w:r>
        <w:rPr>
          <w:rFonts w:ascii="Times New Roman" w:hAnsi="Times New Roman"/>
          <w:sz w:val="24"/>
          <w:szCs w:val="24"/>
        </w:rPr>
        <w:t>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1924-7, Contract Change Order</w:t>
      </w:r>
    </w:p>
    <w:p w:rsidR="00853CF2" w:rsidP="00853CF2" w:rsidRDefault="00853CF2">
      <w:pPr>
        <w:rPr>
          <w:rFonts w:ascii="Times New Roman" w:hAnsi="Times New Roman"/>
          <w:sz w:val="24"/>
          <w:szCs w:val="24"/>
        </w:rPr>
      </w:pPr>
      <w:r>
        <w:rPr>
          <w:rFonts w:ascii="Times New Roman" w:hAnsi="Times New Roman"/>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b/>
          <w:sz w:val="24"/>
          <w:szCs w:val="24"/>
        </w:rPr>
      </w:pPr>
    </w:p>
    <w:p w:rsidR="00853CF2" w:rsidP="00853CF2" w:rsidRDefault="00853CF2">
      <w:pPr>
        <w:rPr>
          <w:rFonts w:ascii="Times New Roman" w:hAnsi="Times New Roman"/>
          <w:b/>
          <w:sz w:val="24"/>
          <w:szCs w:val="24"/>
        </w:rPr>
      </w:pPr>
    </w:p>
    <w:p w:rsidR="00853CF2" w:rsidP="00853CF2" w:rsidRDefault="00853CF2">
      <w:pPr>
        <w:rPr>
          <w:rFonts w:ascii="Times New Roman" w:hAnsi="Times New Roman"/>
          <w:b/>
          <w:sz w:val="24"/>
          <w:szCs w:val="24"/>
        </w:rPr>
      </w:pP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1924-9,</w:t>
      </w:r>
      <w:r>
        <w:rPr>
          <w:u w:val="single"/>
        </w:rPr>
        <w:t xml:space="preserve"> </w:t>
      </w:r>
      <w:r>
        <w:rPr>
          <w:rFonts w:ascii="Times New Roman" w:hAnsi="Times New Roman"/>
          <w:sz w:val="24"/>
          <w:szCs w:val="24"/>
          <w:u w:val="single"/>
        </w:rPr>
        <w:t>Certification of Contractor's Release</w:t>
      </w:r>
    </w:p>
    <w:p w:rsidR="00853CF2" w:rsidP="00853CF2" w:rsidRDefault="00853CF2">
      <w:pPr>
        <w:rPr>
          <w:rFonts w:ascii="Times New Roman" w:hAnsi="Times New Roman"/>
          <w:sz w:val="24"/>
          <w:szCs w:val="24"/>
        </w:rPr>
      </w:pPr>
      <w:r>
        <w:rPr>
          <w:rFonts w:ascii="Times New Roman" w:hAnsi="Times New Roman"/>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1924-10, Release by Claimants</w:t>
      </w:r>
    </w:p>
    <w:p w:rsidR="00853CF2" w:rsidP="00853CF2" w:rsidRDefault="00853CF2">
      <w:pPr>
        <w:rPr>
          <w:rFonts w:ascii="Times New Roman" w:hAnsi="Times New Roman"/>
          <w:sz w:val="24"/>
          <w:szCs w:val="24"/>
        </w:rPr>
      </w:pPr>
      <w:r>
        <w:rPr>
          <w:rFonts w:ascii="Times New Roman" w:hAnsi="Times New Roman"/>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1924-11, Statement of Labor Performed</w:t>
      </w:r>
    </w:p>
    <w:p w:rsidR="00853CF2" w:rsidP="00853CF2" w:rsidRDefault="00853CF2">
      <w:pPr>
        <w:rPr>
          <w:rFonts w:ascii="Times New Roman" w:hAnsi="Times New Roman"/>
          <w:sz w:val="24"/>
          <w:szCs w:val="24"/>
        </w:rPr>
      </w:pPr>
      <w:r>
        <w:rPr>
          <w:rFonts w:ascii="Times New Roman" w:hAnsi="Times New Roman"/>
          <w:sz w:val="24"/>
          <w:szCs w:val="24"/>
        </w:rPr>
        <w:t xml:space="preserve">This form is prepared by an applicant/borrower when requesting countersignatures by the Agency on checks for payment of labor performed by hired workers involved with the construction of </w:t>
      </w:r>
      <w:proofErr w:type="gramStart"/>
      <w:r>
        <w:rPr>
          <w:rFonts w:ascii="Times New Roman" w:hAnsi="Times New Roman"/>
          <w:sz w:val="24"/>
          <w:szCs w:val="24"/>
        </w:rPr>
        <w:t>single family</w:t>
      </w:r>
      <w:proofErr w:type="gramEnd"/>
      <w:r>
        <w:rPr>
          <w:rFonts w:ascii="Times New Roman" w:hAnsi="Times New Roman"/>
          <w:sz w:val="24"/>
          <w:szCs w:val="24"/>
        </w:rPr>
        <w:t xml:space="preserve"> home or multi-family housing units.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1924-12, Inspection Report</w:t>
      </w:r>
    </w:p>
    <w:p w:rsidR="00853CF2" w:rsidP="00853CF2" w:rsidRDefault="00853CF2">
      <w:pPr>
        <w:rPr>
          <w:rFonts w:ascii="Times New Roman" w:hAnsi="Times New Roman"/>
          <w:sz w:val="24"/>
          <w:szCs w:val="24"/>
        </w:rPr>
      </w:pPr>
      <w:r>
        <w:rPr>
          <w:rFonts w:ascii="Times New Roman" w:hAnsi="Times New Roman"/>
          <w:sz w:val="24"/>
          <w:szCs w:val="24"/>
        </w:rPr>
        <w:t>This form is prepared by the Agency to record the results of an inspection of development work or an existing dwelling or other type building.  An applicant/borrower signs the form indicating acceptance of the completed development work or existing facility.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1924-13, Estimate and Certificate of Actual Cost</w:t>
      </w:r>
    </w:p>
    <w:p w:rsidR="00853CF2" w:rsidP="00853CF2" w:rsidRDefault="00853CF2">
      <w:pPr>
        <w:rPr>
          <w:rFonts w:ascii="Times New Roman" w:hAnsi="Times New Roman"/>
          <w:sz w:val="24"/>
          <w:szCs w:val="24"/>
        </w:rPr>
      </w:pPr>
      <w:r>
        <w:rPr>
          <w:rFonts w:ascii="Times New Roman" w:hAnsi="Times New Roman"/>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w:t>
      </w:r>
      <w:proofErr w:type="gramStart"/>
      <w:r>
        <w:rPr>
          <w:rFonts w:ascii="Times New Roman" w:hAnsi="Times New Roman"/>
          <w:sz w:val="24"/>
          <w:szCs w:val="24"/>
        </w:rPr>
        <w:t>program</w:t>
      </w:r>
      <w:proofErr w:type="gramEnd"/>
      <w:r>
        <w:rPr>
          <w:rFonts w:ascii="Times New Roman" w:hAnsi="Times New Roman"/>
          <w:sz w:val="24"/>
          <w:szCs w:val="24"/>
        </w:rPr>
        <w:t xml:space="preserve">, the Agency scrutinizes proposed construction costs to preclude unnecessary expenditures of Government </w:t>
      </w:r>
      <w:r>
        <w:rPr>
          <w:rFonts w:ascii="Times New Roman" w:hAnsi="Times New Roman"/>
          <w:sz w:val="24"/>
          <w:szCs w:val="24"/>
        </w:rPr>
        <w:lastRenderedPageBreak/>
        <w:t>funds.  This form requires a line item breakdown of costs, thus enabling the Agency to capture needed information.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1924-18, Partial Payment Estimate</w:t>
      </w:r>
    </w:p>
    <w:p w:rsidR="00853CF2" w:rsidP="00853CF2" w:rsidRDefault="00853CF2">
      <w:pPr>
        <w:rPr>
          <w:rFonts w:ascii="Times New Roman" w:hAnsi="Times New Roman"/>
          <w:sz w:val="24"/>
          <w:szCs w:val="24"/>
        </w:rPr>
      </w:pPr>
      <w:r>
        <w:rPr>
          <w:rFonts w:ascii="Times New Roman" w:hAnsi="Times New Roman"/>
          <w:sz w:val="24"/>
          <w:szCs w:val="24"/>
        </w:rPr>
        <w:t>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1924-19, Builder's Warranty</w:t>
      </w:r>
    </w:p>
    <w:p w:rsidR="00853CF2" w:rsidP="00853CF2" w:rsidRDefault="00853CF2">
      <w:pPr>
        <w:rPr>
          <w:rFonts w:ascii="Times New Roman" w:hAnsi="Times New Roman"/>
          <w:sz w:val="24"/>
          <w:szCs w:val="24"/>
        </w:rPr>
      </w:pPr>
      <w:r>
        <w:rPr>
          <w:rFonts w:ascii="Times New Roman" w:hAnsi="Times New Roman"/>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1924-25, Plan Certification</w:t>
      </w:r>
    </w:p>
    <w:p w:rsidR="00853CF2" w:rsidP="00853CF2" w:rsidRDefault="00853CF2">
      <w:pPr>
        <w:rPr>
          <w:rFonts w:ascii="Times New Roman" w:hAnsi="Times New Roman"/>
          <w:sz w:val="24"/>
          <w:szCs w:val="24"/>
        </w:rPr>
      </w:pPr>
      <w:r>
        <w:rPr>
          <w:rFonts w:ascii="Times New Roman" w:hAnsi="Times New Roman"/>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1927-5, Affidavit Regarding Work of Improvement</w:t>
      </w:r>
    </w:p>
    <w:p w:rsidR="00853CF2" w:rsidP="00853CF2" w:rsidRDefault="00853CF2">
      <w:pPr>
        <w:rPr>
          <w:rFonts w:ascii="Times New Roman" w:hAnsi="Times New Roman"/>
          <w:sz w:val="24"/>
          <w:szCs w:val="24"/>
        </w:rPr>
      </w:pPr>
      <w:r>
        <w:rPr>
          <w:rFonts w:ascii="Times New Roman" w:hAnsi="Times New Roman"/>
          <w:sz w:val="24"/>
          <w:szCs w:val="24"/>
        </w:rPr>
        <w:t>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RD1927-8, Agreement with Prior Lienholder</w:t>
      </w:r>
    </w:p>
    <w:p w:rsidR="00853CF2" w:rsidP="00853CF2" w:rsidRDefault="00853CF2">
      <w:pPr>
        <w:rPr>
          <w:rFonts w:ascii="Times New Roman" w:hAnsi="Times New Roman"/>
          <w:sz w:val="24"/>
          <w:szCs w:val="24"/>
        </w:rPr>
      </w:pPr>
      <w:r>
        <w:rPr>
          <w:rFonts w:ascii="Times New Roman" w:hAnsi="Times New Roman"/>
          <w:sz w:val="24"/>
          <w:szCs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1927-9, Preliminary Title Opinion</w:t>
      </w:r>
    </w:p>
    <w:p w:rsidR="00853CF2" w:rsidP="00853CF2" w:rsidRDefault="00853CF2">
      <w:pPr>
        <w:rPr>
          <w:rFonts w:ascii="Times New Roman" w:hAnsi="Times New Roman"/>
          <w:sz w:val="24"/>
          <w:szCs w:val="24"/>
        </w:rPr>
      </w:pPr>
      <w:r>
        <w:rPr>
          <w:rFonts w:ascii="Times New Roman" w:hAnsi="Times New Roman"/>
          <w:sz w:val="24"/>
          <w:szCs w:val="24"/>
        </w:rPr>
        <w:t>This form is used by the Closing Attorney to furnish a preliminary title opinion in connection with this regulation occasionally for loans being closed by RHS.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RD1927-10, Final Title Opinion</w:t>
      </w:r>
    </w:p>
    <w:p w:rsidR="00853CF2" w:rsidP="00853CF2" w:rsidRDefault="00853CF2">
      <w:pPr>
        <w:rPr>
          <w:rFonts w:ascii="Times New Roman" w:hAnsi="Times New Roman"/>
          <w:sz w:val="24"/>
          <w:szCs w:val="24"/>
        </w:rPr>
      </w:pPr>
      <w:r>
        <w:rPr>
          <w:rFonts w:ascii="Times New Roman" w:hAnsi="Times New Roman"/>
          <w:sz w:val="24"/>
          <w:szCs w:val="24"/>
        </w:rPr>
        <w:t>This form is used by the Closing Attorney to furnish a final title opinion for loans using an attorney’s opinion and being closed in connection with this regulation.</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1927-19, Certification of Attorney,</w:t>
      </w:r>
      <w:r>
        <w:rPr>
          <w:rFonts w:ascii="Times New Roman" w:hAnsi="Times New Roman"/>
          <w:sz w:val="24"/>
          <w:szCs w:val="24"/>
        </w:rPr>
        <w:t xml:space="preserve"> and</w:t>
      </w:r>
    </w:p>
    <w:p w:rsidR="00853CF2" w:rsidP="00853CF2" w:rsidRDefault="00853CF2">
      <w:pPr>
        <w:rPr>
          <w:rFonts w:ascii="Times New Roman" w:hAnsi="Times New Roman"/>
          <w:sz w:val="24"/>
          <w:szCs w:val="24"/>
          <w:u w:val="single"/>
        </w:rPr>
      </w:pPr>
      <w:r>
        <w:rPr>
          <w:rFonts w:ascii="Times New Roman" w:hAnsi="Times New Roman"/>
          <w:sz w:val="24"/>
          <w:szCs w:val="24"/>
          <w:u w:val="single"/>
        </w:rPr>
        <w:lastRenderedPageBreak/>
        <w:t>Form RD 1927-20, Certification of Title Insurance Company</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RD Form 402-1, Deposit Agreement</w:t>
      </w:r>
    </w:p>
    <w:p w:rsidR="00853CF2" w:rsidP="00853CF2" w:rsidRDefault="00853CF2">
      <w:pPr>
        <w:rPr>
          <w:rFonts w:ascii="Times New Roman" w:hAnsi="Times New Roman"/>
          <w:sz w:val="24"/>
          <w:szCs w:val="24"/>
        </w:rPr>
      </w:pPr>
      <w:r>
        <w:rPr>
          <w:rFonts w:ascii="Times New Roman" w:hAnsi="Times New Roman"/>
          <w:sz w:val="24"/>
          <w:szCs w:val="24"/>
        </w:rPr>
        <w:t>A deposit agreement will be typically used to hold funds in a non-</w:t>
      </w:r>
      <w:proofErr w:type="gramStart"/>
      <w:r>
        <w:rPr>
          <w:rFonts w:ascii="Times New Roman" w:hAnsi="Times New Roman"/>
          <w:sz w:val="24"/>
          <w:szCs w:val="24"/>
        </w:rPr>
        <w:t>interest bearing</w:t>
      </w:r>
      <w:proofErr w:type="gramEnd"/>
      <w:r>
        <w:rPr>
          <w:rFonts w:ascii="Times New Roman" w:hAnsi="Times New Roman"/>
          <w:sz w:val="24"/>
          <w:szCs w:val="24"/>
        </w:rPr>
        <w:t xml:space="preserve"> account for a short period of time.  This agreement may be used for any program administered by the Agency which may require the holding of funds for very short periods of time in a non-</w:t>
      </w:r>
      <w:proofErr w:type="gramStart"/>
      <w:r>
        <w:rPr>
          <w:rFonts w:ascii="Times New Roman" w:hAnsi="Times New Roman"/>
          <w:sz w:val="24"/>
          <w:szCs w:val="24"/>
        </w:rPr>
        <w:t>interest bearing</w:t>
      </w:r>
      <w:proofErr w:type="gramEnd"/>
      <w:r>
        <w:rPr>
          <w:rFonts w:ascii="Times New Roman" w:hAnsi="Times New Roman"/>
          <w:sz w:val="24"/>
          <w:szCs w:val="24"/>
        </w:rPr>
        <w:t xml:space="preserve"> account.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400-1, Equal Opportunity Agreement</w:t>
      </w:r>
    </w:p>
    <w:p w:rsidR="00853CF2" w:rsidP="00853CF2" w:rsidRDefault="00853CF2">
      <w:pPr>
        <w:rPr>
          <w:rFonts w:ascii="Times New Roman" w:hAnsi="Times New Roman"/>
          <w:sz w:val="24"/>
          <w:szCs w:val="24"/>
        </w:rPr>
      </w:pPr>
      <w:r>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Form RD 400-4, Assurance Agreement</w:t>
      </w:r>
    </w:p>
    <w:p w:rsidR="00853CF2" w:rsidP="00853CF2" w:rsidRDefault="00853CF2">
      <w:pPr>
        <w:rPr>
          <w:rFonts w:ascii="Times New Roman" w:hAnsi="Times New Roman"/>
          <w:sz w:val="24"/>
          <w:szCs w:val="24"/>
        </w:rPr>
      </w:pPr>
      <w:r>
        <w:rPr>
          <w:rFonts w:ascii="Times New Roman" w:hAnsi="Times New Roman"/>
          <w:sz w:val="24"/>
          <w:szCs w:val="24"/>
        </w:rPr>
        <w:t>This form is executed by recipients of Rural Development’s Federal financial assistance as an assurance that the recipient will comply with the requirements of Title VI of the Civil Rights Act of 1964.  This form is read and signed by the recipient.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400-8, Compliance Review</w:t>
      </w:r>
    </w:p>
    <w:p w:rsidR="00853CF2" w:rsidP="00853CF2" w:rsidRDefault="00853CF2">
      <w:pPr>
        <w:rPr>
          <w:rFonts w:ascii="Times New Roman" w:hAnsi="Times New Roman"/>
          <w:sz w:val="24"/>
          <w:szCs w:val="24"/>
        </w:rPr>
      </w:pPr>
      <w:r>
        <w:rPr>
          <w:rFonts w:ascii="Times New Roman" w:hAnsi="Times New Roman"/>
          <w:sz w:val="24"/>
          <w:szCs w:val="24"/>
        </w:rPr>
        <w:t xml:space="preserve">RD created the current form RD-400-8 with the capability to make direct comparison of the eligible population data obtained from the census data and the participation of the beneficiaries the recipients served.  The race and ethnic data will be provided by the recipients of the various loan and grant programs and is evaluated and compared to the eligible census data to determine if similar situated groups are receiving the same benefits and services of the particular program or activity.  The additional information required will be collected by RD compliance officials from the review of the recipients’ records.  All sections of the compliance review do not pertain to all recipients; </w:t>
      </w:r>
      <w:proofErr w:type="gramStart"/>
      <w:r>
        <w:rPr>
          <w:rFonts w:ascii="Times New Roman" w:hAnsi="Times New Roman"/>
          <w:sz w:val="24"/>
          <w:szCs w:val="24"/>
        </w:rPr>
        <w:t>therefore</w:t>
      </w:r>
      <w:proofErr w:type="gramEnd"/>
      <w:r>
        <w:rPr>
          <w:rFonts w:ascii="Times New Roman" w:hAnsi="Times New Roman"/>
          <w:sz w:val="24"/>
          <w:szCs w:val="24"/>
        </w:rPr>
        <w:t xml:space="preserve"> they will not be completed.</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Form RD 440-24, Position Fidelity Schedule Bond Declarations</w:t>
      </w:r>
    </w:p>
    <w:p w:rsidR="00853CF2" w:rsidP="00853CF2" w:rsidRDefault="00853CF2">
      <w:pPr>
        <w:rPr>
          <w:rFonts w:ascii="Times New Roman" w:hAnsi="Times New Roman"/>
          <w:sz w:val="24"/>
          <w:szCs w:val="24"/>
        </w:rPr>
      </w:pPr>
      <w:r>
        <w:rPr>
          <w:rFonts w:ascii="Times New Roman" w:hAnsi="Times New Roman"/>
          <w:sz w:val="24"/>
          <w:szCs w:val="24"/>
        </w:rPr>
        <w:t xml:space="preserve">This form may be used by organizations (where permitted by state law) to provide fidelity bond coverage for certain officials entrusted with funds. </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rPr>
        <w:t>REPORTING REQUIREMENT – FORM BURDEN APPROVED UNDER OTHER OMB NUMBERS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Application for Federal Assistance (For Non-Construction) (SF-424) – (OMB No. 4040-0004 Expiration Date: 8/31/2016)</w:t>
      </w:r>
    </w:p>
    <w:p w:rsidR="00853CF2" w:rsidP="00853CF2" w:rsidRDefault="00853CF2">
      <w:pPr>
        <w:rPr>
          <w:rFonts w:ascii="Times New Roman" w:hAnsi="Times New Roman"/>
          <w:sz w:val="24"/>
          <w:szCs w:val="24"/>
        </w:rPr>
      </w:pPr>
      <w:r>
        <w:rPr>
          <w:rFonts w:ascii="Times New Roman" w:hAnsi="Times New Roman"/>
          <w:sz w:val="24"/>
          <w:szCs w:val="24"/>
        </w:rPr>
        <w:t>This form provides general information and signature documenting application. Accounted for in separate Request for Common Forms (RCF).</w:t>
      </w:r>
    </w:p>
    <w:p w:rsidR="00853CF2" w:rsidP="00853CF2" w:rsidRDefault="00853CF2">
      <w:pPr>
        <w:rPr>
          <w:rFonts w:ascii="Times New Roman" w:hAnsi="Times New Roman"/>
          <w:sz w:val="24"/>
          <w:szCs w:val="24"/>
          <w:u w:val="single"/>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HUD Form 935.2A, Affirmative Fair Housing Marketing AFHM Plan - Multifamily Housing and 935.2B, Affirmative Fair Housing Marketing Plan - Single Family Housing, (OMB No. 2529-0013 Expiration Date: 12/31/2016).</w:t>
      </w:r>
    </w:p>
    <w:p w:rsidR="00853CF2" w:rsidP="00853CF2" w:rsidRDefault="00853CF2">
      <w:pPr>
        <w:rPr>
          <w:rFonts w:ascii="Times New Roman" w:hAnsi="Times New Roman"/>
          <w:sz w:val="24"/>
          <w:szCs w:val="24"/>
        </w:rPr>
      </w:pPr>
      <w:r>
        <w:rPr>
          <w:rFonts w:ascii="Times New Roman" w:hAnsi="Times New Roman"/>
          <w:sz w:val="24"/>
          <w:szCs w:val="24"/>
        </w:rPr>
        <w:t>The implementing regulations issued by the Department of Housing and Urban Development (HUD) and adopted by RD, require recipients and other participants in RD housing programs to prepare affirmative fair housing marketing plans (AFHMP), and to collect and maintain data to reflect compliance with the requirements of that plan.  The AFHMP is a HUD form that is used by RD housing recipients to assure that recipients are marketing housing in a non-discriminatory manner to groups which are least likely to apply for housing.</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u w:val="single"/>
        </w:rPr>
      </w:pPr>
      <w:r>
        <w:rPr>
          <w:rFonts w:ascii="Times New Roman" w:hAnsi="Times New Roman"/>
          <w:sz w:val="24"/>
          <w:szCs w:val="24"/>
          <w:u w:val="single"/>
        </w:rPr>
        <w:t>HUD Form 2530, Previous Participation Certification (OMB No. 2502-0118 Expiration Date: 5/31/2019).</w:t>
      </w:r>
    </w:p>
    <w:p w:rsidR="00853CF2" w:rsidP="00853CF2" w:rsidRDefault="00853CF2">
      <w:pPr>
        <w:rPr>
          <w:rFonts w:ascii="Times New Roman" w:hAnsi="Times New Roman"/>
          <w:sz w:val="24"/>
          <w:szCs w:val="24"/>
        </w:rPr>
      </w:pPr>
      <w:r>
        <w:rPr>
          <w:rFonts w:ascii="Times New Roman" w:hAnsi="Times New Roman"/>
          <w:sz w:val="24"/>
          <w:szCs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in a different capacity from what has been previously approved.  Respondents can include owners, managers, consultants, general contractors, and nursing home operators and administrators.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rPr>
        <w:t>RECORDKEEPING REQUIREMENTS</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Retain Tenant Applications</w:t>
      </w:r>
      <w:r>
        <w:rPr>
          <w:rFonts w:ascii="Times New Roman" w:hAnsi="Times New Roman"/>
          <w:sz w:val="24"/>
          <w:szCs w:val="24"/>
        </w:rPr>
        <w:t>.  Borrowers must retain all tenant application forms for at least three years.  The Agency may require borrowers to submit application information for Agency review.</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 xml:space="preserve">Retain Copies of Correspondence and A Record </w:t>
      </w:r>
      <w:proofErr w:type="gramStart"/>
      <w:r>
        <w:rPr>
          <w:rFonts w:ascii="Times New Roman" w:hAnsi="Times New Roman"/>
          <w:sz w:val="24"/>
          <w:szCs w:val="24"/>
          <w:u w:val="single"/>
        </w:rPr>
        <w:t>Of</w:t>
      </w:r>
      <w:proofErr w:type="gramEnd"/>
      <w:r>
        <w:rPr>
          <w:rFonts w:ascii="Times New Roman" w:hAnsi="Times New Roman"/>
          <w:sz w:val="24"/>
          <w:szCs w:val="24"/>
          <w:u w:val="single"/>
        </w:rPr>
        <w:t xml:space="preserve"> Conversations Regarding Unauthorized Assistance Received By Tenants</w:t>
      </w:r>
      <w:r>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853CF2" w:rsidP="00853CF2" w:rsidRDefault="00853CF2">
      <w:pPr>
        <w:rPr>
          <w:rFonts w:ascii="Times New Roman" w:hAnsi="Times New Roman"/>
          <w:sz w:val="24"/>
          <w:szCs w:val="24"/>
        </w:rPr>
      </w:pPr>
    </w:p>
    <w:p w:rsidR="00853CF2" w:rsidP="00853CF2" w:rsidRDefault="00853CF2">
      <w:pPr>
        <w:rPr>
          <w:rFonts w:ascii="Times New Roman" w:hAnsi="Times New Roman"/>
          <w:sz w:val="24"/>
          <w:szCs w:val="24"/>
        </w:rPr>
      </w:pPr>
      <w:r>
        <w:rPr>
          <w:rFonts w:ascii="Times New Roman" w:hAnsi="Times New Roman"/>
          <w:sz w:val="24"/>
          <w:szCs w:val="24"/>
          <w:u w:val="single"/>
        </w:rPr>
        <w:t>Marketing Records</w:t>
      </w:r>
      <w:r>
        <w:rPr>
          <w:rFonts w:ascii="Times New Roman" w:hAnsi="Times New Roman"/>
          <w:sz w:val="24"/>
          <w:szCs w:val="24"/>
        </w:rPr>
        <w:t>.  The borrower must maintain records that reflect efforts to fulfill the affirmative fair housing marketing plan.  The Agency may require borrowers to submit records and to update plans as needed.</w:t>
      </w:r>
    </w:p>
    <w:p w:rsidR="006E0A06" w:rsidRDefault="006E0A06"/>
    <w:sectPr w:rsidR="006E0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28A"/>
    <w:multiLevelType w:val="hybridMultilevel"/>
    <w:tmpl w:val="C60411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F2"/>
    <w:rsid w:val="006E0A06"/>
    <w:rsid w:val="0085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88E48-4B69-4815-B496-AB49E567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CF2"/>
    <w:pPr>
      <w:overflowPunct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01625">
      <w:bodyDiv w:val="1"/>
      <w:marLeft w:val="0"/>
      <w:marRight w:val="0"/>
      <w:marTop w:val="0"/>
      <w:marBottom w:val="0"/>
      <w:divBdr>
        <w:top w:val="none" w:sz="0" w:space="0" w:color="auto"/>
        <w:left w:val="none" w:sz="0" w:space="0" w:color="auto"/>
        <w:bottom w:val="none" w:sz="0" w:space="0" w:color="auto"/>
        <w:right w:val="none" w:sz="0" w:space="0" w:color="auto"/>
      </w:divBdr>
    </w:div>
    <w:div w:id="5706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7323</Words>
  <Characters>41742</Characters>
  <Application>Microsoft Office Word</Application>
  <DocSecurity>0</DocSecurity>
  <Lines>347</Lines>
  <Paragraphs>97</Paragraphs>
  <ScaleCrop>false</ScaleCrop>
  <Company>White House Communications Agency</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2021-08-03T14:45:00Z</dcterms:created>
  <dcterms:modified xsi:type="dcterms:W3CDTF">2021-08-03T14:47:00Z</dcterms:modified>
</cp:coreProperties>
</file>