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3DC40" w14:textId="10721771" w:rsidR="008741FA" w:rsidRDefault="00D3006F">
      <w:pPr>
        <w:pStyle w:val="Heading1"/>
      </w:pPr>
      <w:bookmarkStart w:id="0" w:name="_GoBack"/>
      <w:bookmarkEnd w:id="0"/>
      <w:r>
        <w:t>Supporting Statement (3145-0226</w:t>
      </w:r>
      <w:r w:rsidR="008741FA">
        <w:t>)</w:t>
      </w:r>
    </w:p>
    <w:p w14:paraId="21B1684F" w14:textId="77777777" w:rsidR="008741FA" w:rsidRDefault="008741FA" w:rsidP="00035A98">
      <w:pPr>
        <w:rPr>
          <w:rFonts w:ascii="Times New Roman" w:eastAsia="Times New Roman" w:hAnsi="Times New Roman"/>
          <w:sz w:val="24"/>
          <w:szCs w:val="24"/>
        </w:rPr>
      </w:pPr>
    </w:p>
    <w:p w14:paraId="2DFB5DA4" w14:textId="77777777" w:rsidR="00D3006F" w:rsidRDefault="008741FA">
      <w:pPr>
        <w:pStyle w:val="NormalWeb"/>
        <w:spacing w:before="0" w:beforeAutospacing="0" w:after="0" w:afterAutospacing="0"/>
        <w:jc w:val="center"/>
        <w:rPr>
          <w:rStyle w:val="Strong"/>
        </w:rPr>
      </w:pPr>
      <w:r>
        <w:rPr>
          <w:rStyle w:val="Strong"/>
        </w:rPr>
        <w:t xml:space="preserve">REQUEST FOR </w:t>
      </w:r>
      <w:r w:rsidR="00D3006F">
        <w:rPr>
          <w:rStyle w:val="Strong"/>
        </w:rPr>
        <w:t xml:space="preserve">RENEWAL OF </w:t>
      </w:r>
      <w:r w:rsidR="007C4F8D">
        <w:rPr>
          <w:rStyle w:val="Strong"/>
        </w:rPr>
        <w:t>EHR</w:t>
      </w:r>
    </w:p>
    <w:p w14:paraId="3F96B1C6" w14:textId="77777777" w:rsidR="00C75C8C" w:rsidRDefault="008741FA" w:rsidP="00C75C8C">
      <w:pPr>
        <w:pStyle w:val="NormalWeb"/>
        <w:spacing w:before="0" w:beforeAutospacing="0" w:after="0" w:afterAutospacing="0"/>
        <w:jc w:val="center"/>
        <w:rPr>
          <w:rStyle w:val="Strong"/>
        </w:rPr>
      </w:pPr>
      <w:r>
        <w:rPr>
          <w:rStyle w:val="Strong"/>
        </w:rPr>
        <w:t>PROG</w:t>
      </w:r>
      <w:r w:rsidR="007C4F8D">
        <w:rPr>
          <w:rStyle w:val="Strong"/>
        </w:rPr>
        <w:t>RAM MONITORING DATA COLLECTIONS</w:t>
      </w:r>
    </w:p>
    <w:p w14:paraId="052ACED2" w14:textId="77777777" w:rsidR="00C75C8C" w:rsidRDefault="00C75C8C" w:rsidP="00C75C8C">
      <w:pPr>
        <w:pStyle w:val="NormalWeb"/>
        <w:spacing w:before="0" w:beforeAutospacing="0" w:after="0" w:afterAutospacing="0"/>
        <w:jc w:val="center"/>
        <w:rPr>
          <w:rStyle w:val="Strong"/>
        </w:rPr>
      </w:pPr>
    </w:p>
    <w:p w14:paraId="1B834ECA" w14:textId="77777777" w:rsidR="00C75C8C" w:rsidRDefault="008741FA" w:rsidP="00C75C8C">
      <w:pPr>
        <w:pStyle w:val="NormalWeb"/>
        <w:spacing w:before="0" w:beforeAutospacing="0" w:after="0" w:afterAutospacing="0"/>
        <w:jc w:val="center"/>
        <w:rPr>
          <w:rStyle w:val="Strong"/>
        </w:rPr>
      </w:pPr>
      <w:r>
        <w:rPr>
          <w:rStyle w:val="Strong"/>
        </w:rPr>
        <w:t>Forms Clearance Package</w:t>
      </w:r>
    </w:p>
    <w:p w14:paraId="177BDD45" w14:textId="77777777" w:rsidR="00C75C8C" w:rsidRDefault="00C75C8C" w:rsidP="00C75C8C">
      <w:pPr>
        <w:pStyle w:val="NormalWeb"/>
        <w:spacing w:before="0" w:beforeAutospacing="0" w:after="0" w:afterAutospacing="0"/>
        <w:jc w:val="center"/>
      </w:pPr>
    </w:p>
    <w:p w14:paraId="233058F4" w14:textId="3167F634" w:rsidR="00C75C8C" w:rsidRDefault="008741FA" w:rsidP="00C75C8C">
      <w:pPr>
        <w:pStyle w:val="NormalWeb"/>
        <w:spacing w:before="0" w:beforeAutospacing="0" w:after="0" w:afterAutospacing="0"/>
        <w:jc w:val="center"/>
      </w:pPr>
      <w:r>
        <w:t>Submitted by:</w:t>
      </w:r>
    </w:p>
    <w:p w14:paraId="7C5D06D9" w14:textId="77777777" w:rsidR="00C75C8C" w:rsidRDefault="00C75C8C" w:rsidP="00C75C8C">
      <w:pPr>
        <w:pStyle w:val="NormalWeb"/>
        <w:spacing w:before="0" w:beforeAutospacing="0" w:after="0" w:afterAutospacing="0"/>
        <w:jc w:val="center"/>
      </w:pPr>
    </w:p>
    <w:p w14:paraId="2CBF6EC0" w14:textId="77777777" w:rsidR="00C75C8C" w:rsidRDefault="008741FA" w:rsidP="00C75C8C">
      <w:pPr>
        <w:pStyle w:val="NormalWeb"/>
        <w:spacing w:before="0" w:beforeAutospacing="0" w:after="0" w:afterAutospacing="0"/>
        <w:jc w:val="center"/>
      </w:pPr>
      <w:r>
        <w:t>National Science Foundation</w:t>
      </w:r>
    </w:p>
    <w:p w14:paraId="2849C71A" w14:textId="77777777" w:rsidR="00C75C8C" w:rsidRDefault="003A2463" w:rsidP="00C75C8C">
      <w:pPr>
        <w:pStyle w:val="NormalWeb"/>
        <w:spacing w:before="0" w:beforeAutospacing="0" w:after="0" w:afterAutospacing="0"/>
        <w:jc w:val="center"/>
      </w:pPr>
      <w:r>
        <w:t>2415 Eisenhower Avenue</w:t>
      </w:r>
    </w:p>
    <w:p w14:paraId="2BC664AD" w14:textId="2DF843B2" w:rsidR="008741FA" w:rsidRDefault="003A2463" w:rsidP="00C75C8C">
      <w:pPr>
        <w:pStyle w:val="NormalWeb"/>
        <w:spacing w:before="0" w:beforeAutospacing="0" w:after="0" w:afterAutospacing="0"/>
        <w:jc w:val="center"/>
      </w:pPr>
      <w:r>
        <w:t>Alexandria</w:t>
      </w:r>
      <w:r w:rsidR="008741FA">
        <w:t>, VA 22230</w:t>
      </w:r>
    </w:p>
    <w:p w14:paraId="73743742" w14:textId="448830AB" w:rsidR="00A25ABB" w:rsidRDefault="00A25ABB">
      <w:pPr>
        <w:pStyle w:val="Heading2"/>
      </w:pPr>
      <w:r>
        <w:t>Executive Summary</w:t>
      </w:r>
    </w:p>
    <w:p w14:paraId="6AEFB072" w14:textId="00F3EDDE" w:rsidR="0049043A" w:rsidRPr="0049043A" w:rsidRDefault="0049043A" w:rsidP="00114F92">
      <w:pPr>
        <w:pStyle w:val="Heading2"/>
        <w:jc w:val="both"/>
        <w:rPr>
          <w:rFonts w:ascii="Times New Roman" w:hAnsi="Times New Roman"/>
          <w:b w:val="0"/>
        </w:rPr>
      </w:pPr>
      <w:r w:rsidRPr="0049043A">
        <w:rPr>
          <w:rFonts w:ascii="Times New Roman" w:hAnsi="Times New Roman"/>
          <w:b w:val="0"/>
        </w:rPr>
        <w:t>This</w:t>
      </w:r>
      <w:r>
        <w:rPr>
          <w:rFonts w:ascii="Times New Roman" w:hAnsi="Times New Roman"/>
          <w:b w:val="0"/>
        </w:rPr>
        <w:t xml:space="preserve"> is a request for a renewal of </w:t>
      </w:r>
      <w:r w:rsidR="007E0416">
        <w:rPr>
          <w:rFonts w:ascii="Times New Roman" w:hAnsi="Times New Roman"/>
          <w:b w:val="0"/>
        </w:rPr>
        <w:t>OMB approval for the National Science Foundation’s “</w:t>
      </w:r>
      <w:r w:rsidR="007E0416" w:rsidRPr="00B64347">
        <w:rPr>
          <w:rFonts w:ascii="Times New Roman" w:hAnsi="Times New Roman"/>
          <w:b w:val="0"/>
        </w:rPr>
        <w:t xml:space="preserve">Education and Human Resources Program Monitoring Data Collections” (OMB Control No 3145-0226). </w:t>
      </w:r>
      <w:r w:rsidR="00B64347" w:rsidRPr="00B64347">
        <w:rPr>
          <w:rFonts w:ascii="Times New Roman" w:hAnsi="Times New Roman"/>
          <w:b w:val="0"/>
        </w:rPr>
        <w:t xml:space="preserve">Specifically, NSF is requesting approval to continue collecting data for seven data collections that have similar elements and purposes and provide essential information for program monitoring purposes. </w:t>
      </w:r>
      <w:r w:rsidR="00114F92">
        <w:rPr>
          <w:rFonts w:ascii="Times New Roman" w:hAnsi="Times New Roman"/>
          <w:b w:val="0"/>
        </w:rPr>
        <w:t xml:space="preserve">Attachments </w:t>
      </w:r>
      <w:r w:rsidR="00D81EDD">
        <w:rPr>
          <w:rFonts w:ascii="Times New Roman" w:hAnsi="Times New Roman"/>
          <w:b w:val="0"/>
        </w:rPr>
        <w:t>are included for each collection providing:</w:t>
      </w:r>
      <w:r w:rsidR="00114F92">
        <w:rPr>
          <w:rFonts w:ascii="Times New Roman" w:hAnsi="Times New Roman"/>
          <w:b w:val="0"/>
        </w:rPr>
        <w:t xml:space="preserve"> collection overviews (crosswalks of items to common collection categories, estimates of hour burdens &amp; annualized costs to respondents and the Federal government, and collection items; see Attachments 1); and screenshots of the online collection instruments.</w:t>
      </w:r>
      <w:r w:rsidR="00114F92" w:rsidRPr="00114F92">
        <w:rPr>
          <w:rFonts w:ascii="Times New Roman" w:hAnsi="Times New Roman"/>
          <w:b w:val="0"/>
        </w:rPr>
        <w:t xml:space="preserve"> </w:t>
      </w:r>
      <w:r w:rsidR="00114F92" w:rsidRPr="00B64347">
        <w:rPr>
          <w:rFonts w:ascii="Times New Roman" w:hAnsi="Times New Roman"/>
          <w:b w:val="0"/>
        </w:rPr>
        <w:t>Four other collections included in the prior request for renewal</w:t>
      </w:r>
      <w:r w:rsidR="00114F92">
        <w:rPr>
          <w:rFonts w:ascii="Times New Roman" w:hAnsi="Times New Roman"/>
          <w:b w:val="0"/>
        </w:rPr>
        <w:t xml:space="preserve"> </w:t>
      </w:r>
      <w:r w:rsidR="00114F92" w:rsidRPr="00B64347">
        <w:rPr>
          <w:rFonts w:ascii="Times New Roman" w:hAnsi="Times New Roman"/>
          <w:b w:val="0"/>
        </w:rPr>
        <w:t>are not included in this renewal request</w:t>
      </w:r>
      <w:r w:rsidR="00114F92">
        <w:rPr>
          <w:rFonts w:ascii="Times New Roman" w:hAnsi="Times New Roman"/>
          <w:b w:val="0"/>
        </w:rPr>
        <w:t>;</w:t>
      </w:r>
      <w:r w:rsidR="00114F92" w:rsidRPr="00B64347">
        <w:rPr>
          <w:rFonts w:ascii="Times New Roman" w:hAnsi="Times New Roman"/>
          <w:b w:val="0"/>
        </w:rPr>
        <w:t xml:space="preserve"> these legacy programs have either been replaced by new programs, combined with others, ended, or no longer require program-specific monitoring data collections.</w:t>
      </w:r>
    </w:p>
    <w:p w14:paraId="75110C86" w14:textId="4C78CBFF" w:rsidR="008741FA" w:rsidRDefault="008741FA">
      <w:pPr>
        <w:pStyle w:val="Heading2"/>
      </w:pPr>
      <w:r>
        <w:t>Section A</w:t>
      </w:r>
    </w:p>
    <w:p w14:paraId="2A1A5C0E" w14:textId="77777777" w:rsidR="008741FA" w:rsidRDefault="008741FA">
      <w:pPr>
        <w:pStyle w:val="Heading3"/>
      </w:pPr>
      <w:r>
        <w:t>Introduction</w:t>
      </w:r>
    </w:p>
    <w:p w14:paraId="504A43CD" w14:textId="6F861048" w:rsidR="007C4F8D" w:rsidRDefault="008741FA">
      <w:pPr>
        <w:pStyle w:val="p1-standpara"/>
        <w:spacing w:before="0" w:beforeAutospacing="0" w:after="0" w:afterAutospacing="0"/>
        <w:jc w:val="both"/>
      </w:pPr>
      <w:r>
        <w:t xml:space="preserve">The National Science Foundation (NSF) is </w:t>
      </w:r>
      <w:r w:rsidR="007C4F8D">
        <w:t xml:space="preserve">an independent </w:t>
      </w:r>
      <w:r w:rsidR="00D662E6">
        <w:t>f</w:t>
      </w:r>
      <w:r w:rsidR="007C4F8D">
        <w:t>ederal agency that supports</w:t>
      </w:r>
      <w:r>
        <w:t xml:space="preserve"> research at the frontiers of knowledge, across all fields of science and engineering (S&amp;E) </w:t>
      </w:r>
      <w:r w:rsidR="007C4F8D">
        <w:t>and</w:t>
      </w:r>
      <w:r>
        <w:t xml:space="preserve"> S&amp;E education (NSF, </w:t>
      </w:r>
      <w:r w:rsidR="008D416B">
        <w:t>“</w:t>
      </w:r>
      <w:r w:rsidR="003A2463">
        <w:t xml:space="preserve">Building the Future: Investing in Discovery and Innovation,” </w:t>
      </w:r>
      <w:r>
        <w:t xml:space="preserve">NSF Strategic Plan for </w:t>
      </w:r>
      <w:r w:rsidR="007C4F8D">
        <w:t xml:space="preserve">Fiscal Years (FY) </w:t>
      </w:r>
      <w:r>
        <w:t>201</w:t>
      </w:r>
      <w:r w:rsidR="003A2463">
        <w:t>8</w:t>
      </w:r>
      <w:r w:rsidR="00647A8A">
        <w:t>–</w:t>
      </w:r>
      <w:r>
        <w:t>20</w:t>
      </w:r>
      <w:r w:rsidR="003A2463">
        <w:t xml:space="preserve">22, </w:t>
      </w:r>
      <w:hyperlink r:id="rId12" w:history="1">
        <w:r w:rsidR="003A2463" w:rsidRPr="003A2463">
          <w:rPr>
            <w:rStyle w:val="Hyperlink"/>
          </w:rPr>
          <w:t>NSF 18-045</w:t>
        </w:r>
      </w:hyperlink>
      <w:r>
        <w:t xml:space="preserve">). </w:t>
      </w:r>
      <w:r w:rsidR="00056F3D">
        <w:t>NSF is “the funding source for approximately 27 percent of the total federal budget for basic research conducted at U.S. colleges and universities</w:t>
      </w:r>
      <w:r w:rsidR="00647A8A">
        <w:t>.</w:t>
      </w:r>
      <w:r w:rsidR="00056F3D">
        <w:t>”</w:t>
      </w:r>
      <w:r w:rsidR="00056F3D" w:rsidRPr="00F53633">
        <w:rPr>
          <w:rStyle w:val="FootnoteReference"/>
          <w:vertAlign w:val="superscript"/>
        </w:rPr>
        <w:footnoteReference w:id="1"/>
      </w:r>
      <w:r w:rsidR="00056F3D">
        <w:t xml:space="preserve"> The Foundation awards grants and cooperative agreements to more than 2,000 colleges, universities, K-12 school systems, businesses, informal science organizations, and other research organizations throughout the U.S.</w:t>
      </w:r>
      <w:bookmarkStart w:id="1" w:name="_ftnref1"/>
      <w:bookmarkEnd w:id="1"/>
      <w:r w:rsidR="00056F3D" w:rsidRPr="00F53633">
        <w:rPr>
          <w:rStyle w:val="FootnoteReference"/>
          <w:vertAlign w:val="superscript"/>
        </w:rPr>
        <w:footnoteReference w:id="2"/>
      </w:r>
    </w:p>
    <w:p w14:paraId="4C17EA96" w14:textId="77777777" w:rsidR="00F53633" w:rsidRDefault="00F53633">
      <w:pPr>
        <w:pStyle w:val="p1-standpara"/>
        <w:spacing w:before="0" w:beforeAutospacing="0" w:after="0" w:afterAutospacing="0"/>
        <w:jc w:val="both"/>
      </w:pPr>
    </w:p>
    <w:p w14:paraId="4C8F5189" w14:textId="315F0260" w:rsidR="008741FA" w:rsidRDefault="008741FA">
      <w:pPr>
        <w:pStyle w:val="p1-standpara"/>
        <w:spacing w:before="0" w:beforeAutospacing="0" w:after="0" w:afterAutospacing="0"/>
        <w:jc w:val="both"/>
      </w:pPr>
      <w:bookmarkStart w:id="2" w:name="_ftnref2"/>
      <w:bookmarkEnd w:id="2"/>
      <w:r>
        <w:t>Within NSF, EHR has primary responsibility for promoting rigor and vitality within the Nation’s science, technology, engineering, and mathematics (STEM) education enterprise to further the development of the 21</w:t>
      </w:r>
      <w:r>
        <w:rPr>
          <w:vertAlign w:val="superscript"/>
        </w:rPr>
        <w:t>st</w:t>
      </w:r>
      <w:r>
        <w:t xml:space="preserve"> century’s STEM workforce and public scientific literacy. In order to support the development of a diverse and well-prepared workforce of scientists, technicians, engineers, mathematicians, and educators and a well-informed citizenry that has access to the tools of science and engineering, EHR’s mission includes identifying means and methods to promote excellence in U.S. STEM education at all levels and in all settings (both formal and informal). To these ends, EHR provides support for research and implementation activities that may improve STEM learning and education from pre-school through postdoctoral studies, in traditional and non-traditional venues, among all United States citizens, permanent residents, and nationals. EHR also focuses on broadening participation in STEM learning and careers, particularly among those individuals traditionally underrepresented and underemployed in the STEM workforce, including but not limited to, women, persons with disabilities, and racial and ethnic minorities.</w:t>
      </w:r>
    </w:p>
    <w:p w14:paraId="3137D4D4" w14:textId="77777777" w:rsidR="008741FA" w:rsidRDefault="008741FA">
      <w:pPr>
        <w:pStyle w:val="p1-standpara"/>
        <w:spacing w:before="0" w:beforeAutospacing="0" w:after="0" w:afterAutospacing="0"/>
        <w:jc w:val="both"/>
      </w:pPr>
    </w:p>
    <w:p w14:paraId="45EC9D9C" w14:textId="0198D690" w:rsidR="00D066ED" w:rsidRDefault="008741FA" w:rsidP="00D066ED">
      <w:pPr>
        <w:pStyle w:val="p1-standpara"/>
        <w:spacing w:before="0" w:beforeAutospacing="0" w:after="0" w:afterAutospacing="0"/>
        <w:jc w:val="both"/>
      </w:pPr>
      <w:r>
        <w:t xml:space="preserve">This request seeks </w:t>
      </w:r>
      <w:r w:rsidR="00B40B3C">
        <w:t xml:space="preserve">renewal of OMB 3145-0226 for </w:t>
      </w:r>
      <w:r w:rsidR="005E15CA">
        <w:t xml:space="preserve">seven </w:t>
      </w:r>
      <w:r>
        <w:t xml:space="preserve">data collections that have similar elements and purposes and provide essential information for program monitoring purposes. </w:t>
      </w:r>
      <w:r w:rsidR="00D066ED">
        <w:t>The collections contain items in two categories of programs (</w:t>
      </w:r>
      <w:r w:rsidR="00647A8A">
        <w:t>i.e.,</w:t>
      </w:r>
      <w:r w:rsidR="00D066ED">
        <w:t xml:space="preserve"> scholarship/fellowship programs and implementation</w:t>
      </w:r>
      <w:r w:rsidR="00037605">
        <w:t>, development,</w:t>
      </w:r>
      <w:r w:rsidR="00D066ED">
        <w:t xml:space="preserve"> and research programs).</w:t>
      </w:r>
    </w:p>
    <w:p w14:paraId="21674649" w14:textId="77777777" w:rsidR="00D066ED" w:rsidRDefault="00D066ED">
      <w:pPr>
        <w:pStyle w:val="p1-standpara"/>
        <w:spacing w:before="0" w:beforeAutospacing="0" w:after="0" w:afterAutospacing="0"/>
        <w:jc w:val="both"/>
      </w:pPr>
    </w:p>
    <w:p w14:paraId="1200257B" w14:textId="39D967C5" w:rsidR="008741FA" w:rsidRDefault="008741FA">
      <w:pPr>
        <w:pStyle w:val="p1-standpara"/>
        <w:spacing w:before="0" w:beforeAutospacing="0" w:after="0" w:afterAutospacing="0"/>
        <w:jc w:val="both"/>
      </w:pPr>
      <w:r>
        <w:t>Data collected by EHR program monitoring systems are used for program planning, management, evaluation, and audit purposes. Summaries of monitoring data are used to respond to queries</w:t>
      </w:r>
      <w:r w:rsidR="00037605">
        <w:t xml:space="preserve"> from Congress, the public, NSF’</w:t>
      </w:r>
      <w:r>
        <w:t>s external merit reviewers who serve as advisors, including Committ</w:t>
      </w:r>
      <w:r w:rsidR="00F53633">
        <w:t>ees of Visitors (COVs), and NSF’</w:t>
      </w:r>
      <w:r>
        <w:t xml:space="preserve">s Office of the Inspector General. These data are needed for effective administration, program and project monitoring, evaluation, and </w:t>
      </w:r>
      <w:r w:rsidR="00F53633">
        <w:t>measuring attainment of NSF’</w:t>
      </w:r>
      <w:r>
        <w:t>s program and strategic goals,</w:t>
      </w:r>
      <w:r w:rsidR="00F53633">
        <w:t xml:space="preserve"> </w:t>
      </w:r>
      <w:r w:rsidR="007B5D4B">
        <w:t>consistent with</w:t>
      </w:r>
      <w:r w:rsidR="00F53633">
        <w:t xml:space="preserve"> </w:t>
      </w:r>
      <w:r>
        <w:t>the Government Performance and Results Act (GPRA) Mod</w:t>
      </w:r>
      <w:r w:rsidR="00F53633">
        <w:t>ernization Act of 2010 and NSF’</w:t>
      </w:r>
      <w:r>
        <w:t>s Strategic Plan.</w:t>
      </w:r>
    </w:p>
    <w:p w14:paraId="2AAA93AF" w14:textId="77777777" w:rsidR="00384A7E" w:rsidRDefault="00384A7E">
      <w:pPr>
        <w:pStyle w:val="p1-standpara"/>
        <w:spacing w:before="0" w:beforeAutospacing="0" w:after="0" w:afterAutospacing="0"/>
        <w:jc w:val="both"/>
      </w:pPr>
    </w:p>
    <w:p w14:paraId="6CF07CA9" w14:textId="4B770933" w:rsidR="008741FA" w:rsidRDefault="008741FA">
      <w:pPr>
        <w:pStyle w:val="p1-standpara"/>
        <w:spacing w:before="0" w:beforeAutospacing="0" w:after="0" w:afterAutospacing="0"/>
        <w:jc w:val="both"/>
      </w:pPr>
      <w:r>
        <w:t xml:space="preserve">The </w:t>
      </w:r>
      <w:r w:rsidR="007B5D4B">
        <w:t>seven</w:t>
      </w:r>
      <w:r>
        <w:t xml:space="preserve"> program-specific collections included in this request (see attachments A1 through </w:t>
      </w:r>
      <w:r w:rsidR="007B5D4B" w:rsidRPr="00255AC0">
        <w:t>G</w:t>
      </w:r>
      <w:r w:rsidR="00255AC0" w:rsidRPr="00255AC0">
        <w:t>3</w:t>
      </w:r>
      <w:r>
        <w:t xml:space="preserve">) are designed to assist in management of specific programs, divisions, or multi-agency initiatives and to serve as data resources for program evaluations. </w:t>
      </w:r>
      <w:r w:rsidR="00D066ED">
        <w:t xml:space="preserve">Of the </w:t>
      </w:r>
      <w:r w:rsidR="007B5D4B">
        <w:t>seven</w:t>
      </w:r>
      <w:r w:rsidR="00D066ED">
        <w:t xml:space="preserve"> collections contained in this request, </w:t>
      </w:r>
      <w:r w:rsidR="007574B0">
        <w:t>two</w:t>
      </w:r>
      <w:r w:rsidR="00D066ED">
        <w:t xml:space="preserve"> are for collection from remaining projects in legacy programs that are no longer making new awards</w:t>
      </w:r>
      <w:r w:rsidR="007574B0">
        <w:t xml:space="preserve"> (identified in </w:t>
      </w:r>
      <w:r w:rsidR="00A63531">
        <w:t>Exhibit 1</w:t>
      </w:r>
      <w:r w:rsidR="007574B0">
        <w:t>)</w:t>
      </w:r>
      <w:r w:rsidR="00D066ED">
        <w:t xml:space="preserve">. </w:t>
      </w:r>
      <w:r w:rsidR="007574B0">
        <w:t>EHR believes it is important to complete the collection of data from currently active projects in those programs to assure that there is a complete data repository from all projects in those programs for use in a future evaluation or research project.</w:t>
      </w:r>
      <w:r w:rsidR="0081668C">
        <w:t xml:space="preserve"> </w:t>
      </w:r>
      <w:r w:rsidR="007574B0">
        <w:t xml:space="preserve">Four </w:t>
      </w:r>
      <w:r w:rsidR="0081668C">
        <w:t xml:space="preserve">other </w:t>
      </w:r>
      <w:r w:rsidR="007574B0">
        <w:t>collections included in the prior request for renewal—for the Advancing Informal STEM Learning (AISL), Graduate STEM Fellows in K-12 (GK-12), Research in Disabilities Education (RDE), and Transforming Undergraduate Education in Science, Technology, Engineering, and Mathematics (TUES) programs—are no</w:t>
      </w:r>
      <w:r w:rsidR="00035A98">
        <w:t>t included in this renewal request.</w:t>
      </w:r>
      <w:r w:rsidR="007574B0">
        <w:t xml:space="preserve"> </w:t>
      </w:r>
      <w:r w:rsidR="00D066ED">
        <w:t xml:space="preserve">Because of changes in program focus and emphasis since this collection was last cleared, these legacy programs have either been replaced by new programs, combined </w:t>
      </w:r>
      <w:r w:rsidR="00D066ED">
        <w:lastRenderedPageBreak/>
        <w:t>with others</w:t>
      </w:r>
      <w:r w:rsidR="00DC7AEA">
        <w:t>,</w:t>
      </w:r>
      <w:r w:rsidR="00D066ED">
        <w:t xml:space="preserve"> </w:t>
      </w:r>
      <w:r w:rsidR="00A952A3">
        <w:t>ended</w:t>
      </w:r>
      <w:r w:rsidR="007574B0">
        <w:t>, or no longer require program-specific monitoring data collections</w:t>
      </w:r>
      <w:r w:rsidR="00D066ED">
        <w:t xml:space="preserve">. </w:t>
      </w:r>
      <w:r w:rsidR="007574B0">
        <w:t>Accordingly</w:t>
      </w:r>
      <w:r w:rsidR="00D066ED">
        <w:t xml:space="preserve">, the level of monitoring activity and total burden for </w:t>
      </w:r>
      <w:r w:rsidR="00983626">
        <w:t>the collection</w:t>
      </w:r>
      <w:r w:rsidR="007574B0">
        <w:t>s covered by this approval</w:t>
      </w:r>
      <w:r w:rsidR="00983626">
        <w:t xml:space="preserve"> ha</w:t>
      </w:r>
      <w:r w:rsidR="00BE5AA6">
        <w:t>ve</w:t>
      </w:r>
      <w:r w:rsidR="00983626">
        <w:t xml:space="preserve"> decreased.</w:t>
      </w:r>
    </w:p>
    <w:p w14:paraId="60EB424C" w14:textId="6EC68177" w:rsidR="008741FA" w:rsidRDefault="008741FA">
      <w:pPr>
        <w:pStyle w:val="p1-standpara"/>
        <w:spacing w:before="0" w:beforeAutospacing="0" w:after="0" w:afterAutospacing="0"/>
        <w:jc w:val="both"/>
      </w:pPr>
    </w:p>
    <w:p w14:paraId="7FE445DA" w14:textId="486ADD39" w:rsidR="00A63531" w:rsidRPr="00A25ABB" w:rsidRDefault="00A63531">
      <w:pPr>
        <w:pStyle w:val="p1-standpara"/>
        <w:spacing w:before="0" w:beforeAutospacing="0" w:after="0" w:afterAutospacing="0"/>
        <w:jc w:val="both"/>
        <w:rPr>
          <w:b/>
          <w:sz w:val="20"/>
          <w:szCs w:val="20"/>
        </w:rPr>
      </w:pPr>
      <w:r w:rsidRPr="00A25ABB">
        <w:rPr>
          <w:b/>
          <w:sz w:val="20"/>
          <w:szCs w:val="20"/>
        </w:rPr>
        <w:t xml:space="preserve">Exhibit 1: Collections </w:t>
      </w:r>
      <w:r>
        <w:rPr>
          <w:b/>
          <w:sz w:val="20"/>
          <w:szCs w:val="20"/>
        </w:rPr>
        <w:t>covered</w:t>
      </w:r>
      <w:r w:rsidRPr="00A25ABB">
        <w:rPr>
          <w:b/>
          <w:sz w:val="20"/>
          <w:szCs w:val="20"/>
        </w:rPr>
        <w:t xml:space="preserve"> </w:t>
      </w:r>
      <w:r>
        <w:rPr>
          <w:b/>
          <w:sz w:val="20"/>
          <w:szCs w:val="20"/>
        </w:rPr>
        <w:t>by</w:t>
      </w:r>
      <w:r w:rsidRPr="00A25ABB">
        <w:rPr>
          <w:b/>
          <w:sz w:val="20"/>
          <w:szCs w:val="20"/>
        </w:rPr>
        <w:t xml:space="preserve"> this request</w:t>
      </w:r>
    </w:p>
    <w:tbl>
      <w:tblPr>
        <w:tblW w:w="0" w:type="auto"/>
        <w:tblBorders>
          <w:insideH w:val="single" w:sz="4" w:space="0" w:color="auto"/>
          <w:insideV w:val="single" w:sz="4" w:space="0" w:color="auto"/>
        </w:tblBorders>
        <w:tblLook w:val="04A0" w:firstRow="1" w:lastRow="0" w:firstColumn="1" w:lastColumn="0" w:noHBand="0" w:noVBand="1"/>
      </w:tblPr>
      <w:tblGrid>
        <w:gridCol w:w="4307"/>
        <w:gridCol w:w="4313"/>
      </w:tblGrid>
      <w:tr w:rsidR="008741FA" w:rsidRPr="00924E64" w14:paraId="0B02224F" w14:textId="77777777" w:rsidTr="00674A43">
        <w:trPr>
          <w:cantSplit/>
          <w:tblHeader/>
        </w:trPr>
        <w:tc>
          <w:tcPr>
            <w:tcW w:w="4307" w:type="dxa"/>
            <w:tcBorders>
              <w:top w:val="single" w:sz="8" w:space="0" w:color="auto"/>
              <w:left w:val="single" w:sz="8" w:space="0" w:color="auto"/>
              <w:bottom w:val="single" w:sz="8" w:space="0" w:color="auto"/>
              <w:right w:val="single" w:sz="8" w:space="0" w:color="auto"/>
            </w:tcBorders>
            <w:vAlign w:val="center"/>
            <w:hideMark/>
          </w:tcPr>
          <w:p w14:paraId="3C5B54D2" w14:textId="77777777" w:rsidR="008741FA" w:rsidRPr="00AF5BB7" w:rsidRDefault="008741FA" w:rsidP="00924E64">
            <w:pPr>
              <w:pStyle w:val="p1-standpara"/>
              <w:spacing w:before="0" w:beforeAutospacing="0" w:after="0" w:afterAutospacing="0"/>
              <w:jc w:val="center"/>
              <w:rPr>
                <w:sz w:val="20"/>
                <w:szCs w:val="20"/>
              </w:rPr>
            </w:pPr>
            <w:r w:rsidRPr="00AF5BB7">
              <w:rPr>
                <w:rStyle w:val="Strong"/>
                <w:sz w:val="20"/>
                <w:szCs w:val="20"/>
              </w:rPr>
              <w:t>Program</w:t>
            </w:r>
          </w:p>
        </w:tc>
        <w:tc>
          <w:tcPr>
            <w:tcW w:w="4313" w:type="dxa"/>
            <w:tcBorders>
              <w:top w:val="single" w:sz="8" w:space="0" w:color="auto"/>
              <w:left w:val="nil"/>
              <w:bottom w:val="single" w:sz="8" w:space="0" w:color="auto"/>
              <w:right w:val="single" w:sz="8" w:space="0" w:color="auto"/>
            </w:tcBorders>
            <w:vAlign w:val="center"/>
            <w:hideMark/>
          </w:tcPr>
          <w:p w14:paraId="16D1D5C2" w14:textId="77777777" w:rsidR="008741FA" w:rsidRPr="00AF5BB7" w:rsidRDefault="008741FA" w:rsidP="007B5D4B">
            <w:pPr>
              <w:pStyle w:val="p1-standpara"/>
              <w:spacing w:before="0" w:beforeAutospacing="0" w:after="0" w:afterAutospacing="0"/>
              <w:jc w:val="center"/>
              <w:rPr>
                <w:sz w:val="20"/>
                <w:szCs w:val="20"/>
              </w:rPr>
            </w:pPr>
            <w:r w:rsidRPr="00AF5BB7">
              <w:rPr>
                <w:rStyle w:val="Strong"/>
                <w:sz w:val="20"/>
                <w:szCs w:val="20"/>
              </w:rPr>
              <w:t>Type of Program</w:t>
            </w:r>
          </w:p>
        </w:tc>
      </w:tr>
      <w:tr w:rsidR="008741FA" w:rsidRPr="00924E64" w14:paraId="5FBE9C71" w14:textId="77777777" w:rsidTr="005E6EC7">
        <w:tc>
          <w:tcPr>
            <w:tcW w:w="4307" w:type="dxa"/>
            <w:tcBorders>
              <w:top w:val="nil"/>
              <w:left w:val="single" w:sz="8" w:space="0" w:color="auto"/>
              <w:bottom w:val="single" w:sz="8" w:space="0" w:color="auto"/>
              <w:right w:val="single" w:sz="8" w:space="0" w:color="auto"/>
            </w:tcBorders>
            <w:hideMark/>
          </w:tcPr>
          <w:p w14:paraId="1850FEE6" w14:textId="77777777" w:rsidR="008741FA" w:rsidRPr="00924E64" w:rsidRDefault="008741FA" w:rsidP="00391273">
            <w:pPr>
              <w:pStyle w:val="p1-standpara"/>
              <w:spacing w:before="0" w:beforeAutospacing="0" w:after="0" w:afterAutospacing="0"/>
              <w:rPr>
                <w:sz w:val="20"/>
                <w:szCs w:val="20"/>
              </w:rPr>
            </w:pPr>
            <w:r w:rsidRPr="00924E64">
              <w:rPr>
                <w:sz w:val="20"/>
                <w:szCs w:val="20"/>
              </w:rPr>
              <w:t>Centers of Research Excellence in Science and Technology (CREST) and Historically Black Colleges and Universities Research Infrastructure for Science and Engineering (HBCU-RISE) Monitoring System</w:t>
            </w:r>
          </w:p>
        </w:tc>
        <w:tc>
          <w:tcPr>
            <w:tcW w:w="4313" w:type="dxa"/>
            <w:tcBorders>
              <w:top w:val="nil"/>
              <w:left w:val="nil"/>
              <w:bottom w:val="single" w:sz="8" w:space="0" w:color="auto"/>
              <w:right w:val="single" w:sz="8" w:space="0" w:color="auto"/>
            </w:tcBorders>
            <w:vAlign w:val="center"/>
            <w:hideMark/>
          </w:tcPr>
          <w:p w14:paraId="764F6ABC" w14:textId="77777777" w:rsidR="008741FA" w:rsidRPr="00924E64" w:rsidRDefault="008741FA" w:rsidP="007B5D4B">
            <w:pPr>
              <w:pStyle w:val="p1-standpara"/>
              <w:spacing w:before="0" w:beforeAutospacing="0" w:after="0" w:afterAutospacing="0"/>
              <w:jc w:val="center"/>
              <w:rPr>
                <w:sz w:val="20"/>
                <w:szCs w:val="20"/>
              </w:rPr>
            </w:pPr>
            <w:r w:rsidRPr="00924E64">
              <w:rPr>
                <w:sz w:val="20"/>
                <w:szCs w:val="20"/>
              </w:rPr>
              <w:t>Implementation</w:t>
            </w:r>
            <w:r w:rsidR="00A952A3">
              <w:rPr>
                <w:sz w:val="20"/>
                <w:szCs w:val="20"/>
              </w:rPr>
              <w:t xml:space="preserve">, </w:t>
            </w:r>
            <w:r w:rsidRPr="00924E64">
              <w:rPr>
                <w:sz w:val="20"/>
                <w:szCs w:val="20"/>
              </w:rPr>
              <w:t>Development</w:t>
            </w:r>
            <w:r w:rsidR="006B1291">
              <w:rPr>
                <w:sz w:val="20"/>
                <w:szCs w:val="20"/>
              </w:rPr>
              <w:t>,</w:t>
            </w:r>
            <w:r w:rsidRPr="00924E64">
              <w:rPr>
                <w:sz w:val="20"/>
                <w:szCs w:val="20"/>
              </w:rPr>
              <w:t xml:space="preserve"> &amp; Research</w:t>
            </w:r>
          </w:p>
        </w:tc>
      </w:tr>
      <w:tr w:rsidR="008741FA" w:rsidRPr="00924E64" w14:paraId="4DFDB355" w14:textId="77777777" w:rsidTr="005E6EC7">
        <w:tc>
          <w:tcPr>
            <w:tcW w:w="4307" w:type="dxa"/>
            <w:tcBorders>
              <w:top w:val="nil"/>
              <w:left w:val="single" w:sz="8" w:space="0" w:color="auto"/>
              <w:bottom w:val="single" w:sz="8" w:space="0" w:color="auto"/>
              <w:right w:val="single" w:sz="8" w:space="0" w:color="auto"/>
            </w:tcBorders>
            <w:hideMark/>
          </w:tcPr>
          <w:p w14:paraId="5C6425AD" w14:textId="079B0036" w:rsidR="008741FA" w:rsidRPr="00924E64" w:rsidRDefault="008741FA" w:rsidP="00391273">
            <w:pPr>
              <w:pStyle w:val="p1-standpara"/>
              <w:spacing w:before="0" w:beforeAutospacing="0" w:after="0" w:afterAutospacing="0"/>
              <w:rPr>
                <w:sz w:val="20"/>
                <w:szCs w:val="20"/>
              </w:rPr>
            </w:pPr>
            <w:r w:rsidRPr="00924E64">
              <w:rPr>
                <w:sz w:val="20"/>
                <w:szCs w:val="20"/>
              </w:rPr>
              <w:t>Integrative Graduate Education and Research Traineeship Program (IGERT) Monitoring System</w:t>
            </w:r>
            <w:r w:rsidR="00D066ED">
              <w:rPr>
                <w:sz w:val="20"/>
                <w:szCs w:val="20"/>
              </w:rPr>
              <w:t xml:space="preserve"> (</w:t>
            </w:r>
            <w:r w:rsidR="00A63531">
              <w:rPr>
                <w:b/>
                <w:i/>
                <w:sz w:val="20"/>
                <w:szCs w:val="20"/>
              </w:rPr>
              <w:t>no longer making new awards</w:t>
            </w:r>
            <w:r w:rsidR="00D066ED">
              <w:rPr>
                <w:sz w:val="20"/>
                <w:szCs w:val="20"/>
              </w:rPr>
              <w:t>)</w:t>
            </w:r>
          </w:p>
        </w:tc>
        <w:tc>
          <w:tcPr>
            <w:tcW w:w="4313" w:type="dxa"/>
            <w:tcBorders>
              <w:top w:val="nil"/>
              <w:left w:val="nil"/>
              <w:bottom w:val="single" w:sz="8" w:space="0" w:color="auto"/>
              <w:right w:val="single" w:sz="8" w:space="0" w:color="auto"/>
            </w:tcBorders>
            <w:vAlign w:val="center"/>
            <w:hideMark/>
          </w:tcPr>
          <w:p w14:paraId="090633CB" w14:textId="77777777" w:rsidR="008741FA" w:rsidRPr="00924E64" w:rsidRDefault="008741FA" w:rsidP="007B5D4B">
            <w:pPr>
              <w:pStyle w:val="p1-standpara"/>
              <w:spacing w:before="0" w:beforeAutospacing="0" w:after="0" w:afterAutospacing="0"/>
              <w:jc w:val="center"/>
              <w:rPr>
                <w:sz w:val="20"/>
                <w:szCs w:val="20"/>
              </w:rPr>
            </w:pPr>
            <w:r w:rsidRPr="00924E64">
              <w:rPr>
                <w:sz w:val="20"/>
                <w:szCs w:val="20"/>
              </w:rPr>
              <w:t>Scholarships and Fellowships</w:t>
            </w:r>
          </w:p>
        </w:tc>
      </w:tr>
      <w:tr w:rsidR="008741FA" w:rsidRPr="00924E64" w14:paraId="1DDD2BCF" w14:textId="77777777" w:rsidTr="005E6EC7">
        <w:tc>
          <w:tcPr>
            <w:tcW w:w="4307" w:type="dxa"/>
            <w:tcBorders>
              <w:top w:val="nil"/>
              <w:left w:val="single" w:sz="8" w:space="0" w:color="auto"/>
              <w:bottom w:val="single" w:sz="8" w:space="0" w:color="auto"/>
              <w:right w:val="single" w:sz="8" w:space="0" w:color="auto"/>
            </w:tcBorders>
            <w:hideMark/>
          </w:tcPr>
          <w:p w14:paraId="18D5B3C0" w14:textId="77777777" w:rsidR="008741FA" w:rsidRPr="00924E64" w:rsidRDefault="008741FA">
            <w:pPr>
              <w:pStyle w:val="p1-standpara"/>
              <w:spacing w:before="0" w:beforeAutospacing="0" w:after="0" w:afterAutospacing="0"/>
              <w:rPr>
                <w:sz w:val="20"/>
                <w:szCs w:val="20"/>
              </w:rPr>
            </w:pPr>
            <w:r w:rsidRPr="00924E64">
              <w:rPr>
                <w:sz w:val="20"/>
                <w:szCs w:val="20"/>
              </w:rPr>
              <w:t>Louis Stokes Alliances for Minority Participation (LSAMP) Monitoring System</w:t>
            </w:r>
          </w:p>
        </w:tc>
        <w:tc>
          <w:tcPr>
            <w:tcW w:w="4313" w:type="dxa"/>
            <w:tcBorders>
              <w:top w:val="nil"/>
              <w:left w:val="nil"/>
              <w:bottom w:val="single" w:sz="8" w:space="0" w:color="auto"/>
              <w:right w:val="single" w:sz="8" w:space="0" w:color="auto"/>
            </w:tcBorders>
            <w:vAlign w:val="center"/>
            <w:hideMark/>
          </w:tcPr>
          <w:p w14:paraId="595D877E" w14:textId="77777777" w:rsidR="008741FA" w:rsidRPr="00924E64" w:rsidRDefault="008741FA" w:rsidP="007B5D4B">
            <w:pPr>
              <w:pStyle w:val="p1-standpara"/>
              <w:spacing w:before="0" w:beforeAutospacing="0" w:after="0" w:afterAutospacing="0"/>
              <w:jc w:val="center"/>
              <w:rPr>
                <w:sz w:val="20"/>
                <w:szCs w:val="20"/>
              </w:rPr>
            </w:pPr>
            <w:r w:rsidRPr="00924E64">
              <w:rPr>
                <w:sz w:val="20"/>
                <w:szCs w:val="20"/>
              </w:rPr>
              <w:t>Implementation</w:t>
            </w:r>
            <w:r w:rsidR="00A952A3">
              <w:rPr>
                <w:sz w:val="20"/>
                <w:szCs w:val="20"/>
              </w:rPr>
              <w:t xml:space="preserve">, </w:t>
            </w:r>
            <w:r w:rsidRPr="00924E64">
              <w:rPr>
                <w:sz w:val="20"/>
                <w:szCs w:val="20"/>
              </w:rPr>
              <w:t>Development</w:t>
            </w:r>
            <w:r w:rsidR="006B1291">
              <w:rPr>
                <w:sz w:val="20"/>
                <w:szCs w:val="20"/>
              </w:rPr>
              <w:t>,</w:t>
            </w:r>
            <w:r w:rsidRPr="00924E64">
              <w:rPr>
                <w:sz w:val="20"/>
                <w:szCs w:val="20"/>
              </w:rPr>
              <w:t xml:space="preserve"> &amp; Research;</w:t>
            </w:r>
          </w:p>
          <w:p w14:paraId="7423D632" w14:textId="77777777" w:rsidR="008741FA" w:rsidRPr="00924E64" w:rsidRDefault="008741FA" w:rsidP="007B5D4B">
            <w:pPr>
              <w:pStyle w:val="p1-standpara"/>
              <w:spacing w:before="0" w:beforeAutospacing="0" w:after="0" w:afterAutospacing="0"/>
              <w:jc w:val="center"/>
              <w:rPr>
                <w:sz w:val="20"/>
                <w:szCs w:val="20"/>
              </w:rPr>
            </w:pPr>
            <w:r w:rsidRPr="00924E64">
              <w:rPr>
                <w:sz w:val="20"/>
                <w:szCs w:val="20"/>
              </w:rPr>
              <w:t>Scholarships and Fellowships</w:t>
            </w:r>
          </w:p>
        </w:tc>
      </w:tr>
      <w:tr w:rsidR="008741FA" w:rsidRPr="00924E64" w14:paraId="6FCE7067" w14:textId="77777777" w:rsidTr="005E6EC7">
        <w:tc>
          <w:tcPr>
            <w:tcW w:w="4307" w:type="dxa"/>
            <w:tcBorders>
              <w:top w:val="nil"/>
              <w:left w:val="single" w:sz="8" w:space="0" w:color="auto"/>
              <w:bottom w:val="single" w:sz="8" w:space="0" w:color="auto"/>
              <w:right w:val="single" w:sz="8" w:space="0" w:color="auto"/>
            </w:tcBorders>
            <w:hideMark/>
          </w:tcPr>
          <w:p w14:paraId="48E6708D" w14:textId="77777777" w:rsidR="008741FA" w:rsidRPr="00924E64" w:rsidRDefault="008741FA">
            <w:pPr>
              <w:pStyle w:val="p1-standpara"/>
              <w:spacing w:before="0" w:beforeAutospacing="0" w:after="0" w:afterAutospacing="0"/>
              <w:rPr>
                <w:sz w:val="20"/>
                <w:szCs w:val="20"/>
              </w:rPr>
            </w:pPr>
            <w:r w:rsidRPr="00924E64">
              <w:rPr>
                <w:sz w:val="20"/>
                <w:szCs w:val="20"/>
              </w:rPr>
              <w:t>Louis Stokes Alliances for Minority Participation Bridge to the Doctorate (LSAMP-BD) Monitoring System</w:t>
            </w:r>
          </w:p>
        </w:tc>
        <w:tc>
          <w:tcPr>
            <w:tcW w:w="4313" w:type="dxa"/>
            <w:tcBorders>
              <w:top w:val="nil"/>
              <w:left w:val="nil"/>
              <w:bottom w:val="single" w:sz="8" w:space="0" w:color="auto"/>
              <w:right w:val="single" w:sz="8" w:space="0" w:color="auto"/>
            </w:tcBorders>
            <w:vAlign w:val="center"/>
            <w:hideMark/>
          </w:tcPr>
          <w:p w14:paraId="4B78AE95" w14:textId="77777777" w:rsidR="008741FA" w:rsidRPr="00924E64" w:rsidRDefault="008741FA" w:rsidP="007B5D4B">
            <w:pPr>
              <w:pStyle w:val="p1-standpara"/>
              <w:spacing w:before="0" w:beforeAutospacing="0" w:after="0" w:afterAutospacing="0"/>
              <w:jc w:val="center"/>
              <w:rPr>
                <w:sz w:val="20"/>
                <w:szCs w:val="20"/>
              </w:rPr>
            </w:pPr>
            <w:r w:rsidRPr="00924E64">
              <w:rPr>
                <w:sz w:val="20"/>
                <w:szCs w:val="20"/>
              </w:rPr>
              <w:t>Scholarships and Fellowships</w:t>
            </w:r>
          </w:p>
        </w:tc>
      </w:tr>
      <w:tr w:rsidR="008741FA" w:rsidRPr="00924E64" w14:paraId="6C32F11A" w14:textId="77777777" w:rsidTr="005E6EC7">
        <w:tc>
          <w:tcPr>
            <w:tcW w:w="4307" w:type="dxa"/>
            <w:tcBorders>
              <w:top w:val="nil"/>
              <w:left w:val="single" w:sz="8" w:space="0" w:color="auto"/>
              <w:bottom w:val="single" w:sz="8" w:space="0" w:color="auto"/>
              <w:right w:val="single" w:sz="8" w:space="0" w:color="auto"/>
            </w:tcBorders>
            <w:hideMark/>
          </w:tcPr>
          <w:p w14:paraId="5DBB1D4C" w14:textId="77777777" w:rsidR="008741FA" w:rsidRPr="00924E64" w:rsidRDefault="008741FA">
            <w:pPr>
              <w:pStyle w:val="p1-standpara"/>
              <w:spacing w:before="0" w:beforeAutospacing="0" w:after="0" w:afterAutospacing="0"/>
              <w:rPr>
                <w:sz w:val="20"/>
                <w:szCs w:val="20"/>
              </w:rPr>
            </w:pPr>
            <w:r w:rsidRPr="00924E64">
              <w:rPr>
                <w:sz w:val="20"/>
                <w:szCs w:val="20"/>
              </w:rPr>
              <w:t>Robert Noyce Teacher Scholarship Program (Noyce) Monitoring System</w:t>
            </w:r>
          </w:p>
        </w:tc>
        <w:tc>
          <w:tcPr>
            <w:tcW w:w="4313" w:type="dxa"/>
            <w:tcBorders>
              <w:top w:val="nil"/>
              <w:left w:val="nil"/>
              <w:bottom w:val="single" w:sz="8" w:space="0" w:color="auto"/>
              <w:right w:val="single" w:sz="8" w:space="0" w:color="auto"/>
            </w:tcBorders>
            <w:vAlign w:val="center"/>
            <w:hideMark/>
          </w:tcPr>
          <w:p w14:paraId="6E5FCC71" w14:textId="77777777" w:rsidR="008741FA" w:rsidRPr="00924E64" w:rsidRDefault="008741FA" w:rsidP="007B5D4B">
            <w:pPr>
              <w:pStyle w:val="p1-standpara"/>
              <w:spacing w:before="0" w:beforeAutospacing="0" w:after="0" w:afterAutospacing="0"/>
              <w:jc w:val="center"/>
              <w:rPr>
                <w:sz w:val="20"/>
                <w:szCs w:val="20"/>
              </w:rPr>
            </w:pPr>
            <w:r w:rsidRPr="00924E64">
              <w:rPr>
                <w:sz w:val="20"/>
                <w:szCs w:val="20"/>
              </w:rPr>
              <w:t>Scholarships and Fellowships</w:t>
            </w:r>
          </w:p>
        </w:tc>
      </w:tr>
      <w:tr w:rsidR="008741FA" w:rsidRPr="00924E64" w14:paraId="74EB0528" w14:textId="77777777" w:rsidTr="005E6EC7">
        <w:tc>
          <w:tcPr>
            <w:tcW w:w="4307" w:type="dxa"/>
            <w:tcBorders>
              <w:top w:val="nil"/>
              <w:left w:val="single" w:sz="8" w:space="0" w:color="auto"/>
              <w:bottom w:val="single" w:sz="8" w:space="0" w:color="auto"/>
              <w:right w:val="single" w:sz="8" w:space="0" w:color="auto"/>
            </w:tcBorders>
            <w:hideMark/>
          </w:tcPr>
          <w:p w14:paraId="777A4EA9" w14:textId="550DE546" w:rsidR="008741FA" w:rsidRPr="00924E64" w:rsidRDefault="008741FA" w:rsidP="00391273">
            <w:pPr>
              <w:pStyle w:val="p1-standpara"/>
              <w:spacing w:before="0" w:beforeAutospacing="0" w:after="0" w:afterAutospacing="0"/>
              <w:rPr>
                <w:sz w:val="20"/>
                <w:szCs w:val="20"/>
              </w:rPr>
            </w:pPr>
            <w:r w:rsidRPr="00924E64">
              <w:rPr>
                <w:sz w:val="20"/>
                <w:szCs w:val="20"/>
              </w:rPr>
              <w:t>Scholarships in Science, Technology, Engineering,</w:t>
            </w:r>
            <w:r w:rsidR="00391273">
              <w:rPr>
                <w:sz w:val="20"/>
                <w:szCs w:val="20"/>
              </w:rPr>
              <w:t xml:space="preserve"> </w:t>
            </w:r>
            <w:r w:rsidRPr="00924E64">
              <w:rPr>
                <w:sz w:val="20"/>
                <w:szCs w:val="20"/>
              </w:rPr>
              <w:t>and Mathematic (S-STEM) Monitoring System</w:t>
            </w:r>
          </w:p>
        </w:tc>
        <w:tc>
          <w:tcPr>
            <w:tcW w:w="4313" w:type="dxa"/>
            <w:tcBorders>
              <w:top w:val="nil"/>
              <w:left w:val="nil"/>
              <w:bottom w:val="single" w:sz="8" w:space="0" w:color="auto"/>
              <w:right w:val="single" w:sz="8" w:space="0" w:color="auto"/>
            </w:tcBorders>
            <w:vAlign w:val="center"/>
            <w:hideMark/>
          </w:tcPr>
          <w:p w14:paraId="2A28A913" w14:textId="77777777" w:rsidR="008741FA" w:rsidRPr="00924E64" w:rsidRDefault="008741FA" w:rsidP="007B5D4B">
            <w:pPr>
              <w:pStyle w:val="p1-standpara"/>
              <w:spacing w:before="0" w:beforeAutospacing="0" w:after="0" w:afterAutospacing="0"/>
              <w:jc w:val="center"/>
              <w:rPr>
                <w:sz w:val="20"/>
                <w:szCs w:val="20"/>
              </w:rPr>
            </w:pPr>
            <w:r w:rsidRPr="00924E64">
              <w:rPr>
                <w:sz w:val="20"/>
                <w:szCs w:val="20"/>
              </w:rPr>
              <w:t>Scholarships and Fellowships</w:t>
            </w:r>
          </w:p>
        </w:tc>
      </w:tr>
      <w:tr w:rsidR="008741FA" w:rsidRPr="00924E64" w14:paraId="11032FD8" w14:textId="77777777" w:rsidTr="005E6EC7">
        <w:tc>
          <w:tcPr>
            <w:tcW w:w="4307" w:type="dxa"/>
            <w:tcBorders>
              <w:top w:val="nil"/>
              <w:left w:val="single" w:sz="8" w:space="0" w:color="auto"/>
              <w:bottom w:val="single" w:sz="8" w:space="0" w:color="auto"/>
              <w:right w:val="single" w:sz="8" w:space="0" w:color="auto"/>
            </w:tcBorders>
            <w:hideMark/>
          </w:tcPr>
          <w:p w14:paraId="216FB20A" w14:textId="77777777" w:rsidR="00A63531" w:rsidRDefault="008741FA" w:rsidP="00FA5673">
            <w:pPr>
              <w:pStyle w:val="p1-standpara"/>
              <w:spacing w:before="0" w:beforeAutospacing="0" w:after="0" w:afterAutospacing="0"/>
              <w:rPr>
                <w:sz w:val="20"/>
                <w:szCs w:val="20"/>
              </w:rPr>
            </w:pPr>
            <w:r w:rsidRPr="00924E64">
              <w:rPr>
                <w:sz w:val="20"/>
                <w:szCs w:val="20"/>
              </w:rPr>
              <w:t>Science, Technology, Engineering, and Mathematics Talent Expansion Program (STEP) Monitoring System</w:t>
            </w:r>
            <w:r w:rsidR="00D066ED">
              <w:rPr>
                <w:sz w:val="20"/>
                <w:szCs w:val="20"/>
              </w:rPr>
              <w:t xml:space="preserve"> </w:t>
            </w:r>
          </w:p>
          <w:p w14:paraId="7731C5C4" w14:textId="28718BED" w:rsidR="008741FA" w:rsidRPr="00924E64" w:rsidRDefault="00D066ED" w:rsidP="00FA5673">
            <w:pPr>
              <w:pStyle w:val="p1-standpara"/>
              <w:spacing w:before="0" w:beforeAutospacing="0" w:after="0" w:afterAutospacing="0"/>
              <w:rPr>
                <w:sz w:val="20"/>
                <w:szCs w:val="20"/>
              </w:rPr>
            </w:pPr>
            <w:r>
              <w:rPr>
                <w:sz w:val="20"/>
                <w:szCs w:val="20"/>
              </w:rPr>
              <w:t>(</w:t>
            </w:r>
            <w:r w:rsidR="00A63531">
              <w:rPr>
                <w:b/>
                <w:i/>
                <w:sz w:val="20"/>
                <w:szCs w:val="20"/>
              </w:rPr>
              <w:t>no longer making new awards</w:t>
            </w:r>
            <w:r>
              <w:rPr>
                <w:sz w:val="20"/>
                <w:szCs w:val="20"/>
              </w:rPr>
              <w:t>)</w:t>
            </w:r>
          </w:p>
        </w:tc>
        <w:tc>
          <w:tcPr>
            <w:tcW w:w="4313" w:type="dxa"/>
            <w:tcBorders>
              <w:top w:val="nil"/>
              <w:left w:val="nil"/>
              <w:bottom w:val="single" w:sz="8" w:space="0" w:color="auto"/>
              <w:right w:val="single" w:sz="8" w:space="0" w:color="auto"/>
            </w:tcBorders>
            <w:vAlign w:val="center"/>
            <w:hideMark/>
          </w:tcPr>
          <w:p w14:paraId="4B7CE252" w14:textId="77777777" w:rsidR="008741FA" w:rsidRPr="00924E64" w:rsidRDefault="008741FA" w:rsidP="007B5D4B">
            <w:pPr>
              <w:pStyle w:val="p1-standpara"/>
              <w:spacing w:before="0" w:beforeAutospacing="0" w:after="0" w:afterAutospacing="0"/>
              <w:jc w:val="center"/>
              <w:rPr>
                <w:sz w:val="20"/>
                <w:szCs w:val="20"/>
              </w:rPr>
            </w:pPr>
            <w:r w:rsidRPr="00924E64">
              <w:rPr>
                <w:sz w:val="20"/>
                <w:szCs w:val="20"/>
              </w:rPr>
              <w:t>Implementation</w:t>
            </w:r>
            <w:r w:rsidR="00A952A3">
              <w:rPr>
                <w:sz w:val="20"/>
                <w:szCs w:val="20"/>
              </w:rPr>
              <w:t xml:space="preserve">, </w:t>
            </w:r>
            <w:r w:rsidRPr="00924E64">
              <w:rPr>
                <w:sz w:val="20"/>
                <w:szCs w:val="20"/>
              </w:rPr>
              <w:t>Development</w:t>
            </w:r>
            <w:r w:rsidR="006B1291">
              <w:rPr>
                <w:sz w:val="20"/>
                <w:szCs w:val="20"/>
              </w:rPr>
              <w:t>,</w:t>
            </w:r>
            <w:r w:rsidRPr="00924E64">
              <w:rPr>
                <w:sz w:val="20"/>
                <w:szCs w:val="20"/>
              </w:rPr>
              <w:t xml:space="preserve"> &amp; Research</w:t>
            </w:r>
          </w:p>
        </w:tc>
      </w:tr>
    </w:tbl>
    <w:p w14:paraId="50F1C08C" w14:textId="77777777" w:rsidR="008741FA" w:rsidRDefault="008741FA">
      <w:pPr>
        <w:pStyle w:val="Heading3"/>
      </w:pPr>
      <w:bookmarkStart w:id="3" w:name="_ftn1"/>
      <w:bookmarkEnd w:id="3"/>
      <w:r>
        <w:t>A.1. Circumstances Requiring the Collection of Data</w:t>
      </w:r>
    </w:p>
    <w:p w14:paraId="6574A0C3" w14:textId="4D0A97EA" w:rsidR="008741FA" w:rsidRDefault="001379AC">
      <w:pPr>
        <w:pStyle w:val="p1-standpara"/>
        <w:spacing w:before="0" w:beforeAutospacing="0" w:after="0" w:afterAutospacing="0"/>
        <w:jc w:val="both"/>
      </w:pPr>
      <w:r>
        <w:t xml:space="preserve">EHR </w:t>
      </w:r>
      <w:r w:rsidR="008741FA">
        <w:t>is responsible for analyzing and evaluating STEM education and human resource development activities and research in NSF’s Education and Training (E&amp;T) portfolio.</w:t>
      </w:r>
    </w:p>
    <w:p w14:paraId="464833E1" w14:textId="77777777" w:rsidR="008741FA" w:rsidRDefault="008741FA">
      <w:pPr>
        <w:pStyle w:val="p1-standpara"/>
        <w:spacing w:before="0" w:beforeAutospacing="0" w:after="0" w:afterAutospacing="0"/>
        <w:jc w:val="both"/>
      </w:pPr>
    </w:p>
    <w:p w14:paraId="5AFB0CD0" w14:textId="77777777" w:rsidR="008741FA" w:rsidRDefault="008741FA">
      <w:pPr>
        <w:pStyle w:val="p1-standpara"/>
        <w:spacing w:before="0" w:beforeAutospacing="0" w:after="0" w:afterAutospacing="0"/>
        <w:jc w:val="both"/>
      </w:pPr>
      <w:r>
        <w:rPr>
          <w:rStyle w:val="Strong"/>
        </w:rPr>
        <w:t>EHR Monitoring Systems Clearance</w:t>
      </w:r>
    </w:p>
    <w:p w14:paraId="7A80CFE8" w14:textId="00EE31D6" w:rsidR="00EA0187" w:rsidRDefault="00F27377" w:rsidP="00B303E2">
      <w:pPr>
        <w:pStyle w:val="NormalWeb"/>
        <w:jc w:val="both"/>
      </w:pPr>
      <w:r w:rsidRPr="00DE6C0C">
        <w:t xml:space="preserve">Since the </w:t>
      </w:r>
      <w:r w:rsidR="00DE6C0C" w:rsidRPr="00DE6C0C">
        <w:t xml:space="preserve">original </w:t>
      </w:r>
      <w:r w:rsidRPr="00DE6C0C">
        <w:t xml:space="preserve">request for </w:t>
      </w:r>
      <w:r w:rsidR="002941BC" w:rsidRPr="00DE6C0C">
        <w:t xml:space="preserve">this </w:t>
      </w:r>
      <w:r w:rsidRPr="00DE6C0C">
        <w:t>collection</w:t>
      </w:r>
      <w:r w:rsidR="00EA0187">
        <w:t>,</w:t>
      </w:r>
      <w:r w:rsidR="00DE6C0C" w:rsidRPr="00DE6C0C">
        <w:t xml:space="preserve"> EHR </w:t>
      </w:r>
      <w:r w:rsidR="00DE6C0C">
        <w:t xml:space="preserve">has </w:t>
      </w:r>
      <w:r w:rsidR="00DE6C0C" w:rsidRPr="00DE6C0C">
        <w:t>continue</w:t>
      </w:r>
      <w:r w:rsidR="00DE6C0C">
        <w:t>d</w:t>
      </w:r>
      <w:r w:rsidR="00DE6C0C" w:rsidRPr="00DE6C0C">
        <w:t xml:space="preserve"> to refine and enhance strategies for generating evidence to inform </w:t>
      </w:r>
      <w:r w:rsidR="00EA0187">
        <w:t>assessment</w:t>
      </w:r>
      <w:r w:rsidR="00DE6C0C" w:rsidRPr="00DE6C0C">
        <w:t>s of</w:t>
      </w:r>
      <w:r w:rsidR="00DE6C0C">
        <w:t>,</w:t>
      </w:r>
      <w:r w:rsidR="00DE6C0C" w:rsidRPr="00DE6C0C">
        <w:t xml:space="preserve"> and decisions regarding</w:t>
      </w:r>
      <w:r w:rsidR="00DE6C0C">
        <w:t>,</w:t>
      </w:r>
      <w:r w:rsidR="00DE6C0C" w:rsidRPr="00DE6C0C">
        <w:t xml:space="preserve"> EHR programs and portfolios of investments. For example, EHR has collaborated on NSF-wide initiatives intended to coordinate evaluation and monitoring efforts across NSF led by the NSF Office of Integrative Activities’ Evaluation and Assessment Capability</w:t>
      </w:r>
      <w:r w:rsidR="007E3B55">
        <w:t xml:space="preserve"> (EAC)</w:t>
      </w:r>
      <w:r w:rsidR="00DE6C0C" w:rsidRPr="00DE6C0C">
        <w:t>, including methods and processes for collecti</w:t>
      </w:r>
      <w:r w:rsidR="00EA0187">
        <w:t xml:space="preserve">ng </w:t>
      </w:r>
      <w:r w:rsidR="00DE6C0C" w:rsidRPr="00DE6C0C">
        <w:t>standard data about projects currently limited to annual and final reports as well as new reporting requirements of the Research Performance Progress Report</w:t>
      </w:r>
      <w:r w:rsidR="001C4B3B">
        <w:t xml:space="preserve"> (RPPR</w:t>
      </w:r>
      <w:r w:rsidR="00DE6C0C" w:rsidRPr="00DE6C0C">
        <w:t xml:space="preserve">). </w:t>
      </w:r>
      <w:r w:rsidR="007E3B55">
        <w:t>With support from EAC, a pilot study for compiling a human capital data asset inventory was completed</w:t>
      </w:r>
      <w:r w:rsidR="00EA0187">
        <w:t>;</w:t>
      </w:r>
      <w:r w:rsidR="007E3B55">
        <w:t xml:space="preserve"> a common item bank of program monitoring survey questions was compiled</w:t>
      </w:r>
      <w:r w:rsidR="00EA0187">
        <w:t>;</w:t>
      </w:r>
      <w:r w:rsidR="007E3B55">
        <w:t xml:space="preserve"> and analyses to assess the feasibility of utilizing monitoring data to address formative and summative evaluative questions were conducted.</w:t>
      </w:r>
    </w:p>
    <w:p w14:paraId="7023CB63" w14:textId="694B40CC" w:rsidR="008741FA" w:rsidRDefault="00F27377" w:rsidP="00B303E2">
      <w:pPr>
        <w:pStyle w:val="NormalWeb"/>
        <w:jc w:val="both"/>
        <w:rPr>
          <w:rStyle w:val="Emphasis"/>
          <w:i w:val="0"/>
        </w:rPr>
      </w:pPr>
      <w:r w:rsidRPr="001C4B3B">
        <w:t>EHR</w:t>
      </w:r>
      <w:r w:rsidR="00EA0187" w:rsidRPr="00AF5BB7">
        <w:t>’s</w:t>
      </w:r>
      <w:r w:rsidRPr="001C4B3B">
        <w:t xml:space="preserve"> Evaluation and </w:t>
      </w:r>
      <w:r w:rsidR="00E47800" w:rsidRPr="001C4B3B">
        <w:t>M</w:t>
      </w:r>
      <w:r w:rsidRPr="001C4B3B">
        <w:t>onitoring</w:t>
      </w:r>
      <w:r w:rsidRPr="00DE6C0C">
        <w:t xml:space="preserve"> </w:t>
      </w:r>
      <w:r w:rsidR="001379AC" w:rsidRPr="00DE6C0C">
        <w:t>Group (EMG)</w:t>
      </w:r>
      <w:r w:rsidRPr="00DE6C0C">
        <w:t xml:space="preserve"> </w:t>
      </w:r>
      <w:r w:rsidR="00035A98" w:rsidRPr="00DE6C0C">
        <w:t xml:space="preserve">continues to assess </w:t>
      </w:r>
      <w:r w:rsidRPr="00DE6C0C">
        <w:t>the way</w:t>
      </w:r>
      <w:r w:rsidR="00035A98" w:rsidRPr="00DE6C0C">
        <w:t>s in which</w:t>
      </w:r>
      <w:r w:rsidRPr="00DE6C0C">
        <w:t xml:space="preserve"> monitoring</w:t>
      </w:r>
      <w:r w:rsidR="00035A98" w:rsidRPr="00DE6C0C">
        <w:t xml:space="preserve"> data are used</w:t>
      </w:r>
      <w:r w:rsidRPr="00DE6C0C">
        <w:t xml:space="preserve"> within </w:t>
      </w:r>
      <w:r w:rsidR="00035A98" w:rsidRPr="00DE6C0C">
        <w:t>the Directorate</w:t>
      </w:r>
      <w:r w:rsidR="007563C6" w:rsidRPr="00DE6C0C">
        <w:t>,</w:t>
      </w:r>
      <w:r w:rsidR="00035A98" w:rsidRPr="00DE6C0C">
        <w:t xml:space="preserve"> and plausible alternative sources of information (including NSF enterprise data) to meet EHR’s </w:t>
      </w:r>
      <w:r w:rsidR="00DE6C0C" w:rsidRPr="00DE6C0C">
        <w:t>(</w:t>
      </w:r>
      <w:r w:rsidR="00035A98" w:rsidRPr="00DE6C0C">
        <w:t>and other stakeholders’</w:t>
      </w:r>
      <w:r w:rsidR="00DE6C0C" w:rsidRPr="00DE6C0C">
        <w:t>)</w:t>
      </w:r>
      <w:r w:rsidR="00035A98" w:rsidRPr="00DE6C0C">
        <w:t xml:space="preserve"> needs for evidence on the Directorate’s </w:t>
      </w:r>
      <w:r w:rsidR="002E0E72" w:rsidRPr="00DE6C0C">
        <w:t>STEM workforce development, broadening participation and institutional capacity, and STEM education research programs</w:t>
      </w:r>
      <w:r w:rsidR="00A63531" w:rsidRPr="00AF5BB7">
        <w:t xml:space="preserve"> and investments</w:t>
      </w:r>
      <w:r w:rsidR="00DE6C0C" w:rsidRPr="001C4B3B">
        <w:t>.</w:t>
      </w:r>
      <w:r w:rsidR="00B303E2" w:rsidRPr="00AF5BB7">
        <w:t xml:space="preserve"> </w:t>
      </w:r>
      <w:r w:rsidR="00056F3D" w:rsidRPr="00AF5BB7">
        <w:t>Additionally,</w:t>
      </w:r>
      <w:r w:rsidR="007E3B55" w:rsidRPr="00AF5BB7">
        <w:t xml:space="preserve"> </w:t>
      </w:r>
      <w:r w:rsidR="007E3B55">
        <w:rPr>
          <w:rStyle w:val="Emphasis"/>
          <w:i w:val="0"/>
        </w:rPr>
        <w:t>t</w:t>
      </w:r>
      <w:r w:rsidR="00D8513D">
        <w:rPr>
          <w:rStyle w:val="Emphasis"/>
          <w:i w:val="0"/>
        </w:rPr>
        <w:t xml:space="preserve">he </w:t>
      </w:r>
      <w:r w:rsidR="001379AC">
        <w:rPr>
          <w:rStyle w:val="Emphasis"/>
          <w:i w:val="0"/>
        </w:rPr>
        <w:t>EMG</w:t>
      </w:r>
      <w:r w:rsidR="00D8513D">
        <w:rPr>
          <w:rStyle w:val="Emphasis"/>
          <w:i w:val="0"/>
        </w:rPr>
        <w:t xml:space="preserve"> continues to </w:t>
      </w:r>
      <w:r w:rsidR="007E3B55">
        <w:rPr>
          <w:rStyle w:val="Emphasis"/>
          <w:i w:val="0"/>
        </w:rPr>
        <w:t xml:space="preserve">collaborate with </w:t>
      </w:r>
      <w:r w:rsidR="00DE7C63">
        <w:rPr>
          <w:rStyle w:val="Emphasis"/>
          <w:i w:val="0"/>
        </w:rPr>
        <w:t xml:space="preserve">EHR program staff and leadership, EAC, and colleagues across the </w:t>
      </w:r>
      <w:r w:rsidR="00D662E6">
        <w:rPr>
          <w:rStyle w:val="Emphasis"/>
          <w:i w:val="0"/>
        </w:rPr>
        <w:t>F</w:t>
      </w:r>
      <w:r w:rsidR="00DE7C63">
        <w:rPr>
          <w:rStyle w:val="Emphasis"/>
          <w:i w:val="0"/>
        </w:rPr>
        <w:t xml:space="preserve">ederal </w:t>
      </w:r>
      <w:r w:rsidR="00D662E6">
        <w:rPr>
          <w:rStyle w:val="Emphasis"/>
          <w:i w:val="0"/>
        </w:rPr>
        <w:t>G</w:t>
      </w:r>
      <w:r w:rsidR="00DE7C63">
        <w:rPr>
          <w:rStyle w:val="Emphasis"/>
          <w:i w:val="0"/>
        </w:rPr>
        <w:t>overnment to</w:t>
      </w:r>
      <w:r w:rsidR="008571BF">
        <w:rPr>
          <w:rStyle w:val="Emphasis"/>
          <w:i w:val="0"/>
        </w:rPr>
        <w:t>:</w:t>
      </w:r>
      <w:r w:rsidR="00DE7C63">
        <w:rPr>
          <w:rStyle w:val="Emphasis"/>
          <w:i w:val="0"/>
        </w:rPr>
        <w:t xml:space="preserve"> establish evidence-building agendas; </w:t>
      </w:r>
      <w:r w:rsidR="00D8513D">
        <w:rPr>
          <w:rStyle w:val="Emphasis"/>
          <w:i w:val="0"/>
        </w:rPr>
        <w:t xml:space="preserve">develop </w:t>
      </w:r>
      <w:r w:rsidR="008571BF">
        <w:rPr>
          <w:rStyle w:val="Emphasis"/>
          <w:i w:val="0"/>
        </w:rPr>
        <w:t xml:space="preserve">strategies </w:t>
      </w:r>
      <w:r w:rsidR="001C4B3B">
        <w:rPr>
          <w:rStyle w:val="Emphasis"/>
          <w:i w:val="0"/>
        </w:rPr>
        <w:t>and</w:t>
      </w:r>
      <w:r w:rsidR="008571BF">
        <w:rPr>
          <w:rStyle w:val="Emphasis"/>
          <w:i w:val="0"/>
        </w:rPr>
        <w:t xml:space="preserve"> </w:t>
      </w:r>
      <w:r w:rsidR="00D8513D">
        <w:rPr>
          <w:rStyle w:val="Emphasis"/>
          <w:i w:val="0"/>
        </w:rPr>
        <w:t>process</w:t>
      </w:r>
      <w:r w:rsidR="00233229">
        <w:rPr>
          <w:rStyle w:val="Emphasis"/>
          <w:i w:val="0"/>
        </w:rPr>
        <w:t>es</w:t>
      </w:r>
      <w:r w:rsidR="00DE7C63">
        <w:rPr>
          <w:rStyle w:val="Emphasis"/>
          <w:i w:val="0"/>
        </w:rPr>
        <w:t xml:space="preserve"> </w:t>
      </w:r>
      <w:r w:rsidR="008571BF">
        <w:rPr>
          <w:rStyle w:val="Emphasis"/>
          <w:i w:val="0"/>
        </w:rPr>
        <w:t>to address questions about EHR programs and investments</w:t>
      </w:r>
      <w:r w:rsidR="00DE7C63">
        <w:rPr>
          <w:rStyle w:val="Emphasis"/>
          <w:i w:val="0"/>
        </w:rPr>
        <w:t xml:space="preserve">; and provide guidance in the development of common metrics and </w:t>
      </w:r>
      <w:r w:rsidR="008571BF">
        <w:rPr>
          <w:rStyle w:val="Emphasis"/>
          <w:i w:val="0"/>
        </w:rPr>
        <w:t xml:space="preserve">scalable </w:t>
      </w:r>
      <w:r w:rsidR="00DE7C63">
        <w:rPr>
          <w:rStyle w:val="Emphasis"/>
          <w:i w:val="0"/>
        </w:rPr>
        <w:t xml:space="preserve">approaches to provide robust, timely evidence for </w:t>
      </w:r>
      <w:r w:rsidR="008571BF">
        <w:rPr>
          <w:rStyle w:val="Emphasis"/>
          <w:i w:val="0"/>
        </w:rPr>
        <w:t xml:space="preserve">a wide range of </w:t>
      </w:r>
      <w:r w:rsidR="00DE7C63">
        <w:rPr>
          <w:rStyle w:val="Emphasis"/>
          <w:i w:val="0"/>
        </w:rPr>
        <w:t>improvement, management, evaluative, transparency</w:t>
      </w:r>
      <w:r w:rsidR="001C4B3B">
        <w:rPr>
          <w:rStyle w:val="Emphasis"/>
          <w:i w:val="0"/>
        </w:rPr>
        <w:t>,</w:t>
      </w:r>
      <w:r w:rsidR="00DE7C63">
        <w:rPr>
          <w:rStyle w:val="Emphasis"/>
          <w:i w:val="0"/>
        </w:rPr>
        <w:t xml:space="preserve"> and accountability purposes.</w:t>
      </w:r>
    </w:p>
    <w:p w14:paraId="4EE991A7" w14:textId="789C89E3" w:rsidR="008741FA" w:rsidRDefault="008741FA" w:rsidP="00C14A35">
      <w:pPr>
        <w:pStyle w:val="NormalWeb"/>
        <w:keepNext/>
        <w:keepLines/>
      </w:pPr>
      <w:r>
        <w:rPr>
          <w:rStyle w:val="Strong"/>
        </w:rPr>
        <w:t xml:space="preserve">Issues </w:t>
      </w:r>
      <w:r w:rsidR="00525C7E">
        <w:rPr>
          <w:rStyle w:val="Strong"/>
        </w:rPr>
        <w:t xml:space="preserve">Addressed </w:t>
      </w:r>
      <w:r w:rsidR="00056F3D">
        <w:rPr>
          <w:rStyle w:val="Strong"/>
        </w:rPr>
        <w:t>in</w:t>
      </w:r>
      <w:r w:rsidR="00525C7E">
        <w:rPr>
          <w:rStyle w:val="Strong"/>
        </w:rPr>
        <w:t xml:space="preserve"> the Initial Collection Request</w:t>
      </w:r>
    </w:p>
    <w:p w14:paraId="718588DC" w14:textId="77777777" w:rsidR="008741FA" w:rsidRDefault="00525C7E" w:rsidP="00C14A35">
      <w:pPr>
        <w:pStyle w:val="NormalWeb"/>
        <w:keepNext/>
        <w:keepLines/>
        <w:jc w:val="both"/>
      </w:pPr>
      <w:r>
        <w:t xml:space="preserve">The initial request that created OMB 3145-0226 addressed the extent to which monitoring data in the collection </w:t>
      </w:r>
      <w:r w:rsidR="00C93263">
        <w:t xml:space="preserve">were used in two </w:t>
      </w:r>
      <w:r w:rsidR="00233229">
        <w:t>ways:</w:t>
      </w:r>
    </w:p>
    <w:p w14:paraId="2AE04DEB" w14:textId="2CFB11A2" w:rsidR="008741FA" w:rsidRDefault="008741FA" w:rsidP="00AF5BB7">
      <w:pPr>
        <w:pStyle w:val="NormalWeb"/>
        <w:numPr>
          <w:ilvl w:val="0"/>
          <w:numId w:val="16"/>
        </w:numPr>
        <w:jc w:val="both"/>
      </w:pPr>
      <w:r>
        <w:rPr>
          <w:rStyle w:val="Emphasis"/>
        </w:rPr>
        <w:t>Do monitoring systems collect data needed to assess programs?</w:t>
      </w:r>
    </w:p>
    <w:p w14:paraId="7A19FCB8" w14:textId="77777777" w:rsidR="008741FA" w:rsidRDefault="008741FA" w:rsidP="00B303E2">
      <w:pPr>
        <w:pStyle w:val="NormalWeb"/>
        <w:jc w:val="both"/>
      </w:pPr>
      <w:r>
        <w:t xml:space="preserve">These monitoring systems provide data required to assess the progress of projects in each program. The monitoring data </w:t>
      </w:r>
      <w:r w:rsidR="00471D24">
        <w:t xml:space="preserve">also </w:t>
      </w:r>
      <w:r>
        <w:t>contribute to the overall assessment of program performance.</w:t>
      </w:r>
    </w:p>
    <w:p w14:paraId="52012291" w14:textId="77777777" w:rsidR="008741FA" w:rsidRDefault="008741FA" w:rsidP="00B303E2">
      <w:pPr>
        <w:pStyle w:val="NormalWeb"/>
        <w:jc w:val="both"/>
      </w:pPr>
      <w:r>
        <w:t>In the case of programs that are primarily fellowship</w:t>
      </w:r>
      <w:r w:rsidR="00233229">
        <w:t xml:space="preserve"> </w:t>
      </w:r>
      <w:r>
        <w:t>or scholarship programs, collection of information about participants in those programs is essential to any future tracking of their progress and determination of the impact of participation in the program.</w:t>
      </w:r>
      <w:r w:rsidR="00233229">
        <w:t xml:space="preserve"> </w:t>
      </w:r>
      <w:r w:rsidR="00525C7E">
        <w:t xml:space="preserve">As an </w:t>
      </w:r>
      <w:r w:rsidR="00525C7E" w:rsidRPr="00F53633">
        <w:t>example, the S-STEM program recently was asked to identify the number of graduate students participating in the program. The source of this information was the monitoring data</w:t>
      </w:r>
      <w:r w:rsidR="00CE78EA" w:rsidRPr="00F53633">
        <w:t>, without</w:t>
      </w:r>
      <w:r w:rsidR="00CE78EA">
        <w:t xml:space="preserve"> which the program would have been unable to respond in a timely fashion.</w:t>
      </w:r>
    </w:p>
    <w:p w14:paraId="1097FB1B" w14:textId="39BBBA50" w:rsidR="00CE78EA" w:rsidRDefault="002941BC" w:rsidP="00B303E2">
      <w:pPr>
        <w:pStyle w:val="NormalWeb"/>
        <w:jc w:val="both"/>
      </w:pPr>
      <w:r w:rsidRPr="002A2273">
        <w:t>T</w:t>
      </w:r>
      <w:r w:rsidR="00CE78EA" w:rsidRPr="002A2273">
        <w:t xml:space="preserve">he importance of monitoring data </w:t>
      </w:r>
      <w:r w:rsidRPr="002A2273">
        <w:t xml:space="preserve">is illustrated by the following description of the activities of the S-STEM monitoring data in </w:t>
      </w:r>
      <w:r w:rsidR="00CE78EA" w:rsidRPr="002A2273">
        <w:t xml:space="preserve">the recent </w:t>
      </w:r>
      <w:r w:rsidR="00753B17" w:rsidRPr="002A2273">
        <w:t>program management plan</w:t>
      </w:r>
      <w:r w:rsidR="00CE78EA" w:rsidRPr="002A2273">
        <w:t>:</w:t>
      </w:r>
    </w:p>
    <w:p w14:paraId="064839D1" w14:textId="2862CAA5" w:rsidR="00A54221" w:rsidRPr="00E71D17" w:rsidRDefault="00A54221" w:rsidP="00B303E2">
      <w:pPr>
        <w:pStyle w:val="NormalWeb"/>
        <w:ind w:left="720" w:right="576"/>
        <w:jc w:val="both"/>
        <w:rPr>
          <w:color w:val="000000"/>
        </w:rPr>
      </w:pPr>
      <w:r w:rsidRPr="00E71D17">
        <w:rPr>
          <w:color w:val="000000"/>
        </w:rPr>
        <w:t>The program monitoring system operated by ICF International requests and gathers responses from PIs</w:t>
      </w:r>
      <w:r w:rsidR="001C4B3B">
        <w:rPr>
          <w:color w:val="000000"/>
        </w:rPr>
        <w:t xml:space="preserve"> </w:t>
      </w:r>
      <w:r w:rsidRPr="00E71D17">
        <w:rPr>
          <w:color w:val="000000"/>
        </w:rPr>
        <w:t xml:space="preserve">to </w:t>
      </w:r>
      <w:r w:rsidR="001C4B3B">
        <w:rPr>
          <w:color w:val="000000"/>
        </w:rPr>
        <w:t xml:space="preserve">a </w:t>
      </w:r>
      <w:r w:rsidRPr="00E71D17">
        <w:rPr>
          <w:color w:val="000000"/>
        </w:rPr>
        <w:t>common set of items on a semester/quarterly basis. The items are tailored to the information needs of the program and are strongly aligned with the goals of the program.</w:t>
      </w:r>
      <w:r w:rsidR="000859FD">
        <w:rPr>
          <w:color w:val="000000"/>
        </w:rPr>
        <w:t xml:space="preserve"> Monitoring activities are </w:t>
      </w:r>
      <w:r w:rsidRPr="00E71D17">
        <w:rPr>
          <w:color w:val="000000"/>
        </w:rPr>
        <w:t>administered through</w:t>
      </w:r>
      <w:r w:rsidR="000859FD">
        <w:rPr>
          <w:color w:val="000000"/>
        </w:rPr>
        <w:t xml:space="preserve"> a web-based survey </w:t>
      </w:r>
      <w:r w:rsidRPr="00E71D17">
        <w:rPr>
          <w:color w:val="000000"/>
        </w:rPr>
        <w:t>in which Principal Investigators (PIs) report student scholarship recipient demographics and status. For example, the system collects and stores demographic information (e.g., gender, race/ethnicity, scholarship amount, discipline, degree program). At the start of each semester/quarter PIs report the academic status of each unique recipient (e.g., still in school and active in project activities, graduated, left the program) and the types of activities in which the recipient participated. ICF International assists the leadership team in contacting PIs, administering the survey, and following-up with PIs to ensure the collection of the requisite information for each project.</w:t>
      </w:r>
    </w:p>
    <w:p w14:paraId="1BDEC3EC" w14:textId="77777777" w:rsidR="00A54221" w:rsidRPr="00E71D17" w:rsidRDefault="00A54221" w:rsidP="00B303E2">
      <w:pPr>
        <w:pStyle w:val="NormalWeb"/>
        <w:ind w:left="720" w:right="576"/>
        <w:jc w:val="both"/>
        <w:rPr>
          <w:color w:val="000000"/>
        </w:rPr>
      </w:pPr>
      <w:r w:rsidRPr="00E71D17">
        <w:rPr>
          <w:color w:val="000000"/>
        </w:rPr>
        <w:t>Individual program directors (PDs) monitor compliance with the semester/quarterly reporting requirement for each award on which they serve as the cognizant PD. Each PD has access to the data for the projects they manage. PDs do not sign off on Annual or Final Reports until data compliance is complete and correct. The management team utilizes data from these reports to assess and report on the impact of S-STEM on student recruitment, retention, and graduation in STEM fields.</w:t>
      </w:r>
    </w:p>
    <w:p w14:paraId="4C0EE2AA" w14:textId="7104D51C" w:rsidR="00A54221" w:rsidRPr="00E71D17" w:rsidRDefault="00A54221" w:rsidP="00B303E2">
      <w:pPr>
        <w:pStyle w:val="NormalWeb"/>
        <w:ind w:left="720" w:right="576"/>
        <w:jc w:val="both"/>
        <w:rPr>
          <w:color w:val="000000"/>
        </w:rPr>
      </w:pPr>
      <w:r w:rsidRPr="00E71D17">
        <w:rPr>
          <w:color w:val="000000"/>
        </w:rPr>
        <w:t>The monitoring system is the source for both (a) the collection of information to support the documentation of program performance metrics (e.g., number of STEM majors, number and type of support activities, and number of graduates) and (b) the primary and/or secondary data source for the program evaluation and a project</w:t>
      </w:r>
      <w:r w:rsidR="000859FD">
        <w:rPr>
          <w:color w:val="000000"/>
        </w:rPr>
        <w:t>’</w:t>
      </w:r>
      <w:r w:rsidRPr="00E71D17">
        <w:rPr>
          <w:color w:val="000000"/>
        </w:rPr>
        <w:t>s Third Review.</w:t>
      </w:r>
    </w:p>
    <w:p w14:paraId="72009D7D" w14:textId="4D4234FC" w:rsidR="008741FA" w:rsidRDefault="008741FA" w:rsidP="00B303E2">
      <w:pPr>
        <w:pStyle w:val="NormalWeb"/>
        <w:jc w:val="both"/>
      </w:pPr>
      <w:r>
        <w:t xml:space="preserve">Programs </w:t>
      </w:r>
      <w:r w:rsidR="00B954D5">
        <w:t>with</w:t>
      </w:r>
      <w:r>
        <w:t xml:space="preserve"> implementation </w:t>
      </w:r>
      <w:r w:rsidR="00B954D5">
        <w:t>and/</w:t>
      </w:r>
      <w:r>
        <w:t xml:space="preserve">or development </w:t>
      </w:r>
      <w:r w:rsidR="00B954D5">
        <w:t xml:space="preserve">goals </w:t>
      </w:r>
      <w:r w:rsidR="003C048A">
        <w:t>utiliz</w:t>
      </w:r>
      <w:r>
        <w:t>e detailed information about the initial efforts of individual projects to track the potential impact of those efforts in successive locations.</w:t>
      </w:r>
      <w:r w:rsidR="003C048A">
        <w:t xml:space="preserve"> </w:t>
      </w:r>
      <w:r>
        <w:t>The monitoring systems collect project-level information on</w:t>
      </w:r>
      <w:r w:rsidR="003C048A">
        <w:t>:</w:t>
      </w:r>
      <w:r>
        <w:t xml:space="preserve"> the scale, scope, and state of each project along with information on types of activities implemented; results, such as publications and number of students and/or faculty involved in the project; and partners. This information is essential for </w:t>
      </w:r>
      <w:r w:rsidR="003C048A">
        <w:t xml:space="preserve">program management and reporting purposes; it is used to </w:t>
      </w:r>
      <w:r>
        <w:t xml:space="preserve">document the development, implementation, adaptation, dissemination, and results of supported activities. In addition, the program monitoring system data </w:t>
      </w:r>
      <w:r w:rsidR="003C048A">
        <w:t>are</w:t>
      </w:r>
      <w:r>
        <w:t xml:space="preserve"> a primary source of information for program</w:t>
      </w:r>
      <w:r w:rsidR="003C048A">
        <w:t xml:space="preserve"> evaluation</w:t>
      </w:r>
      <w:r>
        <w:t>.</w:t>
      </w:r>
    </w:p>
    <w:p w14:paraId="1CA6AD16" w14:textId="7FF77C36" w:rsidR="008741FA" w:rsidRDefault="008741FA" w:rsidP="00AF5BB7">
      <w:pPr>
        <w:pStyle w:val="NormalWeb"/>
        <w:numPr>
          <w:ilvl w:val="0"/>
          <w:numId w:val="16"/>
        </w:numPr>
      </w:pPr>
      <w:r>
        <w:rPr>
          <w:rStyle w:val="Emphasis"/>
        </w:rPr>
        <w:t xml:space="preserve">To what extent </w:t>
      </w:r>
      <w:r w:rsidR="00484DD0">
        <w:rPr>
          <w:rStyle w:val="Emphasis"/>
        </w:rPr>
        <w:t>are</w:t>
      </w:r>
      <w:r>
        <w:rPr>
          <w:rStyle w:val="Emphasis"/>
        </w:rPr>
        <w:t xml:space="preserve"> monitoring data used to shape questions for a third-party evaluation?</w:t>
      </w:r>
    </w:p>
    <w:p w14:paraId="0A06F6BD" w14:textId="77777777" w:rsidR="001F678A" w:rsidRPr="004C44A5" w:rsidRDefault="001F678A" w:rsidP="001F678A">
      <w:pPr>
        <w:pStyle w:val="NormalWeb"/>
        <w:jc w:val="both"/>
        <w:rPr>
          <w:rStyle w:val="Strong"/>
        </w:rPr>
      </w:pPr>
      <w:r>
        <w:t xml:space="preserve">NSF policy requires the development of a management plan to accompany every program announcement and </w:t>
      </w:r>
      <w:r w:rsidRPr="004C44A5">
        <w:t>solicitation. A plan for monitoring and assessing program activities is a required element of the program management plan; this may include plans for data collection and external evaluation.</w:t>
      </w:r>
    </w:p>
    <w:p w14:paraId="414AF564" w14:textId="2C89B951" w:rsidR="008741FA" w:rsidRDefault="008741FA" w:rsidP="00B303E2">
      <w:pPr>
        <w:pStyle w:val="NormalWeb"/>
        <w:jc w:val="both"/>
      </w:pPr>
      <w:r w:rsidRPr="004C44A5">
        <w:t xml:space="preserve">As noted in the previous clearance request, and reiterated above, EHR </w:t>
      </w:r>
      <w:r w:rsidR="001F678A" w:rsidRPr="004C44A5">
        <w:t xml:space="preserve">programs </w:t>
      </w:r>
      <w:r w:rsidRPr="004C44A5">
        <w:t>rel</w:t>
      </w:r>
      <w:r w:rsidR="001F678A" w:rsidRPr="004C44A5">
        <w:t xml:space="preserve">y </w:t>
      </w:r>
      <w:r w:rsidRPr="004C44A5">
        <w:t xml:space="preserve">on </w:t>
      </w:r>
      <w:r w:rsidR="001F678A" w:rsidRPr="004C44A5">
        <w:t xml:space="preserve">their </w:t>
      </w:r>
      <w:r w:rsidRPr="004C44A5">
        <w:t xml:space="preserve">monitoring data </w:t>
      </w:r>
      <w:r w:rsidR="001F678A" w:rsidRPr="004C44A5">
        <w:t xml:space="preserve">collections </w:t>
      </w:r>
      <w:r w:rsidRPr="004C44A5">
        <w:t>to contribute to</w:t>
      </w:r>
      <w:r>
        <w:t xml:space="preserve"> and inform </w:t>
      </w:r>
      <w:r w:rsidR="001F678A">
        <w:t xml:space="preserve">such </w:t>
      </w:r>
      <w:r>
        <w:t xml:space="preserve">third-party evaluations. Without these data, third-party evaluators </w:t>
      </w:r>
      <w:r w:rsidR="00C3014B">
        <w:t>c</w:t>
      </w:r>
      <w:r>
        <w:t>ould be required to collect data about program participants and program projects after awards had been completed rather than during the period of performance of an award.</w:t>
      </w:r>
    </w:p>
    <w:p w14:paraId="19BA244A" w14:textId="77777777" w:rsidR="008741FA" w:rsidRDefault="008741FA">
      <w:pPr>
        <w:jc w:val="both"/>
      </w:pPr>
      <w:r>
        <w:rPr>
          <w:rStyle w:val="Strong"/>
          <w:rFonts w:ascii="Times New Roman" w:hAnsi="Times New Roman"/>
          <w:sz w:val="24"/>
          <w:szCs w:val="24"/>
        </w:rPr>
        <w:t>Circumstances of Data Collection</w:t>
      </w:r>
    </w:p>
    <w:p w14:paraId="150EED0C" w14:textId="77777777" w:rsidR="008741FA" w:rsidRPr="00D40699" w:rsidRDefault="008741FA">
      <w:pPr>
        <w:jc w:val="both"/>
        <w:rPr>
          <w:rFonts w:ascii="Times New Roman" w:hAnsi="Times New Roman"/>
          <w:sz w:val="24"/>
          <w:szCs w:val="24"/>
        </w:rPr>
      </w:pPr>
    </w:p>
    <w:p w14:paraId="78A8A7BE" w14:textId="1323B1F3" w:rsidR="008741FA" w:rsidRPr="00D40699" w:rsidRDefault="008741FA">
      <w:pPr>
        <w:jc w:val="both"/>
        <w:rPr>
          <w:rFonts w:ascii="Times New Roman" w:hAnsi="Times New Roman"/>
          <w:sz w:val="24"/>
          <w:szCs w:val="24"/>
        </w:rPr>
      </w:pPr>
      <w:r w:rsidRPr="00D40699">
        <w:rPr>
          <w:rFonts w:ascii="Times New Roman" w:hAnsi="Times New Roman"/>
          <w:sz w:val="24"/>
          <w:szCs w:val="24"/>
        </w:rPr>
        <w:t>To fulfill its planning and management responsibilities, and to answer queries from Congress, OMB, and NSF management, EHR needs current and standardized</w:t>
      </w:r>
      <w:r w:rsidR="00DC75E1" w:rsidRPr="00D40699">
        <w:rPr>
          <w:rFonts w:ascii="Times New Roman" w:hAnsi="Times New Roman"/>
          <w:sz w:val="24"/>
          <w:szCs w:val="24"/>
        </w:rPr>
        <w:t xml:space="preserve"> </w:t>
      </w:r>
      <w:r w:rsidRPr="00D40699">
        <w:rPr>
          <w:rFonts w:ascii="Times New Roman" w:hAnsi="Times New Roman"/>
          <w:sz w:val="24"/>
          <w:szCs w:val="24"/>
        </w:rPr>
        <w:t>information about projects in NSF’s E</w:t>
      </w:r>
      <w:r w:rsidR="001379AC" w:rsidRPr="00D40699">
        <w:rPr>
          <w:rFonts w:ascii="Times New Roman" w:hAnsi="Times New Roman"/>
          <w:sz w:val="24"/>
          <w:szCs w:val="24"/>
        </w:rPr>
        <w:t>ducation and Training System of Record</w:t>
      </w:r>
      <w:r w:rsidR="004A32A6" w:rsidRPr="00D40699">
        <w:rPr>
          <w:rFonts w:ascii="Times New Roman" w:hAnsi="Times New Roman"/>
          <w:sz w:val="24"/>
          <w:szCs w:val="24"/>
        </w:rPr>
        <w:t>s</w:t>
      </w:r>
      <w:r w:rsidR="001379AC" w:rsidRPr="00D40699">
        <w:rPr>
          <w:rFonts w:ascii="Times New Roman" w:hAnsi="Times New Roman"/>
          <w:sz w:val="24"/>
          <w:szCs w:val="24"/>
        </w:rPr>
        <w:t xml:space="preserve"> </w:t>
      </w:r>
      <w:r w:rsidRPr="00D40699">
        <w:rPr>
          <w:rFonts w:ascii="Times New Roman" w:hAnsi="Times New Roman"/>
          <w:sz w:val="24"/>
          <w:szCs w:val="24"/>
        </w:rPr>
        <w:t>portfolio. This information is specifically important to support studies and evaluations by EHR, and studies by other NSF organizational units for project monitoring and effective program administration. The information is retained in accordance with the Education and Training System of Records (63 Fed. Reg. 264, 272 January 5, 1998). The Education and Training System of Records has several purposes, including:</w:t>
      </w:r>
    </w:p>
    <w:p w14:paraId="5B6E6AE7" w14:textId="77777777" w:rsidR="004510BA" w:rsidRPr="00D40699" w:rsidRDefault="004510BA">
      <w:pPr>
        <w:jc w:val="both"/>
        <w:rPr>
          <w:rFonts w:ascii="Times New Roman" w:hAnsi="Times New Roman"/>
          <w:sz w:val="24"/>
          <w:szCs w:val="24"/>
        </w:rPr>
      </w:pPr>
    </w:p>
    <w:p w14:paraId="793821AD" w14:textId="2CB5E380" w:rsidR="008741FA" w:rsidRDefault="004C44A5" w:rsidP="00B303E2">
      <w:pPr>
        <w:numPr>
          <w:ilvl w:val="0"/>
          <w:numId w:val="9"/>
        </w:numPr>
        <w:ind w:right="576"/>
        <w:jc w:val="both"/>
        <w:rPr>
          <w:rFonts w:ascii="Times New Roman" w:eastAsia="Times New Roman" w:hAnsi="Times New Roman"/>
          <w:sz w:val="24"/>
          <w:szCs w:val="24"/>
        </w:rPr>
      </w:pPr>
      <w:r>
        <w:rPr>
          <w:rFonts w:ascii="Times New Roman" w:eastAsia="Times New Roman" w:hAnsi="Times New Roman"/>
          <w:sz w:val="24"/>
          <w:szCs w:val="24"/>
        </w:rPr>
        <w:t>p</w:t>
      </w:r>
      <w:r w:rsidR="008741FA">
        <w:rPr>
          <w:rFonts w:ascii="Times New Roman" w:eastAsia="Times New Roman" w:hAnsi="Times New Roman"/>
          <w:sz w:val="24"/>
          <w:szCs w:val="24"/>
        </w:rPr>
        <w:t xml:space="preserve">roviding a source of information on demographic and educational characteristics and employment plans of participants in NSF-funded educational projects, in compliance with Foundation responsibilities to monitor scientific and technical resources enabling NSF to monitor the effectiveness of NSF-sponsored projects and identify outputs of projects funded under NSF awards for management and for reporting to the Administration and Congress, </w:t>
      </w:r>
      <w:r w:rsidR="009F11A1">
        <w:rPr>
          <w:rFonts w:ascii="Times New Roman" w:eastAsia="Times New Roman" w:hAnsi="Times New Roman"/>
          <w:sz w:val="24"/>
          <w:szCs w:val="24"/>
        </w:rPr>
        <w:t xml:space="preserve">(e.g., </w:t>
      </w:r>
      <w:r w:rsidR="005670C9">
        <w:rPr>
          <w:rFonts w:ascii="Times New Roman" w:eastAsia="Times New Roman" w:hAnsi="Times New Roman"/>
          <w:sz w:val="24"/>
          <w:szCs w:val="24"/>
        </w:rPr>
        <w:t xml:space="preserve">further to </w:t>
      </w:r>
      <w:r w:rsidR="008741FA">
        <w:rPr>
          <w:rFonts w:ascii="Times New Roman" w:eastAsia="Times New Roman" w:hAnsi="Times New Roman"/>
          <w:sz w:val="24"/>
          <w:szCs w:val="24"/>
        </w:rPr>
        <w:t>the GPRA Modernization Act of 2010, 5 U.S.C. 306 and 39 U.S.C. 2801-2805</w:t>
      </w:r>
      <w:r w:rsidR="005670C9">
        <w:rPr>
          <w:rFonts w:ascii="Times New Roman" w:eastAsia="Times New Roman" w:hAnsi="Times New Roman"/>
          <w:sz w:val="24"/>
          <w:szCs w:val="24"/>
        </w:rPr>
        <w:t xml:space="preserve"> and other requirements); </w:t>
      </w:r>
      <w:r w:rsidR="008741FA">
        <w:rPr>
          <w:rFonts w:ascii="Times New Roman" w:eastAsia="Times New Roman" w:hAnsi="Times New Roman"/>
          <w:sz w:val="24"/>
          <w:szCs w:val="24"/>
        </w:rPr>
        <w:t>and</w:t>
      </w:r>
    </w:p>
    <w:p w14:paraId="6BE2AF30" w14:textId="77777777" w:rsidR="004510BA" w:rsidRDefault="004510BA" w:rsidP="004510BA">
      <w:pPr>
        <w:ind w:right="576"/>
        <w:jc w:val="both"/>
        <w:rPr>
          <w:rFonts w:ascii="Times New Roman" w:eastAsia="Times New Roman" w:hAnsi="Times New Roman"/>
          <w:sz w:val="24"/>
          <w:szCs w:val="24"/>
        </w:rPr>
      </w:pPr>
    </w:p>
    <w:p w14:paraId="7970DB36" w14:textId="64BA013D" w:rsidR="008741FA" w:rsidRDefault="004C44A5" w:rsidP="00B303E2">
      <w:pPr>
        <w:numPr>
          <w:ilvl w:val="0"/>
          <w:numId w:val="10"/>
        </w:numPr>
        <w:ind w:right="576"/>
        <w:jc w:val="both"/>
        <w:rPr>
          <w:rFonts w:ascii="Times New Roman" w:eastAsia="Times New Roman" w:hAnsi="Times New Roman"/>
          <w:sz w:val="24"/>
          <w:szCs w:val="24"/>
        </w:rPr>
      </w:pPr>
      <w:r>
        <w:rPr>
          <w:rFonts w:ascii="Times New Roman" w:eastAsia="Times New Roman" w:hAnsi="Times New Roman"/>
          <w:sz w:val="24"/>
          <w:szCs w:val="24"/>
        </w:rPr>
        <w:t>c</w:t>
      </w:r>
      <w:r w:rsidR="008741FA">
        <w:rPr>
          <w:rFonts w:ascii="Times New Roman" w:eastAsia="Times New Roman" w:hAnsi="Times New Roman"/>
          <w:sz w:val="24"/>
          <w:szCs w:val="24"/>
        </w:rPr>
        <w:t>reating public use files (which contain no personally identifiable information) for research purposes</w:t>
      </w:r>
      <w:r w:rsidR="00B303E2">
        <w:rPr>
          <w:rFonts w:ascii="Times New Roman" w:eastAsia="Times New Roman" w:hAnsi="Times New Roman"/>
          <w:sz w:val="24"/>
          <w:szCs w:val="24"/>
        </w:rPr>
        <w:t>.</w:t>
      </w:r>
    </w:p>
    <w:p w14:paraId="560B455C" w14:textId="77777777" w:rsidR="00B303E2" w:rsidRDefault="00B303E2" w:rsidP="00B303E2">
      <w:pPr>
        <w:ind w:right="576"/>
        <w:jc w:val="both"/>
        <w:rPr>
          <w:rFonts w:ascii="Times New Roman" w:eastAsia="Times New Roman" w:hAnsi="Times New Roman"/>
          <w:sz w:val="24"/>
          <w:szCs w:val="24"/>
        </w:rPr>
      </w:pPr>
    </w:p>
    <w:p w14:paraId="7996A013" w14:textId="56E2AF34" w:rsidR="008741FA" w:rsidRDefault="008741FA" w:rsidP="005F01BC">
      <w:pPr>
        <w:pStyle w:val="p1-standpara"/>
        <w:spacing w:before="0" w:beforeAutospacing="0" w:after="0" w:afterAutospacing="0"/>
        <w:jc w:val="both"/>
      </w:pPr>
      <w:r>
        <w:t>The data collected under this request are focused on initiative-specific, division-specific, and program-specific quantitative and qualitative data collection activities. Data from these collections are</w:t>
      </w:r>
      <w:r w:rsidR="00C401B6">
        <w:t xml:space="preserve"> </w:t>
      </w:r>
      <w:r>
        <w:t>focused on participant demographic detail (particularly for scholarsh</w:t>
      </w:r>
      <w:r w:rsidR="00C401B6">
        <w:t xml:space="preserve">ip and fellowship programs) and </w:t>
      </w:r>
      <w:r>
        <w:t xml:space="preserve">activities and outputs (i.e., the accomplishments of program grantees </w:t>
      </w:r>
      <w:r w:rsidR="005F01BC">
        <w:t>[</w:t>
      </w:r>
      <w:r>
        <w:t>projects</w:t>
      </w:r>
      <w:r w:rsidR="005F01BC">
        <w:t>]</w:t>
      </w:r>
      <w:r>
        <w:t xml:space="preserve"> in terms of specific </w:t>
      </w:r>
      <w:r w:rsidRPr="00F53633">
        <w:t>objectives). These descriptive data collections provide essential information for documenting progress toward NSF’s major performance goals, as described in NSF’s Strategic Plan (</w:t>
      </w:r>
      <w:hyperlink r:id="rId13" w:history="1">
        <w:r w:rsidR="005F01BC" w:rsidRPr="003A2463">
          <w:rPr>
            <w:rStyle w:val="Hyperlink"/>
          </w:rPr>
          <w:t>NSF 18-045</w:t>
        </w:r>
      </w:hyperlink>
      <w:r w:rsidR="005F01BC">
        <w:t>): expand knowledge in science, engineering, and learning; advance the capability of the Nation to meet current and future challenges; and enhance NSF’s performance of its mission</w:t>
      </w:r>
      <w:r w:rsidRPr="00F53633">
        <w:t>.</w:t>
      </w:r>
      <w:r w:rsidR="009B2818" w:rsidRPr="00F53633">
        <w:fldChar w:fldCharType="begin"/>
      </w:r>
      <w:r w:rsidR="009B2818" w:rsidRPr="00F53633">
        <w:instrText xml:space="preserve"> HYPERLINK "http://www.nsf.gov/pubs/2014/nsf14043/nsf14043.pdf" </w:instrText>
      </w:r>
      <w:r w:rsidR="009B2818" w:rsidRPr="00F53633">
        <w:fldChar w:fldCharType="separate"/>
      </w:r>
    </w:p>
    <w:p w14:paraId="3FFBC662" w14:textId="77777777" w:rsidR="005F01BC" w:rsidRPr="00AF5BB7" w:rsidRDefault="005F01BC" w:rsidP="005F01BC">
      <w:pPr>
        <w:pStyle w:val="p1-standpara"/>
        <w:spacing w:before="0" w:beforeAutospacing="0" w:after="0" w:afterAutospacing="0"/>
        <w:jc w:val="both"/>
        <w:rPr>
          <w:rStyle w:val="Hyperlink"/>
          <w:color w:val="auto"/>
          <w:u w:val="none"/>
        </w:rPr>
      </w:pPr>
    </w:p>
    <w:p w14:paraId="2287E3AD" w14:textId="5C7C5EAC" w:rsidR="008741FA" w:rsidRPr="00B303E2" w:rsidRDefault="009B2818" w:rsidP="00D629F9">
      <w:pPr>
        <w:pStyle w:val="p1-standpara"/>
        <w:spacing w:before="0" w:beforeAutospacing="0" w:after="0" w:afterAutospacing="0"/>
        <w:jc w:val="both"/>
      </w:pPr>
      <w:r w:rsidRPr="00F53633">
        <w:rPr>
          <w:b/>
          <w:bCs/>
        </w:rPr>
        <w:fldChar w:fldCharType="end"/>
      </w:r>
      <w:r w:rsidR="008741FA" w:rsidRPr="00D629F9">
        <w:rPr>
          <w:rFonts w:ascii="Verdana" w:hAnsi="Verdana"/>
          <w:b/>
          <w:sz w:val="22"/>
          <w:szCs w:val="22"/>
        </w:rPr>
        <w:t>A.2. Purposes and Uses of the Data</w:t>
      </w:r>
    </w:p>
    <w:p w14:paraId="14A67439" w14:textId="77777777" w:rsidR="008975D6" w:rsidRDefault="008975D6">
      <w:pPr>
        <w:pStyle w:val="p1-standpara"/>
        <w:spacing w:before="0" w:beforeAutospacing="0" w:after="0" w:afterAutospacing="0"/>
        <w:jc w:val="both"/>
      </w:pPr>
    </w:p>
    <w:p w14:paraId="5236378B" w14:textId="5AADA546" w:rsidR="008741FA" w:rsidRDefault="008975D6">
      <w:pPr>
        <w:pStyle w:val="p1-standpara"/>
        <w:spacing w:before="0" w:beforeAutospacing="0" w:after="0" w:afterAutospacing="0"/>
        <w:jc w:val="both"/>
      </w:pPr>
      <w:r>
        <w:t>Data</w:t>
      </w:r>
      <w:r w:rsidR="008741FA">
        <w:t xml:space="preserve"> collected under this request </w:t>
      </w:r>
      <w:r>
        <w:t>are</w:t>
      </w:r>
      <w:r w:rsidR="008741FA">
        <w:t xml:space="preserve"> required for effective program administration,</w:t>
      </w:r>
      <w:r w:rsidR="007D4C9D">
        <w:t xml:space="preserve"> </w:t>
      </w:r>
      <w:r w:rsidR="008741FA">
        <w:t>program and project monitoring, evaluation, and for measuring attainment of NSF’s program and strategic goals as laid out in NSF’s Strategic Plan. This section</w:t>
      </w:r>
      <w:r w:rsidR="000235AE">
        <w:t xml:space="preserve"> </w:t>
      </w:r>
      <w:r w:rsidR="008741FA">
        <w:t xml:space="preserve">describes how data to be collected under the clearance authority will be used for internal program management and administration; as a data source for NSF’s performance assessment activities, including </w:t>
      </w:r>
      <w:r>
        <w:t xml:space="preserve">COVs </w:t>
      </w:r>
      <w:r w:rsidR="008741FA">
        <w:t>and Directorate</w:t>
      </w:r>
      <w:r w:rsidR="00AF5BB7">
        <w:t xml:space="preserve"> and Office Advisory Committees</w:t>
      </w:r>
      <w:r w:rsidR="008741FA">
        <w:t xml:space="preserve">; for documenting the attainment of NSF’s program and strategic goals; and as a foundation for rigorous </w:t>
      </w:r>
      <w:r w:rsidR="00631189">
        <w:t>assessment of</w:t>
      </w:r>
      <w:r w:rsidR="008741FA">
        <w:t xml:space="preserve"> the effectiveness of STEM education programs.</w:t>
      </w:r>
      <w:r w:rsidRPr="00D629F9">
        <w:rPr>
          <w:rStyle w:val="FootnoteReference"/>
          <w:vertAlign w:val="superscript"/>
        </w:rPr>
        <w:footnoteReference w:id="3"/>
      </w:r>
    </w:p>
    <w:p w14:paraId="04FDA538" w14:textId="77777777" w:rsidR="008741FA" w:rsidRDefault="008741FA">
      <w:pPr>
        <w:pStyle w:val="p1-standpara"/>
        <w:spacing w:before="0" w:beforeAutospacing="0" w:after="0" w:afterAutospacing="0"/>
        <w:jc w:val="both"/>
      </w:pPr>
    </w:p>
    <w:p w14:paraId="11B80108" w14:textId="77777777" w:rsidR="008741FA" w:rsidRDefault="008741FA">
      <w:pPr>
        <w:pStyle w:val="p1-standpara"/>
        <w:spacing w:before="0" w:beforeAutospacing="0" w:after="0" w:afterAutospacing="0"/>
        <w:jc w:val="both"/>
      </w:pPr>
      <w:r>
        <w:rPr>
          <w:rStyle w:val="Strong"/>
        </w:rPr>
        <w:t>Program Management and Administration</w:t>
      </w:r>
    </w:p>
    <w:p w14:paraId="5B0C3F69" w14:textId="77777777" w:rsidR="008741FA" w:rsidRDefault="008741FA">
      <w:pPr>
        <w:pStyle w:val="p1-standpara"/>
        <w:spacing w:before="0" w:beforeAutospacing="0" w:after="0" w:afterAutospacing="0"/>
        <w:jc w:val="both"/>
      </w:pPr>
    </w:p>
    <w:p w14:paraId="7FE97F20" w14:textId="4207EC6C" w:rsidR="008741FA" w:rsidRDefault="008741FA">
      <w:pPr>
        <w:pStyle w:val="p1-standpara"/>
        <w:spacing w:before="0" w:beforeAutospacing="0" w:after="0" w:afterAutospacing="0"/>
        <w:jc w:val="both"/>
      </w:pPr>
      <w:r>
        <w:t xml:space="preserve">One of the primary uses of data from the EHR </w:t>
      </w:r>
      <w:r w:rsidR="009D5C75">
        <w:t>p</w:t>
      </w:r>
      <w:r>
        <w:t xml:space="preserve">rogram </w:t>
      </w:r>
      <w:r w:rsidR="009D5C75">
        <w:t>m</w:t>
      </w:r>
      <w:r>
        <w:t xml:space="preserve">onitoring </w:t>
      </w:r>
      <w:r w:rsidR="009D5C75">
        <w:t>c</w:t>
      </w:r>
      <w:r>
        <w:t>learance is for the general oversight of project and p</w:t>
      </w:r>
      <w:r w:rsidR="000235AE">
        <w:t xml:space="preserve">rogram activities by EHR staff. </w:t>
      </w:r>
      <w:r>
        <w:t>EHR has a limited number of staff members who must monitor hundreds of projects</w:t>
      </w:r>
      <w:r w:rsidR="002C1486">
        <w:t>. L</w:t>
      </w:r>
      <w:r>
        <w:t xml:space="preserve">arge-scale data collection is </w:t>
      </w:r>
      <w:r w:rsidR="002C1486">
        <w:t>an efficient and effective mechanism for</w:t>
      </w:r>
      <w:r>
        <w:t xml:space="preserve"> program officers </w:t>
      </w:r>
      <w:r w:rsidR="002C1486">
        <w:t xml:space="preserve">to </w:t>
      </w:r>
      <w:r>
        <w:t>track project activities. The monitoring syst</w:t>
      </w:r>
      <w:r w:rsidR="009B2818">
        <w:t>ems that fall under OMB 3145-0226</w:t>
      </w:r>
      <w:r>
        <w:t xml:space="preserve"> allow program officers and other NSF staff to integrate pre-existing data from the NSF administrative data system and newly generated data in a coherent and timely manner, </w:t>
      </w:r>
      <w:r w:rsidR="002C1486">
        <w:t>providing</w:t>
      </w:r>
      <w:r>
        <w:t xml:space="preserve"> information needed to </w:t>
      </w:r>
      <w:r w:rsidR="00056F3D">
        <w:t>adjust</w:t>
      </w:r>
      <w:r>
        <w:t xml:space="preserve"> program portfolio</w:t>
      </w:r>
      <w:r w:rsidR="002C1486">
        <w:t>s</w:t>
      </w:r>
      <w:r>
        <w:t xml:space="preserve">. This kind of monitoring </w:t>
      </w:r>
      <w:r w:rsidR="00110A17">
        <w:t xml:space="preserve">may stimulate respondents to iteratively refine </w:t>
      </w:r>
      <w:r>
        <w:t>their project</w:t>
      </w:r>
      <w:r w:rsidR="00110A17">
        <w:t>s’</w:t>
      </w:r>
      <w:r>
        <w:t xml:space="preserve"> activities, facilitate changes in program guidelines and/or NSF funding levels to a particular project, and result in improved benefits to participants in NSF projects.</w:t>
      </w:r>
    </w:p>
    <w:p w14:paraId="414EBEF2" w14:textId="77777777" w:rsidR="00B73FC5" w:rsidRPr="00AF5BB7" w:rsidRDefault="00B73FC5">
      <w:pPr>
        <w:pStyle w:val="p1-standpara"/>
        <w:spacing w:before="0" w:beforeAutospacing="0" w:after="0" w:afterAutospacing="0"/>
        <w:jc w:val="both"/>
        <w:rPr>
          <w:rStyle w:val="Strong"/>
          <w:b w:val="0"/>
        </w:rPr>
      </w:pPr>
    </w:p>
    <w:p w14:paraId="250881C5" w14:textId="085DC77A" w:rsidR="008741FA" w:rsidRDefault="008741FA" w:rsidP="00AF5BB7">
      <w:pPr>
        <w:pStyle w:val="p1-standpara"/>
        <w:keepNext/>
        <w:keepLines/>
        <w:spacing w:before="0" w:beforeAutospacing="0" w:after="0" w:afterAutospacing="0"/>
        <w:jc w:val="both"/>
      </w:pPr>
      <w:r>
        <w:rPr>
          <w:rStyle w:val="Strong"/>
        </w:rPr>
        <w:t>Data for Performance Assessment</w:t>
      </w:r>
    </w:p>
    <w:p w14:paraId="52672926" w14:textId="77777777" w:rsidR="008741FA" w:rsidRDefault="008741FA" w:rsidP="00AF5BB7">
      <w:pPr>
        <w:pStyle w:val="p1-standpara"/>
        <w:keepNext/>
        <w:keepLines/>
        <w:spacing w:before="0" w:beforeAutospacing="0" w:after="0" w:afterAutospacing="0"/>
        <w:jc w:val="both"/>
      </w:pPr>
    </w:p>
    <w:p w14:paraId="5AA274B0" w14:textId="4C0E1365" w:rsidR="008741FA" w:rsidRDefault="008741FA" w:rsidP="00AF5BB7">
      <w:pPr>
        <w:pStyle w:val="p1-standpara"/>
        <w:keepNext/>
        <w:keepLines/>
        <w:spacing w:before="0" w:beforeAutospacing="0" w:after="0" w:afterAutospacing="0"/>
        <w:jc w:val="both"/>
      </w:pPr>
      <w:r>
        <w:t>Data from the m</w:t>
      </w:r>
      <w:r w:rsidR="000235AE">
        <w:t xml:space="preserve">onitoring systems contribute to </w:t>
      </w:r>
      <w:r>
        <w:t xml:space="preserve">NSF’s performance assessment </w:t>
      </w:r>
      <w:r w:rsidR="00056F3D">
        <w:t>activities and</w:t>
      </w:r>
      <w:r>
        <w:t xml:space="preserve"> support the larger NSF evaluation model. NSF relies on the judgment of external experts to maintain high standards of program management</w:t>
      </w:r>
      <w:r w:rsidR="00C478EF">
        <w:t xml:space="preserve">, </w:t>
      </w:r>
      <w:r>
        <w:t>to provide advice for continuous improvement of NSF performance</w:t>
      </w:r>
      <w:r w:rsidR="00C478EF">
        <w:t xml:space="preserve">, and to ensure openness to the research and </w:t>
      </w:r>
      <w:r w:rsidR="00056F3D">
        <w:t>education</w:t>
      </w:r>
      <w:r w:rsidR="00C478EF">
        <w:t xml:space="preserve"> community served by the Foundation</w:t>
      </w:r>
      <w:r>
        <w:t xml:space="preserve">. </w:t>
      </w:r>
      <w:r w:rsidR="00617AA9">
        <w:t>COV</w:t>
      </w:r>
      <w:r>
        <w:t xml:space="preserve"> </w:t>
      </w:r>
      <w:r w:rsidR="00D82998">
        <w:t>reviews are conducted at regular intervals of approximately four years for programs and offices that recommend or award grants, cooperative agreements, and/or contracts and whose main focus is the conduct or support of NSF research and education in science and engineering.</w:t>
      </w:r>
      <w:r w:rsidR="00D82998" w:rsidRPr="00D82998">
        <w:rPr>
          <w:rStyle w:val="FootnoteReference"/>
          <w:vertAlign w:val="superscript"/>
        </w:rPr>
        <w:footnoteReference w:id="4"/>
      </w:r>
      <w:r w:rsidR="00D82998">
        <w:t xml:space="preserve"> </w:t>
      </w:r>
      <w:r>
        <w:t xml:space="preserve">COV reviews provide NSF with external expert judgments in two areas: (1) assessments of the quality and integrity of program operations and program-level technical and managerial matters pertaining to proposal decisions; and (2) comments on how the results generated by awardees have contributed to the attainment of NSF’s mission and strategic outcome goals. Data collected in the monitoring systems are often used in these reviews. </w:t>
      </w:r>
      <w:r w:rsidRPr="007D532D">
        <w:t xml:space="preserve">For example, </w:t>
      </w:r>
      <w:r w:rsidR="00292767" w:rsidRPr="007D532D">
        <w:t xml:space="preserve">data collected via the STEP monitoring system were included in materials for the October 2016 STEP COV and </w:t>
      </w:r>
      <w:r w:rsidR="00E04177" w:rsidRPr="007D532D">
        <w:t>data from the CREST program monitoring system were used to inform the development of materials for the EHR Division of Human Resource Development’s (HRD’s) November 2016 COV</w:t>
      </w:r>
      <w:r w:rsidR="00292767" w:rsidRPr="007D532D">
        <w:t>.</w:t>
      </w:r>
    </w:p>
    <w:p w14:paraId="4B354673" w14:textId="77777777" w:rsidR="008741FA" w:rsidRDefault="008741FA">
      <w:pPr>
        <w:pStyle w:val="p1-standpara"/>
        <w:spacing w:before="0" w:beforeAutospacing="0" w:after="0" w:afterAutospacing="0"/>
        <w:jc w:val="both"/>
      </w:pPr>
    </w:p>
    <w:p w14:paraId="632A2399" w14:textId="63A59989" w:rsidR="00A166C7" w:rsidRDefault="008741FA">
      <w:pPr>
        <w:pStyle w:val="p1-standpara"/>
        <w:spacing w:before="0" w:beforeAutospacing="0" w:after="0" w:afterAutospacing="0"/>
        <w:jc w:val="both"/>
      </w:pPr>
      <w:r>
        <w:t xml:space="preserve">Another central use of the EHR </w:t>
      </w:r>
      <w:r w:rsidR="00C125CA">
        <w:t>p</w:t>
      </w:r>
      <w:r>
        <w:t xml:space="preserve">rogram </w:t>
      </w:r>
      <w:r w:rsidR="00C125CA">
        <w:t>m</w:t>
      </w:r>
      <w:r>
        <w:t xml:space="preserve">onitoring data </w:t>
      </w:r>
      <w:r w:rsidR="00C125CA">
        <w:t xml:space="preserve">collected subject to this approval </w:t>
      </w:r>
      <w:r>
        <w:t xml:space="preserve">is to </w:t>
      </w:r>
      <w:r w:rsidR="005947B6">
        <w:t xml:space="preserve">report on progress toward and </w:t>
      </w:r>
      <w:r>
        <w:t>document attainment of NSF program and strategic goals.</w:t>
      </w:r>
      <w:r w:rsidR="005947B6">
        <w:t xml:space="preserve"> </w:t>
      </w:r>
      <w:r>
        <w:t xml:space="preserve">The Foundation’s FY </w:t>
      </w:r>
      <w:r w:rsidR="008E7D31">
        <w:t>2018</w:t>
      </w:r>
      <w:r w:rsidR="00251582">
        <w:t>–</w:t>
      </w:r>
      <w:r w:rsidR="008E7D31">
        <w:t>2022</w:t>
      </w:r>
      <w:r>
        <w:t xml:space="preserve"> Strategic Plan describes three strategic goals: </w:t>
      </w:r>
      <w:r w:rsidR="008E7D31">
        <w:t xml:space="preserve">(1) expand knowledge in science, engineering, and learning; (2) advance the capability of the Nation to meet current and future challenges; and (3) enhance NSF’s performance of its mission. </w:t>
      </w:r>
      <w:r w:rsidR="00BD67AF">
        <w:t>EHR contributes to the attainment of these goals through programs of activity that</w:t>
      </w:r>
      <w:r w:rsidR="00A166C7">
        <w:t>:</w:t>
      </w:r>
    </w:p>
    <w:p w14:paraId="4703AE9C" w14:textId="62FFFD0D" w:rsidR="00A166C7" w:rsidRDefault="00BD67AF" w:rsidP="00A166C7">
      <w:pPr>
        <w:pStyle w:val="p1-standpara"/>
        <w:numPr>
          <w:ilvl w:val="0"/>
          <w:numId w:val="17"/>
        </w:numPr>
        <w:spacing w:before="0" w:beforeAutospacing="0" w:after="0" w:afterAutospacing="0"/>
        <w:jc w:val="both"/>
      </w:pPr>
      <w:r>
        <w:t>prepare the next generation of STEM professionals and attract and retain more Americans to STEM careers;</w:t>
      </w:r>
    </w:p>
    <w:p w14:paraId="24337845" w14:textId="119BC53A" w:rsidR="00A166C7" w:rsidRDefault="00BD67AF" w:rsidP="00A166C7">
      <w:pPr>
        <w:pStyle w:val="p1-standpara"/>
        <w:numPr>
          <w:ilvl w:val="0"/>
          <w:numId w:val="17"/>
        </w:numPr>
        <w:spacing w:before="0" w:beforeAutospacing="0" w:after="0" w:afterAutospacing="0"/>
        <w:jc w:val="both"/>
      </w:pPr>
      <w:r>
        <w:t>develop a robust research community that can conduct rigorous research and evaluation that will support excellence in STEM education and that integrates res</w:t>
      </w:r>
      <w:r w:rsidR="00C1617D">
        <w:t>e</w:t>
      </w:r>
      <w:r>
        <w:t>arch and education;</w:t>
      </w:r>
    </w:p>
    <w:p w14:paraId="56EE4743" w14:textId="1FE9EBF5" w:rsidR="00A166C7" w:rsidRDefault="00BD67AF" w:rsidP="00A166C7">
      <w:pPr>
        <w:pStyle w:val="p1-standpara"/>
        <w:numPr>
          <w:ilvl w:val="0"/>
          <w:numId w:val="17"/>
        </w:numPr>
        <w:spacing w:before="0" w:beforeAutospacing="0" w:after="0" w:afterAutospacing="0"/>
        <w:jc w:val="both"/>
      </w:pPr>
      <w:r>
        <w:t>increase the technological, scientific and quantitative literacy of all Americans so that they can exercise responsible citizenship and live productive lives in an increasingly technological society; and</w:t>
      </w:r>
    </w:p>
    <w:p w14:paraId="4537B935" w14:textId="36D38B9A" w:rsidR="008662CD" w:rsidRDefault="00BD67AF" w:rsidP="00A166C7">
      <w:pPr>
        <w:pStyle w:val="p1-standpara"/>
        <w:numPr>
          <w:ilvl w:val="0"/>
          <w:numId w:val="17"/>
        </w:numPr>
        <w:spacing w:before="0" w:beforeAutospacing="0" w:after="0" w:afterAutospacing="0"/>
        <w:jc w:val="both"/>
      </w:pPr>
      <w:r>
        <w:t xml:space="preserve">broaden participation (individuals, geographic regions, types of </w:t>
      </w:r>
      <w:r w:rsidR="00056F3D">
        <w:t>institutions</w:t>
      </w:r>
      <w:r>
        <w:t>, STEM disciplines) and close achievement gaps in all STEM fields.</w:t>
      </w:r>
      <w:r w:rsidRPr="00BD67AF">
        <w:rPr>
          <w:rStyle w:val="FootnoteReference"/>
          <w:vertAlign w:val="superscript"/>
        </w:rPr>
        <w:footnoteReference w:id="5"/>
      </w:r>
    </w:p>
    <w:p w14:paraId="03C7D9FB" w14:textId="77777777" w:rsidR="00AA1F0E" w:rsidRDefault="00AA1F0E">
      <w:pPr>
        <w:pStyle w:val="p1-standpara"/>
        <w:spacing w:before="0" w:beforeAutospacing="0" w:after="0" w:afterAutospacing="0"/>
        <w:jc w:val="both"/>
      </w:pPr>
    </w:p>
    <w:p w14:paraId="5275FC04" w14:textId="7DF990B7" w:rsidR="008741FA" w:rsidRDefault="00C1617D">
      <w:pPr>
        <w:pStyle w:val="p1-standpara"/>
        <w:spacing w:before="0" w:beforeAutospacing="0" w:after="0" w:afterAutospacing="0"/>
        <w:jc w:val="both"/>
      </w:pPr>
      <w:r>
        <w:t>The seven EHR programs whose</w:t>
      </w:r>
      <w:r w:rsidR="001639A9">
        <w:t xml:space="preserve"> awards and activities are the subject of the data collections </w:t>
      </w:r>
      <w:r w:rsidR="007154CB">
        <w:t>described in this request for renewal</w:t>
      </w:r>
      <w:r w:rsidR="001639A9">
        <w:t xml:space="preserve"> play critical roles in the attainment of each of these objectives</w:t>
      </w:r>
      <w:r w:rsidR="005724E8">
        <w:t>.</w:t>
      </w:r>
      <w:r w:rsidR="001639A9">
        <w:t xml:space="preserve"> </w:t>
      </w:r>
      <w:r w:rsidR="005724E8">
        <w:t>M</w:t>
      </w:r>
      <w:r w:rsidR="008741FA" w:rsidRPr="00F53633">
        <w:t xml:space="preserve">uch of the information that enables EHR to </w:t>
      </w:r>
      <w:r w:rsidR="001639A9">
        <w:t xml:space="preserve">monitor their progress and </w:t>
      </w:r>
      <w:r w:rsidR="008741FA" w:rsidRPr="00F53633">
        <w:t xml:space="preserve">report on </w:t>
      </w:r>
      <w:r w:rsidR="001639A9">
        <w:t>their accomplishments</w:t>
      </w:r>
      <w:r w:rsidR="000D52FB">
        <w:t xml:space="preserve"> (e.g., consistent with the performance and improvement requirements of the GPRA Modernization Act of 2010) </w:t>
      </w:r>
      <w:r w:rsidR="008741FA" w:rsidRPr="00F53633">
        <w:t>is derived from the data elements collected in the monitoring systems under OMB 3145-</w:t>
      </w:r>
      <w:r w:rsidR="00E81DB5" w:rsidRPr="00F53633">
        <w:t>0226</w:t>
      </w:r>
      <w:r w:rsidR="008741FA" w:rsidRPr="00F53633">
        <w:t>.</w:t>
      </w:r>
    </w:p>
    <w:p w14:paraId="1351F4BB" w14:textId="77777777" w:rsidR="008741FA" w:rsidRDefault="008741FA">
      <w:pPr>
        <w:pStyle w:val="p1-standpara"/>
        <w:spacing w:before="0" w:beforeAutospacing="0" w:after="0" w:afterAutospacing="0"/>
        <w:jc w:val="both"/>
      </w:pPr>
    </w:p>
    <w:p w14:paraId="4A266427" w14:textId="77777777" w:rsidR="008741FA" w:rsidRDefault="008741FA">
      <w:pPr>
        <w:pStyle w:val="p1-standpara"/>
        <w:spacing w:before="0" w:beforeAutospacing="0" w:after="0" w:afterAutospacing="0"/>
        <w:jc w:val="both"/>
      </w:pPr>
      <w:r>
        <w:rPr>
          <w:rStyle w:val="Strong"/>
        </w:rPr>
        <w:t>A Foundation for Future Evaluations</w:t>
      </w:r>
    </w:p>
    <w:p w14:paraId="3DDD0B2D" w14:textId="77777777" w:rsidR="008741FA" w:rsidRDefault="008741FA">
      <w:pPr>
        <w:pStyle w:val="NormalWeb"/>
        <w:spacing w:before="0" w:beforeAutospacing="0" w:after="0" w:afterAutospacing="0"/>
        <w:jc w:val="both"/>
      </w:pPr>
    </w:p>
    <w:p w14:paraId="6402A379" w14:textId="652C9C19" w:rsidR="00617AA9" w:rsidRDefault="0024512A">
      <w:pPr>
        <w:pStyle w:val="p1-standpara"/>
        <w:spacing w:before="0" w:beforeAutospacing="0" w:after="0" w:afterAutospacing="0"/>
        <w:jc w:val="both"/>
      </w:pPr>
      <w:r>
        <w:t xml:space="preserve">EHR </w:t>
      </w:r>
      <w:r w:rsidR="00444C57">
        <w:t xml:space="preserve">places a strong emphasis on evidence-based decision making, and is committed to generating robust evidence to inform the development, management, and assessment of its programs and portfolios of </w:t>
      </w:r>
      <w:r w:rsidR="00056F3D">
        <w:t>investment</w:t>
      </w:r>
      <w:r w:rsidR="00056F3D">
        <w:rPr>
          <w:rStyle w:val="CommentReference"/>
          <w:rFonts w:ascii="Verdana" w:eastAsia="Verdana" w:hAnsi="Verdana"/>
        </w:rPr>
        <w:t>.</w:t>
      </w:r>
      <w:r w:rsidR="00056F3D">
        <w:t xml:space="preserve"> While</w:t>
      </w:r>
      <w:r w:rsidR="008741FA">
        <w:t xml:space="preserve"> the monitoring system</w:t>
      </w:r>
      <w:r w:rsidR="00CF7C26">
        <w:t xml:space="preserve">s used to collect data under this collection </w:t>
      </w:r>
      <w:r w:rsidR="008741FA">
        <w:t xml:space="preserve">play a role in this work, it </w:t>
      </w:r>
      <w:r w:rsidR="00CF7C26">
        <w:t>i</w:t>
      </w:r>
      <w:r w:rsidR="008741FA">
        <w:t xml:space="preserve">s understood that they </w:t>
      </w:r>
      <w:r w:rsidR="00A13842">
        <w:t xml:space="preserve">are not evaluative studies. NSF </w:t>
      </w:r>
      <w:r w:rsidR="008741FA">
        <w:t>does conduct program-level management reviews to ensure that programs are administered properly and in accordance with federal guidelines and agency missions. This is currently one use of data f</w:t>
      </w:r>
      <w:r w:rsidR="00A940E8">
        <w:t>rom the EHR monitoring systems.</w:t>
      </w:r>
    </w:p>
    <w:p w14:paraId="544648E6" w14:textId="55C1DBAD" w:rsidR="00617AA9" w:rsidRDefault="00617AA9">
      <w:pPr>
        <w:pStyle w:val="p1-standpara"/>
        <w:spacing w:before="0" w:beforeAutospacing="0" w:after="0" w:afterAutospacing="0"/>
        <w:jc w:val="both"/>
      </w:pPr>
    </w:p>
    <w:p w14:paraId="331CDCDE" w14:textId="3DFD8304" w:rsidR="00590FB7" w:rsidRDefault="00711E8D" w:rsidP="00590FB7">
      <w:pPr>
        <w:pStyle w:val="p1-standpara"/>
        <w:spacing w:before="0" w:beforeAutospacing="0" w:after="0" w:afterAutospacing="0"/>
        <w:jc w:val="both"/>
      </w:pPr>
      <w:r>
        <w:t>The importance of program evaluation to generate evidence about both what ‘works’ and how programs can be improved is underscored in the Administration’s 2018 reform plan and reorganization recommendations</w:t>
      </w:r>
      <w:r w:rsidR="00B11ACD">
        <w:t xml:space="preserve">, and </w:t>
      </w:r>
      <w:r w:rsidR="00590FB7">
        <w:t>Chapter 6 of the FY 2019 Budget Analytical Perspectives</w:t>
      </w:r>
      <w:r>
        <w:t>.</w:t>
      </w:r>
      <w:r w:rsidRPr="00B11ACD">
        <w:rPr>
          <w:rStyle w:val="FootnoteReference"/>
          <w:vertAlign w:val="superscript"/>
        </w:rPr>
        <w:footnoteReference w:id="6"/>
      </w:r>
      <w:r w:rsidR="00B11ACD">
        <w:t xml:space="preserve"> </w:t>
      </w:r>
      <w:r w:rsidR="00590FB7">
        <w:t>D</w:t>
      </w:r>
      <w:r w:rsidR="00347E07">
        <w:t xml:space="preserve">ata </w:t>
      </w:r>
      <w:r w:rsidR="00590FB7">
        <w:t>collected via</w:t>
      </w:r>
      <w:r w:rsidR="00347E07">
        <w:t xml:space="preserve"> the monitoring efforts </w:t>
      </w:r>
      <w:r w:rsidR="00590FB7">
        <w:t xml:space="preserve">that are the subject of this request for renewal </w:t>
      </w:r>
      <w:r w:rsidR="00347E07">
        <w:t>contribute to the formal evaluation of programs and provide regular measures of program performance</w:t>
      </w:r>
      <w:r w:rsidR="00590FB7">
        <w:t>.</w:t>
      </w:r>
      <w:r w:rsidR="00D03CE3">
        <w:t xml:space="preserve"> With continued collection of these data, EHR will be able to leverage program monitoring system data from prior years and more efficiently and effectively track outputs, outcomes, and progress towards the attainment of program and Directorate goals over time. More generally, access to these data is</w:t>
      </w:r>
      <w:r w:rsidR="00B3408B">
        <w:t xml:space="preserve"> </w:t>
      </w:r>
      <w:r w:rsidR="00D03CE3">
        <w:t xml:space="preserve">critical </w:t>
      </w:r>
      <w:r w:rsidR="00B3408B">
        <w:t xml:space="preserve">to </w:t>
      </w:r>
      <w:r w:rsidR="00D03CE3">
        <w:t xml:space="preserve">realizing the commitments to building and using evidence that are </w:t>
      </w:r>
      <w:r w:rsidR="00B3408B">
        <w:t xml:space="preserve">central to the </w:t>
      </w:r>
      <w:r w:rsidR="00D03CE3">
        <w:t>Administration’s vision for results-driven government and the provisions of the Foundations for Evidence-Based Policymaking Act of 2018 (Pub.L. 115-435).</w:t>
      </w:r>
    </w:p>
    <w:p w14:paraId="635B7DC4" w14:textId="77777777" w:rsidR="00590FB7" w:rsidRDefault="00590FB7" w:rsidP="00590FB7">
      <w:pPr>
        <w:pStyle w:val="p1-standpara"/>
        <w:spacing w:before="0" w:beforeAutospacing="0" w:after="0" w:afterAutospacing="0"/>
        <w:jc w:val="both"/>
      </w:pPr>
    </w:p>
    <w:p w14:paraId="1905A515" w14:textId="663AA8AF" w:rsidR="00617AA9" w:rsidRDefault="008741FA">
      <w:pPr>
        <w:pStyle w:val="p1-standpara"/>
        <w:spacing w:before="0" w:beforeAutospacing="0" w:after="0" w:afterAutospacing="0"/>
        <w:jc w:val="both"/>
      </w:pPr>
      <w:r>
        <w:t xml:space="preserve">EHR </w:t>
      </w:r>
      <w:r w:rsidR="00CF7C26">
        <w:t xml:space="preserve">has encouraged </w:t>
      </w:r>
      <w:r>
        <w:t xml:space="preserve">the use of monitoring data in </w:t>
      </w:r>
      <w:r w:rsidR="00437662">
        <w:t xml:space="preserve">its </w:t>
      </w:r>
      <w:r>
        <w:t xml:space="preserve">evaluation activities, creating a foundation for </w:t>
      </w:r>
      <w:r w:rsidR="00437662">
        <w:t>robust assessments of</w:t>
      </w:r>
      <w:r w:rsidR="00B13B79">
        <w:t xml:space="preserve"> program activities. </w:t>
      </w:r>
      <w:r>
        <w:t xml:space="preserve">While data </w:t>
      </w:r>
      <w:r w:rsidRPr="003C500A">
        <w:t>collected</w:t>
      </w:r>
      <w:r>
        <w:t xml:space="preserve"> under th</w:t>
      </w:r>
      <w:r w:rsidR="00CF7C26">
        <w:t xml:space="preserve">is collection </w:t>
      </w:r>
      <w:r>
        <w:t xml:space="preserve">were not used to evaluate program effectiveness, some of the data </w:t>
      </w:r>
      <w:r w:rsidR="00B13B79">
        <w:t>gathered through OMB 3145-0226 facilitate the design and conduct of rigorous evaluation studies.</w:t>
      </w:r>
    </w:p>
    <w:p w14:paraId="73662E24" w14:textId="7A867067" w:rsidR="004C44A5" w:rsidRDefault="004C44A5">
      <w:pPr>
        <w:pStyle w:val="p1-standpara"/>
        <w:spacing w:before="0" w:beforeAutospacing="0" w:after="0" w:afterAutospacing="0"/>
        <w:jc w:val="both"/>
      </w:pPr>
    </w:p>
    <w:p w14:paraId="129308B2" w14:textId="2DC15015" w:rsidR="00897C57" w:rsidRDefault="00897C57">
      <w:pPr>
        <w:pStyle w:val="p1-standpara"/>
        <w:spacing w:before="0" w:beforeAutospacing="0" w:after="0" w:afterAutospacing="0"/>
        <w:jc w:val="both"/>
      </w:pPr>
    </w:p>
    <w:p w14:paraId="6C2A110A" w14:textId="77777777" w:rsidR="00897C57" w:rsidRDefault="00897C57">
      <w:pPr>
        <w:pStyle w:val="p1-standpara"/>
        <w:spacing w:before="0" w:beforeAutospacing="0" w:after="0" w:afterAutospacing="0"/>
        <w:jc w:val="both"/>
      </w:pPr>
    </w:p>
    <w:p w14:paraId="288C85F2" w14:textId="039C9899" w:rsidR="00B67597" w:rsidRDefault="00B13B79" w:rsidP="00B303E2">
      <w:pPr>
        <w:pStyle w:val="p1-standpara"/>
        <w:spacing w:before="0" w:beforeAutospacing="0" w:after="0" w:afterAutospacing="0"/>
        <w:jc w:val="both"/>
      </w:pPr>
      <w:r>
        <w:t>W</w:t>
      </w:r>
      <w:r w:rsidR="00B67597">
        <w:t xml:space="preserve">ays in which </w:t>
      </w:r>
      <w:r>
        <w:t xml:space="preserve">these </w:t>
      </w:r>
      <w:r w:rsidR="00B67597">
        <w:t>monitoring data might be used in evaluation include:</w:t>
      </w:r>
    </w:p>
    <w:p w14:paraId="31FB5A60" w14:textId="3ED36B77" w:rsidR="00B67597" w:rsidRDefault="004C44A5" w:rsidP="00B303E2">
      <w:pPr>
        <w:pStyle w:val="p1-standpara"/>
        <w:numPr>
          <w:ilvl w:val="0"/>
          <w:numId w:val="13"/>
        </w:numPr>
        <w:spacing w:before="0" w:beforeAutospacing="0" w:after="0" w:afterAutospacing="0"/>
        <w:ind w:right="576"/>
        <w:jc w:val="both"/>
      </w:pPr>
      <w:r>
        <w:t>c</w:t>
      </w:r>
      <w:r w:rsidR="00B67597">
        <w:t>reating a universe data set with which to compare and establish representativeness of sample data;</w:t>
      </w:r>
    </w:p>
    <w:p w14:paraId="12C6D6F7" w14:textId="4168EF4D" w:rsidR="00B67597" w:rsidRDefault="004C44A5" w:rsidP="00B303E2">
      <w:pPr>
        <w:pStyle w:val="p1-standpara"/>
        <w:numPr>
          <w:ilvl w:val="0"/>
          <w:numId w:val="13"/>
        </w:numPr>
        <w:spacing w:before="0" w:beforeAutospacing="0" w:after="0" w:afterAutospacing="0"/>
        <w:ind w:right="576"/>
        <w:jc w:val="both"/>
      </w:pPr>
      <w:r>
        <w:t>p</w:t>
      </w:r>
      <w:r w:rsidR="00B13B79">
        <w:t>roviding d</w:t>
      </w:r>
      <w:r w:rsidR="00B67597">
        <w:t>ata with which to verify/assess quality of evaluation data;</w:t>
      </w:r>
      <w:r w:rsidR="00B13B79">
        <w:t xml:space="preserve"> and</w:t>
      </w:r>
    </w:p>
    <w:p w14:paraId="71317D25" w14:textId="1F1B32CB" w:rsidR="00B67597" w:rsidRDefault="004C44A5" w:rsidP="00B303E2">
      <w:pPr>
        <w:pStyle w:val="p1-standpara"/>
        <w:numPr>
          <w:ilvl w:val="0"/>
          <w:numId w:val="13"/>
        </w:numPr>
        <w:spacing w:before="0" w:beforeAutospacing="0" w:after="0" w:afterAutospacing="0"/>
        <w:ind w:right="576"/>
        <w:jc w:val="both"/>
      </w:pPr>
      <w:r>
        <w:t>p</w:t>
      </w:r>
      <w:r w:rsidR="00B13B79">
        <w:t>roviding d</w:t>
      </w:r>
      <w:r w:rsidR="00B67597">
        <w:t>ata with which to establish population baseline and/or trend data</w:t>
      </w:r>
      <w:r w:rsidR="00B13B79">
        <w:t>.</w:t>
      </w:r>
    </w:p>
    <w:p w14:paraId="5DE48CE5" w14:textId="13016076" w:rsidR="008741FA" w:rsidRDefault="008741FA">
      <w:pPr>
        <w:pStyle w:val="Heading3"/>
      </w:pPr>
      <w:r>
        <w:t xml:space="preserve">A.3. Use of Information Technology </w:t>
      </w:r>
      <w:r w:rsidR="00056F3D">
        <w:t>to</w:t>
      </w:r>
      <w:r>
        <w:t xml:space="preserve"> Reduce Burden</w:t>
      </w:r>
    </w:p>
    <w:p w14:paraId="23FE2321" w14:textId="77777777" w:rsidR="008741FA" w:rsidRPr="004C44A5" w:rsidRDefault="008741FA">
      <w:pPr>
        <w:jc w:val="both"/>
        <w:rPr>
          <w:sz w:val="24"/>
          <w:szCs w:val="24"/>
        </w:rPr>
      </w:pPr>
      <w:r>
        <w:rPr>
          <w:rFonts w:ascii="Times New Roman" w:hAnsi="Times New Roman"/>
          <w:sz w:val="24"/>
          <w:szCs w:val="24"/>
        </w:rPr>
        <w:t>All of the collections included under this clearance request use Web-based data collection systems to minimize data duplication and respondent burden. EHR favors Web-based systems because they facilitate respondents’ data entry across computer platforms. One innovative feature of many of the individual Web systems is the thorough reviewing and editing of all submitted data for completeness, validity, and consistency. Editing and validation are performed as data are entered. Most invalid data cannot be entered into the system, and questionable or incomplete entries are called to respondents’ attention before they are submitted to NSF.</w:t>
      </w:r>
    </w:p>
    <w:p w14:paraId="67967F14" w14:textId="77777777" w:rsidR="008741FA" w:rsidRPr="004C44A5" w:rsidRDefault="008741FA">
      <w:pPr>
        <w:jc w:val="both"/>
        <w:rPr>
          <w:rFonts w:ascii="Times New Roman" w:hAnsi="Times New Roman"/>
          <w:sz w:val="24"/>
          <w:szCs w:val="24"/>
        </w:rPr>
      </w:pPr>
    </w:p>
    <w:p w14:paraId="13961728" w14:textId="0B55B119" w:rsidR="008741FA" w:rsidRPr="00D40699" w:rsidRDefault="008741FA">
      <w:pPr>
        <w:jc w:val="both"/>
        <w:rPr>
          <w:rFonts w:ascii="Times New Roman" w:hAnsi="Times New Roman"/>
          <w:sz w:val="24"/>
          <w:szCs w:val="24"/>
        </w:rPr>
      </w:pPr>
      <w:r w:rsidRPr="004C44A5">
        <w:rPr>
          <w:rFonts w:ascii="Times New Roman" w:hAnsi="Times New Roman"/>
          <w:sz w:val="24"/>
          <w:szCs w:val="24"/>
        </w:rPr>
        <w:t xml:space="preserve">EHR </w:t>
      </w:r>
      <w:r w:rsidR="0055511B" w:rsidRPr="004C44A5">
        <w:rPr>
          <w:rFonts w:ascii="Times New Roman" w:hAnsi="Times New Roman"/>
          <w:sz w:val="24"/>
          <w:szCs w:val="24"/>
        </w:rPr>
        <w:t>p</w:t>
      </w:r>
      <w:r w:rsidRPr="004C44A5">
        <w:rPr>
          <w:rFonts w:ascii="Times New Roman" w:hAnsi="Times New Roman"/>
          <w:sz w:val="24"/>
          <w:szCs w:val="24"/>
        </w:rPr>
        <w:t xml:space="preserve">rogram </w:t>
      </w:r>
      <w:r w:rsidR="0055511B" w:rsidRPr="004C44A5">
        <w:rPr>
          <w:rFonts w:ascii="Times New Roman" w:hAnsi="Times New Roman"/>
          <w:sz w:val="24"/>
          <w:szCs w:val="24"/>
        </w:rPr>
        <w:t>m</w:t>
      </w:r>
      <w:r w:rsidRPr="004C44A5">
        <w:rPr>
          <w:rFonts w:ascii="Times New Roman" w:hAnsi="Times New Roman"/>
          <w:sz w:val="24"/>
          <w:szCs w:val="24"/>
        </w:rPr>
        <w:t>onitoring Web-based data collection systems employ user-friendly features such as automated tabulation, data entry with custom controls such as checkboxes, data verification with error messages for easy online correction, standard menus, and predefined charts and graphics. All of these features facilitate the reporting process, provide useful and rapid feedback to the data providers, and reduce burden.</w:t>
      </w:r>
    </w:p>
    <w:p w14:paraId="00031ACC" w14:textId="6A32EDC9" w:rsidR="008741FA" w:rsidRPr="004C44A5" w:rsidRDefault="008741FA">
      <w:pPr>
        <w:jc w:val="both"/>
        <w:rPr>
          <w:rFonts w:ascii="Times New Roman" w:hAnsi="Times New Roman"/>
          <w:sz w:val="24"/>
          <w:szCs w:val="24"/>
        </w:rPr>
      </w:pPr>
    </w:p>
    <w:p w14:paraId="1227BF9B" w14:textId="142EA905" w:rsidR="008741FA" w:rsidRPr="004C44A5" w:rsidRDefault="008741FA">
      <w:pPr>
        <w:jc w:val="both"/>
        <w:rPr>
          <w:rFonts w:ascii="Times New Roman" w:hAnsi="Times New Roman"/>
          <w:sz w:val="24"/>
          <w:szCs w:val="24"/>
        </w:rPr>
      </w:pPr>
      <w:r w:rsidRPr="004C44A5">
        <w:rPr>
          <w:rFonts w:ascii="Times New Roman" w:hAnsi="Times New Roman"/>
          <w:sz w:val="24"/>
          <w:szCs w:val="24"/>
        </w:rPr>
        <w:t xml:space="preserve">All collections in the EHR </w:t>
      </w:r>
      <w:r w:rsidR="0055511B" w:rsidRPr="004C44A5">
        <w:rPr>
          <w:rFonts w:ascii="Times New Roman" w:hAnsi="Times New Roman"/>
          <w:sz w:val="24"/>
          <w:szCs w:val="24"/>
        </w:rPr>
        <w:t>p</w:t>
      </w:r>
      <w:r w:rsidRPr="004C44A5">
        <w:rPr>
          <w:rFonts w:ascii="Times New Roman" w:hAnsi="Times New Roman"/>
          <w:sz w:val="24"/>
          <w:szCs w:val="24"/>
        </w:rPr>
        <w:t xml:space="preserve">rogram </w:t>
      </w:r>
      <w:r w:rsidR="0055511B" w:rsidRPr="004C44A5">
        <w:rPr>
          <w:rFonts w:ascii="Times New Roman" w:hAnsi="Times New Roman"/>
          <w:sz w:val="24"/>
          <w:szCs w:val="24"/>
        </w:rPr>
        <w:t>m</w:t>
      </w:r>
      <w:r w:rsidRPr="004C44A5">
        <w:rPr>
          <w:rFonts w:ascii="Times New Roman" w:hAnsi="Times New Roman"/>
          <w:sz w:val="24"/>
          <w:szCs w:val="24"/>
        </w:rPr>
        <w:t xml:space="preserve">onitoring </w:t>
      </w:r>
      <w:r w:rsidR="0055511B" w:rsidRPr="004C44A5">
        <w:rPr>
          <w:rFonts w:ascii="Times New Roman" w:hAnsi="Times New Roman"/>
          <w:sz w:val="24"/>
          <w:szCs w:val="24"/>
        </w:rPr>
        <w:t>c</w:t>
      </w:r>
      <w:r w:rsidRPr="004C44A5">
        <w:rPr>
          <w:rFonts w:ascii="Times New Roman" w:hAnsi="Times New Roman"/>
          <w:sz w:val="24"/>
          <w:szCs w:val="24"/>
        </w:rPr>
        <w:t>learance comply with Section 508, the 1998 amendment to the Federal Rehabilitation Act</w:t>
      </w:r>
      <w:r w:rsidR="00540655" w:rsidRPr="004C44A5">
        <w:rPr>
          <w:rFonts w:ascii="Times New Roman" w:hAnsi="Times New Roman"/>
          <w:sz w:val="24"/>
          <w:szCs w:val="24"/>
        </w:rPr>
        <w:t xml:space="preserve"> of 1973</w:t>
      </w:r>
      <w:r w:rsidRPr="004C44A5">
        <w:rPr>
          <w:rFonts w:ascii="Times New Roman" w:hAnsi="Times New Roman"/>
          <w:sz w:val="24"/>
          <w:szCs w:val="24"/>
        </w:rPr>
        <w:t>, which mandates that the electronic and information technology used by federal agencies be made accessible to all people with disabilities.</w:t>
      </w:r>
    </w:p>
    <w:p w14:paraId="19EE5955" w14:textId="5D16DC90" w:rsidR="008741FA" w:rsidRDefault="008741FA">
      <w:pPr>
        <w:pStyle w:val="Heading3"/>
      </w:pPr>
      <w:r>
        <w:t xml:space="preserve">A.4. Efforts </w:t>
      </w:r>
      <w:r w:rsidR="00056F3D">
        <w:t>to</w:t>
      </w:r>
      <w:r>
        <w:t xml:space="preserve"> Identify Duplication</w:t>
      </w:r>
    </w:p>
    <w:p w14:paraId="67E5BFC5" w14:textId="61CC180E" w:rsidR="008741FA" w:rsidRDefault="008741FA">
      <w:pPr>
        <w:pStyle w:val="p1-standpara"/>
        <w:spacing w:before="0" w:beforeAutospacing="0" w:after="0" w:afterAutospacing="0"/>
        <w:jc w:val="both"/>
      </w:pPr>
      <w:r>
        <w:t xml:space="preserve">The EHR </w:t>
      </w:r>
      <w:r w:rsidR="0055511B">
        <w:t>p</w:t>
      </w:r>
      <w:r>
        <w:t xml:space="preserve">rogram </w:t>
      </w:r>
      <w:r w:rsidR="0055511B">
        <w:t>m</w:t>
      </w:r>
      <w:r>
        <w:t xml:space="preserve">onitoring </w:t>
      </w:r>
      <w:r w:rsidR="0055511B">
        <w:t>c</w:t>
      </w:r>
      <w:r>
        <w:t>learance does not duplicate efforts undertaken by the Foundation, other federal agencies, or other data collection agents.</w:t>
      </w:r>
      <w:r w:rsidR="003A54BB">
        <w:t xml:space="preserve"> </w:t>
      </w:r>
      <w:r>
        <w:t>For example, NSF grants require the submission of annual and final project reports in accordance with OMB 3145-0058. Recipients of NSF grants, such as PIs, create and submit annual and final project reports</w:t>
      </w:r>
      <w:r w:rsidR="008C2CAD">
        <w:t xml:space="preserve"> through </w:t>
      </w:r>
      <w:hyperlink r:id="rId14" w:history="1">
        <w:r w:rsidR="008C2CAD" w:rsidRPr="008C2CAD">
          <w:rPr>
            <w:rStyle w:val="Hyperlink"/>
          </w:rPr>
          <w:t>Research.gov</w:t>
        </w:r>
      </w:hyperlink>
      <w:r w:rsidR="008C2CAD">
        <w:t>.</w:t>
      </w:r>
      <w:r>
        <w:t xml:space="preserve"> Data collected under the EHR </w:t>
      </w:r>
      <w:r w:rsidR="0055511B">
        <w:t>p</w:t>
      </w:r>
      <w:r>
        <w:t xml:space="preserve">rogram </w:t>
      </w:r>
      <w:r w:rsidR="0055511B">
        <w:t>m</w:t>
      </w:r>
      <w:r>
        <w:t xml:space="preserve">onitoring </w:t>
      </w:r>
      <w:r w:rsidR="0055511B">
        <w:t>c</w:t>
      </w:r>
      <w:r>
        <w:t xml:space="preserve">learance are unique and not available in either the NSF annual or final reporting system. The </w:t>
      </w:r>
      <w:r w:rsidR="008C2CAD">
        <w:t>i</w:t>
      </w:r>
      <w:r>
        <w:t xml:space="preserve">ntroduction of the new annual and final reports based on the RPPR format </w:t>
      </w:r>
      <w:r w:rsidR="008C2CAD">
        <w:t xml:space="preserve">has </w:t>
      </w:r>
      <w:r>
        <w:t>improve</w:t>
      </w:r>
      <w:r w:rsidR="008C2CAD">
        <w:t>d</w:t>
      </w:r>
      <w:r>
        <w:t xml:space="preserve"> the submission of project </w:t>
      </w:r>
      <w:r w:rsidR="00056F3D">
        <w:t>information but</w:t>
      </w:r>
      <w:r>
        <w:t xml:space="preserve"> does not change the need for additional information that monitoring systems provide on a program-specific basis.</w:t>
      </w:r>
    </w:p>
    <w:p w14:paraId="73FADF5D" w14:textId="77777777" w:rsidR="008741FA" w:rsidRDefault="008741FA">
      <w:pPr>
        <w:pStyle w:val="Heading3"/>
      </w:pPr>
      <w:r>
        <w:t>A.5. Small Business</w:t>
      </w:r>
    </w:p>
    <w:p w14:paraId="7A57DF6E" w14:textId="24DC9D8D" w:rsidR="008741FA" w:rsidRDefault="003C6354" w:rsidP="00B303E2">
      <w:pPr>
        <w:jc w:val="both"/>
        <w:rPr>
          <w:rFonts w:ascii="Times New Roman" w:hAnsi="Times New Roman"/>
          <w:sz w:val="24"/>
          <w:szCs w:val="24"/>
        </w:rPr>
      </w:pPr>
      <w:r>
        <w:rPr>
          <w:rFonts w:ascii="Times New Roman" w:hAnsi="Times New Roman"/>
          <w:sz w:val="24"/>
          <w:szCs w:val="24"/>
        </w:rPr>
        <w:t>None o</w:t>
      </w:r>
      <w:r w:rsidR="008741FA">
        <w:rPr>
          <w:rFonts w:ascii="Times New Roman" w:hAnsi="Times New Roman"/>
          <w:sz w:val="24"/>
          <w:szCs w:val="24"/>
        </w:rPr>
        <w:t xml:space="preserve">f the </w:t>
      </w:r>
      <w:r w:rsidR="00C23E48">
        <w:rPr>
          <w:rFonts w:ascii="Times New Roman" w:hAnsi="Times New Roman"/>
          <w:sz w:val="24"/>
          <w:szCs w:val="24"/>
        </w:rPr>
        <w:t>seven</w:t>
      </w:r>
      <w:r w:rsidR="008741FA">
        <w:rPr>
          <w:rFonts w:ascii="Times New Roman" w:hAnsi="Times New Roman"/>
          <w:sz w:val="24"/>
          <w:szCs w:val="24"/>
        </w:rPr>
        <w:t xml:space="preserve"> collections </w:t>
      </w:r>
      <w:r>
        <w:rPr>
          <w:rFonts w:ascii="Times New Roman" w:hAnsi="Times New Roman"/>
          <w:sz w:val="24"/>
          <w:szCs w:val="24"/>
        </w:rPr>
        <w:t xml:space="preserve">included in this request for renewal of </w:t>
      </w:r>
      <w:r w:rsidR="008741FA">
        <w:rPr>
          <w:rFonts w:ascii="Times New Roman" w:hAnsi="Times New Roman"/>
          <w:sz w:val="24"/>
          <w:szCs w:val="24"/>
        </w:rPr>
        <w:t xml:space="preserve">the EHR </w:t>
      </w:r>
      <w:r w:rsidR="0055511B">
        <w:rPr>
          <w:rFonts w:ascii="Times New Roman" w:hAnsi="Times New Roman"/>
          <w:sz w:val="24"/>
          <w:szCs w:val="24"/>
        </w:rPr>
        <w:t>p</w:t>
      </w:r>
      <w:r w:rsidR="008741FA">
        <w:rPr>
          <w:rFonts w:ascii="Times New Roman" w:hAnsi="Times New Roman"/>
          <w:sz w:val="24"/>
          <w:szCs w:val="24"/>
        </w:rPr>
        <w:t xml:space="preserve">rogram </w:t>
      </w:r>
      <w:r w:rsidR="0055511B">
        <w:rPr>
          <w:rFonts w:ascii="Times New Roman" w:hAnsi="Times New Roman"/>
          <w:sz w:val="24"/>
          <w:szCs w:val="24"/>
        </w:rPr>
        <w:t>m</w:t>
      </w:r>
      <w:r w:rsidR="008741FA">
        <w:rPr>
          <w:rFonts w:ascii="Times New Roman" w:hAnsi="Times New Roman"/>
          <w:sz w:val="24"/>
          <w:szCs w:val="24"/>
        </w:rPr>
        <w:t xml:space="preserve">onitoring </w:t>
      </w:r>
      <w:r w:rsidR="0055511B">
        <w:rPr>
          <w:rFonts w:ascii="Times New Roman" w:hAnsi="Times New Roman"/>
          <w:sz w:val="24"/>
          <w:szCs w:val="24"/>
        </w:rPr>
        <w:t>c</w:t>
      </w:r>
      <w:r w:rsidR="008741FA">
        <w:rPr>
          <w:rFonts w:ascii="Times New Roman" w:hAnsi="Times New Roman"/>
          <w:sz w:val="24"/>
          <w:szCs w:val="24"/>
        </w:rPr>
        <w:t>learance collect information from small businesses</w:t>
      </w:r>
      <w:r w:rsidR="008741FA" w:rsidRPr="004C44A5">
        <w:rPr>
          <w:rFonts w:ascii="Times New Roman" w:hAnsi="Times New Roman"/>
          <w:sz w:val="24"/>
          <w:szCs w:val="24"/>
        </w:rPr>
        <w:t>.</w:t>
      </w:r>
    </w:p>
    <w:p w14:paraId="3E94F9DF" w14:textId="77777777" w:rsidR="00897C57" w:rsidRPr="004C44A5" w:rsidRDefault="00897C57" w:rsidP="00B303E2">
      <w:pPr>
        <w:jc w:val="both"/>
        <w:rPr>
          <w:rFonts w:ascii="Times New Roman" w:hAnsi="Times New Roman"/>
          <w:sz w:val="24"/>
          <w:szCs w:val="24"/>
        </w:rPr>
      </w:pPr>
    </w:p>
    <w:p w14:paraId="1823677D" w14:textId="77777777" w:rsidR="008741FA" w:rsidRDefault="008741FA">
      <w:pPr>
        <w:pStyle w:val="Heading3"/>
      </w:pPr>
      <w:r>
        <w:t>A.6. Consequences of Not Collecting the Information</w:t>
      </w:r>
    </w:p>
    <w:p w14:paraId="2145E8E0" w14:textId="2A9E010D" w:rsidR="008741FA" w:rsidRDefault="008741FA">
      <w:pPr>
        <w:pStyle w:val="p1-standpara"/>
        <w:spacing w:before="0" w:beforeAutospacing="0" w:after="0" w:afterAutospacing="0"/>
        <w:jc w:val="both"/>
      </w:pPr>
      <w:r>
        <w:t xml:space="preserve">Data collected for the EHR </w:t>
      </w:r>
      <w:r w:rsidR="0055511B">
        <w:t>p</w:t>
      </w:r>
      <w:r>
        <w:t xml:space="preserve">rogram </w:t>
      </w:r>
      <w:r w:rsidR="0055511B">
        <w:t>m</w:t>
      </w:r>
      <w:r>
        <w:t xml:space="preserve">onitoring </w:t>
      </w:r>
      <w:r w:rsidR="0055511B">
        <w:t>c</w:t>
      </w:r>
      <w:r>
        <w:t xml:space="preserve">learance are used to manage programs, monitor projects, inform project and program evaluations, coordinate with federal and non-federal education partners, provide Congress with information about government-supported activities, and report for GPRA and other requirements. In many cases, the data need to be collected annually to inform the NSF management and evaluation processes. Data collected under the EHR </w:t>
      </w:r>
      <w:r w:rsidR="002E6346">
        <w:t>p</w:t>
      </w:r>
      <w:r>
        <w:t xml:space="preserve">rogram </w:t>
      </w:r>
      <w:r w:rsidR="002E6346">
        <w:t>m</w:t>
      </w:r>
      <w:r>
        <w:t xml:space="preserve">onitoring </w:t>
      </w:r>
      <w:r w:rsidR="002E6346">
        <w:t>c</w:t>
      </w:r>
      <w:r>
        <w:t xml:space="preserve">learance can be used by NSF management to document and measure NSF’s success at achieving both </w:t>
      </w:r>
      <w:r w:rsidR="002E6346">
        <w:t>s</w:t>
      </w:r>
      <w:r>
        <w:t xml:space="preserve">trategic </w:t>
      </w:r>
      <w:r w:rsidR="002E6346">
        <w:t>o</w:t>
      </w:r>
      <w:r>
        <w:t xml:space="preserve">utcome </w:t>
      </w:r>
      <w:r w:rsidR="002E6346">
        <w:t>g</w:t>
      </w:r>
      <w:r>
        <w:t xml:space="preserve">oals and internal </w:t>
      </w:r>
      <w:r w:rsidR="002E6346">
        <w:t>a</w:t>
      </w:r>
      <w:r>
        <w:t xml:space="preserve">nnual </w:t>
      </w:r>
      <w:r w:rsidR="002E6346">
        <w:t>p</w:t>
      </w:r>
      <w:r>
        <w:t xml:space="preserve">erformance </w:t>
      </w:r>
      <w:r w:rsidR="002E6346">
        <w:t>g</w:t>
      </w:r>
      <w:r>
        <w:t>oals.</w:t>
      </w:r>
    </w:p>
    <w:p w14:paraId="12039146" w14:textId="77777777" w:rsidR="008741FA" w:rsidRDefault="008741FA">
      <w:pPr>
        <w:pStyle w:val="p1-standpara"/>
        <w:spacing w:before="0" w:beforeAutospacing="0" w:after="0" w:afterAutospacing="0"/>
        <w:jc w:val="both"/>
      </w:pPr>
    </w:p>
    <w:p w14:paraId="2DE8F13D" w14:textId="77777777" w:rsidR="008741FA" w:rsidRPr="00C14A35" w:rsidRDefault="008741FA">
      <w:pPr>
        <w:jc w:val="both"/>
        <w:rPr>
          <w:rFonts w:ascii="Times New Roman" w:hAnsi="Times New Roman"/>
          <w:sz w:val="24"/>
          <w:szCs w:val="24"/>
        </w:rPr>
      </w:pPr>
      <w:r>
        <w:rPr>
          <w:rFonts w:ascii="Times New Roman" w:hAnsi="Times New Roman"/>
          <w:sz w:val="24"/>
          <w:szCs w:val="24"/>
        </w:rPr>
        <w:t>If the information were not collected, NSF would be unable to document the implementation of project activities and outcomes of its programs. It would be unable to meet its accountability requirements or assess the degree to which projects and programs are meeting their goals.</w:t>
      </w:r>
    </w:p>
    <w:p w14:paraId="5C7B7D96" w14:textId="77777777" w:rsidR="008741FA" w:rsidRDefault="008741FA">
      <w:pPr>
        <w:pStyle w:val="Heading3"/>
      </w:pPr>
      <w:r>
        <w:t>A.7. Special Circumstances Justifying Inconsistencies with Guidelines in 5 CFR 1320.6</w:t>
      </w:r>
    </w:p>
    <w:p w14:paraId="088DC7D3" w14:textId="40BCAF1D" w:rsidR="008741FA" w:rsidRDefault="008741FA" w:rsidP="00B303E2">
      <w:pPr>
        <w:pStyle w:val="NormalWeb"/>
        <w:jc w:val="both"/>
      </w:pPr>
      <w:r>
        <w:t xml:space="preserve">All data collections will comply with 5 CFR 1320.6. All collections under the EHR </w:t>
      </w:r>
      <w:r w:rsidR="002E6346">
        <w:t>p</w:t>
      </w:r>
      <w:r>
        <w:t xml:space="preserve">rogram </w:t>
      </w:r>
      <w:r w:rsidR="002E6346">
        <w:t>m</w:t>
      </w:r>
      <w:r>
        <w:t xml:space="preserve">onitoring </w:t>
      </w:r>
      <w:r w:rsidR="002E6346">
        <w:t>c</w:t>
      </w:r>
      <w:r>
        <w:t xml:space="preserve">learance ask respondents for data annually, with the exception of the </w:t>
      </w:r>
      <w:r w:rsidR="007A56CB">
        <w:t xml:space="preserve">IGERT monitoring system, for which awards in their final year submit both an annual and final report, and the </w:t>
      </w:r>
      <w:r>
        <w:t xml:space="preserve">S-STEM monitoring system, which asks respondents to submit data each semester/quarter. See </w:t>
      </w:r>
      <w:r w:rsidR="007A56CB">
        <w:t>a</w:t>
      </w:r>
      <w:r>
        <w:t>ttachment</w:t>
      </w:r>
      <w:r w:rsidR="006E0225">
        <w:t>s</w:t>
      </w:r>
      <w:r>
        <w:t xml:space="preserve"> </w:t>
      </w:r>
      <w:r w:rsidR="007A56CB">
        <w:t xml:space="preserve">B1 and </w:t>
      </w:r>
      <w:r w:rsidR="002E6346">
        <w:t>F</w:t>
      </w:r>
      <w:r>
        <w:t>1 for more information on the frequen</w:t>
      </w:r>
      <w:r w:rsidR="007A56CB">
        <w:t>cy of these</w:t>
      </w:r>
      <w:r>
        <w:t xml:space="preserve"> collection</w:t>
      </w:r>
      <w:r w:rsidR="007A56CB">
        <w:t>s</w:t>
      </w:r>
      <w:r>
        <w:t>.</w:t>
      </w:r>
    </w:p>
    <w:p w14:paraId="4237A572" w14:textId="77777777" w:rsidR="008741FA" w:rsidRDefault="008741FA">
      <w:pPr>
        <w:pStyle w:val="Heading3"/>
      </w:pPr>
      <w:r>
        <w:t>A.8. Consultation Outside the Agency</w:t>
      </w:r>
    </w:p>
    <w:p w14:paraId="6BD2DE4D" w14:textId="37DAA1EE" w:rsidR="008741FA" w:rsidRDefault="008741FA" w:rsidP="00B303E2">
      <w:pPr>
        <w:pStyle w:val="p1-standpara"/>
        <w:spacing w:before="0" w:beforeAutospacing="0" w:after="0" w:afterAutospacing="0"/>
        <w:jc w:val="both"/>
      </w:pPr>
      <w:r>
        <w:rPr>
          <w:color w:val="000000"/>
        </w:rPr>
        <w:t xml:space="preserve">The notice inviting comments on the EHR </w:t>
      </w:r>
      <w:r w:rsidR="002E6346">
        <w:rPr>
          <w:color w:val="000000"/>
        </w:rPr>
        <w:t>p</w:t>
      </w:r>
      <w:r>
        <w:rPr>
          <w:color w:val="000000"/>
        </w:rPr>
        <w:t xml:space="preserve">rogram </w:t>
      </w:r>
      <w:r w:rsidR="002E6346">
        <w:rPr>
          <w:color w:val="000000"/>
        </w:rPr>
        <w:t>m</w:t>
      </w:r>
      <w:r>
        <w:rPr>
          <w:color w:val="000000"/>
        </w:rPr>
        <w:t xml:space="preserve">onitoring </w:t>
      </w:r>
      <w:r w:rsidR="002E6346">
        <w:rPr>
          <w:color w:val="000000"/>
        </w:rPr>
        <w:t>c</w:t>
      </w:r>
      <w:r>
        <w:rPr>
          <w:color w:val="000000"/>
        </w:rPr>
        <w:t>learance (OMB 3145-</w:t>
      </w:r>
      <w:r w:rsidR="00FE0CC9">
        <w:rPr>
          <w:color w:val="000000"/>
        </w:rPr>
        <w:t>0226</w:t>
      </w:r>
      <w:r>
        <w:rPr>
          <w:color w:val="000000"/>
        </w:rPr>
        <w:t xml:space="preserve">) was published in the </w:t>
      </w:r>
      <w:r w:rsidRPr="00D629F9">
        <w:rPr>
          <w:i/>
          <w:color w:val="000000"/>
        </w:rPr>
        <w:t>Federal Register</w:t>
      </w:r>
      <w:r w:rsidRPr="00392996">
        <w:rPr>
          <w:color w:val="000000"/>
        </w:rPr>
        <w:t xml:space="preserve"> </w:t>
      </w:r>
      <w:r w:rsidR="00F11121">
        <w:rPr>
          <w:color w:val="000000"/>
        </w:rPr>
        <w:t>October 31, 2018</w:t>
      </w:r>
      <w:r w:rsidRPr="00392996">
        <w:t xml:space="preserve">, </w:t>
      </w:r>
      <w:r w:rsidR="00392996" w:rsidRPr="00392996">
        <w:t xml:space="preserve">Volume </w:t>
      </w:r>
      <w:r w:rsidR="00F11121">
        <w:rPr>
          <w:color w:val="000000"/>
        </w:rPr>
        <w:t>83</w:t>
      </w:r>
      <w:r w:rsidR="00392996" w:rsidRPr="00392996">
        <w:rPr>
          <w:color w:val="000000"/>
        </w:rPr>
        <w:t xml:space="preserve">, Number </w:t>
      </w:r>
      <w:r w:rsidR="00F11121">
        <w:rPr>
          <w:color w:val="000000"/>
        </w:rPr>
        <w:t>211</w:t>
      </w:r>
      <w:r w:rsidR="00392996" w:rsidRPr="00392996">
        <w:rPr>
          <w:color w:val="000000"/>
        </w:rPr>
        <w:t>,</w:t>
      </w:r>
      <w:r w:rsidR="00FE0CC9" w:rsidRPr="00392996">
        <w:rPr>
          <w:color w:val="000000"/>
        </w:rPr>
        <w:t xml:space="preserve"> </w:t>
      </w:r>
      <w:r w:rsidR="00392996" w:rsidRPr="00392996">
        <w:rPr>
          <w:color w:val="000000"/>
        </w:rPr>
        <w:t xml:space="preserve">pages </w:t>
      </w:r>
      <w:r w:rsidR="00F11121">
        <w:rPr>
          <w:color w:val="000000"/>
        </w:rPr>
        <w:t>54786-54787</w:t>
      </w:r>
      <w:r w:rsidRPr="00392996">
        <w:rPr>
          <w:color w:val="000000"/>
        </w:rPr>
        <w:t>.</w:t>
      </w:r>
      <w:r>
        <w:rPr>
          <w:color w:val="000000"/>
        </w:rPr>
        <w:t xml:space="preserve"> No </w:t>
      </w:r>
      <w:r w:rsidR="00567FBF">
        <w:rPr>
          <w:color w:val="000000"/>
        </w:rPr>
        <w:t xml:space="preserve">substantial </w:t>
      </w:r>
      <w:r>
        <w:rPr>
          <w:color w:val="000000"/>
        </w:rPr>
        <w:t>comments were received</w:t>
      </w:r>
      <w:r w:rsidR="00567FBF">
        <w:rPr>
          <w:color w:val="000000"/>
        </w:rPr>
        <w:t xml:space="preserve"> in response to </w:t>
      </w:r>
      <w:r w:rsidR="00562E89">
        <w:rPr>
          <w:color w:val="000000"/>
        </w:rPr>
        <w:t>the</w:t>
      </w:r>
      <w:r w:rsidR="00567FBF">
        <w:rPr>
          <w:color w:val="000000"/>
        </w:rPr>
        <w:t xml:space="preserve"> </w:t>
      </w:r>
      <w:r w:rsidR="00567FBF">
        <w:rPr>
          <w:i/>
          <w:color w:val="000000"/>
        </w:rPr>
        <w:t>Federal Register</w:t>
      </w:r>
      <w:r w:rsidR="00567FBF">
        <w:rPr>
          <w:color w:val="000000"/>
        </w:rPr>
        <w:t xml:space="preserve"> notice</w:t>
      </w:r>
      <w:r w:rsidRPr="00F53633">
        <w:rPr>
          <w:color w:val="000000"/>
        </w:rPr>
        <w:t>.</w:t>
      </w:r>
    </w:p>
    <w:p w14:paraId="13A732A7" w14:textId="77777777" w:rsidR="008741FA" w:rsidRDefault="008741FA">
      <w:pPr>
        <w:pStyle w:val="p1-standpara"/>
        <w:spacing w:before="0" w:beforeAutospacing="0" w:after="0" w:afterAutospacing="0"/>
        <w:jc w:val="both"/>
      </w:pPr>
    </w:p>
    <w:p w14:paraId="104EDBC1" w14:textId="77777777" w:rsidR="008741FA" w:rsidRDefault="008741FA">
      <w:pPr>
        <w:pStyle w:val="p1-standpara"/>
        <w:spacing w:before="0" w:beforeAutospacing="0" w:after="0" w:afterAutospacing="0"/>
        <w:jc w:val="both"/>
      </w:pPr>
      <w:r>
        <w:t xml:space="preserve">When developing collection instruments, EHR routinely consults with research and evaluation experts, PIs, and educators affected by EHR investments. The purpose of these consultations is to assess the relevance, availability, and clarity of items. As suggested by OMB guidelines, these consultations also enable EHR staff to obtain a reliable estimate of the respondent burden generated by new instruments. When a new collection is added or when an existing collection is modified to add new instruments, each instrument is pretested with nine or fewer individuals and revised following debriefings </w:t>
      </w:r>
      <w:r w:rsidR="005E7E8E">
        <w:t>with participating respondents.</w:t>
      </w:r>
    </w:p>
    <w:p w14:paraId="3C513F99" w14:textId="77777777" w:rsidR="008741FA" w:rsidRDefault="008741FA">
      <w:pPr>
        <w:pStyle w:val="p1-standpara"/>
        <w:spacing w:before="0" w:beforeAutospacing="0" w:after="0" w:afterAutospacing="0"/>
        <w:jc w:val="both"/>
      </w:pPr>
    </w:p>
    <w:p w14:paraId="1401AB2C" w14:textId="5982EB1F" w:rsidR="008741FA" w:rsidRDefault="008741FA">
      <w:pPr>
        <w:pStyle w:val="p1-standpara"/>
        <w:spacing w:before="0" w:beforeAutospacing="0" w:after="0" w:afterAutospacing="0"/>
        <w:jc w:val="both"/>
      </w:pPr>
      <w:r>
        <w:t xml:space="preserve">For data collections conducted earlier under the EHR </w:t>
      </w:r>
      <w:r w:rsidR="00455FC9">
        <w:t>program monitoring clearance</w:t>
      </w:r>
      <w:r>
        <w:t>, consultations have included knowledgeable outsiders such as representatives of EHR contractors responsible for technical and evaluation tasks and fellows who work at the Foundation as guests under programs such as the Einstein Fellows Program or the American Association for the Advancement of Science Washington Fellows Program.</w:t>
      </w:r>
    </w:p>
    <w:p w14:paraId="1F10819E" w14:textId="77777777" w:rsidR="008741FA" w:rsidRDefault="008741FA">
      <w:pPr>
        <w:pStyle w:val="Heading3"/>
      </w:pPr>
      <w:r>
        <w:t>A.9. Payments or Gifts to Respondents</w:t>
      </w:r>
    </w:p>
    <w:p w14:paraId="57493A94" w14:textId="1444D770" w:rsidR="008741FA" w:rsidRDefault="008741FA">
      <w:pPr>
        <w:jc w:val="both"/>
        <w:rPr>
          <w:rFonts w:ascii="Times New Roman" w:hAnsi="Times New Roman"/>
          <w:sz w:val="24"/>
          <w:szCs w:val="24"/>
        </w:rPr>
      </w:pPr>
      <w:r>
        <w:rPr>
          <w:rFonts w:ascii="Times New Roman" w:hAnsi="Times New Roman"/>
          <w:sz w:val="24"/>
          <w:szCs w:val="24"/>
        </w:rPr>
        <w:t>To date no payments or gifts have been provided to respondents. There are no plans to provide incentives to respondents because the value of program and project monitoring surveys is of value to the respondents as well as NSF. Program monitoring can be used by projects as a foundation for project-level evaluation.</w:t>
      </w:r>
    </w:p>
    <w:p w14:paraId="2F5911BD" w14:textId="77777777" w:rsidR="008741FA" w:rsidRDefault="008741FA" w:rsidP="00C14A35">
      <w:pPr>
        <w:pStyle w:val="Heading3"/>
        <w:keepNext/>
        <w:keepLines/>
      </w:pPr>
      <w:r>
        <w:t>A.10. Assurance of Confidentiality</w:t>
      </w:r>
    </w:p>
    <w:p w14:paraId="070A4E90" w14:textId="77777777" w:rsidR="008741FA" w:rsidRDefault="008741FA" w:rsidP="00C14A35">
      <w:pPr>
        <w:pStyle w:val="NormalWeb"/>
        <w:keepNext/>
        <w:keepLines/>
        <w:spacing w:before="0" w:beforeAutospacing="0" w:after="0" w:afterAutospacing="0"/>
        <w:jc w:val="both"/>
      </w:pPr>
      <w:r>
        <w:t>Respondents are informed that any information on specific individuals is maintained in accordance with the Privacy Act of 1974. Every data collection instrument displays both OMB and Privacy Act notices.</w:t>
      </w:r>
    </w:p>
    <w:p w14:paraId="3174A80E" w14:textId="77777777" w:rsidR="008741FA" w:rsidRDefault="008741FA">
      <w:pPr>
        <w:pStyle w:val="NormalWeb"/>
        <w:spacing w:before="0" w:beforeAutospacing="0" w:after="0" w:afterAutospacing="0"/>
        <w:jc w:val="both"/>
      </w:pPr>
    </w:p>
    <w:p w14:paraId="635FEE56" w14:textId="6DD16D34" w:rsidR="008741FA" w:rsidRDefault="008741FA">
      <w:pPr>
        <w:pStyle w:val="NormalWeb"/>
        <w:spacing w:before="0" w:beforeAutospacing="0" w:after="0" w:afterAutospacing="0"/>
        <w:jc w:val="both"/>
      </w:pPr>
      <w:r>
        <w:t xml:space="preserve">Respondents are told that data collected for the EHR </w:t>
      </w:r>
      <w:r w:rsidR="00562E89">
        <w:t>p</w:t>
      </w:r>
      <w:r>
        <w:t xml:space="preserve">rogram </w:t>
      </w:r>
      <w:r w:rsidR="00562E89">
        <w:t>m</w:t>
      </w:r>
      <w:r>
        <w:t xml:space="preserve">onitoring </w:t>
      </w:r>
      <w:r w:rsidR="00562E89">
        <w:t>c</w:t>
      </w:r>
      <w:r>
        <w:t xml:space="preserve">learance are available to NSF officials and staff, evaluation contractors, and the contractors hired to manage the data and data collection software. Data are processed according to </w:t>
      </w:r>
      <w:r w:rsidR="00D662E6">
        <w:t>f</w:t>
      </w:r>
      <w:r>
        <w:t>ederal and state privacy statutes. Detailed procedures followed by EHR for making information available to various categories of users are specified in the Education and Training System of Records (63 Fed. Reg. 264, 272 January 5, 1998). This system limits access to personally identifiable information to authorized users. Data submitted are used in accordance with criteria established by NSF for monitoring research and education grants and in response to Public Law 99-383 and 42 USC 1885c.</w:t>
      </w:r>
    </w:p>
    <w:p w14:paraId="72473D7E" w14:textId="77777777" w:rsidR="008741FA" w:rsidRDefault="008741FA">
      <w:pPr>
        <w:pStyle w:val="NormalWeb"/>
        <w:spacing w:before="0" w:beforeAutospacing="0" w:after="0" w:afterAutospacing="0"/>
        <w:jc w:val="both"/>
      </w:pPr>
    </w:p>
    <w:p w14:paraId="320F0C53" w14:textId="77777777" w:rsidR="008741FA" w:rsidRDefault="008741FA">
      <w:pPr>
        <w:pStyle w:val="NormalWeb"/>
        <w:spacing w:before="0" w:beforeAutospacing="0" w:after="0" w:afterAutospacing="0"/>
        <w:jc w:val="both"/>
      </w:pPr>
      <w:r>
        <w:t>The information requested through NSF monitoring systems may be disclosed to qualified researchers and contractors in order to coordinate programs and to a federal agency, court, or party in court or federal administrative proceedings, if the government is a party.</w:t>
      </w:r>
    </w:p>
    <w:p w14:paraId="0658A83E" w14:textId="77777777" w:rsidR="008741FA" w:rsidRDefault="008741FA">
      <w:pPr>
        <w:pStyle w:val="Heading3"/>
      </w:pPr>
      <w:r>
        <w:t>A.11. Questions of a Sensitive Nature</w:t>
      </w:r>
    </w:p>
    <w:p w14:paraId="52E24FA5" w14:textId="49F0B5A3" w:rsidR="008741FA" w:rsidRDefault="008741FA" w:rsidP="00B303E2">
      <w:pPr>
        <w:jc w:val="both"/>
        <w:rPr>
          <w:rFonts w:ascii="Times New Roman" w:hAnsi="Times New Roman"/>
          <w:sz w:val="24"/>
          <w:szCs w:val="24"/>
        </w:rPr>
      </w:pPr>
      <w:r>
        <w:rPr>
          <w:rFonts w:ascii="Times New Roman" w:hAnsi="Times New Roman"/>
          <w:sz w:val="24"/>
          <w:szCs w:val="24"/>
        </w:rPr>
        <w:t xml:space="preserve">Seven of the proposed collections in the EHR </w:t>
      </w:r>
      <w:r w:rsidR="00FA7B28">
        <w:rPr>
          <w:rFonts w:ascii="Times New Roman" w:hAnsi="Times New Roman"/>
          <w:sz w:val="24"/>
          <w:szCs w:val="24"/>
        </w:rPr>
        <w:t>p</w:t>
      </w:r>
      <w:r>
        <w:rPr>
          <w:rFonts w:ascii="Times New Roman" w:hAnsi="Times New Roman"/>
          <w:sz w:val="24"/>
          <w:szCs w:val="24"/>
        </w:rPr>
        <w:t xml:space="preserve">rogram </w:t>
      </w:r>
      <w:r w:rsidR="00FA7B28">
        <w:rPr>
          <w:rFonts w:ascii="Times New Roman" w:hAnsi="Times New Roman"/>
          <w:sz w:val="24"/>
          <w:szCs w:val="24"/>
        </w:rPr>
        <w:t>m</w:t>
      </w:r>
      <w:r>
        <w:rPr>
          <w:rFonts w:ascii="Times New Roman" w:hAnsi="Times New Roman"/>
          <w:sz w:val="24"/>
          <w:szCs w:val="24"/>
        </w:rPr>
        <w:t xml:space="preserve">onitoring </w:t>
      </w:r>
      <w:r w:rsidR="00FA7B28">
        <w:rPr>
          <w:rFonts w:ascii="Times New Roman" w:hAnsi="Times New Roman"/>
          <w:sz w:val="24"/>
          <w:szCs w:val="24"/>
        </w:rPr>
        <w:t>c</w:t>
      </w:r>
      <w:r>
        <w:rPr>
          <w:rFonts w:ascii="Times New Roman" w:hAnsi="Times New Roman"/>
          <w:sz w:val="24"/>
          <w:szCs w:val="24"/>
        </w:rPr>
        <w:t xml:space="preserve">learance request information from respondents, including either name, address, Social Security </w:t>
      </w:r>
      <w:r w:rsidR="000C682E">
        <w:rPr>
          <w:rFonts w:ascii="Times New Roman" w:hAnsi="Times New Roman"/>
          <w:sz w:val="24"/>
          <w:szCs w:val="24"/>
        </w:rPr>
        <w:t>N</w:t>
      </w:r>
      <w:r>
        <w:rPr>
          <w:rFonts w:ascii="Times New Roman" w:hAnsi="Times New Roman"/>
          <w:sz w:val="24"/>
          <w:szCs w:val="24"/>
        </w:rPr>
        <w:t xml:space="preserve">umber (SSN), date of birth (DOB), and/or grade point average (GPA). These data are collected in order to monitor the award sites and evaluate the success of the award programs. Information of this nature is also used to track recipients of funding and training. For example, in the IGERT survey (attachments </w:t>
      </w:r>
      <w:r w:rsidR="00B82076">
        <w:rPr>
          <w:rFonts w:ascii="Times New Roman" w:hAnsi="Times New Roman"/>
          <w:sz w:val="24"/>
          <w:szCs w:val="24"/>
        </w:rPr>
        <w:t>B</w:t>
      </w:r>
      <w:r>
        <w:rPr>
          <w:rFonts w:ascii="Times New Roman" w:hAnsi="Times New Roman"/>
          <w:sz w:val="24"/>
          <w:szCs w:val="24"/>
        </w:rPr>
        <w:t xml:space="preserve">1 and </w:t>
      </w:r>
      <w:r w:rsidR="00B82076">
        <w:rPr>
          <w:rFonts w:ascii="Times New Roman" w:hAnsi="Times New Roman"/>
          <w:sz w:val="24"/>
          <w:szCs w:val="24"/>
        </w:rPr>
        <w:t>B2</w:t>
      </w:r>
      <w:r>
        <w:rPr>
          <w:rFonts w:ascii="Times New Roman" w:hAnsi="Times New Roman"/>
          <w:sz w:val="24"/>
          <w:szCs w:val="24"/>
        </w:rPr>
        <w:t>), trainees’ SSNs are used as a tracking mechanism to permit follow-up studies that examine the long-term effect of the IGERT program on individuals’ success. However, in the IGERT collection and in all collections that request SSN, SSN is a voluntary field. Responses to all items of a sensitive nature are voluntary. Respondents may choose not to provide information that they deem as privileged, such as SSN, address, or DOB. Any individual-level data that are collected are provided only to program staff and consultants conducting studies using the data as authorized by NSF. Any public reporting of data is in aggregate form.</w:t>
      </w:r>
      <w:r w:rsidR="003D3EF6">
        <w:rPr>
          <w:rFonts w:ascii="Times New Roman" w:hAnsi="Times New Roman"/>
          <w:sz w:val="24"/>
          <w:szCs w:val="24"/>
        </w:rPr>
        <w:t xml:space="preserve"> Exhibit 2 </w:t>
      </w:r>
      <w:r>
        <w:rPr>
          <w:rFonts w:ascii="Times New Roman" w:hAnsi="Times New Roman"/>
          <w:sz w:val="24"/>
          <w:szCs w:val="24"/>
        </w:rPr>
        <w:t>shows which individual collections include questions of a sensitive nature.</w:t>
      </w:r>
    </w:p>
    <w:p w14:paraId="3274F9E5" w14:textId="7442BD12" w:rsidR="00C14A35" w:rsidRDefault="00C14A35" w:rsidP="00B303E2">
      <w:pPr>
        <w:jc w:val="both"/>
        <w:rPr>
          <w:rFonts w:ascii="Times New Roman" w:hAnsi="Times New Roman"/>
          <w:sz w:val="24"/>
          <w:szCs w:val="24"/>
        </w:rPr>
      </w:pPr>
    </w:p>
    <w:p w14:paraId="3F5C4C4E" w14:textId="52E83469" w:rsidR="00897C57" w:rsidRDefault="00897C57" w:rsidP="00B303E2">
      <w:pPr>
        <w:jc w:val="both"/>
        <w:rPr>
          <w:rFonts w:ascii="Times New Roman" w:hAnsi="Times New Roman"/>
          <w:sz w:val="24"/>
          <w:szCs w:val="24"/>
        </w:rPr>
      </w:pPr>
    </w:p>
    <w:p w14:paraId="312F8573" w14:textId="071F5670" w:rsidR="00897C57" w:rsidRDefault="00897C57" w:rsidP="00B303E2">
      <w:pPr>
        <w:jc w:val="both"/>
        <w:rPr>
          <w:rFonts w:ascii="Times New Roman" w:hAnsi="Times New Roman"/>
          <w:sz w:val="24"/>
          <w:szCs w:val="24"/>
        </w:rPr>
      </w:pPr>
    </w:p>
    <w:p w14:paraId="2EF02D95" w14:textId="77777777" w:rsidR="00FB3912" w:rsidRDefault="00FB3912" w:rsidP="003D3EF6">
      <w:pPr>
        <w:pStyle w:val="NormalWeb"/>
        <w:spacing w:before="0" w:beforeAutospacing="0" w:after="0" w:afterAutospacing="0"/>
        <w:divId w:val="435951460"/>
        <w:rPr>
          <w:rFonts w:eastAsia="Verdana"/>
        </w:rPr>
      </w:pPr>
    </w:p>
    <w:p w14:paraId="4F164249" w14:textId="5A66A5B6" w:rsidR="008741FA" w:rsidRPr="003D3EF6" w:rsidRDefault="003D3EF6" w:rsidP="003D3EF6">
      <w:pPr>
        <w:pStyle w:val="NormalWeb"/>
        <w:spacing w:before="0" w:beforeAutospacing="0" w:after="0" w:afterAutospacing="0"/>
        <w:divId w:val="435951460"/>
        <w:rPr>
          <w:sz w:val="20"/>
          <w:szCs w:val="20"/>
        </w:rPr>
      </w:pPr>
      <w:r w:rsidRPr="003D3EF6">
        <w:rPr>
          <w:rStyle w:val="Strong"/>
          <w:sz w:val="20"/>
          <w:szCs w:val="20"/>
        </w:rPr>
        <w:t>Exhibit 2</w:t>
      </w:r>
      <w:r w:rsidR="00A96CDC">
        <w:rPr>
          <w:rStyle w:val="Strong"/>
          <w:sz w:val="20"/>
          <w:szCs w:val="20"/>
        </w:rPr>
        <w:t>:</w:t>
      </w:r>
      <w:r w:rsidR="008741FA" w:rsidRPr="003D3EF6">
        <w:rPr>
          <w:rStyle w:val="Strong"/>
          <w:sz w:val="20"/>
          <w:szCs w:val="20"/>
        </w:rPr>
        <w:t xml:space="preserve"> Questions of a </w:t>
      </w:r>
      <w:r w:rsidR="00E95C1C">
        <w:rPr>
          <w:rStyle w:val="Strong"/>
          <w:sz w:val="20"/>
          <w:szCs w:val="20"/>
        </w:rPr>
        <w:t>s</w:t>
      </w:r>
      <w:r w:rsidR="008741FA" w:rsidRPr="003D3EF6">
        <w:rPr>
          <w:rStyle w:val="Strong"/>
          <w:sz w:val="20"/>
          <w:szCs w:val="20"/>
        </w:rPr>
        <w:t xml:space="preserve">ensitive </w:t>
      </w:r>
      <w:r w:rsidR="00E95C1C">
        <w:rPr>
          <w:rStyle w:val="Strong"/>
          <w:sz w:val="20"/>
          <w:szCs w:val="20"/>
        </w:rPr>
        <w:t>n</w:t>
      </w:r>
      <w:r w:rsidR="008741FA" w:rsidRPr="003D3EF6">
        <w:rPr>
          <w:rStyle w:val="Strong"/>
          <w:sz w:val="20"/>
          <w:szCs w:val="20"/>
        </w:rPr>
        <w:t>ature</w:t>
      </w:r>
    </w:p>
    <w:tbl>
      <w:tblPr>
        <w:tblW w:w="0" w:type="auto"/>
        <w:tblCellMar>
          <w:left w:w="0" w:type="dxa"/>
          <w:right w:w="0" w:type="dxa"/>
        </w:tblCellMar>
        <w:tblLook w:val="04A0" w:firstRow="1" w:lastRow="0" w:firstColumn="1" w:lastColumn="0" w:noHBand="0" w:noVBand="1"/>
      </w:tblPr>
      <w:tblGrid>
        <w:gridCol w:w="1523"/>
        <w:gridCol w:w="3053"/>
        <w:gridCol w:w="1057"/>
        <w:gridCol w:w="737"/>
        <w:gridCol w:w="723"/>
        <w:gridCol w:w="870"/>
        <w:gridCol w:w="657"/>
      </w:tblGrid>
      <w:tr w:rsidR="008741FA" w:rsidRPr="00C14A35" w14:paraId="14882C57" w14:textId="77777777" w:rsidTr="00674A43">
        <w:trPr>
          <w:cantSplit/>
          <w:trHeight w:val="610"/>
          <w:tblHeader/>
        </w:trPr>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F9C017" w14:textId="77777777" w:rsidR="008741FA" w:rsidRPr="00C14A35" w:rsidRDefault="008741FA">
            <w:pPr>
              <w:jc w:val="center"/>
              <w:rPr>
                <w:rFonts w:ascii="Times New Roman" w:eastAsia="Times New Roman" w:hAnsi="Times New Roman"/>
              </w:rPr>
            </w:pPr>
            <w:r w:rsidRPr="00C14A35">
              <w:rPr>
                <w:rStyle w:val="Strong"/>
                <w:rFonts w:ascii="Times New Roman" w:eastAsia="Times New Roman" w:hAnsi="Times New Roman"/>
              </w:rPr>
              <w:t>Attachments</w:t>
            </w:r>
          </w:p>
        </w:tc>
        <w:tc>
          <w:tcPr>
            <w:tcW w:w="30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4AF677" w14:textId="77777777" w:rsidR="008741FA" w:rsidRPr="00C14A35" w:rsidRDefault="008741FA">
            <w:pPr>
              <w:jc w:val="center"/>
              <w:rPr>
                <w:rFonts w:ascii="Times New Roman" w:eastAsia="Times New Roman" w:hAnsi="Times New Roman"/>
              </w:rPr>
            </w:pPr>
            <w:r w:rsidRPr="00C14A35">
              <w:rPr>
                <w:rStyle w:val="Strong"/>
                <w:rFonts w:ascii="Times New Roman" w:eastAsia="Times New Roman" w:hAnsi="Times New Roman"/>
              </w:rPr>
              <w:t>Collection Title</w:t>
            </w:r>
          </w:p>
        </w:tc>
        <w:tc>
          <w:tcPr>
            <w:tcW w:w="10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E1157" w14:textId="77777777" w:rsidR="008741FA" w:rsidRPr="00C14A35" w:rsidRDefault="008741FA">
            <w:pPr>
              <w:jc w:val="center"/>
              <w:rPr>
                <w:rFonts w:ascii="Times New Roman" w:eastAsia="Times New Roman" w:hAnsi="Times New Roman"/>
              </w:rPr>
            </w:pPr>
            <w:r w:rsidRPr="00C14A35">
              <w:rPr>
                <w:rStyle w:val="Strong"/>
                <w:rFonts w:ascii="Times New Roman" w:eastAsia="Times New Roman" w:hAnsi="Times New Roman"/>
              </w:rPr>
              <w:t>Address</w:t>
            </w:r>
          </w:p>
        </w:tc>
        <w:tc>
          <w:tcPr>
            <w:tcW w:w="7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4C15D8" w14:textId="77777777" w:rsidR="008741FA" w:rsidRPr="00C14A35" w:rsidRDefault="008741FA">
            <w:pPr>
              <w:jc w:val="center"/>
              <w:rPr>
                <w:rFonts w:ascii="Times New Roman" w:eastAsia="Times New Roman" w:hAnsi="Times New Roman"/>
              </w:rPr>
            </w:pPr>
            <w:r w:rsidRPr="00C14A35">
              <w:rPr>
                <w:rStyle w:val="Strong"/>
                <w:rFonts w:ascii="Times New Roman" w:eastAsia="Times New Roman" w:hAnsi="Times New Roman"/>
              </w:rPr>
              <w:t>DOB</w:t>
            </w:r>
          </w:p>
        </w:tc>
        <w:tc>
          <w:tcPr>
            <w:tcW w:w="7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EEADC6" w14:textId="77777777" w:rsidR="008741FA" w:rsidRPr="00C14A35" w:rsidRDefault="008741FA">
            <w:pPr>
              <w:jc w:val="center"/>
              <w:rPr>
                <w:rFonts w:ascii="Times New Roman" w:eastAsia="Times New Roman" w:hAnsi="Times New Roman"/>
              </w:rPr>
            </w:pPr>
            <w:r w:rsidRPr="00C14A35">
              <w:rPr>
                <w:rStyle w:val="Strong"/>
                <w:rFonts w:ascii="Times New Roman" w:eastAsia="Times New Roman" w:hAnsi="Times New Roman"/>
              </w:rPr>
              <w:t>GPA</w:t>
            </w:r>
          </w:p>
        </w:tc>
        <w:tc>
          <w:tcPr>
            <w:tcW w:w="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8D6882" w14:textId="77777777" w:rsidR="008741FA" w:rsidRPr="00C14A35" w:rsidRDefault="008741FA">
            <w:pPr>
              <w:jc w:val="center"/>
              <w:rPr>
                <w:rFonts w:ascii="Times New Roman" w:eastAsia="Times New Roman" w:hAnsi="Times New Roman"/>
              </w:rPr>
            </w:pPr>
            <w:r w:rsidRPr="00C14A35">
              <w:rPr>
                <w:rStyle w:val="Strong"/>
                <w:rFonts w:ascii="Times New Roman" w:eastAsia="Times New Roman" w:hAnsi="Times New Roman"/>
              </w:rPr>
              <w:t>Name</w:t>
            </w:r>
          </w:p>
        </w:tc>
        <w:tc>
          <w:tcPr>
            <w:tcW w:w="6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EF2C6E" w14:textId="77777777" w:rsidR="008741FA" w:rsidRPr="00C14A35" w:rsidRDefault="008741FA">
            <w:pPr>
              <w:jc w:val="center"/>
              <w:rPr>
                <w:rFonts w:ascii="Times New Roman" w:eastAsia="Times New Roman" w:hAnsi="Times New Roman"/>
              </w:rPr>
            </w:pPr>
            <w:r w:rsidRPr="00C14A35">
              <w:rPr>
                <w:rStyle w:val="Strong"/>
                <w:rFonts w:ascii="Times New Roman" w:eastAsia="Times New Roman" w:hAnsi="Times New Roman"/>
              </w:rPr>
              <w:t>SSN</w:t>
            </w:r>
          </w:p>
        </w:tc>
      </w:tr>
      <w:tr w:rsidR="008741FA" w:rsidRPr="00C14A35" w14:paraId="6C4ED72D" w14:textId="77777777" w:rsidTr="003D3EF6">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83A012" w14:textId="6A902B4C" w:rsidR="008741FA" w:rsidRPr="00C14A35" w:rsidRDefault="003D3EF6" w:rsidP="006A4B35">
            <w:pPr>
              <w:pStyle w:val="NormalWeb"/>
              <w:jc w:val="center"/>
              <w:rPr>
                <w:sz w:val="20"/>
                <w:szCs w:val="20"/>
              </w:rPr>
            </w:pPr>
            <w:r w:rsidRPr="00C14A35">
              <w:rPr>
                <w:rStyle w:val="Strong"/>
                <w:sz w:val="20"/>
                <w:szCs w:val="20"/>
              </w:rPr>
              <w:t>A</w:t>
            </w:r>
            <w:r w:rsidR="008741FA" w:rsidRPr="00C14A35">
              <w:rPr>
                <w:rStyle w:val="Strong"/>
                <w:sz w:val="20"/>
                <w:szCs w:val="20"/>
              </w:rPr>
              <w:t>1-</w:t>
            </w:r>
            <w:r w:rsidRPr="00C14A35">
              <w:rPr>
                <w:rStyle w:val="Strong"/>
                <w:sz w:val="20"/>
                <w:szCs w:val="20"/>
              </w:rPr>
              <w:t>A</w:t>
            </w:r>
            <w:r w:rsidR="00D75495" w:rsidRPr="00C14A35">
              <w:rPr>
                <w:rStyle w:val="Strong"/>
                <w:sz w:val="20"/>
                <w:szCs w:val="20"/>
              </w:rPr>
              <w:t>2</w:t>
            </w:r>
          </w:p>
        </w:tc>
        <w:tc>
          <w:tcPr>
            <w:tcW w:w="3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A097D9" w14:textId="77777777" w:rsidR="008741FA" w:rsidRPr="00C14A35" w:rsidRDefault="008741FA">
            <w:pPr>
              <w:pStyle w:val="NormalWeb"/>
              <w:spacing w:after="0" w:afterAutospacing="0"/>
              <w:rPr>
                <w:sz w:val="20"/>
                <w:szCs w:val="20"/>
              </w:rPr>
            </w:pPr>
            <w:r w:rsidRPr="00C14A35">
              <w:rPr>
                <w:sz w:val="20"/>
                <w:szCs w:val="20"/>
              </w:rPr>
              <w:t>Centers of Research Excellence in Science and Technology (CREST) and Historically Black Colleges and Universities Research Infrastructure for Science and Engineering (HBCU-RISE) Monitoring System</w:t>
            </w:r>
          </w:p>
        </w:tc>
        <w:tc>
          <w:tcPr>
            <w:tcW w:w="10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EE3A59" w14:textId="77777777" w:rsidR="008741FA" w:rsidRPr="00C14A35" w:rsidRDefault="008741FA">
            <w:pPr>
              <w:pStyle w:val="NormalWeb"/>
              <w:jc w:val="center"/>
              <w:rPr>
                <w:sz w:val="20"/>
                <w:szCs w:val="20"/>
              </w:rPr>
            </w:pPr>
            <w:r w:rsidRPr="00C14A35">
              <w:rPr>
                <w:sz w:val="20"/>
                <w:szCs w:val="20"/>
              </w:rPr>
              <w:t>X</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412BFD" w14:textId="77777777" w:rsidR="008741FA" w:rsidRPr="00C14A35" w:rsidRDefault="008741FA">
            <w:pPr>
              <w:pStyle w:val="NormalWeb"/>
              <w:rPr>
                <w:sz w:val="20"/>
                <w:szCs w:val="20"/>
              </w:rPr>
            </w:pPr>
          </w:p>
        </w:tc>
        <w:tc>
          <w:tcPr>
            <w:tcW w:w="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4189F0" w14:textId="77777777" w:rsidR="008741FA" w:rsidRPr="00C14A35" w:rsidRDefault="008741FA">
            <w:pPr>
              <w:pStyle w:val="NormalWeb"/>
              <w:rPr>
                <w:sz w:val="20"/>
                <w:szCs w:val="20"/>
              </w:rPr>
            </w:pP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558DEF" w14:textId="77777777" w:rsidR="008741FA" w:rsidRPr="00C14A35" w:rsidRDefault="008741FA">
            <w:pPr>
              <w:pStyle w:val="NormalWeb"/>
              <w:jc w:val="center"/>
              <w:rPr>
                <w:sz w:val="20"/>
                <w:szCs w:val="20"/>
              </w:rPr>
            </w:pPr>
            <w:r w:rsidRPr="00C14A35">
              <w:rPr>
                <w:sz w:val="20"/>
                <w:szCs w:val="20"/>
              </w:rPr>
              <w:t>X</w:t>
            </w:r>
          </w:p>
        </w:tc>
        <w:tc>
          <w:tcPr>
            <w:tcW w:w="6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32EA2E" w14:textId="77777777" w:rsidR="008741FA" w:rsidRPr="00C14A35" w:rsidRDefault="008741FA">
            <w:pPr>
              <w:pStyle w:val="NormalWeb"/>
              <w:rPr>
                <w:sz w:val="20"/>
                <w:szCs w:val="20"/>
              </w:rPr>
            </w:pPr>
          </w:p>
        </w:tc>
      </w:tr>
      <w:tr w:rsidR="008741FA" w:rsidRPr="00C14A35" w14:paraId="5DEC7CD2" w14:textId="77777777" w:rsidTr="003D3EF6">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CDBD2" w14:textId="16E09D99" w:rsidR="008741FA" w:rsidRPr="00C14A35" w:rsidRDefault="003D3EF6" w:rsidP="006A4B35">
            <w:pPr>
              <w:pStyle w:val="NormalWeb"/>
              <w:jc w:val="center"/>
              <w:rPr>
                <w:sz w:val="20"/>
                <w:szCs w:val="20"/>
              </w:rPr>
            </w:pPr>
            <w:r w:rsidRPr="00C14A35">
              <w:rPr>
                <w:rStyle w:val="Strong"/>
                <w:sz w:val="20"/>
                <w:szCs w:val="20"/>
              </w:rPr>
              <w:t>B</w:t>
            </w:r>
            <w:r w:rsidR="008741FA" w:rsidRPr="00C14A35">
              <w:rPr>
                <w:rStyle w:val="Strong"/>
                <w:sz w:val="20"/>
                <w:szCs w:val="20"/>
              </w:rPr>
              <w:t>1-</w:t>
            </w:r>
            <w:r w:rsidRPr="00C14A35">
              <w:rPr>
                <w:rStyle w:val="Strong"/>
                <w:sz w:val="20"/>
                <w:szCs w:val="20"/>
              </w:rPr>
              <w:t>B</w:t>
            </w:r>
            <w:r w:rsidR="00D75495" w:rsidRPr="00C14A35">
              <w:rPr>
                <w:rStyle w:val="Strong"/>
                <w:sz w:val="20"/>
                <w:szCs w:val="20"/>
              </w:rPr>
              <w:t>2</w:t>
            </w:r>
          </w:p>
        </w:tc>
        <w:tc>
          <w:tcPr>
            <w:tcW w:w="3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39CDCC" w14:textId="77777777" w:rsidR="008741FA" w:rsidRPr="00C14A35" w:rsidRDefault="008741FA">
            <w:pPr>
              <w:pStyle w:val="NormalWeb"/>
              <w:spacing w:after="0" w:afterAutospacing="0"/>
              <w:rPr>
                <w:sz w:val="20"/>
                <w:szCs w:val="20"/>
              </w:rPr>
            </w:pPr>
            <w:r w:rsidRPr="00C14A35">
              <w:rPr>
                <w:sz w:val="20"/>
                <w:szCs w:val="20"/>
              </w:rPr>
              <w:t>Integrative Graduate Education and Research Traineeship Program (IGERT) Monitoring System</w:t>
            </w:r>
          </w:p>
        </w:tc>
        <w:tc>
          <w:tcPr>
            <w:tcW w:w="10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98E206" w14:textId="77777777" w:rsidR="008741FA" w:rsidRPr="00C14A35" w:rsidRDefault="008741FA">
            <w:pPr>
              <w:pStyle w:val="NormalWeb"/>
              <w:jc w:val="center"/>
              <w:rPr>
                <w:sz w:val="20"/>
                <w:szCs w:val="20"/>
              </w:rPr>
            </w:pPr>
            <w:r w:rsidRPr="00C14A35">
              <w:rPr>
                <w:sz w:val="20"/>
                <w:szCs w:val="20"/>
              </w:rPr>
              <w:t>X</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23F4FE" w14:textId="77777777" w:rsidR="008741FA" w:rsidRPr="00C14A35" w:rsidRDefault="008741FA">
            <w:pPr>
              <w:pStyle w:val="NormalWeb"/>
              <w:rPr>
                <w:sz w:val="20"/>
                <w:szCs w:val="20"/>
              </w:rPr>
            </w:pPr>
          </w:p>
        </w:tc>
        <w:tc>
          <w:tcPr>
            <w:tcW w:w="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7A9502" w14:textId="77777777" w:rsidR="008741FA" w:rsidRPr="00C14A35" w:rsidRDefault="008741FA">
            <w:pPr>
              <w:pStyle w:val="NormalWeb"/>
              <w:jc w:val="center"/>
              <w:rPr>
                <w:sz w:val="20"/>
                <w:szCs w:val="20"/>
              </w:rPr>
            </w:pPr>
            <w:r w:rsidRPr="00C14A35">
              <w:rPr>
                <w:sz w:val="20"/>
                <w:szCs w:val="20"/>
              </w:rPr>
              <w:t>X*</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B3344F" w14:textId="77777777" w:rsidR="008741FA" w:rsidRPr="00C14A35" w:rsidRDefault="008741FA">
            <w:pPr>
              <w:pStyle w:val="NormalWeb"/>
              <w:jc w:val="center"/>
              <w:rPr>
                <w:sz w:val="20"/>
                <w:szCs w:val="20"/>
              </w:rPr>
            </w:pPr>
            <w:r w:rsidRPr="00C14A35">
              <w:rPr>
                <w:sz w:val="20"/>
                <w:szCs w:val="20"/>
              </w:rPr>
              <w:t>X</w:t>
            </w:r>
          </w:p>
        </w:tc>
        <w:tc>
          <w:tcPr>
            <w:tcW w:w="6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EA9895" w14:textId="77777777" w:rsidR="008741FA" w:rsidRPr="00C14A35" w:rsidRDefault="008741FA">
            <w:pPr>
              <w:pStyle w:val="NormalWeb"/>
              <w:jc w:val="center"/>
              <w:rPr>
                <w:sz w:val="20"/>
                <w:szCs w:val="20"/>
              </w:rPr>
            </w:pPr>
            <w:r w:rsidRPr="00C14A35">
              <w:rPr>
                <w:sz w:val="20"/>
                <w:szCs w:val="20"/>
              </w:rPr>
              <w:t>X</w:t>
            </w:r>
          </w:p>
        </w:tc>
      </w:tr>
      <w:tr w:rsidR="008741FA" w:rsidRPr="00C14A35" w14:paraId="77ABAD78" w14:textId="77777777" w:rsidTr="003D3EF6">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7D6552" w14:textId="30DF93F4" w:rsidR="008741FA" w:rsidRPr="00C14A35" w:rsidRDefault="003D3EF6">
            <w:pPr>
              <w:pStyle w:val="NormalWeb"/>
              <w:jc w:val="center"/>
              <w:rPr>
                <w:sz w:val="20"/>
                <w:szCs w:val="20"/>
              </w:rPr>
            </w:pPr>
            <w:r w:rsidRPr="00C14A35">
              <w:rPr>
                <w:rStyle w:val="Strong"/>
                <w:sz w:val="20"/>
                <w:szCs w:val="20"/>
              </w:rPr>
              <w:t>C</w:t>
            </w:r>
            <w:r w:rsidR="008741FA" w:rsidRPr="00C14A35">
              <w:rPr>
                <w:rStyle w:val="Strong"/>
                <w:sz w:val="20"/>
                <w:szCs w:val="20"/>
              </w:rPr>
              <w:t>1-</w:t>
            </w:r>
            <w:r w:rsidRPr="00C14A35">
              <w:rPr>
                <w:rStyle w:val="Strong"/>
                <w:sz w:val="20"/>
                <w:szCs w:val="20"/>
              </w:rPr>
              <w:t>C</w:t>
            </w:r>
            <w:r w:rsidR="00D75495" w:rsidRPr="00C14A35">
              <w:rPr>
                <w:rStyle w:val="Strong"/>
                <w:sz w:val="20"/>
                <w:szCs w:val="20"/>
              </w:rPr>
              <w:t>2</w:t>
            </w:r>
          </w:p>
        </w:tc>
        <w:tc>
          <w:tcPr>
            <w:tcW w:w="3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A4DD3E" w14:textId="77777777" w:rsidR="008741FA" w:rsidRPr="00C14A35" w:rsidRDefault="008741FA">
            <w:pPr>
              <w:pStyle w:val="NormalWeb"/>
              <w:spacing w:after="0" w:afterAutospacing="0"/>
              <w:rPr>
                <w:sz w:val="20"/>
                <w:szCs w:val="20"/>
              </w:rPr>
            </w:pPr>
            <w:r w:rsidRPr="00C14A35">
              <w:rPr>
                <w:sz w:val="20"/>
                <w:szCs w:val="20"/>
              </w:rPr>
              <w:t>Louis Stokes Alliances for Minority Participation (LSAMP) Monitoring System</w:t>
            </w:r>
          </w:p>
        </w:tc>
        <w:tc>
          <w:tcPr>
            <w:tcW w:w="10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C88749" w14:textId="77777777" w:rsidR="008741FA" w:rsidRPr="00C14A35" w:rsidRDefault="008741FA">
            <w:pPr>
              <w:pStyle w:val="NormalWeb"/>
              <w:rPr>
                <w:sz w:val="20"/>
                <w:szCs w:val="20"/>
              </w:rPr>
            </w:pP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FAEDB6" w14:textId="77777777" w:rsidR="008741FA" w:rsidRPr="00C14A35" w:rsidRDefault="008741FA">
            <w:pPr>
              <w:pStyle w:val="NormalWeb"/>
              <w:rPr>
                <w:sz w:val="20"/>
                <w:szCs w:val="20"/>
              </w:rPr>
            </w:pPr>
          </w:p>
        </w:tc>
        <w:tc>
          <w:tcPr>
            <w:tcW w:w="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7E320F" w14:textId="77777777" w:rsidR="008741FA" w:rsidRPr="00C14A35" w:rsidRDefault="008741FA">
            <w:pPr>
              <w:pStyle w:val="NormalWeb"/>
              <w:jc w:val="center"/>
              <w:rPr>
                <w:sz w:val="20"/>
                <w:szCs w:val="20"/>
              </w:rPr>
            </w:pPr>
            <w:r w:rsidRPr="00C14A35">
              <w:rPr>
                <w:sz w:val="20"/>
                <w:szCs w:val="20"/>
              </w:rPr>
              <w:t>X</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536C93" w14:textId="77777777" w:rsidR="008741FA" w:rsidRPr="00C14A35" w:rsidRDefault="008741FA">
            <w:pPr>
              <w:pStyle w:val="NormalWeb"/>
              <w:jc w:val="center"/>
              <w:rPr>
                <w:sz w:val="20"/>
                <w:szCs w:val="20"/>
              </w:rPr>
            </w:pPr>
            <w:r w:rsidRPr="00C14A35">
              <w:rPr>
                <w:sz w:val="20"/>
                <w:szCs w:val="20"/>
              </w:rPr>
              <w:t>X</w:t>
            </w:r>
          </w:p>
        </w:tc>
        <w:tc>
          <w:tcPr>
            <w:tcW w:w="6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791873" w14:textId="77777777" w:rsidR="008741FA" w:rsidRPr="00C14A35" w:rsidRDefault="008741FA">
            <w:pPr>
              <w:pStyle w:val="NormalWeb"/>
              <w:jc w:val="center"/>
              <w:rPr>
                <w:sz w:val="20"/>
                <w:szCs w:val="20"/>
              </w:rPr>
            </w:pPr>
            <w:r w:rsidRPr="00C14A35">
              <w:rPr>
                <w:sz w:val="20"/>
                <w:szCs w:val="20"/>
              </w:rPr>
              <w:t>X</w:t>
            </w:r>
          </w:p>
        </w:tc>
      </w:tr>
      <w:tr w:rsidR="008741FA" w:rsidRPr="00C14A35" w14:paraId="6BEA0DAD" w14:textId="77777777" w:rsidTr="003D3EF6">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2ACF8E" w14:textId="6E72C6C2" w:rsidR="008741FA" w:rsidRPr="00C14A35" w:rsidRDefault="003D3EF6">
            <w:pPr>
              <w:pStyle w:val="NormalWeb"/>
              <w:jc w:val="center"/>
              <w:rPr>
                <w:sz w:val="20"/>
                <w:szCs w:val="20"/>
              </w:rPr>
            </w:pPr>
            <w:r w:rsidRPr="00C14A35">
              <w:rPr>
                <w:rStyle w:val="Strong"/>
                <w:sz w:val="20"/>
                <w:szCs w:val="20"/>
              </w:rPr>
              <w:t>D</w:t>
            </w:r>
            <w:r w:rsidR="008741FA" w:rsidRPr="00C14A35">
              <w:rPr>
                <w:rStyle w:val="Strong"/>
                <w:sz w:val="20"/>
                <w:szCs w:val="20"/>
              </w:rPr>
              <w:t>1-</w:t>
            </w:r>
            <w:r w:rsidRPr="00C14A35">
              <w:rPr>
                <w:rStyle w:val="Strong"/>
                <w:sz w:val="20"/>
                <w:szCs w:val="20"/>
              </w:rPr>
              <w:t>D</w:t>
            </w:r>
            <w:r w:rsidR="00D75495" w:rsidRPr="00C14A35">
              <w:rPr>
                <w:rStyle w:val="Strong"/>
                <w:sz w:val="20"/>
                <w:szCs w:val="20"/>
              </w:rPr>
              <w:t>2</w:t>
            </w:r>
          </w:p>
        </w:tc>
        <w:tc>
          <w:tcPr>
            <w:tcW w:w="3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6930E8" w14:textId="77777777" w:rsidR="008741FA" w:rsidRPr="00C14A35" w:rsidRDefault="008741FA">
            <w:pPr>
              <w:pStyle w:val="NormalWeb"/>
              <w:spacing w:after="0" w:afterAutospacing="0"/>
              <w:rPr>
                <w:sz w:val="20"/>
                <w:szCs w:val="20"/>
              </w:rPr>
            </w:pPr>
            <w:r w:rsidRPr="00C14A35">
              <w:rPr>
                <w:sz w:val="20"/>
                <w:szCs w:val="20"/>
              </w:rPr>
              <w:t>Louis Stokes Alliances for Minority Participation Bridge to the Doctorate (LSAMP-BD) Monitoring System</w:t>
            </w:r>
          </w:p>
        </w:tc>
        <w:tc>
          <w:tcPr>
            <w:tcW w:w="10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862892" w14:textId="77777777" w:rsidR="008741FA" w:rsidRPr="00C14A35" w:rsidRDefault="008741FA">
            <w:pPr>
              <w:pStyle w:val="NormalWeb"/>
              <w:jc w:val="center"/>
              <w:rPr>
                <w:sz w:val="20"/>
                <w:szCs w:val="20"/>
              </w:rPr>
            </w:pPr>
            <w:r w:rsidRPr="00C14A35">
              <w:rPr>
                <w:sz w:val="20"/>
                <w:szCs w:val="20"/>
              </w:rPr>
              <w:t>X</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CF3F49" w14:textId="77777777" w:rsidR="008741FA" w:rsidRPr="00C14A35" w:rsidRDefault="008741FA">
            <w:pPr>
              <w:pStyle w:val="NormalWeb"/>
              <w:rPr>
                <w:sz w:val="20"/>
                <w:szCs w:val="20"/>
              </w:rPr>
            </w:pPr>
          </w:p>
        </w:tc>
        <w:tc>
          <w:tcPr>
            <w:tcW w:w="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BB899E" w14:textId="77777777" w:rsidR="008741FA" w:rsidRPr="00C14A35" w:rsidRDefault="008741FA">
            <w:pPr>
              <w:pStyle w:val="NormalWeb"/>
              <w:jc w:val="center"/>
              <w:rPr>
                <w:sz w:val="20"/>
                <w:szCs w:val="20"/>
              </w:rPr>
            </w:pPr>
            <w:r w:rsidRPr="00C14A35">
              <w:rPr>
                <w:sz w:val="20"/>
                <w:szCs w:val="20"/>
              </w:rPr>
              <w:t>X</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9B51C8" w14:textId="77777777" w:rsidR="008741FA" w:rsidRPr="00C14A35" w:rsidRDefault="008741FA">
            <w:pPr>
              <w:pStyle w:val="NormalWeb"/>
              <w:jc w:val="center"/>
              <w:rPr>
                <w:sz w:val="20"/>
                <w:szCs w:val="20"/>
              </w:rPr>
            </w:pPr>
            <w:r w:rsidRPr="00C14A35">
              <w:rPr>
                <w:sz w:val="20"/>
                <w:szCs w:val="20"/>
              </w:rPr>
              <w:t>X</w:t>
            </w:r>
          </w:p>
        </w:tc>
        <w:tc>
          <w:tcPr>
            <w:tcW w:w="6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D4843" w14:textId="77777777" w:rsidR="008741FA" w:rsidRPr="00C14A35" w:rsidRDefault="008741FA">
            <w:pPr>
              <w:pStyle w:val="NormalWeb"/>
              <w:jc w:val="center"/>
              <w:rPr>
                <w:sz w:val="20"/>
                <w:szCs w:val="20"/>
              </w:rPr>
            </w:pPr>
            <w:r w:rsidRPr="00C14A35">
              <w:rPr>
                <w:sz w:val="20"/>
                <w:szCs w:val="20"/>
              </w:rPr>
              <w:t>X</w:t>
            </w:r>
          </w:p>
        </w:tc>
      </w:tr>
      <w:tr w:rsidR="008741FA" w:rsidRPr="00C14A35" w14:paraId="7F2E605B" w14:textId="77777777" w:rsidTr="003D3EF6">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1B8FCD" w14:textId="63956557" w:rsidR="008741FA" w:rsidRPr="00C14A35" w:rsidRDefault="003D3EF6">
            <w:pPr>
              <w:pStyle w:val="NormalWeb"/>
              <w:jc w:val="center"/>
              <w:rPr>
                <w:sz w:val="20"/>
                <w:szCs w:val="20"/>
              </w:rPr>
            </w:pPr>
            <w:r w:rsidRPr="00C14A35">
              <w:rPr>
                <w:rStyle w:val="Strong"/>
                <w:sz w:val="20"/>
                <w:szCs w:val="20"/>
              </w:rPr>
              <w:t>E</w:t>
            </w:r>
            <w:r w:rsidR="008741FA" w:rsidRPr="00C14A35">
              <w:rPr>
                <w:rStyle w:val="Strong"/>
                <w:sz w:val="20"/>
                <w:szCs w:val="20"/>
              </w:rPr>
              <w:t>1-</w:t>
            </w:r>
            <w:r w:rsidRPr="00C14A35">
              <w:rPr>
                <w:rStyle w:val="Strong"/>
                <w:sz w:val="20"/>
                <w:szCs w:val="20"/>
              </w:rPr>
              <w:t>E</w:t>
            </w:r>
            <w:r w:rsidR="00D75495" w:rsidRPr="00C14A35">
              <w:rPr>
                <w:rStyle w:val="Strong"/>
                <w:sz w:val="20"/>
                <w:szCs w:val="20"/>
              </w:rPr>
              <w:t>5</w:t>
            </w:r>
          </w:p>
        </w:tc>
        <w:tc>
          <w:tcPr>
            <w:tcW w:w="3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6858F4" w14:textId="77777777" w:rsidR="008741FA" w:rsidRPr="00C14A35" w:rsidRDefault="008741FA">
            <w:pPr>
              <w:pStyle w:val="NormalWeb"/>
              <w:spacing w:after="0" w:afterAutospacing="0"/>
              <w:rPr>
                <w:sz w:val="20"/>
                <w:szCs w:val="20"/>
              </w:rPr>
            </w:pPr>
            <w:r w:rsidRPr="00C14A35">
              <w:rPr>
                <w:sz w:val="20"/>
                <w:szCs w:val="20"/>
              </w:rPr>
              <w:t>Robert Noyce Teacher Scholarship Program (Noyce) Monitoring System</w:t>
            </w:r>
          </w:p>
        </w:tc>
        <w:tc>
          <w:tcPr>
            <w:tcW w:w="10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296C4C" w14:textId="77777777" w:rsidR="008741FA" w:rsidRPr="00C14A35" w:rsidRDefault="008741FA">
            <w:pPr>
              <w:pStyle w:val="NormalWeb"/>
              <w:rPr>
                <w:sz w:val="20"/>
                <w:szCs w:val="20"/>
              </w:rPr>
            </w:pP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2C6991" w14:textId="77777777" w:rsidR="008741FA" w:rsidRPr="00C14A35" w:rsidRDefault="008741FA">
            <w:pPr>
              <w:pStyle w:val="NormalWeb"/>
              <w:jc w:val="center"/>
              <w:rPr>
                <w:sz w:val="20"/>
                <w:szCs w:val="20"/>
              </w:rPr>
            </w:pPr>
            <w:r w:rsidRPr="00C14A35">
              <w:rPr>
                <w:sz w:val="20"/>
                <w:szCs w:val="20"/>
              </w:rPr>
              <w:t>X</w:t>
            </w:r>
          </w:p>
        </w:tc>
        <w:tc>
          <w:tcPr>
            <w:tcW w:w="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DA9DDE" w14:textId="77777777" w:rsidR="008741FA" w:rsidRPr="00C14A35" w:rsidRDefault="008741FA">
            <w:pPr>
              <w:pStyle w:val="NormalWeb"/>
              <w:jc w:val="center"/>
              <w:rPr>
                <w:sz w:val="20"/>
                <w:szCs w:val="20"/>
              </w:rPr>
            </w:pPr>
            <w:r w:rsidRPr="00C14A35">
              <w:rPr>
                <w:sz w:val="20"/>
                <w:szCs w:val="20"/>
              </w:rPr>
              <w:t>X</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E71E58" w14:textId="77777777" w:rsidR="008741FA" w:rsidRPr="00C14A35" w:rsidRDefault="008741FA">
            <w:pPr>
              <w:pStyle w:val="NormalWeb"/>
              <w:jc w:val="center"/>
              <w:rPr>
                <w:sz w:val="20"/>
                <w:szCs w:val="20"/>
              </w:rPr>
            </w:pPr>
            <w:r w:rsidRPr="00C14A35">
              <w:rPr>
                <w:sz w:val="20"/>
                <w:szCs w:val="20"/>
              </w:rPr>
              <w:t>X</w:t>
            </w:r>
          </w:p>
        </w:tc>
        <w:tc>
          <w:tcPr>
            <w:tcW w:w="6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8407DC" w14:textId="77777777" w:rsidR="008741FA" w:rsidRPr="00C14A35" w:rsidRDefault="008741FA">
            <w:pPr>
              <w:pStyle w:val="NormalWeb"/>
              <w:rPr>
                <w:sz w:val="20"/>
                <w:szCs w:val="20"/>
              </w:rPr>
            </w:pPr>
          </w:p>
        </w:tc>
      </w:tr>
      <w:tr w:rsidR="008741FA" w:rsidRPr="00C14A35" w14:paraId="2CC5255B" w14:textId="77777777" w:rsidTr="003D3EF6">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D1D84D" w14:textId="19F6D352" w:rsidR="008741FA" w:rsidRPr="00C14A35" w:rsidRDefault="003D3EF6">
            <w:pPr>
              <w:pStyle w:val="NormalWeb"/>
              <w:jc w:val="center"/>
              <w:rPr>
                <w:sz w:val="20"/>
                <w:szCs w:val="20"/>
              </w:rPr>
            </w:pPr>
            <w:r w:rsidRPr="00C14A35">
              <w:rPr>
                <w:rStyle w:val="Strong"/>
                <w:sz w:val="20"/>
                <w:szCs w:val="20"/>
              </w:rPr>
              <w:t>F</w:t>
            </w:r>
            <w:r w:rsidR="008741FA" w:rsidRPr="00C14A35">
              <w:rPr>
                <w:rStyle w:val="Strong"/>
                <w:sz w:val="20"/>
                <w:szCs w:val="20"/>
              </w:rPr>
              <w:t>1-</w:t>
            </w:r>
            <w:r w:rsidRPr="00C14A35">
              <w:rPr>
                <w:rStyle w:val="Strong"/>
                <w:sz w:val="20"/>
                <w:szCs w:val="20"/>
              </w:rPr>
              <w:t>F</w:t>
            </w:r>
            <w:r w:rsidR="00D75495" w:rsidRPr="00C14A35">
              <w:rPr>
                <w:rStyle w:val="Strong"/>
                <w:sz w:val="20"/>
                <w:szCs w:val="20"/>
              </w:rPr>
              <w:t>2</w:t>
            </w:r>
          </w:p>
        </w:tc>
        <w:tc>
          <w:tcPr>
            <w:tcW w:w="3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63BFA3" w14:textId="77777777" w:rsidR="008741FA" w:rsidRPr="00C14A35" w:rsidRDefault="008741FA" w:rsidP="00741AC6">
            <w:pPr>
              <w:pStyle w:val="NormalWeb"/>
              <w:spacing w:after="0" w:afterAutospacing="0"/>
              <w:rPr>
                <w:sz w:val="20"/>
                <w:szCs w:val="20"/>
              </w:rPr>
            </w:pPr>
            <w:r w:rsidRPr="00C14A35">
              <w:rPr>
                <w:sz w:val="20"/>
                <w:szCs w:val="20"/>
              </w:rPr>
              <w:t>Scholarships in Science, Technology, Engineering, and Mathematics (S-STEM) Monitoring System</w:t>
            </w:r>
          </w:p>
        </w:tc>
        <w:tc>
          <w:tcPr>
            <w:tcW w:w="10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BBBCDC" w14:textId="77777777" w:rsidR="008741FA" w:rsidRPr="00C14A35" w:rsidRDefault="008741FA">
            <w:pPr>
              <w:pStyle w:val="NormalWeb"/>
              <w:jc w:val="center"/>
              <w:rPr>
                <w:sz w:val="20"/>
                <w:szCs w:val="20"/>
              </w:rPr>
            </w:pPr>
            <w:r w:rsidRPr="00C14A35">
              <w:rPr>
                <w:sz w:val="20"/>
                <w:szCs w:val="20"/>
              </w:rPr>
              <w:t>X</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492C4D" w14:textId="77777777" w:rsidR="008741FA" w:rsidRPr="00C14A35" w:rsidRDefault="008741FA">
            <w:pPr>
              <w:pStyle w:val="NormalWeb"/>
              <w:jc w:val="center"/>
              <w:rPr>
                <w:sz w:val="20"/>
                <w:szCs w:val="20"/>
              </w:rPr>
            </w:pPr>
            <w:r w:rsidRPr="00C14A35">
              <w:rPr>
                <w:sz w:val="20"/>
                <w:szCs w:val="20"/>
              </w:rPr>
              <w:t>X</w:t>
            </w:r>
          </w:p>
        </w:tc>
        <w:tc>
          <w:tcPr>
            <w:tcW w:w="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353A6B" w14:textId="77777777" w:rsidR="008741FA" w:rsidRPr="00C14A35" w:rsidRDefault="008741FA">
            <w:pPr>
              <w:pStyle w:val="NormalWeb"/>
              <w:jc w:val="center"/>
              <w:rPr>
                <w:sz w:val="20"/>
                <w:szCs w:val="20"/>
              </w:rPr>
            </w:pPr>
            <w:r w:rsidRPr="00C14A35">
              <w:rPr>
                <w:sz w:val="20"/>
                <w:szCs w:val="20"/>
              </w:rPr>
              <w:t>X</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0F20C5" w14:textId="77777777" w:rsidR="008741FA" w:rsidRPr="00C14A35" w:rsidRDefault="008741FA">
            <w:pPr>
              <w:pStyle w:val="NormalWeb"/>
              <w:jc w:val="center"/>
              <w:rPr>
                <w:sz w:val="20"/>
                <w:szCs w:val="20"/>
              </w:rPr>
            </w:pPr>
            <w:r w:rsidRPr="00C14A35">
              <w:rPr>
                <w:sz w:val="20"/>
                <w:szCs w:val="20"/>
              </w:rPr>
              <w:t>X</w:t>
            </w:r>
          </w:p>
        </w:tc>
        <w:tc>
          <w:tcPr>
            <w:tcW w:w="6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68EFD2" w14:textId="77777777" w:rsidR="008741FA" w:rsidRPr="00C14A35" w:rsidRDefault="008741FA">
            <w:pPr>
              <w:pStyle w:val="NormalWeb"/>
              <w:rPr>
                <w:sz w:val="20"/>
                <w:szCs w:val="20"/>
              </w:rPr>
            </w:pPr>
          </w:p>
        </w:tc>
      </w:tr>
      <w:tr w:rsidR="008741FA" w:rsidRPr="00C14A35" w14:paraId="248347FB" w14:textId="77777777" w:rsidTr="003D3EF6">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36D446" w14:textId="336549B4" w:rsidR="008741FA" w:rsidRPr="00C14A35" w:rsidRDefault="003D3EF6">
            <w:pPr>
              <w:pStyle w:val="NormalWeb"/>
              <w:jc w:val="center"/>
              <w:rPr>
                <w:sz w:val="20"/>
                <w:szCs w:val="20"/>
              </w:rPr>
            </w:pPr>
            <w:r w:rsidRPr="00C14A35">
              <w:rPr>
                <w:rStyle w:val="Strong"/>
                <w:sz w:val="20"/>
                <w:szCs w:val="20"/>
              </w:rPr>
              <w:t>G</w:t>
            </w:r>
            <w:r w:rsidR="008741FA" w:rsidRPr="00C14A35">
              <w:rPr>
                <w:rStyle w:val="Strong"/>
                <w:sz w:val="20"/>
                <w:szCs w:val="20"/>
              </w:rPr>
              <w:t>1-</w:t>
            </w:r>
            <w:r w:rsidRPr="00C14A35">
              <w:rPr>
                <w:rStyle w:val="Strong"/>
                <w:sz w:val="20"/>
                <w:szCs w:val="20"/>
              </w:rPr>
              <w:t>G</w:t>
            </w:r>
            <w:r w:rsidR="00D75495" w:rsidRPr="00C14A35">
              <w:rPr>
                <w:rStyle w:val="Strong"/>
                <w:sz w:val="20"/>
                <w:szCs w:val="20"/>
              </w:rPr>
              <w:t>3</w:t>
            </w:r>
          </w:p>
        </w:tc>
        <w:tc>
          <w:tcPr>
            <w:tcW w:w="3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A4E75" w14:textId="77777777" w:rsidR="008741FA" w:rsidRPr="00C14A35" w:rsidRDefault="008741FA">
            <w:pPr>
              <w:pStyle w:val="NormalWeb"/>
              <w:spacing w:after="0" w:afterAutospacing="0"/>
              <w:rPr>
                <w:sz w:val="20"/>
                <w:szCs w:val="20"/>
              </w:rPr>
            </w:pPr>
            <w:r w:rsidRPr="00C14A35">
              <w:rPr>
                <w:sz w:val="20"/>
                <w:szCs w:val="20"/>
              </w:rPr>
              <w:t>Science, Technology, Engineering, and Mathematics Talent Expansion Program (STEP) Monitoring System</w:t>
            </w:r>
          </w:p>
        </w:tc>
        <w:tc>
          <w:tcPr>
            <w:tcW w:w="10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20ADDA" w14:textId="4FC9438C" w:rsidR="008741FA" w:rsidRPr="00C14A35" w:rsidRDefault="008741FA">
            <w:pPr>
              <w:pStyle w:val="NormalWeb"/>
              <w:jc w:val="center"/>
              <w:rPr>
                <w:sz w:val="20"/>
                <w:szCs w:val="20"/>
              </w:rPr>
            </w:pPr>
            <w:r w:rsidRPr="00C14A35">
              <w:rPr>
                <w:sz w:val="20"/>
                <w:szCs w:val="20"/>
              </w:rPr>
              <w:t>X**</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BA6BBF" w14:textId="77777777" w:rsidR="008741FA" w:rsidRPr="00C14A35" w:rsidRDefault="008741FA">
            <w:pPr>
              <w:pStyle w:val="NormalWeb"/>
              <w:rPr>
                <w:sz w:val="20"/>
                <w:szCs w:val="20"/>
              </w:rPr>
            </w:pPr>
          </w:p>
        </w:tc>
        <w:tc>
          <w:tcPr>
            <w:tcW w:w="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C4596E" w14:textId="77777777" w:rsidR="008741FA" w:rsidRPr="00C14A35" w:rsidRDefault="008741FA">
            <w:pPr>
              <w:pStyle w:val="NormalWeb"/>
              <w:rPr>
                <w:sz w:val="20"/>
                <w:szCs w:val="20"/>
              </w:rPr>
            </w:pP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A778AC" w14:textId="773144CC" w:rsidR="008741FA" w:rsidRPr="00C14A35" w:rsidRDefault="008741FA">
            <w:pPr>
              <w:pStyle w:val="NormalWeb"/>
              <w:jc w:val="center"/>
              <w:rPr>
                <w:sz w:val="20"/>
                <w:szCs w:val="20"/>
              </w:rPr>
            </w:pPr>
            <w:r w:rsidRPr="00C14A35">
              <w:rPr>
                <w:sz w:val="20"/>
                <w:szCs w:val="20"/>
              </w:rPr>
              <w:t>X**</w:t>
            </w:r>
          </w:p>
        </w:tc>
        <w:tc>
          <w:tcPr>
            <w:tcW w:w="6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D42A9" w14:textId="77777777" w:rsidR="008741FA" w:rsidRPr="00C14A35" w:rsidRDefault="008741FA">
            <w:pPr>
              <w:pStyle w:val="NormalWeb"/>
              <w:rPr>
                <w:sz w:val="20"/>
                <w:szCs w:val="20"/>
              </w:rPr>
            </w:pPr>
          </w:p>
        </w:tc>
      </w:tr>
    </w:tbl>
    <w:p w14:paraId="758BE688" w14:textId="2E8B87CC" w:rsidR="008741FA" w:rsidRPr="00C14A35" w:rsidRDefault="008741FA" w:rsidP="00CE63F8">
      <w:pPr>
        <w:pStyle w:val="NormalWeb"/>
        <w:spacing w:before="0" w:beforeAutospacing="0" w:after="0" w:afterAutospacing="0"/>
        <w:jc w:val="both"/>
        <w:rPr>
          <w:sz w:val="20"/>
          <w:szCs w:val="20"/>
        </w:rPr>
      </w:pPr>
      <w:r w:rsidRPr="00C14A35">
        <w:rPr>
          <w:sz w:val="20"/>
          <w:szCs w:val="20"/>
        </w:rPr>
        <w:t xml:space="preserve">*IGERT does not collect </w:t>
      </w:r>
      <w:r w:rsidR="00056F3D" w:rsidRPr="00C14A35">
        <w:rPr>
          <w:sz w:val="20"/>
          <w:szCs w:val="20"/>
        </w:rPr>
        <w:t>GPAs but</w:t>
      </w:r>
      <w:r w:rsidRPr="00C14A35">
        <w:rPr>
          <w:sz w:val="20"/>
          <w:szCs w:val="20"/>
        </w:rPr>
        <w:t xml:space="preserve"> does collect the Graduate Record Exam scores of individual trainees.</w:t>
      </w:r>
    </w:p>
    <w:p w14:paraId="18950251" w14:textId="1E8047D5" w:rsidR="008741FA" w:rsidRPr="00C14A35" w:rsidRDefault="008741FA" w:rsidP="00CE63F8">
      <w:pPr>
        <w:pStyle w:val="NormalWeb"/>
        <w:spacing w:before="0" w:beforeAutospacing="0" w:after="0" w:afterAutospacing="0"/>
        <w:jc w:val="both"/>
        <w:rPr>
          <w:sz w:val="20"/>
          <w:szCs w:val="20"/>
        </w:rPr>
      </w:pPr>
      <w:r w:rsidRPr="00C14A35">
        <w:rPr>
          <w:sz w:val="20"/>
          <w:szCs w:val="20"/>
        </w:rPr>
        <w:t>**STEP collect</w:t>
      </w:r>
      <w:r w:rsidR="005449AB" w:rsidRPr="00C14A35">
        <w:rPr>
          <w:sz w:val="20"/>
          <w:szCs w:val="20"/>
        </w:rPr>
        <w:t>s</w:t>
      </w:r>
      <w:r w:rsidRPr="00C14A35">
        <w:rPr>
          <w:sz w:val="20"/>
          <w:szCs w:val="20"/>
        </w:rPr>
        <w:t xml:space="preserve"> names and addresses for PIs/respondents but not for individual students.</w:t>
      </w:r>
    </w:p>
    <w:p w14:paraId="69B3C078" w14:textId="77777777" w:rsidR="00FB3912" w:rsidRDefault="00FB3912">
      <w:pPr>
        <w:pStyle w:val="Heading3"/>
      </w:pPr>
    </w:p>
    <w:p w14:paraId="2786A79B" w14:textId="4F116746" w:rsidR="008741FA" w:rsidRDefault="008741FA">
      <w:pPr>
        <w:pStyle w:val="Heading3"/>
      </w:pPr>
      <w:r>
        <w:t>A.12</w:t>
      </w:r>
      <w:r w:rsidR="00AA012E">
        <w:t>.</w:t>
      </w:r>
      <w:r>
        <w:t xml:space="preserve"> Estimates of Response Burden</w:t>
      </w:r>
    </w:p>
    <w:p w14:paraId="73D8B867" w14:textId="77777777" w:rsidR="00193BA8" w:rsidRDefault="00193BA8" w:rsidP="00193BA8">
      <w:pPr>
        <w:pStyle w:val="Heading3"/>
      </w:pPr>
      <w:r>
        <w:t>A.12.1. Number of Respondents, Frequency of Response, and Annual Hour Burden</w:t>
      </w:r>
    </w:p>
    <w:p w14:paraId="5C27321D" w14:textId="6E4AEFFC" w:rsidR="00193BA8" w:rsidRDefault="00193BA8" w:rsidP="00193BA8">
      <w:pPr>
        <w:pStyle w:val="NormalWeb"/>
        <w:spacing w:after="0" w:afterAutospacing="0"/>
      </w:pPr>
      <w:r>
        <w:t xml:space="preserve">As shown in </w:t>
      </w:r>
      <w:r w:rsidR="00B01645">
        <w:t>A</w:t>
      </w:r>
      <w:r>
        <w:t xml:space="preserve">ppendix </w:t>
      </w:r>
      <w:r w:rsidR="00295BF0">
        <w:t>A</w:t>
      </w:r>
      <w:r>
        <w:t xml:space="preserve"> and in </w:t>
      </w:r>
      <w:r w:rsidR="00356732">
        <w:t>Exhibit 3</w:t>
      </w:r>
      <w:r>
        <w:t xml:space="preserve"> below, the annual response burden for the </w:t>
      </w:r>
      <w:r w:rsidR="00356732">
        <w:t>seven</w:t>
      </w:r>
      <w:r>
        <w:t xml:space="preserve"> collections under OMB 3145-</w:t>
      </w:r>
      <w:r w:rsidR="00C65037">
        <w:t>0226</w:t>
      </w:r>
      <w:r>
        <w:t xml:space="preserve"> is </w:t>
      </w:r>
      <w:r w:rsidR="00FA7B28">
        <w:t>32,698</w:t>
      </w:r>
      <w:r>
        <w:t xml:space="preserve"> hours (for </w:t>
      </w:r>
      <w:r w:rsidR="00FA7B28">
        <w:t>2,511</w:t>
      </w:r>
      <w:r>
        <w:t xml:space="preserve"> respondents and </w:t>
      </w:r>
      <w:r w:rsidR="00FA7B28">
        <w:t>3,219</w:t>
      </w:r>
      <w:r>
        <w:t xml:space="preserve"> responses). Given the diversity of respondent types, the methods used to arrive at individual collection burden estimates are described in detail in attachments A1 through </w:t>
      </w:r>
      <w:r w:rsidR="007271EF">
        <w:t>G</w:t>
      </w:r>
      <w:r>
        <w:t>1.</w:t>
      </w:r>
    </w:p>
    <w:p w14:paraId="4BE5897D" w14:textId="3FD84C76" w:rsidR="00897C57" w:rsidRDefault="00897C57" w:rsidP="00193BA8">
      <w:pPr>
        <w:pStyle w:val="NormalWeb"/>
        <w:spacing w:after="0" w:afterAutospacing="0"/>
      </w:pPr>
    </w:p>
    <w:p w14:paraId="67FA32B7" w14:textId="04788D3F" w:rsidR="00897C57" w:rsidRDefault="00897C57" w:rsidP="00193BA8">
      <w:pPr>
        <w:pStyle w:val="NormalWeb"/>
        <w:spacing w:after="0" w:afterAutospacing="0"/>
      </w:pPr>
    </w:p>
    <w:p w14:paraId="66BA758C" w14:textId="7E4618AC" w:rsidR="00193BA8" w:rsidRPr="00A96CDC" w:rsidRDefault="00A96CDC" w:rsidP="00193BA8">
      <w:pPr>
        <w:pStyle w:val="NormalWeb"/>
        <w:spacing w:after="0" w:afterAutospacing="0"/>
        <w:rPr>
          <w:sz w:val="20"/>
          <w:szCs w:val="20"/>
        </w:rPr>
      </w:pPr>
      <w:r w:rsidRPr="00A96CDC">
        <w:rPr>
          <w:rStyle w:val="Strong"/>
          <w:sz w:val="20"/>
          <w:szCs w:val="20"/>
        </w:rPr>
        <w:t>Exhibit 3</w:t>
      </w:r>
      <w:r>
        <w:rPr>
          <w:rStyle w:val="Strong"/>
          <w:sz w:val="20"/>
          <w:szCs w:val="20"/>
        </w:rPr>
        <w:t>:</w:t>
      </w:r>
      <w:r w:rsidR="00193BA8" w:rsidRPr="00A96CDC">
        <w:rPr>
          <w:rStyle w:val="Strong"/>
          <w:sz w:val="20"/>
          <w:szCs w:val="20"/>
        </w:rPr>
        <w:t xml:space="preserve"> Respondents, </w:t>
      </w:r>
      <w:r w:rsidR="00E95C1C">
        <w:rPr>
          <w:rStyle w:val="Strong"/>
          <w:sz w:val="20"/>
          <w:szCs w:val="20"/>
        </w:rPr>
        <w:t>r</w:t>
      </w:r>
      <w:r w:rsidR="00193BA8" w:rsidRPr="00A96CDC">
        <w:rPr>
          <w:rStyle w:val="Strong"/>
          <w:sz w:val="20"/>
          <w:szCs w:val="20"/>
        </w:rPr>
        <w:t xml:space="preserve">esponses, and </w:t>
      </w:r>
      <w:r w:rsidR="00E95C1C">
        <w:rPr>
          <w:rStyle w:val="Strong"/>
          <w:sz w:val="20"/>
          <w:szCs w:val="20"/>
        </w:rPr>
        <w:t>a</w:t>
      </w:r>
      <w:r w:rsidR="00193BA8" w:rsidRPr="00A96CDC">
        <w:rPr>
          <w:rStyle w:val="Strong"/>
          <w:sz w:val="20"/>
          <w:szCs w:val="20"/>
        </w:rPr>
        <w:t xml:space="preserve">nnual </w:t>
      </w:r>
      <w:r w:rsidR="00E95C1C">
        <w:rPr>
          <w:rStyle w:val="Strong"/>
          <w:sz w:val="20"/>
          <w:szCs w:val="20"/>
        </w:rPr>
        <w:t>h</w:t>
      </w:r>
      <w:r w:rsidR="00193BA8" w:rsidRPr="00A96CDC">
        <w:rPr>
          <w:rStyle w:val="Strong"/>
          <w:sz w:val="20"/>
          <w:szCs w:val="20"/>
        </w:rPr>
        <w:t xml:space="preserve">our </w:t>
      </w:r>
      <w:r w:rsidR="00E95C1C">
        <w:rPr>
          <w:rStyle w:val="Strong"/>
          <w:sz w:val="20"/>
          <w:szCs w:val="20"/>
        </w:rPr>
        <w:t>b</w:t>
      </w:r>
      <w:r w:rsidR="00193BA8" w:rsidRPr="00A96CDC">
        <w:rPr>
          <w:rStyle w:val="Strong"/>
          <w:sz w:val="20"/>
          <w:szCs w:val="20"/>
        </w:rPr>
        <w:t>urden</w:t>
      </w:r>
    </w:p>
    <w:tbl>
      <w:tblPr>
        <w:tblW w:w="0" w:type="auto"/>
        <w:tblCellMar>
          <w:left w:w="0" w:type="dxa"/>
          <w:right w:w="0" w:type="dxa"/>
        </w:tblCellMar>
        <w:tblLook w:val="04A0" w:firstRow="1" w:lastRow="0" w:firstColumn="1" w:lastColumn="0" w:noHBand="0" w:noVBand="1"/>
      </w:tblPr>
      <w:tblGrid>
        <w:gridCol w:w="1328"/>
        <w:gridCol w:w="3702"/>
        <w:gridCol w:w="1306"/>
        <w:gridCol w:w="1350"/>
        <w:gridCol w:w="980"/>
      </w:tblGrid>
      <w:tr w:rsidR="00193BA8" w14:paraId="28304185" w14:textId="77777777" w:rsidTr="00E857E3">
        <w:trPr>
          <w:tblHeader/>
        </w:trPr>
        <w:tc>
          <w:tcPr>
            <w:tcW w:w="13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A3C7519" w14:textId="77777777" w:rsidR="00193BA8" w:rsidRPr="00C14A35" w:rsidRDefault="00193BA8" w:rsidP="00E44CF1">
            <w:pPr>
              <w:jc w:val="center"/>
              <w:rPr>
                <w:rFonts w:ascii="Times New Roman" w:eastAsia="Times New Roman" w:hAnsi="Times New Roman"/>
              </w:rPr>
            </w:pPr>
            <w:r w:rsidRPr="00C14A35">
              <w:rPr>
                <w:rStyle w:val="Strong"/>
                <w:rFonts w:ascii="Times New Roman" w:eastAsia="Times New Roman" w:hAnsi="Times New Roman"/>
              </w:rPr>
              <w:t>Attachment</w:t>
            </w:r>
          </w:p>
        </w:tc>
        <w:tc>
          <w:tcPr>
            <w:tcW w:w="3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64EF84" w14:textId="77777777" w:rsidR="00193BA8" w:rsidRPr="00C14A35" w:rsidRDefault="00193BA8" w:rsidP="00E44CF1">
            <w:pPr>
              <w:pStyle w:val="NormalWeb"/>
              <w:spacing w:after="0" w:afterAutospacing="0"/>
              <w:jc w:val="center"/>
              <w:rPr>
                <w:sz w:val="20"/>
                <w:szCs w:val="20"/>
              </w:rPr>
            </w:pPr>
            <w:r w:rsidRPr="00C14A35">
              <w:rPr>
                <w:rStyle w:val="Strong"/>
                <w:sz w:val="20"/>
                <w:szCs w:val="20"/>
              </w:rPr>
              <w:t>Collection Title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454D9A" w14:textId="77777777" w:rsidR="00193BA8" w:rsidRPr="00C14A35" w:rsidRDefault="00193BA8" w:rsidP="00E44CF1">
            <w:pPr>
              <w:pStyle w:val="NormalWeb"/>
              <w:spacing w:after="0" w:afterAutospacing="0"/>
              <w:jc w:val="center"/>
              <w:rPr>
                <w:sz w:val="20"/>
                <w:szCs w:val="20"/>
              </w:rPr>
            </w:pPr>
            <w:r w:rsidRPr="00C14A35">
              <w:rPr>
                <w:rStyle w:val="Strong"/>
                <w:sz w:val="20"/>
                <w:szCs w:val="20"/>
              </w:rPr>
              <w:t>No. of Respondents</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BF050E" w14:textId="77777777" w:rsidR="00193BA8" w:rsidRPr="00C14A35" w:rsidRDefault="00193BA8" w:rsidP="00E44CF1">
            <w:pPr>
              <w:pStyle w:val="NormalWeb"/>
              <w:spacing w:after="0" w:afterAutospacing="0"/>
              <w:jc w:val="center"/>
              <w:rPr>
                <w:sz w:val="20"/>
                <w:szCs w:val="20"/>
              </w:rPr>
            </w:pPr>
            <w:r w:rsidRPr="00C14A35">
              <w:rPr>
                <w:rStyle w:val="Strong"/>
                <w:sz w:val="20"/>
                <w:szCs w:val="20"/>
              </w:rPr>
              <w:t>No. of Responses</w:t>
            </w:r>
          </w:p>
        </w:tc>
        <w:tc>
          <w:tcPr>
            <w:tcW w:w="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31CA73" w14:textId="77777777" w:rsidR="00193BA8" w:rsidRPr="00C14A35" w:rsidRDefault="00193BA8" w:rsidP="00E44CF1">
            <w:pPr>
              <w:pStyle w:val="NormalWeb"/>
              <w:spacing w:after="0" w:afterAutospacing="0"/>
              <w:jc w:val="center"/>
              <w:rPr>
                <w:sz w:val="20"/>
                <w:szCs w:val="20"/>
              </w:rPr>
            </w:pPr>
            <w:r w:rsidRPr="00C14A35">
              <w:rPr>
                <w:rStyle w:val="Strong"/>
                <w:sz w:val="20"/>
                <w:szCs w:val="20"/>
              </w:rPr>
              <w:t>Annual Hour Burden</w:t>
            </w:r>
          </w:p>
        </w:tc>
      </w:tr>
      <w:tr w:rsidR="00193BA8" w14:paraId="0A5CABE9" w14:textId="77777777" w:rsidTr="00E857E3">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8C995D" w14:textId="1CFF02AB" w:rsidR="00193BA8" w:rsidRPr="00C14A35" w:rsidRDefault="0013639D" w:rsidP="00E44CF1">
            <w:pPr>
              <w:pStyle w:val="NormalWeb"/>
              <w:jc w:val="center"/>
              <w:rPr>
                <w:sz w:val="20"/>
                <w:szCs w:val="20"/>
              </w:rPr>
            </w:pPr>
            <w:r w:rsidRPr="00C14A35">
              <w:rPr>
                <w:rStyle w:val="Strong"/>
                <w:sz w:val="20"/>
                <w:szCs w:val="20"/>
              </w:rPr>
              <w:t>A</w:t>
            </w:r>
            <w:r w:rsidR="00193BA8" w:rsidRPr="00C14A35">
              <w:rPr>
                <w:rStyle w:val="Strong"/>
                <w:sz w:val="20"/>
                <w:szCs w:val="20"/>
              </w:rPr>
              <w:t>1</w:t>
            </w:r>
          </w:p>
        </w:tc>
        <w:tc>
          <w:tcPr>
            <w:tcW w:w="3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E47B8C" w14:textId="77777777" w:rsidR="00193BA8" w:rsidRPr="00C14A35" w:rsidRDefault="00193BA8" w:rsidP="00E44CF1">
            <w:pPr>
              <w:pStyle w:val="NormalWeb"/>
              <w:spacing w:after="0" w:afterAutospacing="0"/>
              <w:rPr>
                <w:sz w:val="20"/>
                <w:szCs w:val="20"/>
              </w:rPr>
            </w:pPr>
            <w:r w:rsidRPr="00C14A35">
              <w:rPr>
                <w:sz w:val="20"/>
                <w:szCs w:val="20"/>
              </w:rPr>
              <w:t>Centers of Research Excellence in Science and Technology (CREST) and Historically Black Colleges and Universities Research Infrastructure for Science and Engineering (HBCU-RISE) Monitoring System</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647FE0" w14:textId="7E162772" w:rsidR="00193BA8" w:rsidRPr="00C14A35" w:rsidRDefault="00351D44" w:rsidP="00E44CF1">
            <w:pPr>
              <w:pStyle w:val="NormalWeb"/>
              <w:jc w:val="center"/>
              <w:rPr>
                <w:sz w:val="20"/>
                <w:szCs w:val="20"/>
              </w:rPr>
            </w:pPr>
            <w:r w:rsidRPr="00C14A35">
              <w:rPr>
                <w:sz w:val="20"/>
                <w:szCs w:val="20"/>
              </w:rPr>
              <w:t>4</w:t>
            </w:r>
            <w:r w:rsidR="008B4DF0" w:rsidRPr="00C14A35">
              <w:rPr>
                <w:sz w:val="20"/>
                <w:szCs w:val="20"/>
              </w:rPr>
              <w:t>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8AA24B" w14:textId="32F42BA3" w:rsidR="00193BA8" w:rsidRPr="00C14A35" w:rsidRDefault="00351D44" w:rsidP="00E44CF1">
            <w:pPr>
              <w:pStyle w:val="NormalWeb"/>
              <w:jc w:val="center"/>
              <w:rPr>
                <w:sz w:val="20"/>
                <w:szCs w:val="20"/>
              </w:rPr>
            </w:pPr>
            <w:r w:rsidRPr="00C14A35">
              <w:rPr>
                <w:sz w:val="20"/>
                <w:szCs w:val="20"/>
              </w:rPr>
              <w:t>4</w:t>
            </w:r>
            <w:r w:rsidR="008B4DF0" w:rsidRPr="00C14A35">
              <w:rPr>
                <w:sz w:val="20"/>
                <w:szCs w:val="20"/>
              </w:rPr>
              <w:t>2</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8102FE" w14:textId="5C3AE35B" w:rsidR="00193BA8" w:rsidRPr="00C14A35" w:rsidRDefault="00351D44" w:rsidP="00351D44">
            <w:pPr>
              <w:pStyle w:val="NormalWeb"/>
              <w:jc w:val="center"/>
              <w:rPr>
                <w:sz w:val="20"/>
                <w:szCs w:val="20"/>
              </w:rPr>
            </w:pPr>
            <w:r w:rsidRPr="00C14A35">
              <w:rPr>
                <w:sz w:val="20"/>
                <w:szCs w:val="20"/>
              </w:rPr>
              <w:t>1,</w:t>
            </w:r>
            <w:r w:rsidR="008B4DF0" w:rsidRPr="00C14A35">
              <w:rPr>
                <w:sz w:val="20"/>
                <w:szCs w:val="20"/>
              </w:rPr>
              <w:t>648</w:t>
            </w:r>
          </w:p>
        </w:tc>
      </w:tr>
      <w:tr w:rsidR="00193BA8" w14:paraId="5D602CAF" w14:textId="77777777" w:rsidTr="00E857E3">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0CD6C9" w14:textId="56C6887A" w:rsidR="00193BA8" w:rsidRPr="00C14A35" w:rsidRDefault="0013639D" w:rsidP="00E44CF1">
            <w:pPr>
              <w:pStyle w:val="NormalWeb"/>
              <w:jc w:val="center"/>
              <w:rPr>
                <w:sz w:val="20"/>
                <w:szCs w:val="20"/>
              </w:rPr>
            </w:pPr>
            <w:r w:rsidRPr="00C14A35">
              <w:rPr>
                <w:rStyle w:val="Strong"/>
                <w:sz w:val="20"/>
                <w:szCs w:val="20"/>
              </w:rPr>
              <w:t>B</w:t>
            </w:r>
            <w:r w:rsidR="00193BA8" w:rsidRPr="00C14A35">
              <w:rPr>
                <w:rStyle w:val="Strong"/>
                <w:sz w:val="20"/>
                <w:szCs w:val="20"/>
              </w:rPr>
              <w:t>1</w:t>
            </w:r>
          </w:p>
        </w:tc>
        <w:tc>
          <w:tcPr>
            <w:tcW w:w="3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98CDA4" w14:textId="77777777" w:rsidR="00193BA8" w:rsidRPr="00C14A35" w:rsidRDefault="00193BA8" w:rsidP="00E44CF1">
            <w:pPr>
              <w:pStyle w:val="NormalWeb"/>
              <w:spacing w:after="0" w:afterAutospacing="0"/>
              <w:rPr>
                <w:sz w:val="20"/>
                <w:szCs w:val="20"/>
              </w:rPr>
            </w:pPr>
            <w:r w:rsidRPr="00C14A35">
              <w:rPr>
                <w:sz w:val="20"/>
                <w:szCs w:val="20"/>
              </w:rPr>
              <w:t>Integrative Graduate Education and Research Traineeship Program (IGERT) Monitoring System</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15C05A" w14:textId="45154642" w:rsidR="00193BA8" w:rsidRPr="00C14A35" w:rsidRDefault="00FA7B28" w:rsidP="00FA7B28">
            <w:pPr>
              <w:pStyle w:val="NormalWeb"/>
              <w:jc w:val="center"/>
              <w:rPr>
                <w:sz w:val="20"/>
                <w:szCs w:val="20"/>
              </w:rPr>
            </w:pPr>
            <w:r w:rsidRPr="00C14A35">
              <w:rPr>
                <w:sz w:val="20"/>
                <w:szCs w:val="20"/>
              </w:rPr>
              <w:t>513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812A3E" w14:textId="5011C1CE" w:rsidR="00193BA8" w:rsidRPr="00C14A35" w:rsidRDefault="00FA7B28" w:rsidP="00FA7B28">
            <w:pPr>
              <w:pStyle w:val="NormalWeb"/>
              <w:jc w:val="center"/>
              <w:rPr>
                <w:sz w:val="20"/>
                <w:szCs w:val="20"/>
              </w:rPr>
            </w:pPr>
            <w:r w:rsidRPr="00C14A35">
              <w:rPr>
                <w:sz w:val="20"/>
                <w:szCs w:val="20"/>
              </w:rPr>
              <w:t>5</w:t>
            </w:r>
            <w:r w:rsidR="004532C3">
              <w:rPr>
                <w:sz w:val="20"/>
                <w:szCs w:val="20"/>
              </w:rPr>
              <w:t>13</w:t>
            </w:r>
            <w:r w:rsidRPr="00C14A35">
              <w:rPr>
                <w:sz w:val="20"/>
                <w:szCs w:val="20"/>
              </w:rPr>
              <w:t xml:space="preserve"> (8 PI respondents per year will submit both an annual and final report)</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E556D" w14:textId="6A69A391" w:rsidR="00193BA8" w:rsidRPr="00C14A35" w:rsidRDefault="00FA7B28" w:rsidP="00FA7B28">
            <w:pPr>
              <w:pStyle w:val="NormalWeb"/>
              <w:jc w:val="center"/>
              <w:rPr>
                <w:sz w:val="20"/>
                <w:szCs w:val="20"/>
              </w:rPr>
            </w:pPr>
            <w:r w:rsidRPr="00C14A35">
              <w:rPr>
                <w:sz w:val="20"/>
                <w:szCs w:val="20"/>
              </w:rPr>
              <w:t>3,242</w:t>
            </w:r>
          </w:p>
        </w:tc>
      </w:tr>
      <w:tr w:rsidR="00193BA8" w14:paraId="5195074E" w14:textId="77777777" w:rsidTr="00E857E3">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9F199A" w14:textId="71B4DFF8" w:rsidR="00193BA8" w:rsidRPr="00C14A35" w:rsidRDefault="0013639D" w:rsidP="00E44CF1">
            <w:pPr>
              <w:pStyle w:val="NormalWeb"/>
              <w:jc w:val="center"/>
              <w:rPr>
                <w:sz w:val="20"/>
                <w:szCs w:val="20"/>
              </w:rPr>
            </w:pPr>
            <w:r w:rsidRPr="00C14A35">
              <w:rPr>
                <w:rStyle w:val="Strong"/>
                <w:sz w:val="20"/>
                <w:szCs w:val="20"/>
              </w:rPr>
              <w:t>C</w:t>
            </w:r>
            <w:r w:rsidR="00193BA8" w:rsidRPr="00C14A35">
              <w:rPr>
                <w:rStyle w:val="Strong"/>
                <w:sz w:val="20"/>
                <w:szCs w:val="20"/>
              </w:rPr>
              <w:t>1</w:t>
            </w:r>
          </w:p>
        </w:tc>
        <w:tc>
          <w:tcPr>
            <w:tcW w:w="3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A61597" w14:textId="77777777" w:rsidR="00193BA8" w:rsidRPr="00C14A35" w:rsidRDefault="00193BA8" w:rsidP="00E44CF1">
            <w:pPr>
              <w:pStyle w:val="NormalWeb"/>
              <w:spacing w:after="0" w:afterAutospacing="0"/>
              <w:rPr>
                <w:sz w:val="20"/>
                <w:szCs w:val="20"/>
              </w:rPr>
            </w:pPr>
            <w:r w:rsidRPr="00C14A35">
              <w:rPr>
                <w:sz w:val="20"/>
                <w:szCs w:val="20"/>
              </w:rPr>
              <w:t>Louis Stokes Alliances for Minority Participation (LSAMP) Monitoring System</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72A3B" w14:textId="1B9BB7BE" w:rsidR="00193BA8" w:rsidRPr="00C14A35" w:rsidRDefault="009E2693" w:rsidP="00351D44">
            <w:pPr>
              <w:pStyle w:val="NormalWeb"/>
              <w:jc w:val="center"/>
              <w:rPr>
                <w:sz w:val="20"/>
                <w:szCs w:val="20"/>
              </w:rPr>
            </w:pPr>
            <w:r w:rsidRPr="00C14A35">
              <w:rPr>
                <w:sz w:val="20"/>
                <w:szCs w:val="20"/>
              </w:rPr>
              <w:t>625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3BF453" w14:textId="3FE4BC68" w:rsidR="00193BA8" w:rsidRPr="00C14A35" w:rsidRDefault="009E2693" w:rsidP="00E44CF1">
            <w:pPr>
              <w:pStyle w:val="NormalWeb"/>
              <w:jc w:val="center"/>
              <w:rPr>
                <w:sz w:val="20"/>
                <w:szCs w:val="20"/>
              </w:rPr>
            </w:pPr>
            <w:r w:rsidRPr="00C14A35">
              <w:rPr>
                <w:sz w:val="20"/>
                <w:szCs w:val="20"/>
              </w:rPr>
              <w:t>625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8D44B" w14:textId="451CA717" w:rsidR="00193BA8" w:rsidRPr="00C14A35" w:rsidRDefault="009E2693" w:rsidP="00E44CF1">
            <w:pPr>
              <w:pStyle w:val="NormalWeb"/>
              <w:jc w:val="center"/>
              <w:rPr>
                <w:sz w:val="20"/>
                <w:szCs w:val="20"/>
              </w:rPr>
            </w:pPr>
            <w:r w:rsidRPr="00C14A35">
              <w:rPr>
                <w:sz w:val="20"/>
                <w:szCs w:val="20"/>
              </w:rPr>
              <w:t>16,250</w:t>
            </w:r>
          </w:p>
        </w:tc>
      </w:tr>
      <w:tr w:rsidR="00193BA8" w14:paraId="766C649D" w14:textId="77777777" w:rsidTr="00E857E3">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460ECE" w14:textId="7742F7DE" w:rsidR="00193BA8" w:rsidRPr="00C14A35" w:rsidRDefault="0013639D" w:rsidP="00E44CF1">
            <w:pPr>
              <w:pStyle w:val="NormalWeb"/>
              <w:jc w:val="center"/>
              <w:rPr>
                <w:sz w:val="20"/>
                <w:szCs w:val="20"/>
              </w:rPr>
            </w:pPr>
            <w:r w:rsidRPr="00C14A35">
              <w:rPr>
                <w:rStyle w:val="Strong"/>
                <w:sz w:val="20"/>
                <w:szCs w:val="20"/>
              </w:rPr>
              <w:t>D</w:t>
            </w:r>
            <w:r w:rsidR="00193BA8" w:rsidRPr="00C14A35">
              <w:rPr>
                <w:rStyle w:val="Strong"/>
                <w:sz w:val="20"/>
                <w:szCs w:val="20"/>
              </w:rPr>
              <w:t>1</w:t>
            </w:r>
          </w:p>
        </w:tc>
        <w:tc>
          <w:tcPr>
            <w:tcW w:w="3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B2DC03" w14:textId="77777777" w:rsidR="00193BA8" w:rsidRPr="00C14A35" w:rsidRDefault="00193BA8" w:rsidP="00E44CF1">
            <w:pPr>
              <w:pStyle w:val="NormalWeb"/>
              <w:spacing w:after="0" w:afterAutospacing="0"/>
              <w:rPr>
                <w:sz w:val="20"/>
                <w:szCs w:val="20"/>
              </w:rPr>
            </w:pPr>
            <w:r w:rsidRPr="00C14A35">
              <w:rPr>
                <w:sz w:val="20"/>
                <w:szCs w:val="20"/>
              </w:rPr>
              <w:t>Louis Stokes Alliances for Minority Participation Bridge to the Doctorate (LSAMP-BD) Monitoring System</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AF3D7F" w14:textId="5F2BE9AC" w:rsidR="00193BA8" w:rsidRPr="00C14A35" w:rsidRDefault="00AC2851" w:rsidP="00E44CF1">
            <w:pPr>
              <w:pStyle w:val="NormalWeb"/>
              <w:jc w:val="center"/>
              <w:rPr>
                <w:sz w:val="20"/>
                <w:szCs w:val="20"/>
              </w:rPr>
            </w:pPr>
            <w:r w:rsidRPr="00C14A35">
              <w:rPr>
                <w:sz w:val="20"/>
                <w:szCs w:val="20"/>
              </w:rPr>
              <w:t>5</w:t>
            </w:r>
            <w:r w:rsidR="009E2693" w:rsidRPr="00C14A35">
              <w:rPr>
                <w:sz w:val="20"/>
                <w:szCs w:val="20"/>
              </w:rPr>
              <w:t>6</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72C3E" w14:textId="32B04639" w:rsidR="00193BA8" w:rsidRPr="00C14A35" w:rsidRDefault="00AC2851" w:rsidP="00E44CF1">
            <w:pPr>
              <w:pStyle w:val="NormalWeb"/>
              <w:jc w:val="center"/>
              <w:rPr>
                <w:sz w:val="20"/>
                <w:szCs w:val="20"/>
              </w:rPr>
            </w:pPr>
            <w:r w:rsidRPr="00C14A35">
              <w:rPr>
                <w:sz w:val="20"/>
                <w:szCs w:val="20"/>
              </w:rPr>
              <w:t>5</w:t>
            </w:r>
            <w:r w:rsidR="009E2693" w:rsidRPr="00C14A35">
              <w:rPr>
                <w:sz w:val="20"/>
                <w:szCs w:val="20"/>
              </w:rPr>
              <w:t>6</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C93112" w14:textId="2F82D146" w:rsidR="00193BA8" w:rsidRPr="00C14A35" w:rsidRDefault="009E2693" w:rsidP="00E44CF1">
            <w:pPr>
              <w:pStyle w:val="NormalWeb"/>
              <w:jc w:val="center"/>
              <w:rPr>
                <w:sz w:val="20"/>
                <w:szCs w:val="20"/>
              </w:rPr>
            </w:pPr>
            <w:r w:rsidRPr="00C14A35">
              <w:rPr>
                <w:sz w:val="20"/>
                <w:szCs w:val="20"/>
              </w:rPr>
              <w:t>1,008</w:t>
            </w:r>
          </w:p>
        </w:tc>
      </w:tr>
      <w:tr w:rsidR="00193BA8" w14:paraId="2051B5D8" w14:textId="77777777" w:rsidTr="00E857E3">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5CDC83" w14:textId="48A338BB" w:rsidR="00193BA8" w:rsidRPr="00C14A35" w:rsidRDefault="0013639D" w:rsidP="00E44CF1">
            <w:pPr>
              <w:pStyle w:val="NormalWeb"/>
              <w:jc w:val="center"/>
              <w:rPr>
                <w:sz w:val="20"/>
                <w:szCs w:val="20"/>
              </w:rPr>
            </w:pPr>
            <w:r w:rsidRPr="00C14A35">
              <w:rPr>
                <w:rStyle w:val="Strong"/>
                <w:sz w:val="20"/>
                <w:szCs w:val="20"/>
              </w:rPr>
              <w:t>E</w:t>
            </w:r>
            <w:r w:rsidR="00193BA8" w:rsidRPr="00C14A35">
              <w:rPr>
                <w:rStyle w:val="Strong"/>
                <w:sz w:val="20"/>
                <w:szCs w:val="20"/>
              </w:rPr>
              <w:t>1</w:t>
            </w:r>
          </w:p>
        </w:tc>
        <w:tc>
          <w:tcPr>
            <w:tcW w:w="3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8462A3" w14:textId="77777777" w:rsidR="00193BA8" w:rsidRPr="00C14A35" w:rsidRDefault="00193BA8" w:rsidP="00E44CF1">
            <w:pPr>
              <w:pStyle w:val="NormalWeb"/>
              <w:spacing w:after="0" w:afterAutospacing="0"/>
              <w:rPr>
                <w:sz w:val="20"/>
                <w:szCs w:val="20"/>
              </w:rPr>
            </w:pPr>
            <w:r w:rsidRPr="00C14A35">
              <w:rPr>
                <w:sz w:val="20"/>
                <w:szCs w:val="20"/>
              </w:rPr>
              <w:t>Robert Noyce Teacher Scholarship Program (Noyce) Monitoring System</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C8C0E8" w14:textId="38C430A8" w:rsidR="00193BA8" w:rsidRPr="00C14A35" w:rsidRDefault="009E2693" w:rsidP="00E44CF1">
            <w:pPr>
              <w:pStyle w:val="NormalWeb"/>
              <w:jc w:val="center"/>
              <w:rPr>
                <w:sz w:val="20"/>
                <w:szCs w:val="20"/>
              </w:rPr>
            </w:pPr>
            <w:r w:rsidRPr="00C14A35">
              <w:rPr>
                <w:sz w:val="20"/>
                <w:szCs w:val="20"/>
              </w:rPr>
              <w:t>550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9D7F3D" w14:textId="598B64E3" w:rsidR="00193BA8" w:rsidRPr="00C14A35" w:rsidRDefault="009E2693" w:rsidP="00E44CF1">
            <w:pPr>
              <w:pStyle w:val="NormalWeb"/>
              <w:jc w:val="center"/>
              <w:rPr>
                <w:sz w:val="20"/>
                <w:szCs w:val="20"/>
              </w:rPr>
            </w:pPr>
            <w:r w:rsidRPr="00C14A35">
              <w:rPr>
                <w:sz w:val="20"/>
                <w:szCs w:val="20"/>
              </w:rPr>
              <w:t>550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272F62" w14:textId="53AA39B9" w:rsidR="00193BA8" w:rsidRPr="00C14A35" w:rsidRDefault="009E2693" w:rsidP="00E44CF1">
            <w:pPr>
              <w:pStyle w:val="NormalWeb"/>
              <w:jc w:val="center"/>
              <w:rPr>
                <w:sz w:val="20"/>
                <w:szCs w:val="20"/>
              </w:rPr>
            </w:pPr>
            <w:r w:rsidRPr="00C14A35">
              <w:rPr>
                <w:sz w:val="20"/>
                <w:szCs w:val="20"/>
              </w:rPr>
              <w:t>6,050</w:t>
            </w:r>
          </w:p>
        </w:tc>
      </w:tr>
      <w:tr w:rsidR="00193BA8" w14:paraId="64980151" w14:textId="77777777" w:rsidTr="00E857E3">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7CEE8D" w14:textId="0BC6AA14" w:rsidR="00193BA8" w:rsidRPr="00C14A35" w:rsidRDefault="0013639D" w:rsidP="00E44CF1">
            <w:pPr>
              <w:pStyle w:val="NormalWeb"/>
              <w:jc w:val="center"/>
              <w:rPr>
                <w:sz w:val="20"/>
                <w:szCs w:val="20"/>
              </w:rPr>
            </w:pPr>
            <w:r w:rsidRPr="00C14A35">
              <w:rPr>
                <w:rStyle w:val="Strong"/>
                <w:sz w:val="20"/>
                <w:szCs w:val="20"/>
              </w:rPr>
              <w:t>F</w:t>
            </w:r>
            <w:r w:rsidR="00193BA8" w:rsidRPr="00C14A35">
              <w:rPr>
                <w:rStyle w:val="Strong"/>
                <w:sz w:val="20"/>
                <w:szCs w:val="20"/>
              </w:rPr>
              <w:t>1</w:t>
            </w:r>
          </w:p>
        </w:tc>
        <w:tc>
          <w:tcPr>
            <w:tcW w:w="3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D8781B" w14:textId="77777777" w:rsidR="00193BA8" w:rsidRPr="00C14A35" w:rsidRDefault="00193BA8" w:rsidP="00CD1023">
            <w:pPr>
              <w:pStyle w:val="NormalWeb"/>
              <w:spacing w:after="0" w:afterAutospacing="0"/>
              <w:rPr>
                <w:sz w:val="20"/>
                <w:szCs w:val="20"/>
              </w:rPr>
            </w:pPr>
            <w:r w:rsidRPr="00C14A35">
              <w:rPr>
                <w:sz w:val="20"/>
                <w:szCs w:val="20"/>
              </w:rPr>
              <w:t>Scholarships in Science, Technology, Engineering, and Mathematics (S-STEM) Monitoring System</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847853" w14:textId="0602A079" w:rsidR="00193BA8" w:rsidRPr="00C14A35" w:rsidRDefault="00FA7B28" w:rsidP="00FA7B28">
            <w:pPr>
              <w:pStyle w:val="NormalWeb"/>
              <w:jc w:val="center"/>
              <w:rPr>
                <w:sz w:val="20"/>
                <w:szCs w:val="20"/>
              </w:rPr>
            </w:pPr>
            <w:r w:rsidRPr="00C14A35">
              <w:rPr>
                <w:sz w:val="20"/>
                <w:szCs w:val="20"/>
              </w:rPr>
              <w:t>700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90429" w14:textId="2BC3509D" w:rsidR="00193BA8" w:rsidRPr="00C14A35" w:rsidRDefault="00FA7B28" w:rsidP="00FA7B28">
            <w:pPr>
              <w:pStyle w:val="NormalWeb"/>
              <w:spacing w:after="0" w:afterAutospacing="0"/>
              <w:jc w:val="center"/>
              <w:rPr>
                <w:sz w:val="20"/>
                <w:szCs w:val="20"/>
              </w:rPr>
            </w:pPr>
            <w:r w:rsidRPr="00C14A35">
              <w:rPr>
                <w:sz w:val="20"/>
                <w:szCs w:val="20"/>
              </w:rPr>
              <w:t>1,400</w:t>
            </w:r>
            <w:r w:rsidR="00193BA8" w:rsidRPr="00C14A35">
              <w:rPr>
                <w:sz w:val="20"/>
                <w:szCs w:val="20"/>
              </w:rPr>
              <w:t xml:space="preserve"> (</w:t>
            </w:r>
            <w:r w:rsidRPr="00C14A35">
              <w:rPr>
                <w:sz w:val="20"/>
                <w:szCs w:val="20"/>
              </w:rPr>
              <w:t>700</w:t>
            </w:r>
            <w:r w:rsidR="00193BA8" w:rsidRPr="00C14A35">
              <w:rPr>
                <w:sz w:val="20"/>
                <w:szCs w:val="20"/>
              </w:rPr>
              <w:t xml:space="preserve"> respondents X 2 responses/yr.)</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F1640C" w14:textId="52A43DD4" w:rsidR="00193BA8" w:rsidRPr="00C14A35" w:rsidRDefault="00FA7B28" w:rsidP="00FA7B28">
            <w:pPr>
              <w:pStyle w:val="NormalWeb"/>
              <w:jc w:val="center"/>
              <w:rPr>
                <w:sz w:val="20"/>
                <w:szCs w:val="20"/>
              </w:rPr>
            </w:pPr>
            <w:r w:rsidRPr="00C14A35">
              <w:rPr>
                <w:sz w:val="20"/>
                <w:szCs w:val="20"/>
              </w:rPr>
              <w:t>4,.900</w:t>
            </w:r>
          </w:p>
        </w:tc>
      </w:tr>
      <w:tr w:rsidR="00193BA8" w14:paraId="472635E6" w14:textId="77777777" w:rsidTr="00E857E3">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775BEA" w14:textId="01E4C17D" w:rsidR="00193BA8" w:rsidRPr="00C14A35" w:rsidRDefault="0013639D" w:rsidP="00E44CF1">
            <w:pPr>
              <w:pStyle w:val="NormalWeb"/>
              <w:jc w:val="center"/>
              <w:rPr>
                <w:sz w:val="20"/>
                <w:szCs w:val="20"/>
              </w:rPr>
            </w:pPr>
            <w:r w:rsidRPr="00C14A35">
              <w:rPr>
                <w:rStyle w:val="Strong"/>
                <w:sz w:val="20"/>
                <w:szCs w:val="20"/>
              </w:rPr>
              <w:t>G</w:t>
            </w:r>
            <w:r w:rsidR="00193BA8" w:rsidRPr="00C14A35">
              <w:rPr>
                <w:rStyle w:val="Strong"/>
                <w:sz w:val="20"/>
                <w:szCs w:val="20"/>
              </w:rPr>
              <w:t>1</w:t>
            </w:r>
          </w:p>
        </w:tc>
        <w:tc>
          <w:tcPr>
            <w:tcW w:w="3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DF188" w14:textId="77777777" w:rsidR="00193BA8" w:rsidRPr="00C14A35" w:rsidRDefault="00193BA8" w:rsidP="00E44CF1">
            <w:pPr>
              <w:pStyle w:val="NormalWeb"/>
              <w:spacing w:after="0" w:afterAutospacing="0"/>
              <w:rPr>
                <w:sz w:val="20"/>
                <w:szCs w:val="20"/>
              </w:rPr>
            </w:pPr>
            <w:r w:rsidRPr="00C14A35">
              <w:rPr>
                <w:sz w:val="20"/>
                <w:szCs w:val="20"/>
              </w:rPr>
              <w:t>Science, Technology, Engineering, and Mathematics Talent Expansion Program (STEP) Monitoring System</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F7B9DC" w14:textId="249B0647" w:rsidR="00193BA8" w:rsidRPr="00C14A35" w:rsidRDefault="00FA7B28" w:rsidP="00FA7B28">
            <w:pPr>
              <w:pStyle w:val="NormalWeb"/>
              <w:jc w:val="center"/>
              <w:rPr>
                <w:sz w:val="20"/>
                <w:szCs w:val="20"/>
              </w:rPr>
            </w:pPr>
            <w:r w:rsidRPr="00C14A35">
              <w:rPr>
                <w:sz w:val="20"/>
                <w:szCs w:val="20"/>
              </w:rPr>
              <w:t>25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A20365" w14:textId="189B0BF6" w:rsidR="00193BA8" w:rsidRPr="00C14A35" w:rsidRDefault="00FA7B28" w:rsidP="00FA7B28">
            <w:pPr>
              <w:pStyle w:val="NormalWeb"/>
              <w:jc w:val="center"/>
              <w:rPr>
                <w:sz w:val="20"/>
                <w:szCs w:val="20"/>
              </w:rPr>
            </w:pPr>
            <w:r w:rsidRPr="00C14A35">
              <w:rPr>
                <w:sz w:val="20"/>
                <w:szCs w:val="20"/>
              </w:rPr>
              <w:t>25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68DE54" w14:textId="552FA5BA" w:rsidR="00193BA8" w:rsidRPr="00C14A35" w:rsidRDefault="00FA7B28" w:rsidP="00FA7B28">
            <w:pPr>
              <w:pStyle w:val="NormalWeb"/>
              <w:jc w:val="center"/>
              <w:rPr>
                <w:sz w:val="20"/>
                <w:szCs w:val="20"/>
              </w:rPr>
            </w:pPr>
            <w:r w:rsidRPr="00C14A35">
              <w:rPr>
                <w:sz w:val="20"/>
                <w:szCs w:val="20"/>
              </w:rPr>
              <w:t>500</w:t>
            </w:r>
          </w:p>
        </w:tc>
      </w:tr>
      <w:tr w:rsidR="00193BA8" w14:paraId="4E3AEFFA" w14:textId="77777777" w:rsidTr="00E857E3">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40585F" w14:textId="77777777" w:rsidR="00193BA8" w:rsidRPr="00C14A35" w:rsidRDefault="00193BA8" w:rsidP="00E44CF1">
            <w:pPr>
              <w:pStyle w:val="NormalWeb"/>
              <w:jc w:val="center"/>
              <w:rPr>
                <w:sz w:val="20"/>
                <w:szCs w:val="20"/>
              </w:rPr>
            </w:pPr>
            <w:r w:rsidRPr="00C14A35">
              <w:rPr>
                <w:rStyle w:val="Strong"/>
                <w:sz w:val="20"/>
                <w:szCs w:val="20"/>
              </w:rPr>
              <w:t> </w:t>
            </w:r>
          </w:p>
        </w:tc>
        <w:tc>
          <w:tcPr>
            <w:tcW w:w="3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8AEE6F" w14:textId="77777777" w:rsidR="00193BA8" w:rsidRPr="00C14A35" w:rsidRDefault="00193BA8" w:rsidP="00E44CF1">
            <w:pPr>
              <w:pStyle w:val="NormalWeb"/>
              <w:rPr>
                <w:sz w:val="20"/>
                <w:szCs w:val="20"/>
              </w:rPr>
            </w:pPr>
            <w:r w:rsidRPr="00C14A35">
              <w:rPr>
                <w:rStyle w:val="Strong"/>
                <w:sz w:val="20"/>
                <w:szCs w:val="20"/>
              </w:rPr>
              <w:t>Total</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E9DB77" w14:textId="04295C8A" w:rsidR="00193BA8" w:rsidRPr="00C14A35" w:rsidRDefault="00FA7B28" w:rsidP="00FA7B28">
            <w:pPr>
              <w:pStyle w:val="NormalWeb"/>
              <w:jc w:val="center"/>
              <w:rPr>
                <w:sz w:val="20"/>
                <w:szCs w:val="20"/>
              </w:rPr>
            </w:pPr>
            <w:r w:rsidRPr="00C14A35">
              <w:rPr>
                <w:rStyle w:val="Strong"/>
                <w:sz w:val="20"/>
                <w:szCs w:val="20"/>
              </w:rPr>
              <w:t>2,511</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950E1F" w14:textId="733897D0" w:rsidR="00193BA8" w:rsidRPr="00C14A35" w:rsidRDefault="00FA7B28" w:rsidP="00FA7B28">
            <w:pPr>
              <w:pStyle w:val="NormalWeb"/>
              <w:jc w:val="center"/>
              <w:rPr>
                <w:sz w:val="20"/>
                <w:szCs w:val="20"/>
              </w:rPr>
            </w:pPr>
            <w:r w:rsidRPr="00C14A35">
              <w:rPr>
                <w:rStyle w:val="Strong"/>
                <w:sz w:val="20"/>
                <w:szCs w:val="20"/>
              </w:rPr>
              <w:t>3,21</w:t>
            </w:r>
            <w:r w:rsidR="004532C3">
              <w:rPr>
                <w:rStyle w:val="Strong"/>
                <w:sz w:val="20"/>
                <w:szCs w:val="20"/>
              </w:rPr>
              <w:t>1</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4B5CFC" w14:textId="1C9655E6" w:rsidR="00193BA8" w:rsidRPr="00C14A35" w:rsidRDefault="00FA7B28" w:rsidP="00FA7B28">
            <w:pPr>
              <w:pStyle w:val="NormalWeb"/>
              <w:jc w:val="center"/>
              <w:rPr>
                <w:sz w:val="20"/>
                <w:szCs w:val="20"/>
              </w:rPr>
            </w:pPr>
            <w:r w:rsidRPr="00C14A35">
              <w:rPr>
                <w:rStyle w:val="Strong"/>
                <w:sz w:val="20"/>
                <w:szCs w:val="20"/>
              </w:rPr>
              <w:t>32,698</w:t>
            </w:r>
          </w:p>
        </w:tc>
      </w:tr>
    </w:tbl>
    <w:p w14:paraId="46151C7F" w14:textId="6DA865F7" w:rsidR="00193BA8" w:rsidRDefault="00193BA8" w:rsidP="00193BA8">
      <w:pPr>
        <w:pStyle w:val="NormalWeb"/>
        <w:spacing w:after="0" w:afterAutospacing="0"/>
        <w:jc w:val="both"/>
      </w:pPr>
      <w:r>
        <w:t>EHR estimates that</w:t>
      </w:r>
      <w:r w:rsidR="00A35A6C">
        <w:t xml:space="preserve"> possibly one new collection will </w:t>
      </w:r>
      <w:r>
        <w:t xml:space="preserve">need to be cleared under the EHR </w:t>
      </w:r>
      <w:r w:rsidR="00CE63F8">
        <w:t>p</w:t>
      </w:r>
      <w:r>
        <w:t xml:space="preserve">rogram </w:t>
      </w:r>
      <w:r w:rsidR="00CE63F8">
        <w:t>m</w:t>
      </w:r>
      <w:r>
        <w:t xml:space="preserve">onitoring </w:t>
      </w:r>
      <w:r w:rsidR="00CE63F8">
        <w:t>c</w:t>
      </w:r>
      <w:r>
        <w:t xml:space="preserve">learance during the next three years, dependent on budgetary limitations and Congressional mandates. The overall response burden in any year should not exceed </w:t>
      </w:r>
      <w:r w:rsidR="00FA7B28">
        <w:t>40,000</w:t>
      </w:r>
      <w:r>
        <w:t xml:space="preserve"> hours.</w:t>
      </w:r>
    </w:p>
    <w:p w14:paraId="4B254DBF" w14:textId="70AAF10D" w:rsidR="00193BA8" w:rsidRDefault="00753E21" w:rsidP="00CE63F8">
      <w:pPr>
        <w:pStyle w:val="NormalWeb"/>
        <w:spacing w:after="0" w:afterAutospacing="0"/>
        <w:jc w:val="both"/>
        <w:rPr>
          <w:color w:val="000000"/>
        </w:rPr>
      </w:pPr>
      <w:r>
        <w:t xml:space="preserve">Exhibit 4 presents an </w:t>
      </w:r>
      <w:r w:rsidR="00193BA8">
        <w:t xml:space="preserve">example </w:t>
      </w:r>
      <w:r>
        <w:t>illustrating</w:t>
      </w:r>
      <w:r w:rsidR="00193BA8">
        <w:t xml:space="preserve"> how the hour burden was estimated for the CREST</w:t>
      </w:r>
      <w:r w:rsidR="00693AA3">
        <w:t>/HBCU-RISE</w:t>
      </w:r>
      <w:r w:rsidR="00193BA8">
        <w:t xml:space="preserve"> monitoring system (</w:t>
      </w:r>
      <w:r>
        <w:t xml:space="preserve">detailed in </w:t>
      </w:r>
      <w:r w:rsidR="00C14A35">
        <w:t>A</w:t>
      </w:r>
      <w:r w:rsidR="00193BA8">
        <w:t xml:space="preserve">ttachment </w:t>
      </w:r>
      <w:r>
        <w:t>A</w:t>
      </w:r>
      <w:r w:rsidR="00AC2851">
        <w:t>1</w:t>
      </w:r>
      <w:r w:rsidR="00193BA8">
        <w:t xml:space="preserve">).The estimated average number of annual respondents is </w:t>
      </w:r>
      <w:r w:rsidR="00AC2851">
        <w:t>4</w:t>
      </w:r>
      <w:r w:rsidR="007C0491">
        <w:t>2</w:t>
      </w:r>
      <w:r w:rsidR="00193BA8">
        <w:t xml:space="preserve"> (</w:t>
      </w:r>
      <w:r w:rsidR="00AC2851">
        <w:t>3</w:t>
      </w:r>
      <w:r w:rsidR="007C0491">
        <w:t>1</w:t>
      </w:r>
      <w:r w:rsidR="00193BA8">
        <w:t xml:space="preserve"> CREST center PIs/program coordinators and 1</w:t>
      </w:r>
      <w:r w:rsidR="007C0491">
        <w:t>1</w:t>
      </w:r>
      <w:r w:rsidR="00193BA8">
        <w:t xml:space="preserve"> HBCU-RISE award PIs/program coordinators), with an estimated annual response burden of 1,</w:t>
      </w:r>
      <w:r w:rsidR="007C0491">
        <w:t>648</w:t>
      </w:r>
      <w:r w:rsidR="00193BA8">
        <w:t xml:space="preserve"> hours. </w:t>
      </w:r>
      <w:r w:rsidR="00193BA8" w:rsidRPr="00C32A9F">
        <w:t xml:space="preserve">The Web-based data collection is an annual activity of the </w:t>
      </w:r>
      <w:r w:rsidR="00193BA8">
        <w:t>CREST</w:t>
      </w:r>
      <w:r w:rsidR="007C0491">
        <w:t>/HBCU-RISE</w:t>
      </w:r>
      <w:r w:rsidR="00193BA8">
        <w:t xml:space="preserve"> </w:t>
      </w:r>
      <w:r w:rsidR="00193BA8" w:rsidRPr="00C32A9F">
        <w:t xml:space="preserve">program. </w:t>
      </w:r>
      <w:r w:rsidR="00193BA8">
        <w:t>The r</w:t>
      </w:r>
      <w:r w:rsidR="00193BA8">
        <w:rPr>
          <w:color w:val="000000"/>
        </w:rPr>
        <w:t xml:space="preserve">espondents are either PIs or program coordinators. </w:t>
      </w:r>
      <w:r w:rsidR="00E13228">
        <w:rPr>
          <w:color w:val="000000"/>
        </w:rPr>
        <w:t>Generally, o</w:t>
      </w:r>
      <w:r w:rsidR="00193BA8">
        <w:rPr>
          <w:color w:val="000000"/>
        </w:rPr>
        <w:t>ne PI or program coordinator per award completes the questionnaire.</w:t>
      </w:r>
      <w:r w:rsidR="00193BA8">
        <w:t xml:space="preserve"> T</w:t>
      </w:r>
      <w:r w:rsidR="00193BA8">
        <w:rPr>
          <w:color w:val="000000"/>
        </w:rPr>
        <w:t xml:space="preserve">he estimated annual hour burden per respondent was determined using the burden information reported by respondents from the last </w:t>
      </w:r>
      <w:r w:rsidR="00AC2851">
        <w:rPr>
          <w:color w:val="000000"/>
        </w:rPr>
        <w:t>two</w:t>
      </w:r>
      <w:r w:rsidR="00193BA8">
        <w:rPr>
          <w:color w:val="000000"/>
        </w:rPr>
        <w:t xml:space="preserve"> collection cycles.</w:t>
      </w:r>
    </w:p>
    <w:p w14:paraId="68EE6B78" w14:textId="1D9DBC3A" w:rsidR="00897C57" w:rsidRDefault="00897C57" w:rsidP="00CE63F8">
      <w:pPr>
        <w:pStyle w:val="NormalWeb"/>
        <w:spacing w:after="0" w:afterAutospacing="0"/>
        <w:jc w:val="both"/>
        <w:rPr>
          <w:color w:val="000000"/>
        </w:rPr>
      </w:pPr>
    </w:p>
    <w:p w14:paraId="474ACA8C" w14:textId="77777777" w:rsidR="00897C57" w:rsidRDefault="00897C57" w:rsidP="00CE63F8">
      <w:pPr>
        <w:pStyle w:val="NormalWeb"/>
        <w:spacing w:after="0" w:afterAutospacing="0"/>
        <w:jc w:val="both"/>
        <w:rPr>
          <w:color w:val="000000"/>
        </w:rPr>
      </w:pPr>
    </w:p>
    <w:p w14:paraId="71248208" w14:textId="77777777" w:rsidR="00193BA8" w:rsidRDefault="00193BA8" w:rsidP="00193BA8">
      <w:pPr>
        <w:pStyle w:val="NormalWeb"/>
        <w:spacing w:before="0" w:beforeAutospacing="0" w:after="0" w:afterAutospacing="0"/>
        <w:jc w:val="both"/>
        <w:rPr>
          <w:color w:val="000000"/>
        </w:rPr>
      </w:pPr>
    </w:p>
    <w:p w14:paraId="5316556B" w14:textId="40031706" w:rsidR="00193BA8" w:rsidRPr="00753E21" w:rsidRDefault="00753E21" w:rsidP="00753E21">
      <w:pPr>
        <w:pStyle w:val="NormalWeb"/>
        <w:spacing w:before="0" w:beforeAutospacing="0" w:after="0" w:afterAutospacing="0"/>
        <w:jc w:val="both"/>
        <w:rPr>
          <w:b/>
          <w:sz w:val="20"/>
          <w:szCs w:val="20"/>
        </w:rPr>
      </w:pPr>
      <w:r>
        <w:rPr>
          <w:color w:val="000000"/>
        </w:rPr>
        <w:t xml:space="preserve">     </w:t>
      </w:r>
      <w:r w:rsidRPr="00753E21">
        <w:rPr>
          <w:b/>
          <w:color w:val="000000"/>
          <w:sz w:val="20"/>
          <w:szCs w:val="20"/>
        </w:rPr>
        <w:t>Exhibit 4: Sample calculation of b</w:t>
      </w:r>
      <w:r w:rsidR="00193BA8" w:rsidRPr="00753E21">
        <w:rPr>
          <w:b/>
          <w:color w:val="000000"/>
          <w:sz w:val="20"/>
          <w:szCs w:val="20"/>
        </w:rPr>
        <w:t xml:space="preserve">urden </w:t>
      </w:r>
      <w:r w:rsidRPr="00753E21">
        <w:rPr>
          <w:b/>
          <w:color w:val="000000"/>
          <w:sz w:val="20"/>
          <w:szCs w:val="20"/>
        </w:rPr>
        <w:t xml:space="preserve">hour </w:t>
      </w:r>
      <w:r w:rsidR="00193BA8" w:rsidRPr="00753E21">
        <w:rPr>
          <w:b/>
          <w:color w:val="000000"/>
          <w:sz w:val="20"/>
          <w:szCs w:val="20"/>
        </w:rPr>
        <w:t>estimate</w:t>
      </w:r>
    </w:p>
    <w:tbl>
      <w:tblPr>
        <w:tblW w:w="0" w:type="auto"/>
        <w:jc w:val="center"/>
        <w:tblCellMar>
          <w:left w:w="0" w:type="dxa"/>
          <w:right w:w="0" w:type="dxa"/>
        </w:tblCellMar>
        <w:tblLook w:val="04A0" w:firstRow="1" w:lastRow="0" w:firstColumn="1" w:lastColumn="0" w:noHBand="0" w:noVBand="1"/>
      </w:tblPr>
      <w:tblGrid>
        <w:gridCol w:w="2153"/>
        <w:gridCol w:w="2520"/>
        <w:gridCol w:w="1853"/>
        <w:gridCol w:w="1491"/>
      </w:tblGrid>
      <w:tr w:rsidR="00193BA8" w:rsidRPr="00416EB7" w14:paraId="6E7F3BEB" w14:textId="77777777" w:rsidTr="00C14A35">
        <w:trPr>
          <w:tblHeader/>
          <w:jc w:val="center"/>
        </w:trPr>
        <w:tc>
          <w:tcPr>
            <w:tcW w:w="2153" w:type="dxa"/>
            <w:tcBorders>
              <w:top w:val="single" w:sz="12" w:space="0" w:color="auto"/>
              <w:left w:val="nil"/>
              <w:bottom w:val="single" w:sz="12" w:space="0" w:color="auto"/>
              <w:right w:val="nil"/>
            </w:tcBorders>
            <w:tcMar>
              <w:top w:w="0" w:type="dxa"/>
              <w:left w:w="108" w:type="dxa"/>
              <w:bottom w:w="0" w:type="dxa"/>
              <w:right w:w="108" w:type="dxa"/>
            </w:tcMar>
            <w:vAlign w:val="center"/>
            <w:hideMark/>
          </w:tcPr>
          <w:p w14:paraId="1AD7C164" w14:textId="5E4201E2" w:rsidR="00193BA8" w:rsidRPr="00C14A35" w:rsidRDefault="00193BA8" w:rsidP="00674A43">
            <w:pPr>
              <w:jc w:val="center"/>
              <w:rPr>
                <w:rFonts w:ascii="Times New Roman" w:hAnsi="Times New Roman"/>
              </w:rPr>
            </w:pPr>
            <w:r w:rsidRPr="00C14A35">
              <w:rPr>
                <w:rFonts w:ascii="Times New Roman" w:hAnsi="Times New Roman"/>
                <w:b/>
                <w:bCs/>
                <w:color w:val="000000"/>
              </w:rPr>
              <w:t>Respondent</w:t>
            </w:r>
            <w:r w:rsidR="00674A43">
              <w:rPr>
                <w:rFonts w:ascii="Times New Roman" w:hAnsi="Times New Roman"/>
                <w:b/>
                <w:bCs/>
                <w:color w:val="000000"/>
              </w:rPr>
              <w:t xml:space="preserve"> </w:t>
            </w:r>
            <w:r w:rsidRPr="00C14A35">
              <w:rPr>
                <w:rFonts w:ascii="Times New Roman" w:hAnsi="Times New Roman"/>
                <w:b/>
                <w:bCs/>
                <w:color w:val="000000"/>
              </w:rPr>
              <w:t>Type</w:t>
            </w:r>
          </w:p>
        </w:tc>
        <w:tc>
          <w:tcPr>
            <w:tcW w:w="2520" w:type="dxa"/>
            <w:tcBorders>
              <w:top w:val="single" w:sz="12" w:space="0" w:color="auto"/>
              <w:left w:val="nil"/>
              <w:bottom w:val="single" w:sz="12" w:space="0" w:color="auto"/>
              <w:right w:val="nil"/>
            </w:tcBorders>
            <w:tcMar>
              <w:top w:w="0" w:type="dxa"/>
              <w:left w:w="108" w:type="dxa"/>
              <w:bottom w:w="0" w:type="dxa"/>
              <w:right w:w="108" w:type="dxa"/>
            </w:tcMar>
            <w:vAlign w:val="center"/>
            <w:hideMark/>
          </w:tcPr>
          <w:p w14:paraId="6222D2CC" w14:textId="77777777" w:rsidR="00193BA8" w:rsidRPr="00C14A35" w:rsidRDefault="00193BA8" w:rsidP="00E44CF1">
            <w:pPr>
              <w:jc w:val="center"/>
              <w:rPr>
                <w:rFonts w:ascii="Times New Roman" w:hAnsi="Times New Roman"/>
              </w:rPr>
            </w:pPr>
            <w:r w:rsidRPr="00C14A35">
              <w:rPr>
                <w:rFonts w:ascii="Times New Roman" w:hAnsi="Times New Roman"/>
                <w:b/>
                <w:bCs/>
                <w:color w:val="000000"/>
              </w:rPr>
              <w:t>Estimated Average Annual No. of</w:t>
            </w:r>
            <w:r w:rsidRPr="00C14A35">
              <w:rPr>
                <w:rFonts w:ascii="Times New Roman" w:hAnsi="Times New Roman"/>
                <w:b/>
                <w:bCs/>
                <w:color w:val="000000"/>
              </w:rPr>
              <w:br/>
              <w:t>Respondents</w:t>
            </w:r>
          </w:p>
        </w:tc>
        <w:tc>
          <w:tcPr>
            <w:tcW w:w="1853" w:type="dxa"/>
            <w:tcBorders>
              <w:top w:val="single" w:sz="12" w:space="0" w:color="auto"/>
              <w:left w:val="nil"/>
              <w:bottom w:val="single" w:sz="12" w:space="0" w:color="auto"/>
              <w:right w:val="nil"/>
            </w:tcBorders>
            <w:tcMar>
              <w:top w:w="0" w:type="dxa"/>
              <w:left w:w="108" w:type="dxa"/>
              <w:bottom w:w="0" w:type="dxa"/>
              <w:right w:w="108" w:type="dxa"/>
            </w:tcMar>
            <w:vAlign w:val="center"/>
            <w:hideMark/>
          </w:tcPr>
          <w:p w14:paraId="6CFDC229" w14:textId="77777777" w:rsidR="00193BA8" w:rsidRPr="00C14A35" w:rsidRDefault="00193BA8" w:rsidP="00E44CF1">
            <w:pPr>
              <w:jc w:val="center"/>
              <w:rPr>
                <w:rFonts w:ascii="Times New Roman" w:hAnsi="Times New Roman"/>
              </w:rPr>
            </w:pPr>
            <w:r w:rsidRPr="00C14A35">
              <w:rPr>
                <w:rFonts w:ascii="Times New Roman" w:hAnsi="Times New Roman"/>
                <w:b/>
                <w:bCs/>
                <w:color w:val="000000"/>
              </w:rPr>
              <w:t>Estimated Average Annual Burden Hours Per Respondent</w:t>
            </w:r>
          </w:p>
        </w:tc>
        <w:tc>
          <w:tcPr>
            <w:tcW w:w="1491" w:type="dxa"/>
            <w:tcBorders>
              <w:top w:val="single" w:sz="12" w:space="0" w:color="auto"/>
              <w:left w:val="nil"/>
              <w:bottom w:val="single" w:sz="12" w:space="0" w:color="auto"/>
              <w:right w:val="nil"/>
            </w:tcBorders>
            <w:tcMar>
              <w:top w:w="0" w:type="dxa"/>
              <w:left w:w="108" w:type="dxa"/>
              <w:bottom w:w="0" w:type="dxa"/>
              <w:right w:w="108" w:type="dxa"/>
            </w:tcMar>
            <w:vAlign w:val="center"/>
            <w:hideMark/>
          </w:tcPr>
          <w:p w14:paraId="5E0E87DE" w14:textId="77777777" w:rsidR="00193BA8" w:rsidRPr="00C14A35" w:rsidRDefault="00193BA8" w:rsidP="00E44CF1">
            <w:pPr>
              <w:jc w:val="center"/>
              <w:rPr>
                <w:rFonts w:ascii="Times New Roman" w:hAnsi="Times New Roman"/>
              </w:rPr>
            </w:pPr>
            <w:r w:rsidRPr="00C14A35">
              <w:rPr>
                <w:rFonts w:ascii="Times New Roman" w:hAnsi="Times New Roman"/>
                <w:b/>
                <w:bCs/>
                <w:color w:val="000000"/>
              </w:rPr>
              <w:t>Estimated Annual Burden Hour Total</w:t>
            </w:r>
          </w:p>
        </w:tc>
      </w:tr>
      <w:tr w:rsidR="00193BA8" w:rsidRPr="00416EB7" w14:paraId="37D54B73" w14:textId="77777777" w:rsidTr="00193BA8">
        <w:trPr>
          <w:jc w:val="center"/>
        </w:trPr>
        <w:tc>
          <w:tcPr>
            <w:tcW w:w="2153" w:type="dxa"/>
            <w:tcBorders>
              <w:top w:val="nil"/>
              <w:left w:val="nil"/>
              <w:bottom w:val="single" w:sz="8" w:space="0" w:color="auto"/>
              <w:right w:val="nil"/>
            </w:tcBorders>
            <w:tcMar>
              <w:top w:w="0" w:type="dxa"/>
              <w:left w:w="108" w:type="dxa"/>
              <w:bottom w:w="0" w:type="dxa"/>
              <w:right w:w="108" w:type="dxa"/>
            </w:tcMar>
            <w:hideMark/>
          </w:tcPr>
          <w:p w14:paraId="222A9245" w14:textId="77777777" w:rsidR="00193BA8" w:rsidRPr="00C14A35" w:rsidRDefault="00193BA8" w:rsidP="00E44CF1">
            <w:pPr>
              <w:rPr>
                <w:rFonts w:ascii="Times New Roman" w:hAnsi="Times New Roman"/>
              </w:rPr>
            </w:pPr>
            <w:r w:rsidRPr="00C14A35">
              <w:rPr>
                <w:rFonts w:ascii="Times New Roman" w:hAnsi="Times New Roman"/>
                <w:color w:val="000000"/>
              </w:rPr>
              <w:t>CREST center</w:t>
            </w:r>
          </w:p>
          <w:p w14:paraId="563A2A1F" w14:textId="77777777" w:rsidR="00193BA8" w:rsidRPr="00C14A35" w:rsidRDefault="00193BA8" w:rsidP="00E44CF1">
            <w:pPr>
              <w:rPr>
                <w:rFonts w:ascii="Times New Roman" w:hAnsi="Times New Roman"/>
              </w:rPr>
            </w:pPr>
            <w:r w:rsidRPr="00C14A35">
              <w:rPr>
                <w:rFonts w:ascii="Times New Roman" w:hAnsi="Times New Roman"/>
                <w:color w:val="000000"/>
              </w:rPr>
              <w:t>PIs/program coordinators</w:t>
            </w:r>
          </w:p>
        </w:tc>
        <w:tc>
          <w:tcPr>
            <w:tcW w:w="2520" w:type="dxa"/>
            <w:tcBorders>
              <w:top w:val="nil"/>
              <w:left w:val="nil"/>
              <w:bottom w:val="single" w:sz="8" w:space="0" w:color="auto"/>
              <w:right w:val="nil"/>
            </w:tcBorders>
            <w:tcMar>
              <w:top w:w="0" w:type="dxa"/>
              <w:left w:w="108" w:type="dxa"/>
              <w:bottom w:w="0" w:type="dxa"/>
              <w:right w:w="108" w:type="dxa"/>
            </w:tcMar>
            <w:vAlign w:val="center"/>
            <w:hideMark/>
          </w:tcPr>
          <w:p w14:paraId="106EC4ED" w14:textId="51971F10" w:rsidR="00193BA8" w:rsidRPr="00C14A35" w:rsidRDefault="00AC2851" w:rsidP="00E44CF1">
            <w:pPr>
              <w:jc w:val="right"/>
              <w:rPr>
                <w:rFonts w:ascii="Times New Roman" w:hAnsi="Times New Roman"/>
              </w:rPr>
            </w:pPr>
            <w:r w:rsidRPr="00C14A35">
              <w:rPr>
                <w:rFonts w:ascii="Times New Roman" w:hAnsi="Times New Roman"/>
                <w:color w:val="000000"/>
              </w:rPr>
              <w:t>3</w:t>
            </w:r>
            <w:r w:rsidR="007C0491" w:rsidRPr="00C14A35">
              <w:rPr>
                <w:rFonts w:ascii="Times New Roman" w:hAnsi="Times New Roman"/>
                <w:color w:val="000000"/>
              </w:rPr>
              <w:t>1</w:t>
            </w:r>
          </w:p>
        </w:tc>
        <w:tc>
          <w:tcPr>
            <w:tcW w:w="1853" w:type="dxa"/>
            <w:tcBorders>
              <w:top w:val="nil"/>
              <w:left w:val="nil"/>
              <w:bottom w:val="single" w:sz="8" w:space="0" w:color="auto"/>
              <w:right w:val="nil"/>
            </w:tcBorders>
            <w:tcMar>
              <w:top w:w="0" w:type="dxa"/>
              <w:left w:w="108" w:type="dxa"/>
              <w:bottom w:w="0" w:type="dxa"/>
              <w:right w:w="108" w:type="dxa"/>
            </w:tcMar>
            <w:vAlign w:val="center"/>
            <w:hideMark/>
          </w:tcPr>
          <w:p w14:paraId="04856D87" w14:textId="2D8F9982" w:rsidR="00193BA8" w:rsidRPr="00C14A35" w:rsidRDefault="007C0491" w:rsidP="00AC2851">
            <w:pPr>
              <w:jc w:val="right"/>
              <w:rPr>
                <w:rFonts w:ascii="Times New Roman" w:hAnsi="Times New Roman"/>
              </w:rPr>
            </w:pPr>
            <w:r w:rsidRPr="00C14A35">
              <w:rPr>
                <w:rFonts w:ascii="Times New Roman" w:hAnsi="Times New Roman"/>
                <w:color w:val="000000"/>
              </w:rPr>
              <w:t>4</w:t>
            </w:r>
            <w:r w:rsidR="00AC2851" w:rsidRPr="00C14A35">
              <w:rPr>
                <w:rFonts w:ascii="Times New Roman" w:hAnsi="Times New Roman"/>
                <w:color w:val="000000"/>
              </w:rPr>
              <w:t>5</w:t>
            </w:r>
          </w:p>
        </w:tc>
        <w:tc>
          <w:tcPr>
            <w:tcW w:w="1491" w:type="dxa"/>
            <w:tcBorders>
              <w:top w:val="nil"/>
              <w:left w:val="nil"/>
              <w:bottom w:val="single" w:sz="8" w:space="0" w:color="auto"/>
              <w:right w:val="nil"/>
            </w:tcBorders>
            <w:tcMar>
              <w:top w:w="0" w:type="dxa"/>
              <w:left w:w="108" w:type="dxa"/>
              <w:bottom w:w="0" w:type="dxa"/>
              <w:right w:w="108" w:type="dxa"/>
            </w:tcMar>
            <w:vAlign w:val="center"/>
            <w:hideMark/>
          </w:tcPr>
          <w:p w14:paraId="0DC774B7" w14:textId="2E7495A6" w:rsidR="00193BA8" w:rsidRPr="00C14A35" w:rsidRDefault="00193BA8" w:rsidP="00AC2851">
            <w:pPr>
              <w:jc w:val="right"/>
              <w:rPr>
                <w:rFonts w:ascii="Times New Roman" w:hAnsi="Times New Roman"/>
              </w:rPr>
            </w:pPr>
            <w:r w:rsidRPr="00C14A35">
              <w:rPr>
                <w:rFonts w:ascii="Times New Roman" w:hAnsi="Times New Roman"/>
                <w:color w:val="000000"/>
              </w:rPr>
              <w:t>1,</w:t>
            </w:r>
            <w:r w:rsidR="007C0491" w:rsidRPr="00C14A35">
              <w:rPr>
                <w:rFonts w:ascii="Times New Roman" w:hAnsi="Times New Roman"/>
                <w:color w:val="000000"/>
              </w:rPr>
              <w:t>395</w:t>
            </w:r>
          </w:p>
        </w:tc>
      </w:tr>
      <w:tr w:rsidR="00193BA8" w:rsidRPr="00416EB7" w14:paraId="0541CA9F" w14:textId="77777777" w:rsidTr="00193BA8">
        <w:trPr>
          <w:jc w:val="center"/>
        </w:trPr>
        <w:tc>
          <w:tcPr>
            <w:tcW w:w="2153" w:type="dxa"/>
            <w:tcBorders>
              <w:top w:val="nil"/>
              <w:left w:val="nil"/>
              <w:bottom w:val="single" w:sz="8" w:space="0" w:color="auto"/>
              <w:right w:val="nil"/>
            </w:tcBorders>
            <w:tcMar>
              <w:top w:w="0" w:type="dxa"/>
              <w:left w:w="108" w:type="dxa"/>
              <w:bottom w:w="0" w:type="dxa"/>
              <w:right w:w="108" w:type="dxa"/>
            </w:tcMar>
            <w:hideMark/>
          </w:tcPr>
          <w:p w14:paraId="0CBC52BF" w14:textId="77777777" w:rsidR="00193BA8" w:rsidRPr="00C14A35" w:rsidRDefault="00193BA8" w:rsidP="00E44CF1">
            <w:pPr>
              <w:rPr>
                <w:rFonts w:ascii="Times New Roman" w:hAnsi="Times New Roman"/>
              </w:rPr>
            </w:pPr>
            <w:r w:rsidRPr="00C14A35">
              <w:rPr>
                <w:rFonts w:ascii="Times New Roman" w:hAnsi="Times New Roman"/>
                <w:color w:val="000000"/>
              </w:rPr>
              <w:t>HBCU-RISE award</w:t>
            </w:r>
          </w:p>
          <w:p w14:paraId="2FBF264E" w14:textId="77777777" w:rsidR="00193BA8" w:rsidRPr="00C14A35" w:rsidRDefault="00193BA8" w:rsidP="00E44CF1">
            <w:pPr>
              <w:rPr>
                <w:rFonts w:ascii="Times New Roman" w:hAnsi="Times New Roman"/>
              </w:rPr>
            </w:pPr>
            <w:r w:rsidRPr="00C14A35">
              <w:rPr>
                <w:rFonts w:ascii="Times New Roman" w:hAnsi="Times New Roman"/>
                <w:color w:val="000000"/>
              </w:rPr>
              <w:t>PIs/program coordinators</w:t>
            </w:r>
          </w:p>
        </w:tc>
        <w:tc>
          <w:tcPr>
            <w:tcW w:w="2520" w:type="dxa"/>
            <w:tcBorders>
              <w:top w:val="nil"/>
              <w:left w:val="nil"/>
              <w:bottom w:val="single" w:sz="8" w:space="0" w:color="auto"/>
              <w:right w:val="nil"/>
            </w:tcBorders>
            <w:tcMar>
              <w:top w:w="0" w:type="dxa"/>
              <w:left w:w="108" w:type="dxa"/>
              <w:bottom w:w="0" w:type="dxa"/>
              <w:right w:w="108" w:type="dxa"/>
            </w:tcMar>
            <w:vAlign w:val="center"/>
            <w:hideMark/>
          </w:tcPr>
          <w:p w14:paraId="532D4BA9" w14:textId="499DCEDB" w:rsidR="00193BA8" w:rsidRPr="00C14A35" w:rsidRDefault="00AC2851" w:rsidP="00E44CF1">
            <w:pPr>
              <w:jc w:val="right"/>
              <w:rPr>
                <w:rFonts w:ascii="Times New Roman" w:hAnsi="Times New Roman"/>
              </w:rPr>
            </w:pPr>
            <w:r w:rsidRPr="00C14A35">
              <w:rPr>
                <w:rFonts w:ascii="Times New Roman" w:hAnsi="Times New Roman"/>
                <w:color w:val="000000"/>
              </w:rPr>
              <w:t>1</w:t>
            </w:r>
            <w:r w:rsidR="007C0491" w:rsidRPr="00C14A35">
              <w:rPr>
                <w:rFonts w:ascii="Times New Roman" w:hAnsi="Times New Roman"/>
                <w:color w:val="000000"/>
              </w:rPr>
              <w:t>1</w:t>
            </w:r>
          </w:p>
        </w:tc>
        <w:tc>
          <w:tcPr>
            <w:tcW w:w="1853" w:type="dxa"/>
            <w:tcBorders>
              <w:top w:val="nil"/>
              <w:left w:val="nil"/>
              <w:bottom w:val="single" w:sz="8" w:space="0" w:color="auto"/>
              <w:right w:val="nil"/>
            </w:tcBorders>
            <w:tcMar>
              <w:top w:w="0" w:type="dxa"/>
              <w:left w:w="108" w:type="dxa"/>
              <w:bottom w:w="0" w:type="dxa"/>
              <w:right w:w="108" w:type="dxa"/>
            </w:tcMar>
            <w:vAlign w:val="center"/>
            <w:hideMark/>
          </w:tcPr>
          <w:p w14:paraId="0BBC7D9F" w14:textId="46158153" w:rsidR="00193BA8" w:rsidRPr="00C14A35" w:rsidRDefault="007C0491" w:rsidP="00E44CF1">
            <w:pPr>
              <w:jc w:val="right"/>
              <w:rPr>
                <w:rFonts w:ascii="Times New Roman" w:hAnsi="Times New Roman"/>
              </w:rPr>
            </w:pPr>
            <w:r w:rsidRPr="00C14A35">
              <w:rPr>
                <w:rFonts w:ascii="Times New Roman" w:hAnsi="Times New Roman"/>
                <w:color w:val="000000"/>
              </w:rPr>
              <w:t>23</w:t>
            </w:r>
          </w:p>
        </w:tc>
        <w:tc>
          <w:tcPr>
            <w:tcW w:w="1491" w:type="dxa"/>
            <w:tcBorders>
              <w:top w:val="nil"/>
              <w:left w:val="nil"/>
              <w:bottom w:val="single" w:sz="8" w:space="0" w:color="auto"/>
              <w:right w:val="nil"/>
            </w:tcBorders>
            <w:tcMar>
              <w:top w:w="0" w:type="dxa"/>
              <w:left w:w="108" w:type="dxa"/>
              <w:bottom w:w="0" w:type="dxa"/>
              <w:right w:w="108" w:type="dxa"/>
            </w:tcMar>
            <w:vAlign w:val="center"/>
            <w:hideMark/>
          </w:tcPr>
          <w:p w14:paraId="592BED77" w14:textId="420F17DB" w:rsidR="00193BA8" w:rsidRPr="00C14A35" w:rsidRDefault="007C0491" w:rsidP="00E44CF1">
            <w:pPr>
              <w:jc w:val="right"/>
              <w:rPr>
                <w:rFonts w:ascii="Times New Roman" w:hAnsi="Times New Roman"/>
              </w:rPr>
            </w:pPr>
            <w:r w:rsidRPr="00C14A35">
              <w:rPr>
                <w:rFonts w:ascii="Times New Roman" w:hAnsi="Times New Roman"/>
                <w:color w:val="000000"/>
              </w:rPr>
              <w:t>253</w:t>
            </w:r>
          </w:p>
        </w:tc>
      </w:tr>
      <w:tr w:rsidR="00193BA8" w:rsidRPr="00416EB7" w14:paraId="3600487D" w14:textId="77777777" w:rsidTr="00193BA8">
        <w:trPr>
          <w:jc w:val="center"/>
        </w:trPr>
        <w:tc>
          <w:tcPr>
            <w:tcW w:w="2153" w:type="dxa"/>
            <w:tcBorders>
              <w:top w:val="nil"/>
              <w:left w:val="nil"/>
              <w:bottom w:val="single" w:sz="12" w:space="0" w:color="auto"/>
              <w:right w:val="nil"/>
            </w:tcBorders>
            <w:tcMar>
              <w:top w:w="0" w:type="dxa"/>
              <w:left w:w="108" w:type="dxa"/>
              <w:bottom w:w="0" w:type="dxa"/>
              <w:right w:w="108" w:type="dxa"/>
            </w:tcMar>
            <w:hideMark/>
          </w:tcPr>
          <w:p w14:paraId="4806E7D0" w14:textId="77777777" w:rsidR="00193BA8" w:rsidRPr="00416EB7" w:rsidRDefault="00193BA8" w:rsidP="00E44CF1">
            <w:pPr>
              <w:rPr>
                <w:rFonts w:ascii="Times New Roman" w:hAnsi="Times New Roman"/>
                <w:szCs w:val="24"/>
              </w:rPr>
            </w:pPr>
            <w:r w:rsidRPr="00416EB7">
              <w:rPr>
                <w:rFonts w:ascii="Times New Roman" w:hAnsi="Times New Roman"/>
                <w:b/>
                <w:bCs/>
                <w:color w:val="000000"/>
                <w:szCs w:val="24"/>
              </w:rPr>
              <w:t>Total</w:t>
            </w:r>
          </w:p>
        </w:tc>
        <w:tc>
          <w:tcPr>
            <w:tcW w:w="2520" w:type="dxa"/>
            <w:tcBorders>
              <w:top w:val="nil"/>
              <w:left w:val="nil"/>
              <w:bottom w:val="single" w:sz="12" w:space="0" w:color="auto"/>
              <w:right w:val="nil"/>
            </w:tcBorders>
            <w:tcMar>
              <w:top w:w="0" w:type="dxa"/>
              <w:left w:w="108" w:type="dxa"/>
              <w:bottom w:w="0" w:type="dxa"/>
              <w:right w:w="108" w:type="dxa"/>
            </w:tcMar>
            <w:vAlign w:val="center"/>
            <w:hideMark/>
          </w:tcPr>
          <w:p w14:paraId="4BF7FD4A" w14:textId="58130A11" w:rsidR="00193BA8" w:rsidRPr="00416EB7" w:rsidRDefault="00AC2851" w:rsidP="00E44CF1">
            <w:pPr>
              <w:jc w:val="right"/>
              <w:rPr>
                <w:rFonts w:ascii="Times New Roman" w:hAnsi="Times New Roman"/>
                <w:szCs w:val="24"/>
              </w:rPr>
            </w:pPr>
            <w:r>
              <w:rPr>
                <w:rFonts w:ascii="Times New Roman" w:hAnsi="Times New Roman"/>
                <w:b/>
                <w:bCs/>
                <w:color w:val="000000"/>
                <w:szCs w:val="24"/>
              </w:rPr>
              <w:t>4</w:t>
            </w:r>
            <w:r w:rsidR="007C0491">
              <w:rPr>
                <w:rFonts w:ascii="Times New Roman" w:hAnsi="Times New Roman"/>
                <w:b/>
                <w:bCs/>
                <w:color w:val="000000"/>
                <w:szCs w:val="24"/>
              </w:rPr>
              <w:t>2</w:t>
            </w:r>
          </w:p>
        </w:tc>
        <w:tc>
          <w:tcPr>
            <w:tcW w:w="1853" w:type="dxa"/>
            <w:tcBorders>
              <w:top w:val="nil"/>
              <w:left w:val="nil"/>
              <w:bottom w:val="single" w:sz="12" w:space="0" w:color="auto"/>
              <w:right w:val="nil"/>
            </w:tcBorders>
            <w:tcMar>
              <w:top w:w="0" w:type="dxa"/>
              <w:left w:w="108" w:type="dxa"/>
              <w:bottom w:w="0" w:type="dxa"/>
              <w:right w:w="108" w:type="dxa"/>
            </w:tcMar>
            <w:vAlign w:val="center"/>
            <w:hideMark/>
          </w:tcPr>
          <w:p w14:paraId="03BCDADA" w14:textId="6D762263" w:rsidR="00193BA8" w:rsidRPr="00416EB7" w:rsidRDefault="007C0491" w:rsidP="00AC2851">
            <w:pPr>
              <w:jc w:val="right"/>
              <w:rPr>
                <w:rFonts w:ascii="Times New Roman" w:hAnsi="Times New Roman"/>
                <w:szCs w:val="24"/>
              </w:rPr>
            </w:pPr>
            <w:r>
              <w:rPr>
                <w:rFonts w:ascii="Times New Roman" w:hAnsi="Times New Roman"/>
                <w:b/>
                <w:bCs/>
                <w:color w:val="000000"/>
                <w:szCs w:val="24"/>
              </w:rPr>
              <w:t>39.24</w:t>
            </w:r>
          </w:p>
        </w:tc>
        <w:tc>
          <w:tcPr>
            <w:tcW w:w="1491" w:type="dxa"/>
            <w:tcBorders>
              <w:top w:val="nil"/>
              <w:left w:val="nil"/>
              <w:bottom w:val="single" w:sz="12" w:space="0" w:color="auto"/>
              <w:right w:val="nil"/>
            </w:tcBorders>
            <w:tcMar>
              <w:top w:w="0" w:type="dxa"/>
              <w:left w:w="108" w:type="dxa"/>
              <w:bottom w:w="0" w:type="dxa"/>
              <w:right w:w="108" w:type="dxa"/>
            </w:tcMar>
            <w:vAlign w:val="center"/>
            <w:hideMark/>
          </w:tcPr>
          <w:p w14:paraId="7F247DEF" w14:textId="6812259A" w:rsidR="00193BA8" w:rsidRPr="00416EB7" w:rsidRDefault="00193BA8" w:rsidP="00AC2851">
            <w:pPr>
              <w:jc w:val="right"/>
              <w:rPr>
                <w:rFonts w:ascii="Times New Roman" w:hAnsi="Times New Roman"/>
                <w:szCs w:val="24"/>
              </w:rPr>
            </w:pPr>
            <w:r w:rsidRPr="00416EB7">
              <w:rPr>
                <w:rFonts w:ascii="Times New Roman" w:hAnsi="Times New Roman"/>
                <w:b/>
                <w:bCs/>
                <w:color w:val="000000"/>
                <w:szCs w:val="24"/>
              </w:rPr>
              <w:t>1,</w:t>
            </w:r>
            <w:r w:rsidR="007C0491">
              <w:rPr>
                <w:rFonts w:ascii="Times New Roman" w:hAnsi="Times New Roman"/>
                <w:b/>
                <w:bCs/>
                <w:color w:val="000000"/>
                <w:szCs w:val="24"/>
              </w:rPr>
              <w:t>648</w:t>
            </w:r>
          </w:p>
        </w:tc>
      </w:tr>
    </w:tbl>
    <w:p w14:paraId="43E9B741" w14:textId="77777777" w:rsidR="00193BA8" w:rsidRDefault="00193BA8" w:rsidP="00193BA8">
      <w:pPr>
        <w:rPr>
          <w:rFonts w:ascii="Times New Roman" w:hAnsi="Times New Roman"/>
        </w:rPr>
      </w:pPr>
    </w:p>
    <w:p w14:paraId="78281C44" w14:textId="77777777" w:rsidR="00193BA8" w:rsidRDefault="00193BA8" w:rsidP="00674A43">
      <w:pPr>
        <w:pStyle w:val="Heading3"/>
        <w:keepNext/>
        <w:keepLines/>
      </w:pPr>
      <w:r>
        <w:t>A.12.2. Hour Burden Estimates by Each Form and Aggregate Hour Burdens</w:t>
      </w:r>
    </w:p>
    <w:p w14:paraId="35D14CDF" w14:textId="289CAE5D" w:rsidR="00193BA8" w:rsidRDefault="00193BA8" w:rsidP="00674A43">
      <w:pPr>
        <w:pStyle w:val="p1-standpara"/>
        <w:keepNext/>
        <w:keepLines/>
        <w:spacing w:before="0" w:beforeAutospacing="0" w:after="0" w:afterAutospacing="0"/>
        <w:jc w:val="both"/>
      </w:pPr>
      <w:r>
        <w:t xml:space="preserve">Details on the burdens of each form can be found in attachments A1 through </w:t>
      </w:r>
      <w:r w:rsidR="00323E47">
        <w:t>G</w:t>
      </w:r>
      <w:r>
        <w:t xml:space="preserve">1. </w:t>
      </w:r>
      <w:r w:rsidR="00323E47">
        <w:t>Exhibit</w:t>
      </w:r>
      <w:r w:rsidR="00674A43">
        <w:t> </w:t>
      </w:r>
      <w:r w:rsidR="00323E47">
        <w:t xml:space="preserve">5 provides </w:t>
      </w:r>
      <w:r>
        <w:t>an example of how this burden was estimated for the CREST</w:t>
      </w:r>
      <w:r w:rsidR="00E13228">
        <w:t>/HBCU-RISE</w:t>
      </w:r>
      <w:r>
        <w:t xml:space="preserve"> monitoring system (</w:t>
      </w:r>
      <w:r w:rsidR="00323E47">
        <w:t xml:space="preserve">details in </w:t>
      </w:r>
      <w:r w:rsidR="00C14A35">
        <w:t>A</w:t>
      </w:r>
      <w:r>
        <w:t xml:space="preserve">ttachment </w:t>
      </w:r>
      <w:r w:rsidR="00323E47">
        <w:t>A</w:t>
      </w:r>
      <w:r w:rsidR="001E4096">
        <w:t>1</w:t>
      </w:r>
      <w:r>
        <w:t>):</w:t>
      </w:r>
    </w:p>
    <w:p w14:paraId="397EDDB4" w14:textId="0E7E79F3" w:rsidR="00193BA8" w:rsidRDefault="00193BA8" w:rsidP="00193BA8">
      <w:pPr>
        <w:jc w:val="both"/>
      </w:pPr>
    </w:p>
    <w:p w14:paraId="2519112E" w14:textId="077B5CBD" w:rsidR="00323E47" w:rsidRPr="00323E47" w:rsidRDefault="00323E47" w:rsidP="00193BA8">
      <w:pPr>
        <w:jc w:val="both"/>
        <w:rPr>
          <w:rFonts w:ascii="Times New Roman" w:hAnsi="Times New Roman"/>
          <w:b/>
        </w:rPr>
      </w:pPr>
      <w:r w:rsidRPr="00323E47">
        <w:rPr>
          <w:rFonts w:ascii="Times New Roman" w:hAnsi="Times New Roman"/>
          <w:b/>
        </w:rPr>
        <w:t>Exhibit 5: Sample calculation of hour burden estimates by form</w:t>
      </w:r>
    </w:p>
    <w:tbl>
      <w:tblPr>
        <w:tblW w:w="0" w:type="auto"/>
        <w:tblLook w:val="04A0" w:firstRow="1" w:lastRow="0" w:firstColumn="1" w:lastColumn="0" w:noHBand="0" w:noVBand="1"/>
      </w:tblPr>
      <w:tblGrid>
        <w:gridCol w:w="1922"/>
        <w:gridCol w:w="2242"/>
        <w:gridCol w:w="1590"/>
        <w:gridCol w:w="1776"/>
        <w:gridCol w:w="1326"/>
      </w:tblGrid>
      <w:tr w:rsidR="00193BA8" w14:paraId="3F298685" w14:textId="77777777" w:rsidTr="00193BA8">
        <w:tc>
          <w:tcPr>
            <w:tcW w:w="1922" w:type="dxa"/>
            <w:tcBorders>
              <w:top w:val="single" w:sz="12" w:space="0" w:color="auto"/>
              <w:left w:val="nil"/>
              <w:bottom w:val="single" w:sz="12" w:space="0" w:color="auto"/>
              <w:right w:val="nil"/>
            </w:tcBorders>
            <w:shd w:val="clear" w:color="auto" w:fill="auto"/>
            <w:vAlign w:val="center"/>
            <w:hideMark/>
          </w:tcPr>
          <w:p w14:paraId="138CAAA2" w14:textId="3F80D8E0" w:rsidR="00193BA8" w:rsidRPr="00D40699" w:rsidRDefault="00193BA8" w:rsidP="00674A43">
            <w:pPr>
              <w:pStyle w:val="p1-standpara"/>
              <w:spacing w:before="0" w:beforeAutospacing="0" w:after="0" w:afterAutospacing="0"/>
              <w:jc w:val="center"/>
              <w:rPr>
                <w:sz w:val="20"/>
                <w:szCs w:val="20"/>
              </w:rPr>
            </w:pPr>
            <w:r w:rsidRPr="00D40699">
              <w:rPr>
                <w:rStyle w:val="Strong"/>
                <w:color w:val="000000"/>
                <w:sz w:val="20"/>
                <w:szCs w:val="20"/>
              </w:rPr>
              <w:t>Form</w:t>
            </w:r>
            <w:r w:rsidR="00674A43">
              <w:rPr>
                <w:rStyle w:val="Strong"/>
                <w:color w:val="000000"/>
                <w:sz w:val="20"/>
                <w:szCs w:val="20"/>
              </w:rPr>
              <w:t xml:space="preserve"> </w:t>
            </w:r>
            <w:r w:rsidRPr="00D40699">
              <w:rPr>
                <w:rStyle w:val="Strong"/>
                <w:color w:val="000000"/>
                <w:sz w:val="20"/>
                <w:szCs w:val="20"/>
              </w:rPr>
              <w:t>Type</w:t>
            </w:r>
          </w:p>
        </w:tc>
        <w:tc>
          <w:tcPr>
            <w:tcW w:w="2242" w:type="dxa"/>
            <w:tcBorders>
              <w:top w:val="single" w:sz="12" w:space="0" w:color="auto"/>
              <w:left w:val="nil"/>
              <w:bottom w:val="single" w:sz="12" w:space="0" w:color="auto"/>
              <w:right w:val="nil"/>
            </w:tcBorders>
            <w:shd w:val="clear" w:color="auto" w:fill="auto"/>
            <w:vAlign w:val="center"/>
            <w:hideMark/>
          </w:tcPr>
          <w:p w14:paraId="167AC758" w14:textId="77777777" w:rsidR="00193BA8" w:rsidRPr="00D40699" w:rsidRDefault="00193BA8" w:rsidP="00E44CF1">
            <w:pPr>
              <w:pStyle w:val="p1-standpara"/>
              <w:spacing w:before="0" w:beforeAutospacing="0" w:after="0" w:afterAutospacing="0"/>
              <w:jc w:val="center"/>
              <w:rPr>
                <w:sz w:val="20"/>
                <w:szCs w:val="20"/>
              </w:rPr>
            </w:pPr>
            <w:r w:rsidRPr="00D40699">
              <w:rPr>
                <w:rStyle w:val="Strong"/>
                <w:color w:val="000000"/>
                <w:sz w:val="20"/>
                <w:szCs w:val="20"/>
              </w:rPr>
              <w:t>Respondent Type</w:t>
            </w:r>
          </w:p>
        </w:tc>
        <w:tc>
          <w:tcPr>
            <w:tcW w:w="1590" w:type="dxa"/>
            <w:tcBorders>
              <w:top w:val="single" w:sz="12" w:space="0" w:color="auto"/>
              <w:left w:val="nil"/>
              <w:bottom w:val="single" w:sz="12" w:space="0" w:color="auto"/>
              <w:right w:val="nil"/>
            </w:tcBorders>
            <w:shd w:val="clear" w:color="auto" w:fill="auto"/>
            <w:vAlign w:val="center"/>
            <w:hideMark/>
          </w:tcPr>
          <w:p w14:paraId="7F3E412C" w14:textId="77777777" w:rsidR="00193BA8" w:rsidRPr="00D40699" w:rsidRDefault="00193BA8" w:rsidP="00E44CF1">
            <w:pPr>
              <w:pStyle w:val="p1-standpara"/>
              <w:spacing w:before="0" w:beforeAutospacing="0" w:after="0" w:afterAutospacing="0"/>
              <w:jc w:val="center"/>
              <w:rPr>
                <w:sz w:val="20"/>
                <w:szCs w:val="20"/>
              </w:rPr>
            </w:pPr>
            <w:r w:rsidRPr="00D40699">
              <w:rPr>
                <w:rStyle w:val="Strong"/>
                <w:color w:val="000000"/>
                <w:sz w:val="20"/>
                <w:szCs w:val="20"/>
              </w:rPr>
              <w:t>No. of Respondents</w:t>
            </w:r>
          </w:p>
        </w:tc>
        <w:tc>
          <w:tcPr>
            <w:tcW w:w="1776" w:type="dxa"/>
            <w:tcBorders>
              <w:top w:val="single" w:sz="12" w:space="0" w:color="auto"/>
              <w:left w:val="nil"/>
              <w:bottom w:val="single" w:sz="12" w:space="0" w:color="auto"/>
              <w:right w:val="nil"/>
            </w:tcBorders>
            <w:shd w:val="clear" w:color="auto" w:fill="auto"/>
            <w:vAlign w:val="center"/>
            <w:hideMark/>
          </w:tcPr>
          <w:p w14:paraId="12573CC2" w14:textId="77777777" w:rsidR="00193BA8" w:rsidRPr="00D40699" w:rsidRDefault="00193BA8" w:rsidP="00E44CF1">
            <w:pPr>
              <w:pStyle w:val="p1-standpara"/>
              <w:spacing w:before="0" w:beforeAutospacing="0" w:after="0" w:afterAutospacing="0"/>
              <w:jc w:val="center"/>
              <w:rPr>
                <w:sz w:val="20"/>
                <w:szCs w:val="20"/>
              </w:rPr>
            </w:pPr>
            <w:r w:rsidRPr="00D40699">
              <w:rPr>
                <w:rStyle w:val="Strong"/>
                <w:color w:val="000000"/>
                <w:sz w:val="20"/>
                <w:szCs w:val="20"/>
              </w:rPr>
              <w:t>Burden Hours Per Respondent</w:t>
            </w:r>
          </w:p>
        </w:tc>
        <w:tc>
          <w:tcPr>
            <w:tcW w:w="1326" w:type="dxa"/>
            <w:tcBorders>
              <w:top w:val="single" w:sz="12" w:space="0" w:color="auto"/>
              <w:left w:val="nil"/>
              <w:bottom w:val="single" w:sz="12" w:space="0" w:color="auto"/>
              <w:right w:val="nil"/>
            </w:tcBorders>
            <w:shd w:val="clear" w:color="auto" w:fill="auto"/>
            <w:vAlign w:val="center"/>
            <w:hideMark/>
          </w:tcPr>
          <w:p w14:paraId="37C2970C" w14:textId="77777777" w:rsidR="00193BA8" w:rsidRPr="00D40699" w:rsidRDefault="00193BA8" w:rsidP="00E44CF1">
            <w:pPr>
              <w:pStyle w:val="p1-standpara"/>
              <w:spacing w:before="0" w:beforeAutospacing="0" w:after="0" w:afterAutospacing="0"/>
              <w:jc w:val="center"/>
              <w:rPr>
                <w:sz w:val="20"/>
                <w:szCs w:val="20"/>
              </w:rPr>
            </w:pPr>
            <w:r w:rsidRPr="00D40699">
              <w:rPr>
                <w:rStyle w:val="Strong"/>
                <w:color w:val="000000"/>
                <w:sz w:val="20"/>
                <w:szCs w:val="20"/>
              </w:rPr>
              <w:t>Total Burden Hours</w:t>
            </w:r>
          </w:p>
        </w:tc>
      </w:tr>
      <w:tr w:rsidR="00193BA8" w14:paraId="761A6131" w14:textId="77777777" w:rsidTr="00193BA8">
        <w:tc>
          <w:tcPr>
            <w:tcW w:w="1922" w:type="dxa"/>
            <w:tcBorders>
              <w:top w:val="nil"/>
              <w:left w:val="nil"/>
              <w:bottom w:val="single" w:sz="8" w:space="0" w:color="auto"/>
              <w:right w:val="nil"/>
            </w:tcBorders>
            <w:shd w:val="clear" w:color="auto" w:fill="auto"/>
            <w:hideMark/>
          </w:tcPr>
          <w:p w14:paraId="371A6A05" w14:textId="437D6824" w:rsidR="00193BA8" w:rsidRPr="00D40699" w:rsidRDefault="00193BA8" w:rsidP="00E44CF1">
            <w:pPr>
              <w:pStyle w:val="p1-standpara"/>
              <w:spacing w:before="0" w:beforeAutospacing="0" w:after="0" w:afterAutospacing="0"/>
              <w:rPr>
                <w:sz w:val="20"/>
                <w:szCs w:val="20"/>
              </w:rPr>
            </w:pPr>
            <w:r w:rsidRPr="00D40699">
              <w:rPr>
                <w:color w:val="000000"/>
                <w:sz w:val="20"/>
                <w:szCs w:val="20"/>
              </w:rPr>
              <w:t>CREST</w:t>
            </w:r>
            <w:r w:rsidR="00E13228" w:rsidRPr="00D40699">
              <w:rPr>
                <w:color w:val="000000"/>
                <w:sz w:val="20"/>
                <w:szCs w:val="20"/>
              </w:rPr>
              <w:t>/HBCU-RISE</w:t>
            </w:r>
            <w:r w:rsidRPr="00D40699">
              <w:rPr>
                <w:color w:val="000000"/>
                <w:sz w:val="20"/>
                <w:szCs w:val="20"/>
              </w:rPr>
              <w:t xml:space="preserve"> data collection form</w:t>
            </w:r>
          </w:p>
        </w:tc>
        <w:tc>
          <w:tcPr>
            <w:tcW w:w="2242" w:type="dxa"/>
            <w:tcBorders>
              <w:top w:val="nil"/>
              <w:left w:val="nil"/>
              <w:bottom w:val="single" w:sz="8" w:space="0" w:color="auto"/>
              <w:right w:val="nil"/>
            </w:tcBorders>
            <w:shd w:val="clear" w:color="auto" w:fill="auto"/>
            <w:hideMark/>
          </w:tcPr>
          <w:p w14:paraId="0B620328" w14:textId="77777777" w:rsidR="00193BA8" w:rsidRPr="00D40699" w:rsidRDefault="00193BA8" w:rsidP="00E44CF1">
            <w:pPr>
              <w:pStyle w:val="p1-standpara"/>
              <w:spacing w:before="0" w:beforeAutospacing="0" w:after="0" w:afterAutospacing="0"/>
              <w:rPr>
                <w:sz w:val="20"/>
                <w:szCs w:val="20"/>
              </w:rPr>
            </w:pPr>
            <w:r w:rsidRPr="00D40699">
              <w:rPr>
                <w:color w:val="000000"/>
                <w:sz w:val="20"/>
                <w:szCs w:val="20"/>
              </w:rPr>
              <w:t>PIs/program coordinators</w:t>
            </w:r>
          </w:p>
        </w:tc>
        <w:tc>
          <w:tcPr>
            <w:tcW w:w="1590" w:type="dxa"/>
            <w:tcBorders>
              <w:top w:val="nil"/>
              <w:left w:val="nil"/>
              <w:bottom w:val="single" w:sz="8" w:space="0" w:color="auto"/>
              <w:right w:val="nil"/>
            </w:tcBorders>
            <w:shd w:val="clear" w:color="auto" w:fill="auto"/>
            <w:vAlign w:val="center"/>
            <w:hideMark/>
          </w:tcPr>
          <w:p w14:paraId="4A1FD7FE" w14:textId="6B70F02E" w:rsidR="00193BA8" w:rsidRPr="00D40699" w:rsidRDefault="001E4096" w:rsidP="00693AA3">
            <w:pPr>
              <w:pStyle w:val="p1-standpara"/>
              <w:spacing w:before="0" w:beforeAutospacing="0" w:after="0" w:afterAutospacing="0"/>
              <w:jc w:val="right"/>
              <w:rPr>
                <w:sz w:val="20"/>
                <w:szCs w:val="20"/>
              </w:rPr>
            </w:pPr>
            <w:r w:rsidRPr="00D40699">
              <w:rPr>
                <w:color w:val="000000"/>
                <w:sz w:val="20"/>
                <w:szCs w:val="20"/>
              </w:rPr>
              <w:t>4</w:t>
            </w:r>
            <w:r w:rsidR="00323E47" w:rsidRPr="00D40699">
              <w:rPr>
                <w:color w:val="000000"/>
                <w:sz w:val="20"/>
                <w:szCs w:val="20"/>
              </w:rPr>
              <w:t>2</w:t>
            </w:r>
          </w:p>
        </w:tc>
        <w:tc>
          <w:tcPr>
            <w:tcW w:w="1776" w:type="dxa"/>
            <w:tcBorders>
              <w:top w:val="nil"/>
              <w:left w:val="nil"/>
              <w:bottom w:val="single" w:sz="8" w:space="0" w:color="auto"/>
              <w:right w:val="nil"/>
            </w:tcBorders>
            <w:shd w:val="clear" w:color="auto" w:fill="auto"/>
            <w:vAlign w:val="center"/>
            <w:hideMark/>
          </w:tcPr>
          <w:p w14:paraId="42AE0989" w14:textId="2D725C8E" w:rsidR="00193BA8" w:rsidRPr="00D40699" w:rsidRDefault="00323E47" w:rsidP="00693AA3">
            <w:pPr>
              <w:pStyle w:val="p1-standpara"/>
              <w:spacing w:before="0" w:beforeAutospacing="0" w:after="0" w:afterAutospacing="0"/>
              <w:jc w:val="right"/>
              <w:rPr>
                <w:sz w:val="20"/>
                <w:szCs w:val="20"/>
              </w:rPr>
            </w:pPr>
            <w:r w:rsidRPr="00D40699">
              <w:rPr>
                <w:color w:val="000000"/>
                <w:sz w:val="20"/>
                <w:szCs w:val="20"/>
              </w:rPr>
              <w:t>39</w:t>
            </w:r>
            <w:r w:rsidR="001E4096" w:rsidRPr="00D40699">
              <w:rPr>
                <w:color w:val="000000"/>
                <w:sz w:val="20"/>
                <w:szCs w:val="20"/>
              </w:rPr>
              <w:t>.2</w:t>
            </w:r>
            <w:r w:rsidRPr="00D40699">
              <w:rPr>
                <w:color w:val="000000"/>
                <w:sz w:val="20"/>
                <w:szCs w:val="20"/>
              </w:rPr>
              <w:t>4</w:t>
            </w:r>
          </w:p>
        </w:tc>
        <w:tc>
          <w:tcPr>
            <w:tcW w:w="1326" w:type="dxa"/>
            <w:tcBorders>
              <w:top w:val="nil"/>
              <w:left w:val="nil"/>
              <w:bottom w:val="single" w:sz="8" w:space="0" w:color="auto"/>
              <w:right w:val="nil"/>
            </w:tcBorders>
            <w:shd w:val="clear" w:color="auto" w:fill="auto"/>
            <w:vAlign w:val="center"/>
            <w:hideMark/>
          </w:tcPr>
          <w:p w14:paraId="29B09394" w14:textId="175587F5" w:rsidR="00193BA8" w:rsidRPr="00D40699" w:rsidRDefault="001E4096" w:rsidP="00693AA3">
            <w:pPr>
              <w:pStyle w:val="p1-standpara"/>
              <w:spacing w:before="0" w:beforeAutospacing="0" w:after="0" w:afterAutospacing="0"/>
              <w:jc w:val="right"/>
              <w:rPr>
                <w:sz w:val="20"/>
                <w:szCs w:val="20"/>
              </w:rPr>
            </w:pPr>
            <w:r w:rsidRPr="00D40699">
              <w:rPr>
                <w:color w:val="000000"/>
                <w:sz w:val="20"/>
                <w:szCs w:val="20"/>
              </w:rPr>
              <w:t>1,</w:t>
            </w:r>
            <w:r w:rsidR="00323E47" w:rsidRPr="00D40699">
              <w:rPr>
                <w:color w:val="000000"/>
                <w:sz w:val="20"/>
                <w:szCs w:val="20"/>
              </w:rPr>
              <w:t>648</w:t>
            </w:r>
          </w:p>
        </w:tc>
      </w:tr>
      <w:tr w:rsidR="00193BA8" w14:paraId="2337914F" w14:textId="77777777" w:rsidTr="00193BA8">
        <w:tc>
          <w:tcPr>
            <w:tcW w:w="1922" w:type="dxa"/>
            <w:tcBorders>
              <w:top w:val="nil"/>
              <w:left w:val="nil"/>
              <w:bottom w:val="single" w:sz="12" w:space="0" w:color="auto"/>
              <w:right w:val="nil"/>
            </w:tcBorders>
            <w:shd w:val="clear" w:color="auto" w:fill="auto"/>
            <w:hideMark/>
          </w:tcPr>
          <w:p w14:paraId="6D0F7921" w14:textId="77777777" w:rsidR="00193BA8" w:rsidRPr="00D40699" w:rsidRDefault="00193BA8" w:rsidP="00E44CF1">
            <w:pPr>
              <w:pStyle w:val="p1-standpara"/>
              <w:spacing w:before="0" w:beforeAutospacing="0" w:after="0" w:afterAutospacing="0"/>
              <w:rPr>
                <w:sz w:val="20"/>
                <w:szCs w:val="20"/>
              </w:rPr>
            </w:pPr>
            <w:r w:rsidRPr="00D40699">
              <w:rPr>
                <w:rStyle w:val="Strong"/>
                <w:color w:val="000000"/>
                <w:sz w:val="20"/>
                <w:szCs w:val="20"/>
              </w:rPr>
              <w:t>Total</w:t>
            </w:r>
          </w:p>
        </w:tc>
        <w:tc>
          <w:tcPr>
            <w:tcW w:w="2242" w:type="dxa"/>
            <w:tcBorders>
              <w:top w:val="nil"/>
              <w:left w:val="nil"/>
              <w:bottom w:val="single" w:sz="12" w:space="0" w:color="auto"/>
              <w:right w:val="nil"/>
            </w:tcBorders>
            <w:shd w:val="clear" w:color="auto" w:fill="auto"/>
            <w:hideMark/>
          </w:tcPr>
          <w:p w14:paraId="05A6C939" w14:textId="77777777" w:rsidR="00193BA8" w:rsidRPr="00D40699" w:rsidRDefault="00193BA8" w:rsidP="00E44CF1">
            <w:pPr>
              <w:pStyle w:val="p1-standpara"/>
              <w:spacing w:before="0" w:beforeAutospacing="0" w:after="0" w:afterAutospacing="0"/>
              <w:rPr>
                <w:sz w:val="20"/>
                <w:szCs w:val="20"/>
              </w:rPr>
            </w:pPr>
          </w:p>
        </w:tc>
        <w:tc>
          <w:tcPr>
            <w:tcW w:w="1590" w:type="dxa"/>
            <w:tcBorders>
              <w:top w:val="nil"/>
              <w:left w:val="nil"/>
              <w:bottom w:val="single" w:sz="12" w:space="0" w:color="auto"/>
              <w:right w:val="nil"/>
            </w:tcBorders>
            <w:shd w:val="clear" w:color="auto" w:fill="auto"/>
            <w:vAlign w:val="center"/>
            <w:hideMark/>
          </w:tcPr>
          <w:p w14:paraId="6A824847" w14:textId="474D89B6" w:rsidR="00193BA8" w:rsidRPr="00D40699" w:rsidRDefault="001E4096" w:rsidP="00693AA3">
            <w:pPr>
              <w:pStyle w:val="p1-standpara"/>
              <w:spacing w:before="0" w:beforeAutospacing="0" w:after="0" w:afterAutospacing="0"/>
              <w:jc w:val="right"/>
              <w:rPr>
                <w:sz w:val="20"/>
                <w:szCs w:val="20"/>
              </w:rPr>
            </w:pPr>
            <w:r w:rsidRPr="00D40699">
              <w:rPr>
                <w:rStyle w:val="Strong"/>
                <w:color w:val="000000"/>
                <w:sz w:val="20"/>
                <w:szCs w:val="20"/>
              </w:rPr>
              <w:t>4</w:t>
            </w:r>
            <w:r w:rsidR="00323E47" w:rsidRPr="00D40699">
              <w:rPr>
                <w:rStyle w:val="Strong"/>
                <w:color w:val="000000"/>
                <w:sz w:val="20"/>
                <w:szCs w:val="20"/>
              </w:rPr>
              <w:t>2</w:t>
            </w:r>
          </w:p>
        </w:tc>
        <w:tc>
          <w:tcPr>
            <w:tcW w:w="1776" w:type="dxa"/>
            <w:tcBorders>
              <w:top w:val="nil"/>
              <w:left w:val="nil"/>
              <w:bottom w:val="single" w:sz="12" w:space="0" w:color="auto"/>
              <w:right w:val="nil"/>
            </w:tcBorders>
            <w:shd w:val="clear" w:color="auto" w:fill="auto"/>
            <w:vAlign w:val="center"/>
            <w:hideMark/>
          </w:tcPr>
          <w:p w14:paraId="231BAAF4" w14:textId="77777777" w:rsidR="00193BA8" w:rsidRPr="00D40699" w:rsidRDefault="00193BA8" w:rsidP="00693AA3">
            <w:pPr>
              <w:pStyle w:val="p1-standpara"/>
              <w:spacing w:before="0" w:beforeAutospacing="0" w:after="0" w:afterAutospacing="0"/>
              <w:jc w:val="right"/>
              <w:rPr>
                <w:sz w:val="20"/>
                <w:szCs w:val="20"/>
              </w:rPr>
            </w:pPr>
          </w:p>
        </w:tc>
        <w:tc>
          <w:tcPr>
            <w:tcW w:w="1326" w:type="dxa"/>
            <w:tcBorders>
              <w:top w:val="nil"/>
              <w:left w:val="nil"/>
              <w:bottom w:val="single" w:sz="12" w:space="0" w:color="auto"/>
              <w:right w:val="nil"/>
            </w:tcBorders>
            <w:shd w:val="clear" w:color="auto" w:fill="auto"/>
            <w:vAlign w:val="center"/>
            <w:hideMark/>
          </w:tcPr>
          <w:p w14:paraId="777A2057" w14:textId="04A8DE71" w:rsidR="00193BA8" w:rsidRPr="00D40699" w:rsidRDefault="00193BA8" w:rsidP="00693AA3">
            <w:pPr>
              <w:pStyle w:val="p1-standpara"/>
              <w:spacing w:before="0" w:beforeAutospacing="0" w:after="0" w:afterAutospacing="0"/>
              <w:jc w:val="right"/>
              <w:rPr>
                <w:sz w:val="20"/>
                <w:szCs w:val="20"/>
              </w:rPr>
            </w:pPr>
            <w:r w:rsidRPr="00D40699">
              <w:rPr>
                <w:rStyle w:val="Strong"/>
                <w:color w:val="000000"/>
                <w:sz w:val="20"/>
                <w:szCs w:val="20"/>
              </w:rPr>
              <w:t>1,</w:t>
            </w:r>
            <w:r w:rsidR="00323E47" w:rsidRPr="00D40699">
              <w:rPr>
                <w:rStyle w:val="Strong"/>
                <w:color w:val="000000"/>
                <w:sz w:val="20"/>
                <w:szCs w:val="20"/>
              </w:rPr>
              <w:t>648</w:t>
            </w:r>
          </w:p>
        </w:tc>
      </w:tr>
    </w:tbl>
    <w:p w14:paraId="25CE462A" w14:textId="199CDAEE" w:rsidR="00193BA8" w:rsidRDefault="00193BA8" w:rsidP="00193BA8">
      <w:pPr>
        <w:pStyle w:val="Heading3"/>
      </w:pPr>
      <w:r>
        <w:t>A.12.3. Estimates of Annualized Cost to Respondents for the Hour Burdens</w:t>
      </w:r>
    </w:p>
    <w:p w14:paraId="75667127" w14:textId="4C28F1FA" w:rsidR="00193BA8" w:rsidRDefault="00193BA8" w:rsidP="00193BA8">
      <w:pPr>
        <w:pStyle w:val="p1-standpara"/>
        <w:spacing w:before="0" w:beforeAutospacing="0" w:after="0" w:afterAutospacing="0"/>
        <w:jc w:val="both"/>
      </w:pPr>
      <w:r>
        <w:rPr>
          <w:color w:val="000000"/>
        </w:rPr>
        <w:t xml:space="preserve">As shown in </w:t>
      </w:r>
      <w:r w:rsidR="00E13228">
        <w:rPr>
          <w:color w:val="000000"/>
        </w:rPr>
        <w:t>A</w:t>
      </w:r>
      <w:r>
        <w:rPr>
          <w:color w:val="000000"/>
        </w:rPr>
        <w:t xml:space="preserve">ppendix </w:t>
      </w:r>
      <w:r w:rsidR="00295BF0">
        <w:rPr>
          <w:color w:val="000000"/>
        </w:rPr>
        <w:t>A</w:t>
      </w:r>
      <w:r>
        <w:rPr>
          <w:color w:val="000000"/>
        </w:rPr>
        <w:t>, the total annual cost to respondents generated by the</w:t>
      </w:r>
      <w:r w:rsidR="001E4096">
        <w:rPr>
          <w:color w:val="000000"/>
        </w:rPr>
        <w:t xml:space="preserve"> </w:t>
      </w:r>
      <w:r w:rsidR="001A7509">
        <w:rPr>
          <w:color w:val="000000"/>
        </w:rPr>
        <w:t>seven</w:t>
      </w:r>
      <w:r>
        <w:rPr>
          <w:color w:val="000000"/>
        </w:rPr>
        <w:t xml:space="preserve"> ongoing data collections is currently estimated to be $</w:t>
      </w:r>
      <w:r w:rsidR="00E13228">
        <w:rPr>
          <w:color w:val="000000"/>
        </w:rPr>
        <w:t>1,22</w:t>
      </w:r>
      <w:r w:rsidR="008E361F">
        <w:rPr>
          <w:color w:val="000000"/>
        </w:rPr>
        <w:t>7</w:t>
      </w:r>
      <w:r w:rsidR="00E13228">
        <w:rPr>
          <w:color w:val="000000"/>
        </w:rPr>
        <w:t>,</w:t>
      </w:r>
      <w:r w:rsidR="008E361F">
        <w:rPr>
          <w:color w:val="000000"/>
        </w:rPr>
        <w:t>1</w:t>
      </w:r>
      <w:r w:rsidR="00E13228">
        <w:rPr>
          <w:color w:val="000000"/>
        </w:rPr>
        <w:t>95</w:t>
      </w:r>
      <w:r>
        <w:rPr>
          <w:color w:val="000000"/>
        </w:rPr>
        <w:t xml:space="preserve">. </w:t>
      </w:r>
      <w:r w:rsidR="005C06C5">
        <w:rPr>
          <w:color w:val="000000"/>
        </w:rPr>
        <w:t>Following is</w:t>
      </w:r>
      <w:r>
        <w:rPr>
          <w:color w:val="000000"/>
        </w:rPr>
        <w:t xml:space="preserve"> an example of the method used to calculate cost burden for the CREST</w:t>
      </w:r>
      <w:r w:rsidR="00E13228">
        <w:rPr>
          <w:color w:val="000000"/>
        </w:rPr>
        <w:t>/HBCU-RISE</w:t>
      </w:r>
      <w:r>
        <w:rPr>
          <w:color w:val="000000"/>
        </w:rPr>
        <w:t xml:space="preserve"> monitoring system (</w:t>
      </w:r>
      <w:r w:rsidR="001A7509">
        <w:rPr>
          <w:color w:val="000000"/>
        </w:rPr>
        <w:t xml:space="preserve">details in </w:t>
      </w:r>
      <w:r w:rsidR="00C14A35">
        <w:rPr>
          <w:color w:val="000000"/>
        </w:rPr>
        <w:t>A</w:t>
      </w:r>
      <w:r>
        <w:rPr>
          <w:color w:val="000000"/>
        </w:rPr>
        <w:t xml:space="preserve">ttachment </w:t>
      </w:r>
      <w:r w:rsidR="001A7509">
        <w:rPr>
          <w:color w:val="000000"/>
        </w:rPr>
        <w:t>A</w:t>
      </w:r>
      <w:r w:rsidR="001E4096">
        <w:rPr>
          <w:color w:val="000000"/>
        </w:rPr>
        <w:t>1</w:t>
      </w:r>
      <w:r>
        <w:rPr>
          <w:color w:val="000000"/>
        </w:rPr>
        <w:t>):</w:t>
      </w:r>
    </w:p>
    <w:p w14:paraId="760FD256" w14:textId="77777777" w:rsidR="00193BA8" w:rsidRDefault="00193BA8" w:rsidP="00193BA8">
      <w:pPr>
        <w:pStyle w:val="p1-standpara"/>
        <w:spacing w:before="0" w:beforeAutospacing="0" w:after="0" w:afterAutospacing="0"/>
        <w:jc w:val="both"/>
      </w:pPr>
    </w:p>
    <w:p w14:paraId="5805201B" w14:textId="50DF2F27" w:rsidR="00193BA8" w:rsidRDefault="00193BA8" w:rsidP="00193BA8">
      <w:pPr>
        <w:pStyle w:val="p1-standpara"/>
        <w:spacing w:before="0" w:beforeAutospacing="0" w:after="0" w:afterAutospacing="0"/>
        <w:jc w:val="both"/>
      </w:pPr>
      <w:r>
        <w:rPr>
          <w:color w:val="000000"/>
        </w:rPr>
        <w:t>The overall annualized cost to the respondents is estimated to be $</w:t>
      </w:r>
      <w:r w:rsidR="005C06C5">
        <w:rPr>
          <w:color w:val="000000"/>
        </w:rPr>
        <w:t>75,812</w:t>
      </w:r>
      <w:r>
        <w:rPr>
          <w:color w:val="000000"/>
        </w:rPr>
        <w:t xml:space="preserve">. </w:t>
      </w:r>
      <w:r w:rsidR="005C06C5">
        <w:rPr>
          <w:color w:val="000000"/>
        </w:rPr>
        <w:t xml:space="preserve">Exhibit 6 </w:t>
      </w:r>
      <w:r>
        <w:rPr>
          <w:color w:val="000000"/>
        </w:rPr>
        <w:t xml:space="preserve">shows the annualized estimate of cost to PI/program coordinator respondents, who are generally university professors. </w:t>
      </w:r>
      <w:r>
        <w:t>This estimated hourly rate is based on a report from the American Association of University Professors, “</w:t>
      </w:r>
      <w:r w:rsidR="005C06C5">
        <w:t xml:space="preserve">The </w:t>
      </w:r>
      <w:r>
        <w:t xml:space="preserve">Annual Report on the Economic Status of the Profession, </w:t>
      </w:r>
      <w:r w:rsidR="001E4096">
        <w:t>201</w:t>
      </w:r>
      <w:r w:rsidR="005C06C5">
        <w:t>7</w:t>
      </w:r>
      <w:r w:rsidR="00E13228">
        <w:t>–</w:t>
      </w:r>
      <w:r w:rsidR="001E4096">
        <w:t>1</w:t>
      </w:r>
      <w:r w:rsidR="005C06C5">
        <w:t>8</w:t>
      </w:r>
      <w:r>
        <w:t xml:space="preserve">,” Survey Report Table </w:t>
      </w:r>
      <w:r w:rsidR="005C06C5">
        <w:t>1</w:t>
      </w:r>
      <w:r>
        <w:t>.</w:t>
      </w:r>
      <w:r>
        <w:rPr>
          <w:color w:val="1F497D"/>
        </w:rPr>
        <w:t xml:space="preserve"> </w:t>
      </w:r>
      <w:r>
        <w:t xml:space="preserve">According to this </w:t>
      </w:r>
      <w:hyperlink r:id="rId15" w:history="1">
        <w:r w:rsidR="005C06C5">
          <w:rPr>
            <w:rStyle w:val="Hyperlink"/>
          </w:rPr>
          <w:t>report</w:t>
        </w:r>
      </w:hyperlink>
      <w:r w:rsidR="005C06C5">
        <w:t xml:space="preserve">, </w:t>
      </w:r>
      <w:r>
        <w:t xml:space="preserve">the average salary </w:t>
      </w:r>
      <w:r w:rsidR="001E4096">
        <w:t xml:space="preserve">across all academic ranks and </w:t>
      </w:r>
      <w:r>
        <w:t xml:space="preserve">across all types of doctoral-granting institutions (public, private-independent, religiously affiliated) was </w:t>
      </w:r>
      <w:r w:rsidR="001E4096">
        <w:t>$</w:t>
      </w:r>
      <w:r w:rsidR="009D4744">
        <w:t>95,176</w:t>
      </w:r>
      <w:r>
        <w:t>. When divided by the number of standard annual work hours (2,080), this calculates to approximately $</w:t>
      </w:r>
      <w:r w:rsidR="001E4096">
        <w:t>4</w:t>
      </w:r>
      <w:r w:rsidR="009D4744">
        <w:t>6</w:t>
      </w:r>
      <w:r>
        <w:t xml:space="preserve"> per hour.</w:t>
      </w:r>
    </w:p>
    <w:p w14:paraId="57AD972E" w14:textId="1B492FA8" w:rsidR="00193BA8" w:rsidRDefault="00193BA8" w:rsidP="00193BA8">
      <w:pPr>
        <w:pStyle w:val="p1-standpara"/>
        <w:spacing w:before="0" w:beforeAutospacing="0" w:after="0" w:afterAutospacing="0"/>
        <w:jc w:val="both"/>
        <w:rPr>
          <w:color w:val="000000"/>
        </w:rPr>
      </w:pPr>
    </w:p>
    <w:p w14:paraId="61B60EDB" w14:textId="2064C4B2" w:rsidR="00897C57" w:rsidRDefault="00897C57" w:rsidP="00193BA8">
      <w:pPr>
        <w:pStyle w:val="p1-standpara"/>
        <w:spacing w:before="0" w:beforeAutospacing="0" w:after="0" w:afterAutospacing="0"/>
        <w:jc w:val="both"/>
        <w:rPr>
          <w:color w:val="000000"/>
        </w:rPr>
      </w:pPr>
    </w:p>
    <w:p w14:paraId="54DAB209" w14:textId="77777777" w:rsidR="00897C57" w:rsidRDefault="00897C57" w:rsidP="00193BA8">
      <w:pPr>
        <w:pStyle w:val="p1-standpara"/>
        <w:spacing w:before="0" w:beforeAutospacing="0" w:after="0" w:afterAutospacing="0"/>
        <w:jc w:val="both"/>
        <w:rPr>
          <w:color w:val="000000"/>
        </w:rPr>
      </w:pPr>
    </w:p>
    <w:p w14:paraId="259A0C2B" w14:textId="2814A845" w:rsidR="001A7509" w:rsidRPr="001A7509" w:rsidRDefault="001A7509" w:rsidP="00193BA8">
      <w:pPr>
        <w:pStyle w:val="p1-standpara"/>
        <w:spacing w:before="0" w:beforeAutospacing="0" w:after="0" w:afterAutospacing="0"/>
        <w:jc w:val="both"/>
        <w:rPr>
          <w:b/>
          <w:color w:val="000000"/>
          <w:sz w:val="20"/>
          <w:szCs w:val="20"/>
        </w:rPr>
      </w:pPr>
      <w:r w:rsidRPr="001A7509">
        <w:rPr>
          <w:b/>
          <w:color w:val="000000"/>
          <w:sz w:val="20"/>
          <w:szCs w:val="20"/>
        </w:rPr>
        <w:t>Exhibit 6: Sample calculation of estimated annualized cost to respondents</w:t>
      </w:r>
    </w:p>
    <w:tbl>
      <w:tblPr>
        <w:tblW w:w="0" w:type="auto"/>
        <w:jc w:val="center"/>
        <w:tblCellMar>
          <w:left w:w="0" w:type="dxa"/>
          <w:right w:w="0" w:type="dxa"/>
        </w:tblCellMar>
        <w:tblLook w:val="04A0" w:firstRow="1" w:lastRow="0" w:firstColumn="1" w:lastColumn="0" w:noHBand="0" w:noVBand="1"/>
      </w:tblPr>
      <w:tblGrid>
        <w:gridCol w:w="1922"/>
        <w:gridCol w:w="2242"/>
        <w:gridCol w:w="1590"/>
        <w:gridCol w:w="1776"/>
        <w:gridCol w:w="1326"/>
      </w:tblGrid>
      <w:tr w:rsidR="00193BA8" w:rsidRPr="00C85BD4" w14:paraId="70919999" w14:textId="77777777" w:rsidTr="00D40699">
        <w:trPr>
          <w:tblHeader/>
          <w:jc w:val="center"/>
        </w:trPr>
        <w:tc>
          <w:tcPr>
            <w:tcW w:w="1922" w:type="dxa"/>
            <w:tcBorders>
              <w:top w:val="single" w:sz="12" w:space="0" w:color="auto"/>
              <w:left w:val="nil"/>
              <w:bottom w:val="single" w:sz="12" w:space="0" w:color="auto"/>
              <w:right w:val="nil"/>
            </w:tcBorders>
            <w:tcMar>
              <w:top w:w="0" w:type="dxa"/>
              <w:left w:w="108" w:type="dxa"/>
              <w:bottom w:w="0" w:type="dxa"/>
              <w:right w:w="108" w:type="dxa"/>
            </w:tcMar>
            <w:vAlign w:val="center"/>
            <w:hideMark/>
          </w:tcPr>
          <w:p w14:paraId="398DA4B7" w14:textId="77777777" w:rsidR="00193BA8" w:rsidRPr="00D40699" w:rsidRDefault="00193BA8" w:rsidP="00E44CF1">
            <w:pPr>
              <w:spacing w:before="100" w:beforeAutospacing="1" w:after="100" w:afterAutospacing="1"/>
              <w:jc w:val="center"/>
              <w:rPr>
                <w:rFonts w:ascii="Times New Roman" w:eastAsia="Times New Roman" w:hAnsi="Times New Roman"/>
              </w:rPr>
            </w:pPr>
            <w:r w:rsidRPr="00D40699">
              <w:rPr>
                <w:rFonts w:ascii="Times New Roman" w:eastAsia="Times New Roman" w:hAnsi="Times New Roman"/>
                <w:b/>
                <w:bCs/>
                <w:color w:val="000000"/>
              </w:rPr>
              <w:t>Respondent Type</w:t>
            </w:r>
          </w:p>
        </w:tc>
        <w:tc>
          <w:tcPr>
            <w:tcW w:w="2242" w:type="dxa"/>
            <w:tcBorders>
              <w:top w:val="single" w:sz="12" w:space="0" w:color="auto"/>
              <w:left w:val="nil"/>
              <w:bottom w:val="single" w:sz="12" w:space="0" w:color="auto"/>
              <w:right w:val="nil"/>
            </w:tcBorders>
            <w:tcMar>
              <w:top w:w="0" w:type="dxa"/>
              <w:left w:w="108" w:type="dxa"/>
              <w:bottom w:w="0" w:type="dxa"/>
              <w:right w:w="108" w:type="dxa"/>
            </w:tcMar>
            <w:vAlign w:val="center"/>
            <w:hideMark/>
          </w:tcPr>
          <w:p w14:paraId="09F4D4A1" w14:textId="77777777" w:rsidR="00193BA8" w:rsidRPr="00D40699" w:rsidRDefault="00193BA8" w:rsidP="00E44CF1">
            <w:pPr>
              <w:spacing w:before="100" w:beforeAutospacing="1" w:after="100" w:afterAutospacing="1"/>
              <w:jc w:val="center"/>
              <w:rPr>
                <w:rFonts w:ascii="Times New Roman" w:eastAsia="Times New Roman" w:hAnsi="Times New Roman"/>
              </w:rPr>
            </w:pPr>
            <w:r w:rsidRPr="00D40699">
              <w:rPr>
                <w:rFonts w:ascii="Times New Roman" w:eastAsia="Times New Roman" w:hAnsi="Times New Roman"/>
                <w:b/>
                <w:bCs/>
                <w:color w:val="000000"/>
              </w:rPr>
              <w:t xml:space="preserve">No. of Respondents </w:t>
            </w:r>
          </w:p>
        </w:tc>
        <w:tc>
          <w:tcPr>
            <w:tcW w:w="1590" w:type="dxa"/>
            <w:tcBorders>
              <w:top w:val="single" w:sz="12" w:space="0" w:color="auto"/>
              <w:left w:val="nil"/>
              <w:bottom w:val="single" w:sz="12" w:space="0" w:color="auto"/>
              <w:right w:val="nil"/>
            </w:tcBorders>
            <w:tcMar>
              <w:top w:w="0" w:type="dxa"/>
              <w:left w:w="108" w:type="dxa"/>
              <w:bottom w:w="0" w:type="dxa"/>
              <w:right w:w="108" w:type="dxa"/>
            </w:tcMar>
            <w:vAlign w:val="center"/>
            <w:hideMark/>
          </w:tcPr>
          <w:p w14:paraId="108DD74B" w14:textId="77777777" w:rsidR="00193BA8" w:rsidRPr="00D40699" w:rsidRDefault="00193BA8" w:rsidP="00E44CF1">
            <w:pPr>
              <w:spacing w:before="100" w:beforeAutospacing="1" w:after="100" w:afterAutospacing="1"/>
              <w:jc w:val="center"/>
              <w:rPr>
                <w:rFonts w:ascii="Times New Roman" w:eastAsia="Times New Roman" w:hAnsi="Times New Roman"/>
              </w:rPr>
            </w:pPr>
            <w:r w:rsidRPr="00D40699">
              <w:rPr>
                <w:rFonts w:ascii="Times New Roman" w:eastAsia="Times New Roman" w:hAnsi="Times New Roman"/>
                <w:b/>
                <w:bCs/>
                <w:color w:val="000000"/>
              </w:rPr>
              <w:t>Burden Hours Per Respondent</w:t>
            </w:r>
          </w:p>
        </w:tc>
        <w:tc>
          <w:tcPr>
            <w:tcW w:w="1776" w:type="dxa"/>
            <w:tcBorders>
              <w:top w:val="single" w:sz="12" w:space="0" w:color="auto"/>
              <w:left w:val="nil"/>
              <w:bottom w:val="single" w:sz="12" w:space="0" w:color="auto"/>
              <w:right w:val="nil"/>
            </w:tcBorders>
            <w:tcMar>
              <w:top w:w="0" w:type="dxa"/>
              <w:left w:w="108" w:type="dxa"/>
              <w:bottom w:w="0" w:type="dxa"/>
              <w:right w:w="108" w:type="dxa"/>
            </w:tcMar>
            <w:vAlign w:val="center"/>
            <w:hideMark/>
          </w:tcPr>
          <w:p w14:paraId="2C891191" w14:textId="77777777" w:rsidR="00193BA8" w:rsidRPr="00D40699" w:rsidRDefault="00193BA8" w:rsidP="00E44CF1">
            <w:pPr>
              <w:spacing w:before="100" w:beforeAutospacing="1" w:after="100" w:afterAutospacing="1"/>
              <w:jc w:val="center"/>
              <w:rPr>
                <w:rFonts w:ascii="Times New Roman" w:eastAsia="Times New Roman" w:hAnsi="Times New Roman"/>
              </w:rPr>
            </w:pPr>
            <w:r w:rsidRPr="00D40699">
              <w:rPr>
                <w:rFonts w:ascii="Times New Roman" w:eastAsia="Times New Roman" w:hAnsi="Times New Roman"/>
                <w:b/>
                <w:bCs/>
                <w:color w:val="000000"/>
              </w:rPr>
              <w:t>Average Hourly Rate</w:t>
            </w:r>
          </w:p>
        </w:tc>
        <w:tc>
          <w:tcPr>
            <w:tcW w:w="1326" w:type="dxa"/>
            <w:tcBorders>
              <w:top w:val="single" w:sz="12" w:space="0" w:color="auto"/>
              <w:left w:val="nil"/>
              <w:bottom w:val="single" w:sz="12" w:space="0" w:color="auto"/>
              <w:right w:val="nil"/>
            </w:tcBorders>
            <w:tcMar>
              <w:top w:w="0" w:type="dxa"/>
              <w:left w:w="108" w:type="dxa"/>
              <w:bottom w:w="0" w:type="dxa"/>
              <w:right w:w="108" w:type="dxa"/>
            </w:tcMar>
            <w:vAlign w:val="center"/>
            <w:hideMark/>
          </w:tcPr>
          <w:p w14:paraId="2173BFCB" w14:textId="77777777" w:rsidR="00193BA8" w:rsidRPr="00D40699" w:rsidRDefault="00193BA8" w:rsidP="00E44CF1">
            <w:pPr>
              <w:spacing w:before="100" w:beforeAutospacing="1" w:after="100" w:afterAutospacing="1"/>
              <w:jc w:val="center"/>
              <w:rPr>
                <w:rFonts w:ascii="Times New Roman" w:eastAsia="Times New Roman" w:hAnsi="Times New Roman"/>
              </w:rPr>
            </w:pPr>
            <w:r w:rsidRPr="00D40699">
              <w:rPr>
                <w:rFonts w:ascii="Times New Roman" w:eastAsia="Times New Roman" w:hAnsi="Times New Roman"/>
                <w:b/>
                <w:bCs/>
                <w:color w:val="000000"/>
              </w:rPr>
              <w:t>Estimated Annual Cost</w:t>
            </w:r>
          </w:p>
        </w:tc>
      </w:tr>
      <w:tr w:rsidR="00193BA8" w:rsidRPr="00C85BD4" w14:paraId="05FFEEBF" w14:textId="77777777" w:rsidTr="00193BA8">
        <w:trPr>
          <w:jc w:val="center"/>
        </w:trPr>
        <w:tc>
          <w:tcPr>
            <w:tcW w:w="1922" w:type="dxa"/>
            <w:tcBorders>
              <w:top w:val="nil"/>
              <w:left w:val="nil"/>
              <w:bottom w:val="single" w:sz="8" w:space="0" w:color="auto"/>
              <w:right w:val="nil"/>
            </w:tcBorders>
            <w:tcMar>
              <w:top w:w="0" w:type="dxa"/>
              <w:left w:w="108" w:type="dxa"/>
              <w:bottom w:w="0" w:type="dxa"/>
              <w:right w:w="108" w:type="dxa"/>
            </w:tcMar>
            <w:hideMark/>
          </w:tcPr>
          <w:p w14:paraId="1CBE6E08" w14:textId="77777777" w:rsidR="00193BA8" w:rsidRPr="00D40699" w:rsidRDefault="00193BA8" w:rsidP="00E44CF1">
            <w:pPr>
              <w:spacing w:before="100" w:beforeAutospacing="1" w:after="100" w:afterAutospacing="1"/>
              <w:rPr>
                <w:rFonts w:ascii="Times New Roman" w:eastAsia="Times New Roman" w:hAnsi="Times New Roman"/>
              </w:rPr>
            </w:pPr>
            <w:r w:rsidRPr="00D40699">
              <w:rPr>
                <w:rFonts w:ascii="Times New Roman" w:eastAsia="Times New Roman" w:hAnsi="Times New Roman"/>
                <w:color w:val="000000"/>
              </w:rPr>
              <w:t>PIs/Program Coordinators</w:t>
            </w:r>
          </w:p>
        </w:tc>
        <w:tc>
          <w:tcPr>
            <w:tcW w:w="2242" w:type="dxa"/>
            <w:tcBorders>
              <w:top w:val="nil"/>
              <w:left w:val="nil"/>
              <w:bottom w:val="single" w:sz="8" w:space="0" w:color="auto"/>
              <w:right w:val="nil"/>
            </w:tcBorders>
            <w:tcMar>
              <w:top w:w="0" w:type="dxa"/>
              <w:left w:w="108" w:type="dxa"/>
              <w:bottom w:w="0" w:type="dxa"/>
              <w:right w:w="108" w:type="dxa"/>
            </w:tcMar>
            <w:hideMark/>
          </w:tcPr>
          <w:p w14:paraId="508FEEAA" w14:textId="1987E639" w:rsidR="00193BA8" w:rsidRPr="00D40699" w:rsidRDefault="00E8753F" w:rsidP="00AF5BB7">
            <w:pPr>
              <w:spacing w:before="100" w:beforeAutospacing="1" w:after="100" w:afterAutospacing="1"/>
              <w:jc w:val="right"/>
              <w:rPr>
                <w:rFonts w:ascii="Times New Roman" w:eastAsia="Times New Roman" w:hAnsi="Times New Roman"/>
              </w:rPr>
            </w:pPr>
            <w:r w:rsidRPr="00D40699">
              <w:rPr>
                <w:rFonts w:ascii="Times New Roman" w:eastAsia="Times New Roman" w:hAnsi="Times New Roman"/>
                <w:color w:val="000000"/>
              </w:rPr>
              <w:t>4</w:t>
            </w:r>
            <w:r w:rsidR="009D4744" w:rsidRPr="00D40699">
              <w:rPr>
                <w:rFonts w:ascii="Times New Roman" w:eastAsia="Times New Roman" w:hAnsi="Times New Roman"/>
                <w:color w:val="000000"/>
              </w:rPr>
              <w:t>2</w:t>
            </w:r>
          </w:p>
        </w:tc>
        <w:tc>
          <w:tcPr>
            <w:tcW w:w="1590" w:type="dxa"/>
            <w:tcBorders>
              <w:top w:val="nil"/>
              <w:left w:val="nil"/>
              <w:bottom w:val="single" w:sz="8" w:space="0" w:color="auto"/>
              <w:right w:val="nil"/>
            </w:tcBorders>
            <w:tcMar>
              <w:top w:w="0" w:type="dxa"/>
              <w:left w:w="108" w:type="dxa"/>
              <w:bottom w:w="0" w:type="dxa"/>
              <w:right w:w="108" w:type="dxa"/>
            </w:tcMar>
            <w:vAlign w:val="center"/>
            <w:hideMark/>
          </w:tcPr>
          <w:p w14:paraId="3CC3CDB8" w14:textId="0D97D314" w:rsidR="00193BA8" w:rsidRPr="00D40699" w:rsidRDefault="009D4744" w:rsidP="00E8753F">
            <w:pPr>
              <w:spacing w:before="100" w:beforeAutospacing="1" w:after="100" w:afterAutospacing="1"/>
              <w:jc w:val="right"/>
              <w:rPr>
                <w:rFonts w:ascii="Times New Roman" w:eastAsia="Times New Roman" w:hAnsi="Times New Roman"/>
              </w:rPr>
            </w:pPr>
            <w:r w:rsidRPr="00D40699">
              <w:rPr>
                <w:rFonts w:ascii="Times New Roman" w:eastAsia="Times New Roman" w:hAnsi="Times New Roman"/>
                <w:color w:val="000000"/>
              </w:rPr>
              <w:t>39.24</w:t>
            </w:r>
          </w:p>
        </w:tc>
        <w:tc>
          <w:tcPr>
            <w:tcW w:w="1776" w:type="dxa"/>
            <w:tcBorders>
              <w:top w:val="nil"/>
              <w:left w:val="nil"/>
              <w:bottom w:val="single" w:sz="8" w:space="0" w:color="auto"/>
              <w:right w:val="nil"/>
            </w:tcBorders>
            <w:tcMar>
              <w:top w:w="0" w:type="dxa"/>
              <w:left w:w="108" w:type="dxa"/>
              <w:bottom w:w="0" w:type="dxa"/>
              <w:right w:w="108" w:type="dxa"/>
            </w:tcMar>
            <w:vAlign w:val="center"/>
            <w:hideMark/>
          </w:tcPr>
          <w:p w14:paraId="3EB7DD24" w14:textId="14896CDA" w:rsidR="00193BA8" w:rsidRPr="00D40699" w:rsidRDefault="00193BA8" w:rsidP="00E8753F">
            <w:pPr>
              <w:spacing w:before="100" w:beforeAutospacing="1" w:after="100" w:afterAutospacing="1"/>
              <w:jc w:val="right"/>
              <w:rPr>
                <w:rFonts w:ascii="Times New Roman" w:eastAsia="Times New Roman" w:hAnsi="Times New Roman"/>
              </w:rPr>
            </w:pPr>
            <w:r w:rsidRPr="00D40699">
              <w:rPr>
                <w:rFonts w:ascii="Times New Roman" w:eastAsia="Times New Roman" w:hAnsi="Times New Roman"/>
                <w:color w:val="000000"/>
              </w:rPr>
              <w:t>$4</w:t>
            </w:r>
            <w:r w:rsidR="009D4744" w:rsidRPr="00D40699">
              <w:rPr>
                <w:rFonts w:ascii="Times New Roman" w:eastAsia="Times New Roman" w:hAnsi="Times New Roman"/>
                <w:color w:val="000000"/>
              </w:rPr>
              <w:t>6</w:t>
            </w:r>
          </w:p>
        </w:tc>
        <w:tc>
          <w:tcPr>
            <w:tcW w:w="1326" w:type="dxa"/>
            <w:tcBorders>
              <w:top w:val="nil"/>
              <w:left w:val="nil"/>
              <w:bottom w:val="single" w:sz="8" w:space="0" w:color="auto"/>
              <w:right w:val="nil"/>
            </w:tcBorders>
            <w:tcMar>
              <w:top w:w="0" w:type="dxa"/>
              <w:left w:w="108" w:type="dxa"/>
              <w:bottom w:w="0" w:type="dxa"/>
              <w:right w:w="108" w:type="dxa"/>
            </w:tcMar>
            <w:vAlign w:val="center"/>
            <w:hideMark/>
          </w:tcPr>
          <w:p w14:paraId="2EAB8AFE" w14:textId="77219EB7" w:rsidR="00193BA8" w:rsidRPr="00D40699" w:rsidRDefault="00193BA8" w:rsidP="00E8753F">
            <w:pPr>
              <w:spacing w:before="100" w:beforeAutospacing="1" w:after="100" w:afterAutospacing="1"/>
              <w:jc w:val="right"/>
              <w:rPr>
                <w:rFonts w:ascii="Times New Roman" w:eastAsia="Times New Roman" w:hAnsi="Times New Roman"/>
              </w:rPr>
            </w:pPr>
            <w:r w:rsidRPr="00D40699">
              <w:rPr>
                <w:rFonts w:ascii="Times New Roman" w:eastAsia="Times New Roman" w:hAnsi="Times New Roman"/>
                <w:color w:val="000000"/>
              </w:rPr>
              <w:t>$</w:t>
            </w:r>
            <w:r w:rsidR="00E8753F" w:rsidRPr="00D40699">
              <w:rPr>
                <w:rFonts w:ascii="Times New Roman" w:eastAsia="Times New Roman" w:hAnsi="Times New Roman"/>
                <w:color w:val="000000"/>
              </w:rPr>
              <w:t>7</w:t>
            </w:r>
            <w:r w:rsidR="009D4744" w:rsidRPr="00D40699">
              <w:rPr>
                <w:rFonts w:ascii="Times New Roman" w:eastAsia="Times New Roman" w:hAnsi="Times New Roman"/>
                <w:color w:val="000000"/>
              </w:rPr>
              <w:t>5,812</w:t>
            </w:r>
          </w:p>
        </w:tc>
      </w:tr>
      <w:tr w:rsidR="00193BA8" w:rsidRPr="00C85BD4" w14:paraId="3AF68A88" w14:textId="77777777" w:rsidTr="00193BA8">
        <w:trPr>
          <w:jc w:val="center"/>
        </w:trPr>
        <w:tc>
          <w:tcPr>
            <w:tcW w:w="1922" w:type="dxa"/>
            <w:tcBorders>
              <w:top w:val="nil"/>
              <w:left w:val="nil"/>
              <w:bottom w:val="single" w:sz="12" w:space="0" w:color="auto"/>
              <w:right w:val="nil"/>
            </w:tcBorders>
            <w:tcMar>
              <w:top w:w="0" w:type="dxa"/>
              <w:left w:w="108" w:type="dxa"/>
              <w:bottom w:w="0" w:type="dxa"/>
              <w:right w:w="108" w:type="dxa"/>
            </w:tcMar>
            <w:hideMark/>
          </w:tcPr>
          <w:p w14:paraId="4676B8E7" w14:textId="77777777" w:rsidR="00193BA8" w:rsidRPr="00D40699" w:rsidRDefault="00193BA8" w:rsidP="00E44CF1">
            <w:pPr>
              <w:spacing w:before="100" w:beforeAutospacing="1" w:after="100" w:afterAutospacing="1"/>
              <w:rPr>
                <w:rFonts w:ascii="Times New Roman" w:eastAsia="Times New Roman" w:hAnsi="Times New Roman"/>
              </w:rPr>
            </w:pPr>
            <w:r w:rsidRPr="00D40699">
              <w:rPr>
                <w:rFonts w:ascii="Times New Roman" w:eastAsia="Times New Roman" w:hAnsi="Times New Roman"/>
                <w:b/>
                <w:bCs/>
                <w:color w:val="000000"/>
              </w:rPr>
              <w:t>Total</w:t>
            </w:r>
          </w:p>
        </w:tc>
        <w:tc>
          <w:tcPr>
            <w:tcW w:w="2242" w:type="dxa"/>
            <w:tcBorders>
              <w:top w:val="nil"/>
              <w:left w:val="nil"/>
              <w:bottom w:val="single" w:sz="12" w:space="0" w:color="auto"/>
              <w:right w:val="nil"/>
            </w:tcBorders>
            <w:tcMar>
              <w:top w:w="0" w:type="dxa"/>
              <w:left w:w="108" w:type="dxa"/>
              <w:bottom w:w="0" w:type="dxa"/>
              <w:right w:w="108" w:type="dxa"/>
            </w:tcMar>
            <w:hideMark/>
          </w:tcPr>
          <w:p w14:paraId="53A05381" w14:textId="5FD2C32C" w:rsidR="00193BA8" w:rsidRPr="00D40699" w:rsidRDefault="00E8753F" w:rsidP="00AF5BB7">
            <w:pPr>
              <w:spacing w:before="100" w:beforeAutospacing="1" w:after="100" w:afterAutospacing="1"/>
              <w:jc w:val="right"/>
              <w:rPr>
                <w:rFonts w:ascii="Times New Roman" w:eastAsia="Times New Roman" w:hAnsi="Times New Roman"/>
              </w:rPr>
            </w:pPr>
            <w:r w:rsidRPr="00D40699">
              <w:rPr>
                <w:rFonts w:ascii="Times New Roman" w:eastAsia="Times New Roman" w:hAnsi="Times New Roman"/>
                <w:b/>
              </w:rPr>
              <w:t>4</w:t>
            </w:r>
            <w:r w:rsidR="009D4744" w:rsidRPr="00D40699">
              <w:rPr>
                <w:rFonts w:ascii="Times New Roman" w:eastAsia="Times New Roman" w:hAnsi="Times New Roman"/>
                <w:b/>
              </w:rPr>
              <w:t>2</w:t>
            </w:r>
          </w:p>
        </w:tc>
        <w:tc>
          <w:tcPr>
            <w:tcW w:w="1590" w:type="dxa"/>
            <w:tcBorders>
              <w:top w:val="nil"/>
              <w:left w:val="nil"/>
              <w:bottom w:val="single" w:sz="12" w:space="0" w:color="auto"/>
              <w:right w:val="nil"/>
            </w:tcBorders>
            <w:tcMar>
              <w:top w:w="0" w:type="dxa"/>
              <w:left w:w="108" w:type="dxa"/>
              <w:bottom w:w="0" w:type="dxa"/>
              <w:right w:w="108" w:type="dxa"/>
            </w:tcMar>
            <w:vAlign w:val="center"/>
            <w:hideMark/>
          </w:tcPr>
          <w:p w14:paraId="48B050AF" w14:textId="77777777" w:rsidR="00193BA8" w:rsidRPr="00D40699" w:rsidRDefault="00193BA8" w:rsidP="00E44CF1">
            <w:pPr>
              <w:rPr>
                <w:rFonts w:ascii="Times New Roman" w:eastAsia="Times New Roman" w:hAnsi="Times New Roman"/>
              </w:rPr>
            </w:pPr>
          </w:p>
        </w:tc>
        <w:tc>
          <w:tcPr>
            <w:tcW w:w="1776" w:type="dxa"/>
            <w:tcBorders>
              <w:top w:val="nil"/>
              <w:left w:val="nil"/>
              <w:bottom w:val="single" w:sz="12" w:space="0" w:color="auto"/>
              <w:right w:val="nil"/>
            </w:tcBorders>
            <w:tcMar>
              <w:top w:w="0" w:type="dxa"/>
              <w:left w:w="108" w:type="dxa"/>
              <w:bottom w:w="0" w:type="dxa"/>
              <w:right w:w="108" w:type="dxa"/>
            </w:tcMar>
            <w:vAlign w:val="center"/>
            <w:hideMark/>
          </w:tcPr>
          <w:p w14:paraId="2F1414BB" w14:textId="77777777" w:rsidR="00193BA8" w:rsidRPr="00D40699" w:rsidRDefault="00193BA8" w:rsidP="00E44CF1">
            <w:pPr>
              <w:rPr>
                <w:rFonts w:ascii="Times New Roman" w:eastAsia="Times New Roman" w:hAnsi="Times New Roman"/>
              </w:rPr>
            </w:pPr>
          </w:p>
        </w:tc>
        <w:tc>
          <w:tcPr>
            <w:tcW w:w="1326" w:type="dxa"/>
            <w:tcBorders>
              <w:top w:val="nil"/>
              <w:left w:val="nil"/>
              <w:bottom w:val="single" w:sz="12" w:space="0" w:color="auto"/>
              <w:right w:val="nil"/>
            </w:tcBorders>
            <w:tcMar>
              <w:top w:w="0" w:type="dxa"/>
              <w:left w:w="108" w:type="dxa"/>
              <w:bottom w:w="0" w:type="dxa"/>
              <w:right w:w="108" w:type="dxa"/>
            </w:tcMar>
            <w:vAlign w:val="center"/>
            <w:hideMark/>
          </w:tcPr>
          <w:p w14:paraId="306C0487" w14:textId="33965005" w:rsidR="00193BA8" w:rsidRPr="00D40699" w:rsidRDefault="00E8753F" w:rsidP="00E44CF1">
            <w:pPr>
              <w:spacing w:before="100" w:beforeAutospacing="1" w:after="100" w:afterAutospacing="1"/>
              <w:jc w:val="right"/>
              <w:rPr>
                <w:rFonts w:ascii="Times New Roman" w:eastAsia="Times New Roman" w:hAnsi="Times New Roman"/>
              </w:rPr>
            </w:pPr>
            <w:r w:rsidRPr="00D40699">
              <w:rPr>
                <w:rFonts w:ascii="Times New Roman" w:eastAsia="Times New Roman" w:hAnsi="Times New Roman"/>
                <w:b/>
                <w:bCs/>
                <w:color w:val="000000"/>
              </w:rPr>
              <w:t>$7</w:t>
            </w:r>
            <w:r w:rsidR="009D4744" w:rsidRPr="00D40699">
              <w:rPr>
                <w:rFonts w:ascii="Times New Roman" w:eastAsia="Times New Roman" w:hAnsi="Times New Roman"/>
                <w:b/>
                <w:bCs/>
                <w:color w:val="000000"/>
              </w:rPr>
              <w:t>5,812</w:t>
            </w:r>
          </w:p>
        </w:tc>
      </w:tr>
    </w:tbl>
    <w:p w14:paraId="1F2D54EE" w14:textId="346E11BB" w:rsidR="00193BA8" w:rsidRDefault="00193BA8" w:rsidP="00B303E2">
      <w:pPr>
        <w:pStyle w:val="NormalWeb"/>
        <w:jc w:val="both"/>
      </w:pPr>
      <w:r>
        <w:t xml:space="preserve">The cost to respondents generated by each data collection are described in attachments A1 through </w:t>
      </w:r>
      <w:r w:rsidR="00EA432B">
        <w:t>G</w:t>
      </w:r>
      <w:r w:rsidR="00693AA3">
        <w:t>1</w:t>
      </w:r>
      <w:r>
        <w:t>.</w:t>
      </w:r>
    </w:p>
    <w:p w14:paraId="291FF9EA" w14:textId="77777777" w:rsidR="00193BA8" w:rsidRDefault="00193BA8" w:rsidP="00674A43">
      <w:pPr>
        <w:pStyle w:val="Heading3"/>
        <w:keepNext/>
        <w:keepLines/>
      </w:pPr>
      <w:r>
        <w:t>A.13. Estimate of Total Capital and Startup Costs/Operation and Maintenance Costs to Respondents or Record Keepers</w:t>
      </w:r>
    </w:p>
    <w:p w14:paraId="4AC35C7A" w14:textId="79FAEE11" w:rsidR="00193BA8" w:rsidRDefault="00193BA8" w:rsidP="00674A43">
      <w:pPr>
        <w:pStyle w:val="NormalWeb"/>
        <w:keepNext/>
        <w:keepLines/>
        <w:jc w:val="both"/>
      </w:pPr>
      <w:r>
        <w:t xml:space="preserve">There is no overall annual cost burden to respondents or record-keepers that results from the EHR </w:t>
      </w:r>
      <w:r w:rsidR="00CA0C8D">
        <w:t>p</w:t>
      </w:r>
      <w:r>
        <w:t xml:space="preserve">rogram </w:t>
      </w:r>
      <w:r w:rsidR="00CA0C8D">
        <w:t>m</w:t>
      </w:r>
      <w:r>
        <w:t xml:space="preserve">onitoring </w:t>
      </w:r>
      <w:r w:rsidR="00CA0C8D">
        <w:t>c</w:t>
      </w:r>
      <w:r>
        <w:t xml:space="preserve">learance other than the time spent responding to online questionnaires that are described in specific detail in attachments A1 through </w:t>
      </w:r>
      <w:r w:rsidR="00FD058B">
        <w:t>G</w:t>
      </w:r>
      <w:r w:rsidR="00674A43">
        <w:t>1</w:t>
      </w:r>
      <w:r>
        <w:t xml:space="preserve">. It is usual and customary for individuals involved in education and training activities in the United States to keep descriptive records. The information being requested is from records that are maintained as part of normal educational or training practice. Furthermore, the majority of respondents are active or former grantees or participants in programs or projects funded by NSF. In order to receive funding, institutions must follow the instructions in the NSF </w:t>
      </w:r>
      <w:r w:rsidR="005B56C3">
        <w:t>Proposal and Award Policies and Procedures Guide (PAPPG)</w:t>
      </w:r>
      <w:r>
        <w:t xml:space="preserve"> that is cleared under OMB 3145-0058. The </w:t>
      </w:r>
      <w:r w:rsidR="00A91CC0">
        <w:t>PAPPG</w:t>
      </w:r>
      <w:r>
        <w:t xml:space="preserve"> requires that all applicants submit requests for NSF funding and that all active NSF awardees do admini</w:t>
      </w:r>
      <w:r w:rsidR="00A35A6C">
        <w:t>strative reporting via FastLane</w:t>
      </w:r>
      <w:r>
        <w:t xml:space="preserve"> or Research.gov. Thus, PIs, K-12 administrators, faculty members, and college students, who are the primary respondents to the individual data collections within the EHR </w:t>
      </w:r>
      <w:r w:rsidR="00FF0A8B">
        <w:t>p</w:t>
      </w:r>
      <w:r>
        <w:t xml:space="preserve">rogram </w:t>
      </w:r>
      <w:r w:rsidR="00FF0A8B">
        <w:t>m</w:t>
      </w:r>
      <w:r>
        <w:t xml:space="preserve">onitoring </w:t>
      </w:r>
      <w:r w:rsidR="00FF0A8B">
        <w:t>c</w:t>
      </w:r>
      <w:r>
        <w:t>learance, make use of standard office equipment (e.g., computers), Internet connectivity that is already required as a startup cost and maintenance cost under OMB 3145-0058, and free software (e.g., Microsoft Explorer) to respond.</w:t>
      </w:r>
    </w:p>
    <w:p w14:paraId="43BF7F53" w14:textId="77777777" w:rsidR="00193BA8" w:rsidRDefault="00193BA8" w:rsidP="00193BA8">
      <w:pPr>
        <w:pStyle w:val="Heading3"/>
      </w:pPr>
      <w:r>
        <w:t>A.14. Estimates of Costs to the Federal Government</w:t>
      </w:r>
    </w:p>
    <w:p w14:paraId="0B36F560" w14:textId="479D2BD8" w:rsidR="00A71F38" w:rsidRDefault="00193BA8" w:rsidP="00A71F38">
      <w:pPr>
        <w:pStyle w:val="p1-standpara0"/>
        <w:spacing w:before="0" w:beforeAutospacing="0" w:after="0" w:afterAutospacing="0"/>
        <w:jc w:val="both"/>
      </w:pPr>
      <w:r>
        <w:t xml:space="preserve">As shown in </w:t>
      </w:r>
      <w:r w:rsidR="00E13228">
        <w:t>A</w:t>
      </w:r>
      <w:r>
        <w:t xml:space="preserve">ppendix </w:t>
      </w:r>
      <w:r w:rsidR="00295BF0">
        <w:t>A</w:t>
      </w:r>
      <w:r>
        <w:t xml:space="preserve">, the total annual cost to the Federal </w:t>
      </w:r>
      <w:r w:rsidR="00D662E6">
        <w:t>G</w:t>
      </w:r>
      <w:r>
        <w:t>overnment of the</w:t>
      </w:r>
      <w:r w:rsidR="00E6721D">
        <w:t xml:space="preserve"> </w:t>
      </w:r>
      <w:r w:rsidR="00F16A77">
        <w:t>seven</w:t>
      </w:r>
      <w:r>
        <w:t xml:space="preserve"> ongoing data collections is currently estimated to be $</w:t>
      </w:r>
      <w:r w:rsidR="00E13228">
        <w:t>1,316,</w:t>
      </w:r>
      <w:r w:rsidR="00693AA3">
        <w:t>6</w:t>
      </w:r>
      <w:r w:rsidR="00E13228">
        <w:t>74</w:t>
      </w:r>
      <w:r>
        <w:t xml:space="preserve">. Details of the cost of each collection can be found in </w:t>
      </w:r>
      <w:r w:rsidR="00E13228">
        <w:t>A</w:t>
      </w:r>
      <w:r>
        <w:t xml:space="preserve">ppendix </w:t>
      </w:r>
      <w:r w:rsidR="00295BF0">
        <w:t>A</w:t>
      </w:r>
      <w:r>
        <w:t>.</w:t>
      </w:r>
      <w:r w:rsidR="00157594">
        <w:t xml:space="preserve"> Following </w:t>
      </w:r>
      <w:r>
        <w:t xml:space="preserve">is an example of the </w:t>
      </w:r>
      <w:r w:rsidR="00157594">
        <w:t xml:space="preserve">calculation of </w:t>
      </w:r>
      <w:r>
        <w:t xml:space="preserve">cost to the Federal </w:t>
      </w:r>
      <w:r w:rsidR="00D662E6">
        <w:t>G</w:t>
      </w:r>
      <w:r>
        <w:t>overnment f</w:t>
      </w:r>
      <w:r w:rsidR="00157594">
        <w:t>or</w:t>
      </w:r>
      <w:r>
        <w:t xml:space="preserve"> the CREST</w:t>
      </w:r>
      <w:r w:rsidR="003C49E6">
        <w:t>/HBCU-RISE</w:t>
      </w:r>
      <w:r>
        <w:t xml:space="preserve"> data collection (</w:t>
      </w:r>
      <w:r w:rsidR="00157594">
        <w:t xml:space="preserve">details in </w:t>
      </w:r>
      <w:r w:rsidR="00C14A35">
        <w:t>A</w:t>
      </w:r>
      <w:r>
        <w:t xml:space="preserve">ttachment </w:t>
      </w:r>
      <w:r w:rsidR="00F16A77">
        <w:t>A</w:t>
      </w:r>
      <w:r w:rsidR="00E6721D">
        <w:t>1</w:t>
      </w:r>
      <w:r>
        <w:t>)</w:t>
      </w:r>
      <w:r w:rsidR="00157594">
        <w:t>.</w:t>
      </w:r>
      <w:r w:rsidR="00A71F38">
        <w:t xml:space="preserve"> More details on the costs of existing collections can be found in attachments A1 through G1.</w:t>
      </w:r>
    </w:p>
    <w:p w14:paraId="13234A1D" w14:textId="77777777" w:rsidR="00193BA8" w:rsidRDefault="00193BA8" w:rsidP="00B303E2">
      <w:pPr>
        <w:pStyle w:val="NormalWeb"/>
        <w:spacing w:before="0" w:beforeAutospacing="0" w:after="0" w:afterAutospacing="0"/>
        <w:jc w:val="both"/>
      </w:pPr>
    </w:p>
    <w:p w14:paraId="4BDEED7C" w14:textId="64ECE726" w:rsidR="00193BA8" w:rsidRDefault="00193BA8" w:rsidP="00B303E2">
      <w:pPr>
        <w:pStyle w:val="p1-standpara"/>
        <w:spacing w:before="0" w:beforeAutospacing="0" w:after="0" w:afterAutospacing="0"/>
        <w:jc w:val="both"/>
        <w:rPr>
          <w:color w:val="000000"/>
        </w:rPr>
      </w:pPr>
      <w:r>
        <w:rPr>
          <w:color w:val="000000"/>
        </w:rPr>
        <w:t>Computing the annualized cost to NSF for the CREST</w:t>
      </w:r>
      <w:r w:rsidR="003C49E6">
        <w:rPr>
          <w:color w:val="000000"/>
        </w:rPr>
        <w:t>/HBCU-RISE</w:t>
      </w:r>
      <w:r>
        <w:rPr>
          <w:color w:val="000000"/>
        </w:rPr>
        <w:t xml:space="preserve"> data collection was done by taking the </w:t>
      </w:r>
      <w:r w:rsidR="003876BF">
        <w:rPr>
          <w:color w:val="000000"/>
        </w:rPr>
        <w:t xml:space="preserve">projected </w:t>
      </w:r>
      <w:r>
        <w:rPr>
          <w:color w:val="000000"/>
        </w:rPr>
        <w:t>budget</w:t>
      </w:r>
      <w:r w:rsidR="00E6721D">
        <w:rPr>
          <w:color w:val="000000"/>
        </w:rPr>
        <w:t xml:space="preserve"> for the </w:t>
      </w:r>
      <w:r w:rsidR="003876BF">
        <w:rPr>
          <w:color w:val="000000"/>
        </w:rPr>
        <w:t>next three</w:t>
      </w:r>
      <w:r w:rsidR="00E6721D">
        <w:rPr>
          <w:color w:val="000000"/>
        </w:rPr>
        <w:t xml:space="preserve"> year</w:t>
      </w:r>
      <w:r w:rsidR="003876BF">
        <w:rPr>
          <w:color w:val="000000"/>
        </w:rPr>
        <w:t>s</w:t>
      </w:r>
      <w:r w:rsidR="00E6721D">
        <w:rPr>
          <w:color w:val="000000"/>
        </w:rPr>
        <w:t xml:space="preserve"> and </w:t>
      </w:r>
      <w:r>
        <w:rPr>
          <w:color w:val="000000"/>
        </w:rPr>
        <w:t>c</w:t>
      </w:r>
      <w:r w:rsidR="003C49E6">
        <w:rPr>
          <w:color w:val="000000"/>
        </w:rPr>
        <w:t>alculating the cost</w:t>
      </w:r>
      <w:r>
        <w:rPr>
          <w:color w:val="000000"/>
        </w:rPr>
        <w:t xml:space="preserve"> for each of the following operational activities involved in producing, maintaining, and conducting the data collection</w:t>
      </w:r>
      <w:r w:rsidR="00157594">
        <w:rPr>
          <w:color w:val="000000"/>
        </w:rPr>
        <w:t xml:space="preserve"> (see Exhibit 7).</w:t>
      </w:r>
    </w:p>
    <w:p w14:paraId="6F6C7B83" w14:textId="2FCB4135" w:rsidR="00897C57" w:rsidRDefault="00897C57" w:rsidP="00B303E2">
      <w:pPr>
        <w:pStyle w:val="p1-standpara"/>
        <w:spacing w:before="0" w:beforeAutospacing="0" w:after="0" w:afterAutospacing="0"/>
        <w:jc w:val="both"/>
      </w:pPr>
    </w:p>
    <w:p w14:paraId="23916865" w14:textId="77777777" w:rsidR="00897C57" w:rsidRDefault="00897C57" w:rsidP="00B303E2">
      <w:pPr>
        <w:pStyle w:val="p1-standpara"/>
        <w:spacing w:before="0" w:beforeAutospacing="0" w:after="0" w:afterAutospacing="0"/>
        <w:jc w:val="both"/>
      </w:pPr>
    </w:p>
    <w:p w14:paraId="42499BAB" w14:textId="70FF0113" w:rsidR="00193BA8" w:rsidRDefault="00193BA8" w:rsidP="00193BA8">
      <w:pPr>
        <w:pStyle w:val="p1-standpara"/>
        <w:spacing w:before="0" w:beforeAutospacing="0" w:after="0" w:afterAutospacing="0"/>
        <w:jc w:val="both"/>
      </w:pPr>
    </w:p>
    <w:p w14:paraId="01D921A7" w14:textId="49B3AFCC" w:rsidR="00157594" w:rsidRDefault="00157594" w:rsidP="00193BA8">
      <w:pPr>
        <w:pStyle w:val="p1-standpara"/>
        <w:spacing w:before="0" w:beforeAutospacing="0" w:after="0" w:afterAutospacing="0"/>
        <w:jc w:val="both"/>
      </w:pPr>
      <w:r w:rsidRPr="001A7509">
        <w:rPr>
          <w:b/>
          <w:color w:val="000000"/>
          <w:sz w:val="20"/>
          <w:szCs w:val="20"/>
        </w:rPr>
        <w:t xml:space="preserve">Exhibit </w:t>
      </w:r>
      <w:r>
        <w:rPr>
          <w:b/>
          <w:color w:val="000000"/>
          <w:sz w:val="20"/>
          <w:szCs w:val="20"/>
        </w:rPr>
        <w:t>7</w:t>
      </w:r>
      <w:r w:rsidRPr="001A7509">
        <w:rPr>
          <w:b/>
          <w:color w:val="000000"/>
          <w:sz w:val="20"/>
          <w:szCs w:val="20"/>
        </w:rPr>
        <w:t>: Sample calculation of</w:t>
      </w:r>
      <w:r w:rsidR="00726110">
        <w:rPr>
          <w:b/>
          <w:color w:val="000000"/>
          <w:sz w:val="20"/>
          <w:szCs w:val="20"/>
        </w:rPr>
        <w:t xml:space="preserve"> estimated annualized cost</w:t>
      </w:r>
      <w:r w:rsidR="008C3E6D">
        <w:rPr>
          <w:b/>
          <w:color w:val="000000"/>
          <w:sz w:val="20"/>
          <w:szCs w:val="20"/>
        </w:rPr>
        <w:t xml:space="preserve"> to the Federal </w:t>
      </w:r>
      <w:r w:rsidR="00D662E6">
        <w:rPr>
          <w:b/>
          <w:color w:val="000000"/>
          <w:sz w:val="20"/>
          <w:szCs w:val="20"/>
        </w:rPr>
        <w:t>G</w:t>
      </w:r>
      <w:r w:rsidR="008C3E6D">
        <w:rPr>
          <w:b/>
          <w:color w:val="000000"/>
          <w:sz w:val="20"/>
          <w:szCs w:val="20"/>
        </w:rPr>
        <w:t>overnment</w:t>
      </w:r>
    </w:p>
    <w:tbl>
      <w:tblPr>
        <w:tblW w:w="0" w:type="auto"/>
        <w:jc w:val="center"/>
        <w:tblLook w:val="04A0" w:firstRow="1" w:lastRow="0" w:firstColumn="1" w:lastColumn="0" w:noHBand="0" w:noVBand="1"/>
      </w:tblPr>
      <w:tblGrid>
        <w:gridCol w:w="6210"/>
        <w:gridCol w:w="2448"/>
      </w:tblGrid>
      <w:tr w:rsidR="00193BA8" w14:paraId="1E91F091" w14:textId="77777777" w:rsidTr="00674A43">
        <w:trPr>
          <w:trHeight w:val="277"/>
          <w:tblHeader/>
          <w:jc w:val="center"/>
        </w:trPr>
        <w:tc>
          <w:tcPr>
            <w:tcW w:w="62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E5BEFF" w14:textId="77777777" w:rsidR="00193BA8" w:rsidRPr="00674A43" w:rsidRDefault="00193BA8" w:rsidP="00674A43">
            <w:pPr>
              <w:jc w:val="center"/>
              <w:rPr>
                <w:rStyle w:val="Strong"/>
                <w:rFonts w:ascii="Times New Roman" w:hAnsi="Times New Roman"/>
              </w:rPr>
            </w:pPr>
            <w:r w:rsidRPr="00674A43">
              <w:rPr>
                <w:rStyle w:val="Strong"/>
                <w:rFonts w:ascii="Times New Roman" w:hAnsi="Times New Roman"/>
              </w:rPr>
              <w:t>Operational Activities</w:t>
            </w:r>
          </w:p>
        </w:tc>
        <w:tc>
          <w:tcPr>
            <w:tcW w:w="2448" w:type="dxa"/>
            <w:tcBorders>
              <w:top w:val="single" w:sz="8" w:space="0" w:color="auto"/>
              <w:left w:val="nil"/>
              <w:bottom w:val="single" w:sz="8" w:space="0" w:color="auto"/>
              <w:right w:val="single" w:sz="8" w:space="0" w:color="auto"/>
            </w:tcBorders>
            <w:shd w:val="clear" w:color="auto" w:fill="auto"/>
            <w:vAlign w:val="center"/>
            <w:hideMark/>
          </w:tcPr>
          <w:p w14:paraId="34DD083E" w14:textId="77777777" w:rsidR="00193BA8" w:rsidRPr="00D40699" w:rsidRDefault="00193BA8" w:rsidP="00E44CF1">
            <w:pPr>
              <w:jc w:val="center"/>
            </w:pPr>
            <w:r w:rsidRPr="00D40699">
              <w:rPr>
                <w:rStyle w:val="Strong"/>
                <w:rFonts w:ascii="Times New Roman" w:hAnsi="Times New Roman"/>
              </w:rPr>
              <w:t>Cost Over Three Years</w:t>
            </w:r>
          </w:p>
        </w:tc>
      </w:tr>
      <w:tr w:rsidR="00193BA8" w14:paraId="4DBEE631" w14:textId="77777777" w:rsidTr="00193BA8">
        <w:trPr>
          <w:jc w:val="center"/>
        </w:trPr>
        <w:tc>
          <w:tcPr>
            <w:tcW w:w="6210" w:type="dxa"/>
            <w:tcBorders>
              <w:top w:val="nil"/>
              <w:left w:val="single" w:sz="8" w:space="0" w:color="auto"/>
              <w:bottom w:val="single" w:sz="8" w:space="0" w:color="auto"/>
              <w:right w:val="single" w:sz="8" w:space="0" w:color="auto"/>
            </w:tcBorders>
            <w:shd w:val="clear" w:color="auto" w:fill="auto"/>
            <w:hideMark/>
          </w:tcPr>
          <w:p w14:paraId="5FC6AD6F" w14:textId="5D403C54" w:rsidR="00193BA8" w:rsidRPr="00D40699" w:rsidRDefault="00193BA8" w:rsidP="00E44CF1">
            <w:r w:rsidRPr="00D40699">
              <w:rPr>
                <w:rFonts w:ascii="Times New Roman" w:hAnsi="Times New Roman"/>
                <w:color w:val="000000"/>
              </w:rPr>
              <w:t>System Development (includes initial development of the database and Web-based application, and later changes requested by the program, e.g., increased reporting</w:t>
            </w:r>
            <w:r w:rsidR="00D40699">
              <w:rPr>
                <w:rFonts w:ascii="Times New Roman" w:hAnsi="Times New Roman"/>
                <w:color w:val="000000"/>
              </w:rPr>
              <w:t xml:space="preserve"> tools, additional validations)</w:t>
            </w:r>
          </w:p>
        </w:tc>
        <w:tc>
          <w:tcPr>
            <w:tcW w:w="2448" w:type="dxa"/>
            <w:tcBorders>
              <w:top w:val="nil"/>
              <w:left w:val="nil"/>
              <w:bottom w:val="single" w:sz="8" w:space="0" w:color="auto"/>
              <w:right w:val="single" w:sz="8" w:space="0" w:color="auto"/>
            </w:tcBorders>
            <w:shd w:val="clear" w:color="auto" w:fill="auto"/>
            <w:vAlign w:val="center"/>
            <w:hideMark/>
          </w:tcPr>
          <w:p w14:paraId="63F87575" w14:textId="2A2F65D7" w:rsidR="00193BA8" w:rsidRPr="00D40699" w:rsidRDefault="00193BA8" w:rsidP="00A02C34">
            <w:pPr>
              <w:ind w:right="-9"/>
              <w:jc w:val="right"/>
            </w:pPr>
            <w:r w:rsidRPr="00D40699">
              <w:rPr>
                <w:rFonts w:ascii="Times New Roman" w:hAnsi="Times New Roman"/>
                <w:color w:val="000000"/>
              </w:rPr>
              <w:t>$</w:t>
            </w:r>
            <w:r w:rsidR="003876BF" w:rsidRPr="00D40699">
              <w:rPr>
                <w:rFonts w:ascii="Times New Roman" w:hAnsi="Times New Roman"/>
                <w:color w:val="000000"/>
              </w:rPr>
              <w:t>148,113</w:t>
            </w:r>
          </w:p>
        </w:tc>
      </w:tr>
      <w:tr w:rsidR="00193BA8" w14:paraId="7B605405" w14:textId="77777777" w:rsidTr="00193BA8">
        <w:trPr>
          <w:jc w:val="center"/>
        </w:trPr>
        <w:tc>
          <w:tcPr>
            <w:tcW w:w="6210" w:type="dxa"/>
            <w:tcBorders>
              <w:top w:val="nil"/>
              <w:left w:val="single" w:sz="8" w:space="0" w:color="auto"/>
              <w:bottom w:val="single" w:sz="8" w:space="0" w:color="auto"/>
              <w:right w:val="single" w:sz="8" w:space="0" w:color="auto"/>
            </w:tcBorders>
            <w:shd w:val="clear" w:color="auto" w:fill="auto"/>
            <w:hideMark/>
          </w:tcPr>
          <w:p w14:paraId="2F91B3BA" w14:textId="6C1019C7" w:rsidR="00193BA8" w:rsidRPr="00D40699" w:rsidRDefault="00193BA8" w:rsidP="00E44CF1">
            <w:r w:rsidRPr="00D40699">
              <w:rPr>
                <w:rFonts w:ascii="Times New Roman" w:hAnsi="Times New Roman"/>
                <w:color w:val="000000"/>
              </w:rPr>
              <w:t>System Maintenance, Updates, and Technical Support (system requires updates each year before opening the collection; maintenance is required to keep the system current with technology, e.g., datab</w:t>
            </w:r>
            <w:r w:rsidR="00726110">
              <w:rPr>
                <w:rFonts w:ascii="Times New Roman" w:hAnsi="Times New Roman"/>
                <w:color w:val="000000"/>
              </w:rPr>
              <w:t>ase servers, operating systems)</w:t>
            </w:r>
          </w:p>
        </w:tc>
        <w:tc>
          <w:tcPr>
            <w:tcW w:w="2448" w:type="dxa"/>
            <w:tcBorders>
              <w:top w:val="nil"/>
              <w:left w:val="nil"/>
              <w:bottom w:val="single" w:sz="8" w:space="0" w:color="auto"/>
              <w:right w:val="single" w:sz="8" w:space="0" w:color="auto"/>
            </w:tcBorders>
            <w:shd w:val="clear" w:color="auto" w:fill="auto"/>
            <w:vAlign w:val="center"/>
            <w:hideMark/>
          </w:tcPr>
          <w:p w14:paraId="03A8BCD1" w14:textId="57896F3D" w:rsidR="00193BA8" w:rsidRPr="00D40699" w:rsidRDefault="00193BA8" w:rsidP="00A02C34">
            <w:pPr>
              <w:ind w:right="-9"/>
              <w:jc w:val="right"/>
            </w:pPr>
            <w:r w:rsidRPr="00D40699">
              <w:rPr>
                <w:rFonts w:ascii="Times New Roman" w:hAnsi="Times New Roman"/>
                <w:color w:val="000000"/>
              </w:rPr>
              <w:t>$</w:t>
            </w:r>
            <w:r w:rsidR="003876BF" w:rsidRPr="00D40699">
              <w:rPr>
                <w:rFonts w:ascii="Times New Roman" w:hAnsi="Times New Roman"/>
                <w:color w:val="000000"/>
              </w:rPr>
              <w:t>266,603</w:t>
            </w:r>
          </w:p>
        </w:tc>
      </w:tr>
      <w:tr w:rsidR="00193BA8" w14:paraId="5DFE2194" w14:textId="77777777" w:rsidTr="00193BA8">
        <w:trPr>
          <w:jc w:val="center"/>
        </w:trPr>
        <w:tc>
          <w:tcPr>
            <w:tcW w:w="6210" w:type="dxa"/>
            <w:tcBorders>
              <w:top w:val="nil"/>
              <w:left w:val="single" w:sz="8" w:space="0" w:color="auto"/>
              <w:bottom w:val="single" w:sz="8" w:space="0" w:color="auto"/>
              <w:right w:val="single" w:sz="8" w:space="0" w:color="auto"/>
            </w:tcBorders>
            <w:shd w:val="clear" w:color="auto" w:fill="auto"/>
            <w:hideMark/>
          </w:tcPr>
          <w:p w14:paraId="39844990" w14:textId="4E7D68FA" w:rsidR="00193BA8" w:rsidRPr="00D40699" w:rsidRDefault="00193BA8" w:rsidP="00E44CF1">
            <w:r w:rsidRPr="00D40699">
              <w:rPr>
                <w:rFonts w:ascii="Times New Roman" w:hAnsi="Times New Roman"/>
                <w:color w:val="000000"/>
              </w:rPr>
              <w:t xml:space="preserve">Data Collection Opening and Support (e.g., online and telephone support to respondents and contacting respondents to encourage completion of the questions), Reporting (as defined by HRD), and </w:t>
            </w:r>
            <w:r w:rsidR="00056F3D" w:rsidRPr="00D40699">
              <w:rPr>
                <w:rFonts w:ascii="Times New Roman" w:hAnsi="Times New Roman"/>
                <w:color w:val="000000"/>
              </w:rPr>
              <w:t>Follow-up</w:t>
            </w:r>
            <w:r w:rsidRPr="00D40699">
              <w:rPr>
                <w:rFonts w:ascii="Times New Roman" w:hAnsi="Times New Roman"/>
                <w:color w:val="000000"/>
              </w:rPr>
              <w:t xml:space="preserve"> Activities (e.g., providing data to other consultants)</w:t>
            </w:r>
          </w:p>
        </w:tc>
        <w:tc>
          <w:tcPr>
            <w:tcW w:w="2448" w:type="dxa"/>
            <w:tcBorders>
              <w:top w:val="nil"/>
              <w:left w:val="nil"/>
              <w:bottom w:val="single" w:sz="8" w:space="0" w:color="auto"/>
              <w:right w:val="single" w:sz="8" w:space="0" w:color="auto"/>
            </w:tcBorders>
            <w:shd w:val="clear" w:color="auto" w:fill="auto"/>
            <w:vAlign w:val="center"/>
            <w:hideMark/>
          </w:tcPr>
          <w:p w14:paraId="2306FBFF" w14:textId="420A82E3" w:rsidR="00193BA8" w:rsidRPr="00D40699" w:rsidRDefault="00193BA8" w:rsidP="003876BF">
            <w:pPr>
              <w:ind w:right="-9"/>
              <w:jc w:val="right"/>
            </w:pPr>
            <w:r w:rsidRPr="00D40699">
              <w:rPr>
                <w:rFonts w:ascii="Times New Roman" w:hAnsi="Times New Roman"/>
                <w:color w:val="000000"/>
              </w:rPr>
              <w:t>$</w:t>
            </w:r>
            <w:r w:rsidR="003876BF" w:rsidRPr="00D40699">
              <w:rPr>
                <w:rFonts w:ascii="Times New Roman" w:hAnsi="Times New Roman"/>
                <w:color w:val="000000"/>
              </w:rPr>
              <w:t>177,735</w:t>
            </w:r>
          </w:p>
        </w:tc>
      </w:tr>
      <w:tr w:rsidR="00193BA8" w14:paraId="3358C83B" w14:textId="77777777" w:rsidTr="00193BA8">
        <w:trPr>
          <w:jc w:val="center"/>
        </w:trPr>
        <w:tc>
          <w:tcPr>
            <w:tcW w:w="6210" w:type="dxa"/>
            <w:tcBorders>
              <w:top w:val="nil"/>
              <w:left w:val="single" w:sz="8" w:space="0" w:color="auto"/>
              <w:bottom w:val="single" w:sz="8" w:space="0" w:color="auto"/>
              <w:right w:val="single" w:sz="8" w:space="0" w:color="auto"/>
            </w:tcBorders>
            <w:shd w:val="clear" w:color="auto" w:fill="auto"/>
            <w:hideMark/>
          </w:tcPr>
          <w:p w14:paraId="795B1097" w14:textId="77777777" w:rsidR="00193BA8" w:rsidRPr="00D40699" w:rsidRDefault="00193BA8" w:rsidP="00E44CF1">
            <w:pPr>
              <w:spacing w:line="360" w:lineRule="atLeast"/>
            </w:pPr>
            <w:r w:rsidRPr="00D40699">
              <w:rPr>
                <w:rStyle w:val="Strong"/>
                <w:rFonts w:ascii="Times New Roman" w:hAnsi="Times New Roman"/>
                <w:color w:val="000000"/>
              </w:rPr>
              <w:t>Three-Year Total for All Operational Activities</w:t>
            </w:r>
          </w:p>
        </w:tc>
        <w:tc>
          <w:tcPr>
            <w:tcW w:w="2448" w:type="dxa"/>
            <w:tcBorders>
              <w:top w:val="nil"/>
              <w:left w:val="nil"/>
              <w:bottom w:val="single" w:sz="8" w:space="0" w:color="auto"/>
              <w:right w:val="single" w:sz="8" w:space="0" w:color="auto"/>
            </w:tcBorders>
            <w:shd w:val="clear" w:color="auto" w:fill="auto"/>
            <w:vAlign w:val="center"/>
            <w:hideMark/>
          </w:tcPr>
          <w:p w14:paraId="35986B4A" w14:textId="1CAF9411" w:rsidR="00193BA8" w:rsidRPr="00D40699" w:rsidRDefault="00F74293" w:rsidP="00AF5BB7">
            <w:pPr>
              <w:spacing w:line="360" w:lineRule="atLeast"/>
              <w:jc w:val="right"/>
              <w:rPr>
                <w:rFonts w:ascii="Times New Roman" w:hAnsi="Times New Roman"/>
              </w:rPr>
            </w:pPr>
            <w:r w:rsidRPr="00D40699">
              <w:rPr>
                <w:rStyle w:val="Strong"/>
                <w:rFonts w:ascii="Times New Roman" w:hAnsi="Times New Roman"/>
                <w:color w:val="000000"/>
              </w:rPr>
              <w:t>$</w:t>
            </w:r>
            <w:r w:rsidR="003876BF" w:rsidRPr="00D40699">
              <w:rPr>
                <w:rStyle w:val="Strong"/>
                <w:rFonts w:ascii="Times New Roman" w:hAnsi="Times New Roman"/>
                <w:color w:val="000000"/>
              </w:rPr>
              <w:t>592,450</w:t>
            </w:r>
          </w:p>
        </w:tc>
      </w:tr>
    </w:tbl>
    <w:p w14:paraId="752A2F57" w14:textId="77777777" w:rsidR="00D40699" w:rsidRDefault="00D40699" w:rsidP="00A02C34">
      <w:pPr>
        <w:pStyle w:val="p1-standpara"/>
        <w:spacing w:before="0" w:beforeAutospacing="0" w:after="0" w:afterAutospacing="0"/>
        <w:jc w:val="both"/>
        <w:rPr>
          <w:color w:val="000000"/>
        </w:rPr>
      </w:pPr>
    </w:p>
    <w:p w14:paraId="50DD7E03" w14:textId="4C072266" w:rsidR="00193BA8" w:rsidRDefault="00193BA8" w:rsidP="00A02C34">
      <w:pPr>
        <w:pStyle w:val="p1-standpara"/>
        <w:spacing w:before="0" w:beforeAutospacing="0" w:after="0" w:afterAutospacing="0"/>
        <w:jc w:val="both"/>
      </w:pPr>
      <w:r>
        <w:rPr>
          <w:color w:val="000000"/>
        </w:rPr>
        <w:t>The annualized cost was computed as one-third of the total three-year cost; thus, the annualized cost to NSF for the CREST</w:t>
      </w:r>
      <w:r w:rsidR="006E0225">
        <w:rPr>
          <w:color w:val="000000"/>
        </w:rPr>
        <w:t>/HBCU-RISE</w:t>
      </w:r>
      <w:r>
        <w:rPr>
          <w:color w:val="000000"/>
        </w:rPr>
        <w:t xml:space="preserve"> data collection is $</w:t>
      </w:r>
      <w:r w:rsidR="003876BF">
        <w:rPr>
          <w:color w:val="000000"/>
        </w:rPr>
        <w:t>197,483</w:t>
      </w:r>
      <w:r>
        <w:rPr>
          <w:color w:val="000000"/>
        </w:rPr>
        <w:t>.</w:t>
      </w:r>
    </w:p>
    <w:p w14:paraId="6E326685" w14:textId="77777777" w:rsidR="00193BA8" w:rsidRDefault="00193BA8" w:rsidP="00193BA8">
      <w:pPr>
        <w:pStyle w:val="Heading3"/>
      </w:pPr>
      <w:r>
        <w:t>A.15. Changes in Burden</w:t>
      </w:r>
    </w:p>
    <w:p w14:paraId="1E93E212" w14:textId="6C60A947" w:rsidR="00E6721D" w:rsidRDefault="00E6721D" w:rsidP="00E6721D">
      <w:pPr>
        <w:pStyle w:val="p1-standpara"/>
        <w:spacing w:before="0" w:beforeAutospacing="0" w:after="0" w:afterAutospacing="0"/>
        <w:jc w:val="both"/>
        <w:rPr>
          <w:shd w:val="clear" w:color="auto" w:fill="00FFFF"/>
        </w:rPr>
      </w:pPr>
      <w:r>
        <w:t xml:space="preserve">The current inventory numbers at OMB for the EHR </w:t>
      </w:r>
      <w:r w:rsidR="00FA7B28">
        <w:t>p</w:t>
      </w:r>
      <w:r>
        <w:t xml:space="preserve">rogram </w:t>
      </w:r>
      <w:r w:rsidR="00FA7B28">
        <w:t>m</w:t>
      </w:r>
      <w:r>
        <w:t xml:space="preserve">onitoring clearance covers 11 individual collection tasks. </w:t>
      </w:r>
      <w:r w:rsidRPr="009E12C1">
        <w:t xml:space="preserve">The OMB inventory records show a total number of responses of </w:t>
      </w:r>
      <w:r w:rsidR="009E12C1">
        <w:t>7,784</w:t>
      </w:r>
      <w:r w:rsidRPr="009E12C1">
        <w:t xml:space="preserve"> and total hours of </w:t>
      </w:r>
      <w:r w:rsidR="00A54595">
        <w:t>57,249</w:t>
      </w:r>
      <w:r w:rsidRPr="009E12C1">
        <w:t>.</w:t>
      </w:r>
    </w:p>
    <w:p w14:paraId="2A5499CB" w14:textId="77777777" w:rsidR="00E6721D" w:rsidRDefault="00E6721D" w:rsidP="00E6721D">
      <w:pPr>
        <w:pStyle w:val="p1-standpara"/>
        <w:spacing w:before="0" w:beforeAutospacing="0" w:after="0" w:afterAutospacing="0"/>
        <w:jc w:val="both"/>
      </w:pPr>
    </w:p>
    <w:p w14:paraId="0A9CBEA4" w14:textId="60CA6891" w:rsidR="00E6721D" w:rsidRDefault="00E6721D" w:rsidP="00E6721D">
      <w:pPr>
        <w:pStyle w:val="p1-standpara"/>
        <w:spacing w:before="0" w:beforeAutospacing="0" w:after="0" w:afterAutospacing="0"/>
        <w:jc w:val="both"/>
        <w:rPr>
          <w:shd w:val="clear" w:color="auto" w:fill="00FFFF"/>
        </w:rPr>
      </w:pPr>
      <w:r>
        <w:t xml:space="preserve">This renewal includes </w:t>
      </w:r>
      <w:r w:rsidR="00A02C34">
        <w:t>seven individual collection</w:t>
      </w:r>
      <w:r>
        <w:t xml:space="preserve"> tasks and requests </w:t>
      </w:r>
      <w:r w:rsidR="00E95C1C">
        <w:t>3,21</w:t>
      </w:r>
      <w:r w:rsidR="00806938">
        <w:t>1</w:t>
      </w:r>
      <w:r>
        <w:t xml:space="preserve"> responses and </w:t>
      </w:r>
      <w:r w:rsidR="00E95C1C">
        <w:t>32,698</w:t>
      </w:r>
      <w:r>
        <w:t xml:space="preserve"> total hours; details can be found in </w:t>
      </w:r>
      <w:r w:rsidR="00E95C1C">
        <w:t>A</w:t>
      </w:r>
      <w:r>
        <w:t xml:space="preserve">ppendix </w:t>
      </w:r>
      <w:r w:rsidR="00295BF0">
        <w:t>A</w:t>
      </w:r>
      <w:r>
        <w:t xml:space="preserve">. The change in burden is due to shifts in the number of respondents. </w:t>
      </w:r>
      <w:r w:rsidR="00625128">
        <w:t>Exhibit 8</w:t>
      </w:r>
      <w:r>
        <w:t xml:space="preserve"> shows the changes in burden in the individual tasks:</w:t>
      </w:r>
    </w:p>
    <w:p w14:paraId="3A4A4E67" w14:textId="77777777" w:rsidR="00E6721D" w:rsidRDefault="00E6721D" w:rsidP="00E6721D">
      <w:pPr>
        <w:pStyle w:val="p1-standpara"/>
        <w:spacing w:before="0" w:beforeAutospacing="0" w:after="0" w:afterAutospacing="0"/>
        <w:jc w:val="both"/>
      </w:pPr>
    </w:p>
    <w:p w14:paraId="4FAEA16E" w14:textId="1D7B28E3" w:rsidR="00E6721D" w:rsidRPr="00625128" w:rsidRDefault="00625128" w:rsidP="00930FCA">
      <w:pPr>
        <w:pStyle w:val="p1-standpara"/>
        <w:widowControl w:val="0"/>
        <w:spacing w:before="0" w:beforeAutospacing="0" w:after="0" w:afterAutospacing="0"/>
        <w:rPr>
          <w:b/>
          <w:sz w:val="20"/>
          <w:szCs w:val="20"/>
        </w:rPr>
      </w:pPr>
      <w:r w:rsidRPr="00625128">
        <w:rPr>
          <w:b/>
          <w:sz w:val="20"/>
          <w:szCs w:val="20"/>
        </w:rPr>
        <w:t>Exhibit 8:</w:t>
      </w:r>
      <w:r w:rsidR="00E6721D" w:rsidRPr="00625128">
        <w:rPr>
          <w:b/>
          <w:sz w:val="20"/>
          <w:szCs w:val="20"/>
        </w:rPr>
        <w:t xml:space="preserve"> Hour </w:t>
      </w:r>
      <w:r w:rsidR="00E95C1C">
        <w:rPr>
          <w:b/>
          <w:sz w:val="20"/>
          <w:szCs w:val="20"/>
        </w:rPr>
        <w:t>c</w:t>
      </w:r>
      <w:r w:rsidR="00E6721D" w:rsidRPr="00625128">
        <w:rPr>
          <w:b/>
          <w:sz w:val="20"/>
          <w:szCs w:val="20"/>
        </w:rPr>
        <w:t xml:space="preserve">hanges in </w:t>
      </w:r>
      <w:r w:rsidR="00E95C1C">
        <w:rPr>
          <w:b/>
          <w:sz w:val="20"/>
          <w:szCs w:val="20"/>
        </w:rPr>
        <w:t>t</w:t>
      </w:r>
      <w:r w:rsidR="00E6721D" w:rsidRPr="00625128">
        <w:rPr>
          <w:b/>
          <w:sz w:val="20"/>
          <w:szCs w:val="20"/>
        </w:rPr>
        <w:t xml:space="preserve">ask </w:t>
      </w:r>
      <w:r w:rsidR="00E95C1C">
        <w:rPr>
          <w:b/>
          <w:sz w:val="20"/>
          <w:szCs w:val="20"/>
        </w:rPr>
        <w:t>b</w:t>
      </w:r>
      <w:r w:rsidR="00E6721D" w:rsidRPr="00625128">
        <w:rPr>
          <w:b/>
          <w:sz w:val="20"/>
          <w:szCs w:val="20"/>
        </w:rPr>
        <w:t>urdens</w:t>
      </w:r>
    </w:p>
    <w:tbl>
      <w:tblPr>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5"/>
        <w:gridCol w:w="1260"/>
        <w:gridCol w:w="1260"/>
        <w:gridCol w:w="1080"/>
      </w:tblGrid>
      <w:tr w:rsidR="006D0BD9" w14:paraId="10C90478" w14:textId="77777777" w:rsidTr="00AF5BB7">
        <w:trPr>
          <w:tblHeader/>
        </w:trPr>
        <w:tc>
          <w:tcPr>
            <w:tcW w:w="5035" w:type="dxa"/>
            <w:tcBorders>
              <w:top w:val="single" w:sz="4" w:space="0" w:color="000000"/>
              <w:left w:val="single" w:sz="4" w:space="0" w:color="000000"/>
              <w:bottom w:val="single" w:sz="4" w:space="0" w:color="000000"/>
              <w:right w:val="single" w:sz="4" w:space="0" w:color="000000"/>
            </w:tcBorders>
            <w:vAlign w:val="center"/>
            <w:hideMark/>
          </w:tcPr>
          <w:p w14:paraId="6BBB5085" w14:textId="77777777" w:rsidR="006D0BD9" w:rsidRPr="00D40699" w:rsidRDefault="006D0BD9">
            <w:pPr>
              <w:pStyle w:val="p1-standpara"/>
              <w:widowControl w:val="0"/>
              <w:spacing w:before="0" w:beforeAutospacing="0" w:after="0" w:afterAutospacing="0"/>
              <w:jc w:val="center"/>
              <w:rPr>
                <w:b/>
                <w:sz w:val="20"/>
                <w:szCs w:val="20"/>
              </w:rPr>
            </w:pPr>
            <w:r w:rsidRPr="00D40699">
              <w:rPr>
                <w:b/>
                <w:sz w:val="20"/>
                <w:szCs w:val="20"/>
              </w:rPr>
              <w:t>Collection Title</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0C0CFDEC" w14:textId="1F214FBC" w:rsidR="006D0BD9" w:rsidRPr="00D40699" w:rsidRDefault="006D0BD9">
            <w:pPr>
              <w:pStyle w:val="p1-standpara"/>
              <w:widowControl w:val="0"/>
              <w:spacing w:before="0" w:beforeAutospacing="0" w:after="0" w:afterAutospacing="0"/>
              <w:jc w:val="center"/>
              <w:rPr>
                <w:b/>
                <w:sz w:val="20"/>
                <w:szCs w:val="20"/>
              </w:rPr>
            </w:pPr>
            <w:r w:rsidRPr="00D40699">
              <w:rPr>
                <w:b/>
                <w:sz w:val="20"/>
                <w:szCs w:val="20"/>
              </w:rPr>
              <w:t>Previously Cleared Burden</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69760718" w14:textId="77777777" w:rsidR="006D0BD9" w:rsidRPr="00D40699" w:rsidRDefault="006D0BD9">
            <w:pPr>
              <w:pStyle w:val="p1-standpara"/>
              <w:widowControl w:val="0"/>
              <w:spacing w:before="0" w:beforeAutospacing="0" w:after="0" w:afterAutospacing="0"/>
              <w:jc w:val="center"/>
              <w:rPr>
                <w:b/>
                <w:sz w:val="20"/>
                <w:szCs w:val="20"/>
              </w:rPr>
            </w:pPr>
            <w:r w:rsidRPr="00D40699">
              <w:rPr>
                <w:b/>
                <w:sz w:val="20"/>
                <w:szCs w:val="20"/>
              </w:rPr>
              <w:t>Currently Requested Burden</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6FFB250B" w14:textId="77777777" w:rsidR="006D0BD9" w:rsidRPr="00D40699" w:rsidRDefault="006D0BD9">
            <w:pPr>
              <w:pStyle w:val="p1-standpara"/>
              <w:widowControl w:val="0"/>
              <w:spacing w:before="0" w:beforeAutospacing="0" w:after="0" w:afterAutospacing="0"/>
              <w:jc w:val="center"/>
              <w:rPr>
                <w:b/>
                <w:sz w:val="20"/>
                <w:szCs w:val="20"/>
              </w:rPr>
            </w:pPr>
            <w:r w:rsidRPr="00D40699">
              <w:rPr>
                <w:b/>
                <w:sz w:val="20"/>
                <w:szCs w:val="20"/>
              </w:rPr>
              <w:t>Change in Burden</w:t>
            </w:r>
          </w:p>
        </w:tc>
      </w:tr>
      <w:tr w:rsidR="006D0BD9" w14:paraId="79F71842" w14:textId="77777777" w:rsidTr="00AF5BB7">
        <w:tc>
          <w:tcPr>
            <w:tcW w:w="5035" w:type="dxa"/>
            <w:tcBorders>
              <w:top w:val="single" w:sz="4" w:space="0" w:color="000000"/>
              <w:left w:val="single" w:sz="4" w:space="0" w:color="000000"/>
              <w:bottom w:val="single" w:sz="4" w:space="0" w:color="000000"/>
              <w:right w:val="single" w:sz="4" w:space="0" w:color="000000"/>
            </w:tcBorders>
            <w:vAlign w:val="center"/>
            <w:hideMark/>
          </w:tcPr>
          <w:p w14:paraId="1724E220" w14:textId="77777777" w:rsidR="006D0BD9" w:rsidRPr="00D40699" w:rsidRDefault="006D0BD9">
            <w:pPr>
              <w:pStyle w:val="sl-fllftsgl"/>
              <w:widowControl w:val="0"/>
              <w:spacing w:before="0" w:beforeAutospacing="0" w:after="0" w:afterAutospacing="0"/>
              <w:rPr>
                <w:sz w:val="20"/>
                <w:szCs w:val="20"/>
              </w:rPr>
            </w:pPr>
            <w:r w:rsidRPr="00D40699">
              <w:rPr>
                <w:sz w:val="20"/>
                <w:szCs w:val="20"/>
              </w:rPr>
              <w:t>Advancing Informal STEM Learning (AISL) Monitoring System</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7D039ECB" w14:textId="18DC50F4" w:rsidR="006D0BD9" w:rsidRPr="00D40699" w:rsidRDefault="006D0BD9">
            <w:pPr>
              <w:pStyle w:val="p1-standpara"/>
              <w:widowControl w:val="0"/>
              <w:spacing w:before="0" w:beforeAutospacing="0" w:after="0" w:afterAutospacing="0"/>
              <w:jc w:val="center"/>
              <w:rPr>
                <w:sz w:val="20"/>
                <w:szCs w:val="20"/>
              </w:rPr>
            </w:pPr>
            <w:r w:rsidRPr="00D40699">
              <w:rPr>
                <w:sz w:val="20"/>
                <w:szCs w:val="20"/>
              </w:rPr>
              <w:t>1,921</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0EEFC24B" w14:textId="571A54DD" w:rsidR="006D0BD9" w:rsidRPr="00D40699" w:rsidRDefault="006D0BD9">
            <w:pPr>
              <w:pStyle w:val="p1-standpara"/>
              <w:widowControl w:val="0"/>
              <w:spacing w:before="0" w:beforeAutospacing="0" w:after="0" w:afterAutospacing="0"/>
              <w:jc w:val="center"/>
              <w:rPr>
                <w:sz w:val="20"/>
                <w:szCs w:val="20"/>
              </w:rPr>
            </w:pPr>
            <w:r w:rsidRPr="00D40699">
              <w:rPr>
                <w:sz w:val="20"/>
                <w:szCs w:val="20"/>
              </w:rPr>
              <w:t>0</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1EFD6421" w14:textId="28369347" w:rsidR="006D0BD9" w:rsidRPr="00D40699" w:rsidRDefault="006D0BD9">
            <w:pPr>
              <w:pStyle w:val="p1-standpara"/>
              <w:widowControl w:val="0"/>
              <w:spacing w:before="0" w:beforeAutospacing="0" w:after="0" w:afterAutospacing="0"/>
              <w:jc w:val="center"/>
              <w:rPr>
                <w:sz w:val="20"/>
                <w:szCs w:val="20"/>
              </w:rPr>
            </w:pPr>
            <w:r w:rsidRPr="00D40699">
              <w:rPr>
                <w:sz w:val="20"/>
                <w:szCs w:val="20"/>
              </w:rPr>
              <w:t>(1,921)</w:t>
            </w:r>
          </w:p>
        </w:tc>
      </w:tr>
      <w:tr w:rsidR="006D0BD9" w14:paraId="4F666BB8" w14:textId="77777777" w:rsidTr="00AF5BB7">
        <w:tc>
          <w:tcPr>
            <w:tcW w:w="5035" w:type="dxa"/>
            <w:tcBorders>
              <w:top w:val="single" w:sz="4" w:space="0" w:color="000000"/>
              <w:left w:val="single" w:sz="4" w:space="0" w:color="000000"/>
              <w:bottom w:val="single" w:sz="4" w:space="0" w:color="000000"/>
              <w:right w:val="single" w:sz="4" w:space="0" w:color="000000"/>
            </w:tcBorders>
            <w:vAlign w:val="center"/>
            <w:hideMark/>
          </w:tcPr>
          <w:p w14:paraId="6CC04771" w14:textId="77777777" w:rsidR="006D0BD9" w:rsidRPr="00D40699" w:rsidRDefault="006D0BD9">
            <w:pPr>
              <w:pStyle w:val="sl-fllftsgl"/>
              <w:widowControl w:val="0"/>
              <w:spacing w:before="0" w:beforeAutospacing="0" w:after="0" w:afterAutospacing="0"/>
              <w:rPr>
                <w:sz w:val="20"/>
                <w:szCs w:val="20"/>
              </w:rPr>
            </w:pPr>
            <w:r w:rsidRPr="00D40699">
              <w:rPr>
                <w:sz w:val="20"/>
                <w:szCs w:val="20"/>
              </w:rPr>
              <w:t>Centers of Research Excellence in Science and Technology (CREST) and Historically Black Colleges and Universities Research Infrastructure for Science and Engineering (HBCU-RISE) Monitoring System</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2781B622" w14:textId="50BCE156" w:rsidR="006D0BD9" w:rsidRPr="00D40699" w:rsidRDefault="006D0BD9">
            <w:pPr>
              <w:pStyle w:val="p1-standpara"/>
              <w:widowControl w:val="0"/>
              <w:spacing w:before="0" w:beforeAutospacing="0" w:after="0" w:afterAutospacing="0"/>
              <w:jc w:val="center"/>
              <w:rPr>
                <w:sz w:val="20"/>
                <w:szCs w:val="20"/>
              </w:rPr>
            </w:pPr>
            <w:r w:rsidRPr="00D40699">
              <w:rPr>
                <w:sz w:val="20"/>
                <w:szCs w:val="20"/>
              </w:rPr>
              <w:t>1,810</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36350866" w14:textId="791D7236" w:rsidR="006D0BD9" w:rsidRPr="00D40699" w:rsidRDefault="006D0BD9">
            <w:pPr>
              <w:pStyle w:val="p1-standpara"/>
              <w:widowControl w:val="0"/>
              <w:spacing w:before="0" w:beforeAutospacing="0" w:after="0" w:afterAutospacing="0"/>
              <w:jc w:val="center"/>
              <w:rPr>
                <w:sz w:val="20"/>
                <w:szCs w:val="20"/>
              </w:rPr>
            </w:pPr>
            <w:r w:rsidRPr="00D40699">
              <w:rPr>
                <w:sz w:val="20"/>
                <w:szCs w:val="20"/>
              </w:rPr>
              <w:t>1,648</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2B9006ED" w14:textId="79B376E0" w:rsidR="006D0BD9" w:rsidRPr="00D40699" w:rsidRDefault="006D0BD9">
            <w:pPr>
              <w:pStyle w:val="p1-standpara"/>
              <w:widowControl w:val="0"/>
              <w:spacing w:before="0" w:beforeAutospacing="0" w:after="0" w:afterAutospacing="0"/>
              <w:jc w:val="center"/>
              <w:rPr>
                <w:sz w:val="20"/>
                <w:szCs w:val="20"/>
              </w:rPr>
            </w:pPr>
            <w:r w:rsidRPr="00D40699">
              <w:rPr>
                <w:sz w:val="20"/>
                <w:szCs w:val="20"/>
              </w:rPr>
              <w:t>(162)</w:t>
            </w:r>
          </w:p>
        </w:tc>
      </w:tr>
      <w:tr w:rsidR="006D0BD9" w14:paraId="755EF043" w14:textId="77777777" w:rsidTr="00AF5BB7">
        <w:tc>
          <w:tcPr>
            <w:tcW w:w="5035" w:type="dxa"/>
            <w:tcBorders>
              <w:top w:val="single" w:sz="4" w:space="0" w:color="000000"/>
              <w:left w:val="single" w:sz="4" w:space="0" w:color="000000"/>
              <w:bottom w:val="single" w:sz="4" w:space="0" w:color="000000"/>
              <w:right w:val="single" w:sz="4" w:space="0" w:color="000000"/>
            </w:tcBorders>
            <w:vAlign w:val="center"/>
            <w:hideMark/>
          </w:tcPr>
          <w:p w14:paraId="4072BF54" w14:textId="77777777" w:rsidR="006D0BD9" w:rsidRPr="00D40699" w:rsidRDefault="006D0BD9">
            <w:pPr>
              <w:pStyle w:val="sl-fllftsgl"/>
              <w:widowControl w:val="0"/>
              <w:spacing w:before="0" w:beforeAutospacing="0" w:after="0" w:afterAutospacing="0"/>
              <w:rPr>
                <w:sz w:val="20"/>
                <w:szCs w:val="20"/>
              </w:rPr>
            </w:pPr>
            <w:r w:rsidRPr="00D40699">
              <w:rPr>
                <w:sz w:val="20"/>
                <w:szCs w:val="20"/>
              </w:rPr>
              <w:t>NSF Graduate STEM Fellows in K-12 Education (GK-12) Monitoring System</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0D22C01A" w14:textId="74E479EA" w:rsidR="006D0BD9" w:rsidRPr="00D40699" w:rsidRDefault="006D0BD9">
            <w:pPr>
              <w:pStyle w:val="p1-standpara"/>
              <w:widowControl w:val="0"/>
              <w:spacing w:before="0" w:beforeAutospacing="0" w:after="0" w:afterAutospacing="0"/>
              <w:jc w:val="center"/>
              <w:rPr>
                <w:sz w:val="20"/>
                <w:szCs w:val="20"/>
              </w:rPr>
            </w:pPr>
            <w:r w:rsidRPr="00D40699">
              <w:rPr>
                <w:sz w:val="20"/>
                <w:szCs w:val="20"/>
              </w:rPr>
              <w:t>3,529</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09305CF9" w14:textId="7C2600A9" w:rsidR="006D0BD9" w:rsidRPr="00D40699" w:rsidRDefault="006D0BD9">
            <w:pPr>
              <w:pStyle w:val="p1-standpara"/>
              <w:widowControl w:val="0"/>
              <w:spacing w:before="0" w:beforeAutospacing="0" w:after="0" w:afterAutospacing="0"/>
              <w:jc w:val="center"/>
              <w:rPr>
                <w:sz w:val="20"/>
                <w:szCs w:val="20"/>
              </w:rPr>
            </w:pPr>
            <w:r w:rsidRPr="00D40699">
              <w:rPr>
                <w:sz w:val="20"/>
                <w:szCs w:val="20"/>
              </w:rPr>
              <w:t>0</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1F6B606D" w14:textId="58F460EF" w:rsidR="006D0BD9" w:rsidRPr="00D40699" w:rsidRDefault="006D0BD9">
            <w:pPr>
              <w:pStyle w:val="p1-standpara"/>
              <w:widowControl w:val="0"/>
              <w:spacing w:before="0" w:beforeAutospacing="0" w:after="0" w:afterAutospacing="0"/>
              <w:jc w:val="center"/>
              <w:rPr>
                <w:sz w:val="20"/>
                <w:szCs w:val="20"/>
              </w:rPr>
            </w:pPr>
            <w:r w:rsidRPr="00D40699">
              <w:rPr>
                <w:sz w:val="20"/>
                <w:szCs w:val="20"/>
              </w:rPr>
              <w:t>(3,529)</w:t>
            </w:r>
          </w:p>
        </w:tc>
      </w:tr>
      <w:tr w:rsidR="006D0BD9" w14:paraId="2F600FBF" w14:textId="77777777" w:rsidTr="00AF5BB7">
        <w:tc>
          <w:tcPr>
            <w:tcW w:w="5035" w:type="dxa"/>
            <w:tcBorders>
              <w:top w:val="single" w:sz="4" w:space="0" w:color="000000"/>
              <w:left w:val="single" w:sz="4" w:space="0" w:color="000000"/>
              <w:bottom w:val="single" w:sz="4" w:space="0" w:color="000000"/>
              <w:right w:val="single" w:sz="4" w:space="0" w:color="000000"/>
            </w:tcBorders>
            <w:vAlign w:val="center"/>
            <w:hideMark/>
          </w:tcPr>
          <w:p w14:paraId="2E014972" w14:textId="77777777" w:rsidR="006D0BD9" w:rsidRPr="00D40699" w:rsidRDefault="006D0BD9">
            <w:pPr>
              <w:pStyle w:val="sl-fllftsgl"/>
              <w:widowControl w:val="0"/>
              <w:spacing w:before="0" w:beforeAutospacing="0" w:after="0" w:afterAutospacing="0"/>
              <w:rPr>
                <w:sz w:val="20"/>
                <w:szCs w:val="20"/>
              </w:rPr>
            </w:pPr>
            <w:r w:rsidRPr="00D40699">
              <w:rPr>
                <w:sz w:val="20"/>
                <w:szCs w:val="20"/>
              </w:rPr>
              <w:t>Integrative Graduate Education and Research Traineeship Program (IGERT) Monitoring System</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026B742F" w14:textId="32378F4F" w:rsidR="006D0BD9" w:rsidRPr="00D40699" w:rsidRDefault="006D0BD9">
            <w:pPr>
              <w:pStyle w:val="p1-standpara"/>
              <w:widowControl w:val="0"/>
              <w:spacing w:before="0" w:beforeAutospacing="0" w:after="0" w:afterAutospacing="0"/>
              <w:jc w:val="center"/>
              <w:rPr>
                <w:sz w:val="20"/>
                <w:szCs w:val="20"/>
              </w:rPr>
            </w:pPr>
            <w:r w:rsidRPr="00D40699">
              <w:rPr>
                <w:sz w:val="20"/>
                <w:szCs w:val="20"/>
              </w:rPr>
              <w:t>12,282</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6F54D369" w14:textId="40B39392" w:rsidR="006D0BD9" w:rsidRPr="00D40699" w:rsidRDefault="00E95C1C" w:rsidP="00E95C1C">
            <w:pPr>
              <w:pStyle w:val="p1-standpara"/>
              <w:widowControl w:val="0"/>
              <w:spacing w:before="0" w:beforeAutospacing="0" w:after="0" w:afterAutospacing="0"/>
              <w:jc w:val="center"/>
              <w:rPr>
                <w:sz w:val="20"/>
                <w:szCs w:val="20"/>
              </w:rPr>
            </w:pPr>
            <w:r w:rsidRPr="00D40699">
              <w:rPr>
                <w:sz w:val="20"/>
                <w:szCs w:val="20"/>
              </w:rPr>
              <w:t>2,342</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243F6706" w14:textId="2DAB125E" w:rsidR="006D0BD9" w:rsidRPr="00D40699" w:rsidRDefault="00E95C1C" w:rsidP="00E95C1C">
            <w:pPr>
              <w:pStyle w:val="p1-standpara"/>
              <w:widowControl w:val="0"/>
              <w:spacing w:before="0" w:beforeAutospacing="0" w:after="0" w:afterAutospacing="0"/>
              <w:jc w:val="center"/>
              <w:rPr>
                <w:sz w:val="20"/>
                <w:szCs w:val="20"/>
              </w:rPr>
            </w:pPr>
            <w:r w:rsidRPr="00D40699">
              <w:rPr>
                <w:sz w:val="20"/>
                <w:szCs w:val="20"/>
              </w:rPr>
              <w:t>(9,940)</w:t>
            </w:r>
          </w:p>
        </w:tc>
      </w:tr>
      <w:tr w:rsidR="006D0BD9" w14:paraId="434313A9" w14:textId="77777777" w:rsidTr="00AF5BB7">
        <w:tc>
          <w:tcPr>
            <w:tcW w:w="5035" w:type="dxa"/>
            <w:tcBorders>
              <w:top w:val="single" w:sz="4" w:space="0" w:color="000000"/>
              <w:left w:val="single" w:sz="4" w:space="0" w:color="000000"/>
              <w:bottom w:val="single" w:sz="4" w:space="0" w:color="000000"/>
              <w:right w:val="single" w:sz="4" w:space="0" w:color="000000"/>
            </w:tcBorders>
            <w:vAlign w:val="center"/>
            <w:hideMark/>
          </w:tcPr>
          <w:p w14:paraId="6DB57499" w14:textId="77777777" w:rsidR="006D0BD9" w:rsidRPr="00D40699" w:rsidRDefault="006D0BD9">
            <w:pPr>
              <w:pStyle w:val="sl-fllftsgl"/>
              <w:widowControl w:val="0"/>
              <w:spacing w:before="0" w:beforeAutospacing="0" w:after="0" w:afterAutospacing="0"/>
              <w:rPr>
                <w:sz w:val="20"/>
                <w:szCs w:val="20"/>
              </w:rPr>
            </w:pPr>
            <w:r w:rsidRPr="00D40699">
              <w:rPr>
                <w:sz w:val="20"/>
                <w:szCs w:val="20"/>
              </w:rPr>
              <w:t>Louis Stokes Alliances for Minority Participation (LSAMP) Monitoring System</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6546F0E4" w14:textId="16EC6097" w:rsidR="006D0BD9" w:rsidRPr="00D40699" w:rsidRDefault="006D0BD9">
            <w:pPr>
              <w:pStyle w:val="p1-standpara"/>
              <w:widowControl w:val="0"/>
              <w:spacing w:before="0" w:beforeAutospacing="0" w:after="0" w:afterAutospacing="0"/>
              <w:jc w:val="center"/>
              <w:rPr>
                <w:sz w:val="20"/>
                <w:szCs w:val="20"/>
              </w:rPr>
            </w:pPr>
            <w:r w:rsidRPr="00D40699">
              <w:rPr>
                <w:sz w:val="20"/>
                <w:szCs w:val="20"/>
              </w:rPr>
              <w:t>12,949</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6D943677" w14:textId="05423C6D" w:rsidR="006D0BD9" w:rsidRPr="00D40699" w:rsidRDefault="006D0BD9">
            <w:pPr>
              <w:pStyle w:val="p1-standpara"/>
              <w:widowControl w:val="0"/>
              <w:spacing w:before="0" w:beforeAutospacing="0" w:after="0" w:afterAutospacing="0"/>
              <w:jc w:val="center"/>
              <w:rPr>
                <w:sz w:val="20"/>
                <w:szCs w:val="20"/>
              </w:rPr>
            </w:pPr>
            <w:r w:rsidRPr="00D40699">
              <w:rPr>
                <w:sz w:val="20"/>
                <w:szCs w:val="20"/>
              </w:rPr>
              <w:t>16,250</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69FA52B0" w14:textId="5914E495" w:rsidR="006D0BD9" w:rsidRPr="00D40699" w:rsidRDefault="006D0BD9">
            <w:pPr>
              <w:pStyle w:val="p1-standpara"/>
              <w:widowControl w:val="0"/>
              <w:spacing w:before="0" w:beforeAutospacing="0" w:after="0" w:afterAutospacing="0"/>
              <w:jc w:val="center"/>
              <w:rPr>
                <w:sz w:val="20"/>
                <w:szCs w:val="20"/>
              </w:rPr>
            </w:pPr>
            <w:r w:rsidRPr="00D40699">
              <w:rPr>
                <w:sz w:val="20"/>
                <w:szCs w:val="20"/>
              </w:rPr>
              <w:t>3,301</w:t>
            </w:r>
          </w:p>
        </w:tc>
      </w:tr>
      <w:tr w:rsidR="006D0BD9" w14:paraId="2B4E87A1" w14:textId="77777777" w:rsidTr="00AF5BB7">
        <w:tc>
          <w:tcPr>
            <w:tcW w:w="5035" w:type="dxa"/>
            <w:tcBorders>
              <w:top w:val="single" w:sz="4" w:space="0" w:color="000000"/>
              <w:left w:val="single" w:sz="4" w:space="0" w:color="000000"/>
              <w:bottom w:val="single" w:sz="4" w:space="0" w:color="000000"/>
              <w:right w:val="single" w:sz="4" w:space="0" w:color="000000"/>
            </w:tcBorders>
            <w:vAlign w:val="center"/>
            <w:hideMark/>
          </w:tcPr>
          <w:p w14:paraId="26051FF1" w14:textId="77777777" w:rsidR="006D0BD9" w:rsidRPr="00D40699" w:rsidRDefault="006D0BD9">
            <w:pPr>
              <w:pStyle w:val="sl-fllftsgl"/>
              <w:widowControl w:val="0"/>
              <w:spacing w:before="0" w:beforeAutospacing="0" w:after="0" w:afterAutospacing="0"/>
              <w:rPr>
                <w:sz w:val="20"/>
                <w:szCs w:val="20"/>
              </w:rPr>
            </w:pPr>
            <w:r w:rsidRPr="00D40699">
              <w:rPr>
                <w:sz w:val="20"/>
                <w:szCs w:val="20"/>
              </w:rPr>
              <w:t xml:space="preserve">Louis Stokes Alliances for Minority Participation Bridge to the Doctorate (LSAMP-BD) Monitoring System </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2DA7318D" w14:textId="119210CF" w:rsidR="006D0BD9" w:rsidRPr="00D40699" w:rsidRDefault="006D0BD9">
            <w:pPr>
              <w:pStyle w:val="p1-standpara"/>
              <w:widowControl w:val="0"/>
              <w:spacing w:before="0" w:beforeAutospacing="0" w:after="0" w:afterAutospacing="0"/>
              <w:jc w:val="center"/>
              <w:rPr>
                <w:sz w:val="20"/>
                <w:szCs w:val="20"/>
              </w:rPr>
            </w:pPr>
            <w:r w:rsidRPr="00D40699">
              <w:rPr>
                <w:sz w:val="20"/>
                <w:szCs w:val="20"/>
              </w:rPr>
              <w:t>2,090</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0224AF44" w14:textId="2B9B7F29" w:rsidR="006D0BD9" w:rsidRPr="00D40699" w:rsidRDefault="006D0BD9">
            <w:pPr>
              <w:pStyle w:val="p1-standpara"/>
              <w:widowControl w:val="0"/>
              <w:spacing w:before="0" w:beforeAutospacing="0" w:after="0" w:afterAutospacing="0"/>
              <w:jc w:val="center"/>
              <w:rPr>
                <w:sz w:val="20"/>
                <w:szCs w:val="20"/>
              </w:rPr>
            </w:pPr>
            <w:r w:rsidRPr="00D40699">
              <w:rPr>
                <w:sz w:val="20"/>
                <w:szCs w:val="20"/>
              </w:rPr>
              <w:t>1,008</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4646A4A" w14:textId="076A16F3" w:rsidR="006D0BD9" w:rsidRPr="00D40699" w:rsidRDefault="006D0BD9">
            <w:pPr>
              <w:pStyle w:val="p1-standpara"/>
              <w:widowControl w:val="0"/>
              <w:spacing w:before="0" w:beforeAutospacing="0" w:after="0" w:afterAutospacing="0"/>
              <w:jc w:val="center"/>
              <w:rPr>
                <w:sz w:val="20"/>
                <w:szCs w:val="20"/>
              </w:rPr>
            </w:pPr>
            <w:r w:rsidRPr="00D40699">
              <w:rPr>
                <w:sz w:val="20"/>
                <w:szCs w:val="20"/>
              </w:rPr>
              <w:t>(1,082)</w:t>
            </w:r>
          </w:p>
        </w:tc>
      </w:tr>
      <w:tr w:rsidR="006D0BD9" w14:paraId="235B83E3" w14:textId="77777777" w:rsidTr="00AF5BB7">
        <w:tc>
          <w:tcPr>
            <w:tcW w:w="5035" w:type="dxa"/>
            <w:tcBorders>
              <w:top w:val="single" w:sz="4" w:space="0" w:color="000000"/>
              <w:left w:val="single" w:sz="4" w:space="0" w:color="000000"/>
              <w:bottom w:val="single" w:sz="4" w:space="0" w:color="000000"/>
              <w:right w:val="single" w:sz="4" w:space="0" w:color="000000"/>
            </w:tcBorders>
            <w:vAlign w:val="center"/>
            <w:hideMark/>
          </w:tcPr>
          <w:p w14:paraId="285614EC" w14:textId="77777777" w:rsidR="006D0BD9" w:rsidRPr="00D40699" w:rsidRDefault="006D0BD9">
            <w:pPr>
              <w:pStyle w:val="sl-fllftsgl"/>
              <w:widowControl w:val="0"/>
              <w:spacing w:before="0" w:beforeAutospacing="0" w:after="0" w:afterAutospacing="0"/>
              <w:rPr>
                <w:sz w:val="20"/>
                <w:szCs w:val="20"/>
              </w:rPr>
            </w:pPr>
            <w:r w:rsidRPr="00D40699">
              <w:rPr>
                <w:sz w:val="20"/>
                <w:szCs w:val="20"/>
              </w:rPr>
              <w:t>Robert Noyce Teacher Scholarship Program (Noyce) Monitoring System</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096D664C" w14:textId="52B9453A" w:rsidR="006D0BD9" w:rsidRPr="00D40699" w:rsidRDefault="006D0BD9">
            <w:pPr>
              <w:pStyle w:val="p1-standpara"/>
              <w:widowControl w:val="0"/>
              <w:spacing w:before="0" w:beforeAutospacing="0" w:after="0" w:afterAutospacing="0"/>
              <w:jc w:val="center"/>
              <w:rPr>
                <w:sz w:val="20"/>
                <w:szCs w:val="20"/>
              </w:rPr>
            </w:pPr>
            <w:r w:rsidRPr="00D40699">
              <w:rPr>
                <w:sz w:val="20"/>
                <w:szCs w:val="20"/>
              </w:rPr>
              <w:t>5,908</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44FA2CCE" w14:textId="28A1A713" w:rsidR="006D0BD9" w:rsidRPr="00D40699" w:rsidRDefault="006D0BD9">
            <w:pPr>
              <w:pStyle w:val="p1-standpara"/>
              <w:widowControl w:val="0"/>
              <w:spacing w:before="0" w:beforeAutospacing="0" w:after="0" w:afterAutospacing="0"/>
              <w:jc w:val="center"/>
              <w:rPr>
                <w:sz w:val="20"/>
                <w:szCs w:val="20"/>
              </w:rPr>
            </w:pPr>
            <w:r w:rsidRPr="00D40699">
              <w:rPr>
                <w:sz w:val="20"/>
                <w:szCs w:val="20"/>
              </w:rPr>
              <w:t>6,050</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4C95A158" w14:textId="5C93580C" w:rsidR="006D0BD9" w:rsidRPr="00D40699" w:rsidRDefault="006D0BD9">
            <w:pPr>
              <w:pStyle w:val="p1-standpara"/>
              <w:widowControl w:val="0"/>
              <w:spacing w:before="0" w:beforeAutospacing="0" w:after="0" w:afterAutospacing="0"/>
              <w:jc w:val="center"/>
              <w:rPr>
                <w:sz w:val="20"/>
                <w:szCs w:val="20"/>
              </w:rPr>
            </w:pPr>
            <w:r w:rsidRPr="00D40699">
              <w:rPr>
                <w:sz w:val="20"/>
                <w:szCs w:val="20"/>
              </w:rPr>
              <w:t>142</w:t>
            </w:r>
          </w:p>
        </w:tc>
      </w:tr>
      <w:tr w:rsidR="006D0BD9" w14:paraId="28F38654" w14:textId="77777777" w:rsidTr="00AF5BB7">
        <w:tc>
          <w:tcPr>
            <w:tcW w:w="5035" w:type="dxa"/>
            <w:tcBorders>
              <w:top w:val="single" w:sz="4" w:space="0" w:color="000000"/>
              <w:left w:val="single" w:sz="4" w:space="0" w:color="000000"/>
              <w:bottom w:val="single" w:sz="4" w:space="0" w:color="000000"/>
              <w:right w:val="single" w:sz="4" w:space="0" w:color="000000"/>
            </w:tcBorders>
            <w:vAlign w:val="center"/>
            <w:hideMark/>
          </w:tcPr>
          <w:p w14:paraId="7DEF16A9" w14:textId="77777777" w:rsidR="006D0BD9" w:rsidRPr="00D40699" w:rsidRDefault="006D0BD9">
            <w:pPr>
              <w:pStyle w:val="sl-fllftsgl"/>
              <w:widowControl w:val="0"/>
              <w:spacing w:before="0" w:beforeAutospacing="0" w:after="0" w:afterAutospacing="0"/>
              <w:rPr>
                <w:sz w:val="20"/>
                <w:szCs w:val="20"/>
              </w:rPr>
            </w:pPr>
            <w:r w:rsidRPr="00D40699">
              <w:rPr>
                <w:sz w:val="20"/>
                <w:szCs w:val="20"/>
              </w:rPr>
              <w:t>Research in Disabilities Education (RDE) Monitoring System</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58455DBC" w14:textId="1BA59D87" w:rsidR="006D0BD9" w:rsidRPr="00D40699" w:rsidRDefault="006D0BD9">
            <w:pPr>
              <w:pStyle w:val="p1-standpara"/>
              <w:widowControl w:val="0"/>
              <w:spacing w:before="0" w:beforeAutospacing="0" w:after="0" w:afterAutospacing="0"/>
              <w:jc w:val="center"/>
              <w:rPr>
                <w:sz w:val="20"/>
                <w:szCs w:val="20"/>
              </w:rPr>
            </w:pPr>
            <w:r w:rsidRPr="00D40699">
              <w:rPr>
                <w:sz w:val="20"/>
                <w:szCs w:val="20"/>
              </w:rPr>
              <w:t>1,368</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7829D760" w14:textId="3B98FD5D" w:rsidR="006D0BD9" w:rsidRPr="00D40699" w:rsidRDefault="006D0BD9">
            <w:pPr>
              <w:pStyle w:val="p1-standpara"/>
              <w:widowControl w:val="0"/>
              <w:spacing w:before="0" w:beforeAutospacing="0" w:after="0" w:afterAutospacing="0"/>
              <w:jc w:val="center"/>
              <w:rPr>
                <w:sz w:val="20"/>
                <w:szCs w:val="20"/>
              </w:rPr>
            </w:pPr>
            <w:r w:rsidRPr="00D40699">
              <w:rPr>
                <w:sz w:val="20"/>
                <w:szCs w:val="20"/>
              </w:rPr>
              <w:t>0</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78387528" w14:textId="773CB0E6" w:rsidR="006D0BD9" w:rsidRPr="00D40699" w:rsidRDefault="006D0BD9">
            <w:pPr>
              <w:pStyle w:val="p1-standpara"/>
              <w:widowControl w:val="0"/>
              <w:spacing w:before="0" w:beforeAutospacing="0" w:after="0" w:afterAutospacing="0"/>
              <w:jc w:val="center"/>
              <w:rPr>
                <w:sz w:val="20"/>
                <w:szCs w:val="20"/>
              </w:rPr>
            </w:pPr>
            <w:r w:rsidRPr="00D40699">
              <w:rPr>
                <w:sz w:val="20"/>
                <w:szCs w:val="20"/>
              </w:rPr>
              <w:t>(1,368)</w:t>
            </w:r>
          </w:p>
        </w:tc>
      </w:tr>
      <w:tr w:rsidR="006D0BD9" w14:paraId="4797921A" w14:textId="77777777" w:rsidTr="00AF5BB7">
        <w:tc>
          <w:tcPr>
            <w:tcW w:w="5035" w:type="dxa"/>
            <w:tcBorders>
              <w:top w:val="single" w:sz="4" w:space="0" w:color="000000"/>
              <w:left w:val="single" w:sz="4" w:space="0" w:color="000000"/>
              <w:bottom w:val="single" w:sz="4" w:space="0" w:color="000000"/>
              <w:right w:val="single" w:sz="4" w:space="0" w:color="000000"/>
            </w:tcBorders>
            <w:vAlign w:val="center"/>
            <w:hideMark/>
          </w:tcPr>
          <w:p w14:paraId="23CCE9BC" w14:textId="77777777" w:rsidR="006D0BD9" w:rsidRPr="00D40699" w:rsidRDefault="006D0BD9">
            <w:pPr>
              <w:pStyle w:val="sl-fllftsgl"/>
              <w:widowControl w:val="0"/>
              <w:spacing w:before="0" w:beforeAutospacing="0" w:after="0" w:afterAutospacing="0"/>
              <w:rPr>
                <w:sz w:val="20"/>
                <w:szCs w:val="20"/>
              </w:rPr>
            </w:pPr>
            <w:r w:rsidRPr="00D40699">
              <w:rPr>
                <w:sz w:val="20"/>
                <w:szCs w:val="20"/>
              </w:rPr>
              <w:t>Scholarships in Science, Technology, Engineering, and Mathematics (S-STEM) Monitoring System</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072F9603" w14:textId="77777777" w:rsidR="006D0BD9" w:rsidRPr="00D40699" w:rsidRDefault="006D0BD9">
            <w:pPr>
              <w:pStyle w:val="p1-standpara"/>
              <w:widowControl w:val="0"/>
              <w:spacing w:before="0" w:beforeAutospacing="0" w:after="0" w:afterAutospacing="0"/>
              <w:jc w:val="center"/>
              <w:rPr>
                <w:sz w:val="20"/>
                <w:szCs w:val="20"/>
              </w:rPr>
            </w:pPr>
            <w:r w:rsidRPr="00D40699">
              <w:rPr>
                <w:sz w:val="20"/>
                <w:szCs w:val="20"/>
              </w:rPr>
              <w:t>6,000</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479A93DB" w14:textId="41696917" w:rsidR="006D0BD9" w:rsidRPr="00D40699" w:rsidRDefault="00E95C1C" w:rsidP="00E95C1C">
            <w:pPr>
              <w:pStyle w:val="p1-standpara"/>
              <w:widowControl w:val="0"/>
              <w:spacing w:before="0" w:beforeAutospacing="0" w:after="0" w:afterAutospacing="0"/>
              <w:jc w:val="center"/>
              <w:rPr>
                <w:sz w:val="20"/>
                <w:szCs w:val="20"/>
              </w:rPr>
            </w:pPr>
            <w:r w:rsidRPr="00D40699">
              <w:rPr>
                <w:sz w:val="20"/>
                <w:szCs w:val="20"/>
              </w:rPr>
              <w:t>4,900</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10271D31" w14:textId="5E967399" w:rsidR="006D0BD9" w:rsidRPr="00D40699" w:rsidRDefault="00E95C1C" w:rsidP="00E95C1C">
            <w:pPr>
              <w:pStyle w:val="p1-standpara"/>
              <w:widowControl w:val="0"/>
              <w:spacing w:before="0" w:beforeAutospacing="0" w:after="0" w:afterAutospacing="0"/>
              <w:jc w:val="center"/>
              <w:rPr>
                <w:sz w:val="20"/>
                <w:szCs w:val="20"/>
              </w:rPr>
            </w:pPr>
            <w:r w:rsidRPr="00D40699">
              <w:rPr>
                <w:sz w:val="20"/>
                <w:szCs w:val="20"/>
              </w:rPr>
              <w:t>(1,100)</w:t>
            </w:r>
          </w:p>
        </w:tc>
      </w:tr>
      <w:tr w:rsidR="006D0BD9" w14:paraId="6BE9D897" w14:textId="77777777" w:rsidTr="00AF5BB7">
        <w:tc>
          <w:tcPr>
            <w:tcW w:w="5035" w:type="dxa"/>
            <w:tcBorders>
              <w:top w:val="single" w:sz="4" w:space="0" w:color="000000"/>
              <w:left w:val="single" w:sz="4" w:space="0" w:color="000000"/>
              <w:bottom w:val="single" w:sz="4" w:space="0" w:color="000000"/>
              <w:right w:val="single" w:sz="4" w:space="0" w:color="000000"/>
            </w:tcBorders>
            <w:vAlign w:val="center"/>
            <w:hideMark/>
          </w:tcPr>
          <w:p w14:paraId="7A4F64CA" w14:textId="77777777" w:rsidR="006D0BD9" w:rsidRPr="00D40699" w:rsidRDefault="006D0BD9">
            <w:pPr>
              <w:pStyle w:val="c1-ctrsglsp"/>
              <w:widowControl w:val="0"/>
              <w:spacing w:before="0" w:beforeAutospacing="0" w:after="0" w:afterAutospacing="0"/>
              <w:rPr>
                <w:sz w:val="20"/>
                <w:szCs w:val="20"/>
              </w:rPr>
            </w:pPr>
            <w:r w:rsidRPr="00D40699">
              <w:rPr>
                <w:sz w:val="20"/>
                <w:szCs w:val="20"/>
              </w:rPr>
              <w:t>Science, Technology, Engineering, and Mathematics Talent Expansion Program (STEP) Monitoring System</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52DA831B" w14:textId="4CDD8A60" w:rsidR="006D0BD9" w:rsidRPr="00D40699" w:rsidRDefault="006D0BD9" w:rsidP="00E95C1C">
            <w:pPr>
              <w:pStyle w:val="p1-standpara"/>
              <w:widowControl w:val="0"/>
              <w:spacing w:before="0" w:beforeAutospacing="0" w:after="0" w:afterAutospacing="0"/>
              <w:jc w:val="center"/>
              <w:rPr>
                <w:sz w:val="20"/>
                <w:szCs w:val="20"/>
              </w:rPr>
            </w:pPr>
            <w:r w:rsidRPr="00D40699">
              <w:rPr>
                <w:sz w:val="20"/>
                <w:szCs w:val="20"/>
              </w:rPr>
              <w:t>6</w:t>
            </w:r>
            <w:r w:rsidR="00E95C1C" w:rsidRPr="00D40699">
              <w:rPr>
                <w:sz w:val="20"/>
                <w:szCs w:val="20"/>
              </w:rPr>
              <w:t>,648</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23E4880A" w14:textId="5DA8C593" w:rsidR="006D0BD9" w:rsidRPr="00D40699" w:rsidRDefault="00E95C1C" w:rsidP="00E95C1C">
            <w:pPr>
              <w:pStyle w:val="p1-standpara"/>
              <w:widowControl w:val="0"/>
              <w:spacing w:before="0" w:beforeAutospacing="0" w:after="0" w:afterAutospacing="0"/>
              <w:jc w:val="center"/>
              <w:rPr>
                <w:sz w:val="20"/>
                <w:szCs w:val="20"/>
              </w:rPr>
            </w:pPr>
            <w:r w:rsidRPr="00D40699">
              <w:rPr>
                <w:sz w:val="20"/>
                <w:szCs w:val="20"/>
              </w:rPr>
              <w:t>500</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1143AA52" w14:textId="43159AF2" w:rsidR="006D0BD9" w:rsidRPr="00D40699" w:rsidRDefault="00E95C1C" w:rsidP="00E95C1C">
            <w:pPr>
              <w:pStyle w:val="p1-standpara"/>
              <w:widowControl w:val="0"/>
              <w:spacing w:before="0" w:beforeAutospacing="0" w:after="0" w:afterAutospacing="0"/>
              <w:jc w:val="center"/>
              <w:rPr>
                <w:sz w:val="20"/>
                <w:szCs w:val="20"/>
              </w:rPr>
            </w:pPr>
            <w:r w:rsidRPr="00D40699">
              <w:rPr>
                <w:sz w:val="20"/>
                <w:szCs w:val="20"/>
              </w:rPr>
              <w:t>(6,148)</w:t>
            </w:r>
          </w:p>
        </w:tc>
      </w:tr>
      <w:tr w:rsidR="006D0BD9" w14:paraId="30C7AA18" w14:textId="77777777" w:rsidTr="00AF5BB7">
        <w:tc>
          <w:tcPr>
            <w:tcW w:w="5035" w:type="dxa"/>
            <w:tcBorders>
              <w:top w:val="single" w:sz="4" w:space="0" w:color="000000"/>
              <w:left w:val="single" w:sz="4" w:space="0" w:color="000000"/>
              <w:bottom w:val="single" w:sz="4" w:space="0" w:color="000000"/>
              <w:right w:val="single" w:sz="4" w:space="0" w:color="000000"/>
            </w:tcBorders>
            <w:vAlign w:val="center"/>
            <w:hideMark/>
          </w:tcPr>
          <w:p w14:paraId="4344BC4F" w14:textId="77777777" w:rsidR="006D0BD9" w:rsidRPr="00D40699" w:rsidRDefault="006D0BD9">
            <w:pPr>
              <w:pStyle w:val="sl-fllftsgl"/>
              <w:widowControl w:val="0"/>
              <w:spacing w:before="0" w:beforeAutospacing="0" w:after="0" w:afterAutospacing="0"/>
              <w:rPr>
                <w:sz w:val="20"/>
                <w:szCs w:val="20"/>
              </w:rPr>
            </w:pPr>
            <w:r w:rsidRPr="00D40699">
              <w:rPr>
                <w:sz w:val="20"/>
                <w:szCs w:val="20"/>
              </w:rPr>
              <w:t>Transforming Undergraduate Education in Science, Technology, Engineering and Mathematics (TUES) Monitoring System</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3EF8FC77" w14:textId="2EE6020B" w:rsidR="006D0BD9" w:rsidRPr="00D40699" w:rsidRDefault="006D0BD9">
            <w:pPr>
              <w:pStyle w:val="p1-standpara"/>
              <w:widowControl w:val="0"/>
              <w:spacing w:before="0" w:beforeAutospacing="0" w:after="0" w:afterAutospacing="0"/>
              <w:jc w:val="center"/>
              <w:rPr>
                <w:sz w:val="20"/>
                <w:szCs w:val="20"/>
              </w:rPr>
            </w:pPr>
            <w:r w:rsidRPr="00D40699">
              <w:rPr>
                <w:sz w:val="20"/>
                <w:szCs w:val="20"/>
              </w:rPr>
              <w:t>2,744</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70FA2BEE" w14:textId="48E92874" w:rsidR="006D0BD9" w:rsidRPr="00D40699" w:rsidRDefault="006D0BD9">
            <w:pPr>
              <w:pStyle w:val="p1-standpara"/>
              <w:widowControl w:val="0"/>
              <w:spacing w:before="0" w:beforeAutospacing="0" w:after="0" w:afterAutospacing="0"/>
              <w:jc w:val="center"/>
              <w:rPr>
                <w:sz w:val="20"/>
                <w:szCs w:val="20"/>
              </w:rPr>
            </w:pPr>
            <w:r w:rsidRPr="00D40699">
              <w:rPr>
                <w:sz w:val="20"/>
                <w:szCs w:val="20"/>
              </w:rPr>
              <w:t>0</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48744D56" w14:textId="33C1B66B" w:rsidR="006D0BD9" w:rsidRPr="00D40699" w:rsidRDefault="006D0BD9">
            <w:pPr>
              <w:pStyle w:val="p1-standpara"/>
              <w:widowControl w:val="0"/>
              <w:spacing w:before="0" w:beforeAutospacing="0" w:after="0" w:afterAutospacing="0"/>
              <w:jc w:val="center"/>
              <w:rPr>
                <w:sz w:val="20"/>
                <w:szCs w:val="20"/>
              </w:rPr>
            </w:pPr>
            <w:r w:rsidRPr="00D40699">
              <w:rPr>
                <w:sz w:val="20"/>
                <w:szCs w:val="20"/>
              </w:rPr>
              <w:t>(2,744)</w:t>
            </w:r>
          </w:p>
        </w:tc>
      </w:tr>
      <w:tr w:rsidR="006D0BD9" w14:paraId="1E8217DD" w14:textId="77777777" w:rsidTr="00AF5BB7">
        <w:tc>
          <w:tcPr>
            <w:tcW w:w="5035" w:type="dxa"/>
            <w:tcBorders>
              <w:top w:val="single" w:sz="4" w:space="0" w:color="000000"/>
              <w:left w:val="single" w:sz="4" w:space="0" w:color="000000"/>
              <w:bottom w:val="single" w:sz="4" w:space="0" w:color="000000"/>
              <w:right w:val="single" w:sz="4" w:space="0" w:color="000000"/>
            </w:tcBorders>
            <w:hideMark/>
          </w:tcPr>
          <w:p w14:paraId="6AB8D5DB" w14:textId="77777777" w:rsidR="006D0BD9" w:rsidRPr="00D40699" w:rsidRDefault="006D0BD9">
            <w:pPr>
              <w:pStyle w:val="p1-standpara"/>
              <w:widowControl w:val="0"/>
              <w:spacing w:before="0" w:beforeAutospacing="0" w:after="0" w:afterAutospacing="0"/>
              <w:rPr>
                <w:b/>
                <w:sz w:val="20"/>
                <w:szCs w:val="20"/>
              </w:rPr>
            </w:pPr>
            <w:r w:rsidRPr="00D40699">
              <w:rPr>
                <w:b/>
                <w:sz w:val="20"/>
                <w:szCs w:val="20"/>
              </w:rPr>
              <w:t>NSF Burden Estimate Total</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4FF111A4" w14:textId="297FFD44" w:rsidR="006D0BD9" w:rsidRPr="00D40699" w:rsidRDefault="006D0BD9">
            <w:pPr>
              <w:pStyle w:val="p1-standpara"/>
              <w:widowControl w:val="0"/>
              <w:spacing w:before="0" w:beforeAutospacing="0" w:after="0" w:afterAutospacing="0"/>
              <w:jc w:val="center"/>
              <w:rPr>
                <w:sz w:val="20"/>
                <w:szCs w:val="20"/>
              </w:rPr>
            </w:pPr>
            <w:r w:rsidRPr="00D40699">
              <w:rPr>
                <w:sz w:val="20"/>
                <w:szCs w:val="20"/>
              </w:rPr>
              <w:t>57,249</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6E3EADAC" w14:textId="30FE72CE" w:rsidR="006D0BD9" w:rsidRPr="00D40699" w:rsidRDefault="00D074BF" w:rsidP="00D074BF">
            <w:pPr>
              <w:pStyle w:val="p1-standpara"/>
              <w:widowControl w:val="0"/>
              <w:spacing w:before="0" w:beforeAutospacing="0" w:after="0" w:afterAutospacing="0"/>
              <w:jc w:val="center"/>
              <w:rPr>
                <w:sz w:val="20"/>
                <w:szCs w:val="20"/>
              </w:rPr>
            </w:pPr>
            <w:r w:rsidRPr="00D40699">
              <w:rPr>
                <w:sz w:val="20"/>
                <w:szCs w:val="20"/>
              </w:rPr>
              <w:t>32,698</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75998B4E" w14:textId="52F76A4F" w:rsidR="006D0BD9" w:rsidRPr="00D40699" w:rsidRDefault="006D0BD9" w:rsidP="00D074BF">
            <w:pPr>
              <w:pStyle w:val="p1-standpara"/>
              <w:widowControl w:val="0"/>
              <w:spacing w:before="0" w:beforeAutospacing="0" w:after="0" w:afterAutospacing="0"/>
              <w:jc w:val="center"/>
              <w:rPr>
                <w:sz w:val="20"/>
                <w:szCs w:val="20"/>
              </w:rPr>
            </w:pPr>
            <w:r w:rsidRPr="00D40699">
              <w:rPr>
                <w:sz w:val="20"/>
                <w:szCs w:val="20"/>
              </w:rPr>
              <w:t>(</w:t>
            </w:r>
            <w:r w:rsidR="00D074BF" w:rsidRPr="00D40699">
              <w:rPr>
                <w:sz w:val="20"/>
                <w:szCs w:val="20"/>
              </w:rPr>
              <w:t>24,551</w:t>
            </w:r>
            <w:r w:rsidRPr="00D40699">
              <w:rPr>
                <w:sz w:val="20"/>
                <w:szCs w:val="20"/>
              </w:rPr>
              <w:t>)</w:t>
            </w:r>
          </w:p>
        </w:tc>
      </w:tr>
    </w:tbl>
    <w:p w14:paraId="7FDA3BBE" w14:textId="77777777" w:rsidR="00E6721D" w:rsidRDefault="00E6721D" w:rsidP="00E6721D">
      <w:pPr>
        <w:pStyle w:val="p1-standpara"/>
        <w:spacing w:before="0" w:beforeAutospacing="0" w:after="0" w:afterAutospacing="0"/>
        <w:jc w:val="both"/>
      </w:pPr>
    </w:p>
    <w:p w14:paraId="7232ECA5" w14:textId="02BA72EB" w:rsidR="00E6721D" w:rsidRDefault="00E6721D" w:rsidP="00E6721D">
      <w:pPr>
        <w:pStyle w:val="p1-standpara"/>
        <w:spacing w:before="0" w:beforeAutospacing="0" w:after="0" w:afterAutospacing="0"/>
        <w:jc w:val="both"/>
      </w:pPr>
      <w:r>
        <w:t xml:space="preserve">The total change of burden is a decrease of </w:t>
      </w:r>
      <w:r w:rsidR="00D074BF">
        <w:t>24,551</w:t>
      </w:r>
      <w:r>
        <w:t xml:space="preserve"> hours.</w:t>
      </w:r>
    </w:p>
    <w:p w14:paraId="26AD6343" w14:textId="77777777" w:rsidR="00E6721D" w:rsidRDefault="00E6721D" w:rsidP="00E6721D">
      <w:pPr>
        <w:pStyle w:val="p1-standpara"/>
        <w:spacing w:before="0" w:beforeAutospacing="0" w:after="0" w:afterAutospacing="0"/>
        <w:jc w:val="both"/>
      </w:pPr>
    </w:p>
    <w:p w14:paraId="64C5DBC7" w14:textId="6DD108B0" w:rsidR="00E6721D" w:rsidRDefault="00E6721D" w:rsidP="00B303E2">
      <w:pPr>
        <w:pStyle w:val="p1-standpara"/>
        <w:spacing w:before="0" w:beforeAutospacing="0" w:after="0" w:afterAutospacing="0"/>
        <w:jc w:val="both"/>
        <w:rPr>
          <w:shd w:val="clear" w:color="auto" w:fill="00FFFF"/>
        </w:rPr>
      </w:pPr>
      <w:r>
        <w:t xml:space="preserve">Changes in the hour burden are accompanied by changes in the number of respondents. </w:t>
      </w:r>
      <w:r w:rsidR="0045378A">
        <w:t>Exhibit 9</w:t>
      </w:r>
      <w:r>
        <w:t xml:space="preserve"> shows the changes in total number of respon</w:t>
      </w:r>
      <w:r w:rsidR="006E0225">
        <w:t>dents</w:t>
      </w:r>
      <w:r>
        <w:t>.</w:t>
      </w:r>
    </w:p>
    <w:p w14:paraId="5C0C3D21" w14:textId="77777777" w:rsidR="00D168D9" w:rsidRDefault="00D168D9" w:rsidP="00E6721D">
      <w:pPr>
        <w:pStyle w:val="p1-standpara"/>
        <w:spacing w:before="0" w:beforeAutospacing="0" w:after="0" w:afterAutospacing="0"/>
        <w:jc w:val="both"/>
      </w:pPr>
    </w:p>
    <w:p w14:paraId="6783E91D" w14:textId="504CBE66" w:rsidR="00E6721D" w:rsidRPr="00625128" w:rsidRDefault="00625128" w:rsidP="00930FCA">
      <w:pPr>
        <w:pStyle w:val="p1-standpara"/>
        <w:widowControl w:val="0"/>
        <w:spacing w:before="0" w:beforeAutospacing="0" w:after="0" w:afterAutospacing="0"/>
        <w:rPr>
          <w:b/>
          <w:sz w:val="20"/>
          <w:szCs w:val="20"/>
        </w:rPr>
      </w:pPr>
      <w:r w:rsidRPr="00625128">
        <w:rPr>
          <w:b/>
          <w:sz w:val="20"/>
          <w:szCs w:val="20"/>
        </w:rPr>
        <w:t>Exhibit 9:</w:t>
      </w:r>
      <w:r w:rsidR="00E6721D" w:rsidRPr="00625128">
        <w:rPr>
          <w:b/>
          <w:sz w:val="20"/>
          <w:szCs w:val="20"/>
        </w:rPr>
        <w:t xml:space="preserve"> Changes in </w:t>
      </w:r>
      <w:r w:rsidR="00FA72F7">
        <w:rPr>
          <w:b/>
          <w:sz w:val="20"/>
          <w:szCs w:val="20"/>
        </w:rPr>
        <w:t>n</w:t>
      </w:r>
      <w:r w:rsidR="00E6721D" w:rsidRPr="00625128">
        <w:rPr>
          <w:b/>
          <w:sz w:val="20"/>
          <w:szCs w:val="20"/>
        </w:rPr>
        <w:t xml:space="preserve">umber of </w:t>
      </w:r>
      <w:r w:rsidR="00FA72F7">
        <w:rPr>
          <w:b/>
          <w:sz w:val="20"/>
          <w:szCs w:val="20"/>
        </w:rPr>
        <w:t>r</w:t>
      </w:r>
      <w:r w:rsidR="00E6721D" w:rsidRPr="00625128">
        <w:rPr>
          <w:b/>
          <w:sz w:val="20"/>
          <w:szCs w:val="20"/>
        </w:rPr>
        <w:t>espon</w:t>
      </w:r>
      <w:r w:rsidR="006E0225">
        <w:rPr>
          <w:b/>
          <w:sz w:val="20"/>
          <w:szCs w:val="20"/>
        </w:rPr>
        <w:t>dents</w:t>
      </w:r>
    </w:p>
    <w:tbl>
      <w:tblPr>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5"/>
        <w:gridCol w:w="1260"/>
        <w:gridCol w:w="1350"/>
        <w:gridCol w:w="1260"/>
      </w:tblGrid>
      <w:tr w:rsidR="006D0BD9" w14:paraId="4AC01309" w14:textId="77777777" w:rsidTr="00AF5BB7">
        <w:trPr>
          <w:tblHeader/>
        </w:trPr>
        <w:tc>
          <w:tcPr>
            <w:tcW w:w="4945" w:type="dxa"/>
            <w:tcBorders>
              <w:top w:val="single" w:sz="4" w:space="0" w:color="000000"/>
              <w:left w:val="single" w:sz="4" w:space="0" w:color="000000"/>
              <w:bottom w:val="single" w:sz="4" w:space="0" w:color="000000"/>
              <w:right w:val="single" w:sz="4" w:space="0" w:color="000000"/>
            </w:tcBorders>
            <w:vAlign w:val="center"/>
            <w:hideMark/>
          </w:tcPr>
          <w:p w14:paraId="02D27C35" w14:textId="77777777" w:rsidR="006D0BD9" w:rsidRPr="006E0225" w:rsidRDefault="006D0BD9">
            <w:pPr>
              <w:pStyle w:val="p1-standpara"/>
              <w:widowControl w:val="0"/>
              <w:spacing w:before="0" w:beforeAutospacing="0" w:after="0" w:afterAutospacing="0"/>
              <w:jc w:val="center"/>
              <w:rPr>
                <w:b/>
                <w:sz w:val="18"/>
                <w:szCs w:val="18"/>
              </w:rPr>
            </w:pPr>
            <w:r w:rsidRPr="006E0225">
              <w:rPr>
                <w:b/>
                <w:sz w:val="18"/>
                <w:szCs w:val="18"/>
              </w:rPr>
              <w:t>Collection Title</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5FF3BDD7" w14:textId="062D250B" w:rsidR="006D0BD9" w:rsidRPr="006E0225" w:rsidRDefault="006D0BD9" w:rsidP="006E0225">
            <w:pPr>
              <w:pStyle w:val="p1-standpara"/>
              <w:widowControl w:val="0"/>
              <w:spacing w:before="0" w:beforeAutospacing="0" w:after="0" w:afterAutospacing="0"/>
              <w:jc w:val="center"/>
              <w:rPr>
                <w:b/>
                <w:sz w:val="18"/>
                <w:szCs w:val="18"/>
              </w:rPr>
            </w:pPr>
            <w:r w:rsidRPr="006E0225">
              <w:rPr>
                <w:b/>
                <w:sz w:val="18"/>
                <w:szCs w:val="18"/>
              </w:rPr>
              <w:t>Previously Cleared No. of Respon</w:t>
            </w:r>
            <w:r w:rsidR="006E0225" w:rsidRPr="006E0225">
              <w:rPr>
                <w:b/>
                <w:sz w:val="18"/>
                <w:szCs w:val="18"/>
              </w:rPr>
              <w:t>dents</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4C6D0FA" w14:textId="659540B1" w:rsidR="006D0BD9" w:rsidRPr="006E0225" w:rsidRDefault="006D0BD9" w:rsidP="006E0225">
            <w:pPr>
              <w:pStyle w:val="p1-standpara"/>
              <w:widowControl w:val="0"/>
              <w:spacing w:before="0" w:beforeAutospacing="0" w:after="0" w:afterAutospacing="0"/>
              <w:jc w:val="center"/>
              <w:rPr>
                <w:b/>
                <w:sz w:val="18"/>
                <w:szCs w:val="18"/>
              </w:rPr>
            </w:pPr>
            <w:r w:rsidRPr="006E0225">
              <w:rPr>
                <w:b/>
                <w:sz w:val="18"/>
                <w:szCs w:val="18"/>
              </w:rPr>
              <w:t>Currently Requested No. of Respon</w:t>
            </w:r>
            <w:r w:rsidR="006E0225" w:rsidRPr="006E0225">
              <w:rPr>
                <w:b/>
                <w:sz w:val="18"/>
                <w:szCs w:val="18"/>
              </w:rPr>
              <w:t>dents</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7A4BD890" w14:textId="35ED0A7D" w:rsidR="006D0BD9" w:rsidRPr="006E0225" w:rsidRDefault="006D0BD9" w:rsidP="006E0225">
            <w:pPr>
              <w:pStyle w:val="p1-standpara"/>
              <w:widowControl w:val="0"/>
              <w:spacing w:before="0" w:beforeAutospacing="0" w:after="0" w:afterAutospacing="0"/>
              <w:jc w:val="center"/>
              <w:rPr>
                <w:b/>
                <w:sz w:val="18"/>
                <w:szCs w:val="18"/>
              </w:rPr>
            </w:pPr>
            <w:r w:rsidRPr="006E0225">
              <w:rPr>
                <w:b/>
                <w:sz w:val="18"/>
                <w:szCs w:val="18"/>
              </w:rPr>
              <w:t>Change in No. of Respon</w:t>
            </w:r>
            <w:r w:rsidR="006E0225" w:rsidRPr="006E0225">
              <w:rPr>
                <w:b/>
                <w:sz w:val="18"/>
                <w:szCs w:val="18"/>
              </w:rPr>
              <w:t>dents</w:t>
            </w:r>
          </w:p>
        </w:tc>
      </w:tr>
      <w:tr w:rsidR="006D0BD9" w14:paraId="182D5464" w14:textId="77777777" w:rsidTr="00AF5BB7">
        <w:tc>
          <w:tcPr>
            <w:tcW w:w="4945" w:type="dxa"/>
            <w:tcBorders>
              <w:top w:val="single" w:sz="4" w:space="0" w:color="000000"/>
              <w:left w:val="single" w:sz="4" w:space="0" w:color="000000"/>
              <w:bottom w:val="single" w:sz="4" w:space="0" w:color="000000"/>
              <w:right w:val="single" w:sz="4" w:space="0" w:color="000000"/>
            </w:tcBorders>
            <w:vAlign w:val="center"/>
            <w:hideMark/>
          </w:tcPr>
          <w:p w14:paraId="344B90BF" w14:textId="77777777" w:rsidR="006D0BD9" w:rsidRPr="00D40699" w:rsidRDefault="006D0BD9">
            <w:pPr>
              <w:pStyle w:val="sl-fllftsgl"/>
              <w:widowControl w:val="0"/>
              <w:spacing w:before="0" w:beforeAutospacing="0" w:after="0" w:afterAutospacing="0"/>
              <w:rPr>
                <w:sz w:val="20"/>
                <w:szCs w:val="20"/>
              </w:rPr>
            </w:pPr>
            <w:r w:rsidRPr="00D40699">
              <w:rPr>
                <w:sz w:val="20"/>
                <w:szCs w:val="20"/>
              </w:rPr>
              <w:t>Advancing Informal STEM Learning (AISL) Monitoring System</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51FCAF99" w14:textId="032F3B69" w:rsidR="006D0BD9" w:rsidRPr="00D40699" w:rsidRDefault="006D0BD9">
            <w:pPr>
              <w:pStyle w:val="p1-standpara"/>
              <w:widowControl w:val="0"/>
              <w:spacing w:before="0" w:beforeAutospacing="0" w:after="0" w:afterAutospacing="0"/>
              <w:jc w:val="center"/>
              <w:rPr>
                <w:sz w:val="20"/>
                <w:szCs w:val="20"/>
              </w:rPr>
            </w:pPr>
            <w:r w:rsidRPr="00D40699">
              <w:rPr>
                <w:sz w:val="20"/>
                <w:szCs w:val="20"/>
              </w:rPr>
              <w:t>155</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5E973F8" w14:textId="4606E2BE" w:rsidR="006D0BD9" w:rsidRPr="00D40699" w:rsidRDefault="006D0BD9">
            <w:pPr>
              <w:pStyle w:val="p1-standpara"/>
              <w:widowControl w:val="0"/>
              <w:spacing w:before="0" w:beforeAutospacing="0" w:after="0" w:afterAutospacing="0"/>
              <w:jc w:val="center"/>
              <w:rPr>
                <w:sz w:val="20"/>
                <w:szCs w:val="20"/>
              </w:rPr>
            </w:pPr>
            <w:r w:rsidRPr="00D40699">
              <w:rPr>
                <w:sz w:val="20"/>
                <w:szCs w:val="20"/>
              </w:rPr>
              <w:t>0</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4812E6CE" w14:textId="11356453" w:rsidR="006D0BD9" w:rsidRPr="00D40699" w:rsidRDefault="006D0BD9">
            <w:pPr>
              <w:pStyle w:val="p1-standpara"/>
              <w:widowControl w:val="0"/>
              <w:spacing w:before="0" w:beforeAutospacing="0" w:after="0" w:afterAutospacing="0"/>
              <w:jc w:val="center"/>
              <w:rPr>
                <w:sz w:val="20"/>
                <w:szCs w:val="20"/>
              </w:rPr>
            </w:pPr>
            <w:r w:rsidRPr="00D40699">
              <w:rPr>
                <w:sz w:val="20"/>
                <w:szCs w:val="20"/>
              </w:rPr>
              <w:t>(155)</w:t>
            </w:r>
          </w:p>
        </w:tc>
      </w:tr>
      <w:tr w:rsidR="006D0BD9" w14:paraId="6161DB67" w14:textId="77777777" w:rsidTr="00AF5BB7">
        <w:tc>
          <w:tcPr>
            <w:tcW w:w="4945" w:type="dxa"/>
            <w:tcBorders>
              <w:top w:val="single" w:sz="4" w:space="0" w:color="000000"/>
              <w:left w:val="single" w:sz="4" w:space="0" w:color="000000"/>
              <w:bottom w:val="single" w:sz="4" w:space="0" w:color="000000"/>
              <w:right w:val="single" w:sz="4" w:space="0" w:color="000000"/>
            </w:tcBorders>
            <w:vAlign w:val="center"/>
            <w:hideMark/>
          </w:tcPr>
          <w:p w14:paraId="2EF775B3" w14:textId="77777777" w:rsidR="006D0BD9" w:rsidRPr="00D40699" w:rsidRDefault="006D0BD9">
            <w:pPr>
              <w:pStyle w:val="sl-fllftsgl"/>
              <w:widowControl w:val="0"/>
              <w:spacing w:before="0" w:beforeAutospacing="0" w:after="0" w:afterAutospacing="0"/>
              <w:rPr>
                <w:sz w:val="20"/>
                <w:szCs w:val="20"/>
              </w:rPr>
            </w:pPr>
            <w:r w:rsidRPr="00D40699">
              <w:rPr>
                <w:sz w:val="20"/>
                <w:szCs w:val="20"/>
              </w:rPr>
              <w:t>Centers of Research Excellence in Science and Technology (CREST) and Historically Black Colleges and Universities Research Infrastructure for Science and Engineering (HBCU-RISE) Monitoring System</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666B1A15" w14:textId="485691B4" w:rsidR="006D0BD9" w:rsidRPr="00D40699" w:rsidRDefault="006D0BD9">
            <w:pPr>
              <w:pStyle w:val="p1-standpara"/>
              <w:widowControl w:val="0"/>
              <w:spacing w:before="0" w:beforeAutospacing="0" w:after="0" w:afterAutospacing="0"/>
              <w:jc w:val="center"/>
              <w:rPr>
                <w:sz w:val="20"/>
                <w:szCs w:val="20"/>
              </w:rPr>
            </w:pPr>
            <w:r w:rsidRPr="00D40699">
              <w:rPr>
                <w:sz w:val="20"/>
                <w:szCs w:val="20"/>
              </w:rPr>
              <w:t>40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5D49177" w14:textId="3C208028" w:rsidR="006D0BD9" w:rsidRPr="00D40699" w:rsidRDefault="006D0BD9">
            <w:pPr>
              <w:pStyle w:val="p1-standpara"/>
              <w:widowControl w:val="0"/>
              <w:spacing w:before="0" w:beforeAutospacing="0" w:after="0" w:afterAutospacing="0"/>
              <w:jc w:val="center"/>
              <w:rPr>
                <w:sz w:val="20"/>
                <w:szCs w:val="20"/>
              </w:rPr>
            </w:pPr>
            <w:r w:rsidRPr="00D40699">
              <w:rPr>
                <w:sz w:val="20"/>
                <w:szCs w:val="20"/>
              </w:rPr>
              <w:t>42</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36DD430B" w14:textId="45E1493C" w:rsidR="006D0BD9" w:rsidRPr="00D40699" w:rsidRDefault="006D0BD9">
            <w:pPr>
              <w:pStyle w:val="p1-standpara"/>
              <w:widowControl w:val="0"/>
              <w:spacing w:before="0" w:beforeAutospacing="0" w:after="0" w:afterAutospacing="0"/>
              <w:jc w:val="center"/>
              <w:rPr>
                <w:sz w:val="20"/>
                <w:szCs w:val="20"/>
              </w:rPr>
            </w:pPr>
            <w:r w:rsidRPr="00D40699">
              <w:rPr>
                <w:sz w:val="20"/>
                <w:szCs w:val="20"/>
              </w:rPr>
              <w:t>2</w:t>
            </w:r>
          </w:p>
        </w:tc>
      </w:tr>
      <w:tr w:rsidR="006D0BD9" w14:paraId="647FA8FF" w14:textId="77777777" w:rsidTr="00AF5BB7">
        <w:tc>
          <w:tcPr>
            <w:tcW w:w="4945" w:type="dxa"/>
            <w:tcBorders>
              <w:top w:val="single" w:sz="4" w:space="0" w:color="000000"/>
              <w:left w:val="single" w:sz="4" w:space="0" w:color="000000"/>
              <w:bottom w:val="single" w:sz="4" w:space="0" w:color="000000"/>
              <w:right w:val="single" w:sz="4" w:space="0" w:color="000000"/>
            </w:tcBorders>
            <w:vAlign w:val="center"/>
            <w:hideMark/>
          </w:tcPr>
          <w:p w14:paraId="45B3743A" w14:textId="77777777" w:rsidR="006D0BD9" w:rsidRPr="00D40699" w:rsidRDefault="006D0BD9">
            <w:pPr>
              <w:pStyle w:val="sl-fllftsgl"/>
              <w:widowControl w:val="0"/>
              <w:spacing w:before="0" w:beforeAutospacing="0" w:after="0" w:afterAutospacing="0"/>
              <w:rPr>
                <w:sz w:val="20"/>
                <w:szCs w:val="20"/>
              </w:rPr>
            </w:pPr>
            <w:r w:rsidRPr="00D40699">
              <w:rPr>
                <w:sz w:val="20"/>
                <w:szCs w:val="20"/>
              </w:rPr>
              <w:t>NSF Graduate STEM Fellows in K-12 Education (GK-12) Monitoring System</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107EBA27" w14:textId="6EC3604E" w:rsidR="006D0BD9" w:rsidRPr="00D40699" w:rsidRDefault="007A0339" w:rsidP="007A0339">
            <w:pPr>
              <w:pStyle w:val="p1-standpara"/>
              <w:widowControl w:val="0"/>
              <w:spacing w:before="0" w:beforeAutospacing="0" w:after="0" w:afterAutospacing="0"/>
              <w:jc w:val="center"/>
              <w:rPr>
                <w:sz w:val="20"/>
                <w:szCs w:val="20"/>
              </w:rPr>
            </w:pPr>
            <w:r w:rsidRPr="00D40699">
              <w:rPr>
                <w:sz w:val="20"/>
                <w:szCs w:val="20"/>
              </w:rPr>
              <w:t>1,267</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8B835EB" w14:textId="5852848C" w:rsidR="006D0BD9" w:rsidRPr="00D40699" w:rsidRDefault="006D0BD9">
            <w:pPr>
              <w:pStyle w:val="p1-standpara"/>
              <w:widowControl w:val="0"/>
              <w:spacing w:before="0" w:beforeAutospacing="0" w:after="0" w:afterAutospacing="0"/>
              <w:jc w:val="center"/>
              <w:rPr>
                <w:sz w:val="20"/>
                <w:szCs w:val="20"/>
              </w:rPr>
            </w:pPr>
            <w:r w:rsidRPr="00D40699">
              <w:rPr>
                <w:sz w:val="20"/>
                <w:szCs w:val="20"/>
              </w:rPr>
              <w:t>0</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7DF96AB5" w14:textId="40549C97" w:rsidR="006D0BD9" w:rsidRPr="00D40699" w:rsidRDefault="006D0BD9" w:rsidP="007A0339">
            <w:pPr>
              <w:pStyle w:val="p1-standpara"/>
              <w:widowControl w:val="0"/>
              <w:spacing w:before="0" w:beforeAutospacing="0" w:after="0" w:afterAutospacing="0"/>
              <w:jc w:val="center"/>
              <w:rPr>
                <w:sz w:val="20"/>
                <w:szCs w:val="20"/>
              </w:rPr>
            </w:pPr>
            <w:r w:rsidRPr="00D40699">
              <w:rPr>
                <w:sz w:val="20"/>
                <w:szCs w:val="20"/>
              </w:rPr>
              <w:t>(</w:t>
            </w:r>
            <w:r w:rsidR="007A0339" w:rsidRPr="00D40699">
              <w:rPr>
                <w:sz w:val="20"/>
                <w:szCs w:val="20"/>
              </w:rPr>
              <w:t>1,267</w:t>
            </w:r>
            <w:r w:rsidRPr="00D40699">
              <w:rPr>
                <w:sz w:val="20"/>
                <w:szCs w:val="20"/>
              </w:rPr>
              <w:t>)</w:t>
            </w:r>
          </w:p>
        </w:tc>
      </w:tr>
      <w:tr w:rsidR="006D0BD9" w14:paraId="0A2EBA9A" w14:textId="77777777" w:rsidTr="00AF5BB7">
        <w:tc>
          <w:tcPr>
            <w:tcW w:w="4945" w:type="dxa"/>
            <w:tcBorders>
              <w:top w:val="single" w:sz="4" w:space="0" w:color="000000"/>
              <w:left w:val="single" w:sz="4" w:space="0" w:color="000000"/>
              <w:bottom w:val="single" w:sz="4" w:space="0" w:color="000000"/>
              <w:right w:val="single" w:sz="4" w:space="0" w:color="000000"/>
            </w:tcBorders>
            <w:vAlign w:val="center"/>
            <w:hideMark/>
          </w:tcPr>
          <w:p w14:paraId="154558D5" w14:textId="77777777" w:rsidR="006D0BD9" w:rsidRPr="00D40699" w:rsidRDefault="006D0BD9">
            <w:pPr>
              <w:pStyle w:val="sl-fllftsgl"/>
              <w:widowControl w:val="0"/>
              <w:spacing w:before="0" w:beforeAutospacing="0" w:after="0" w:afterAutospacing="0"/>
              <w:rPr>
                <w:sz w:val="20"/>
                <w:szCs w:val="20"/>
              </w:rPr>
            </w:pPr>
            <w:r w:rsidRPr="00D40699">
              <w:rPr>
                <w:sz w:val="20"/>
                <w:szCs w:val="20"/>
              </w:rPr>
              <w:t>Integrative Graduate Education and Research Traineeship Program (IGERT) Monitoring System</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206DAA57" w14:textId="18EF4A45" w:rsidR="006D0BD9" w:rsidRPr="00D40699" w:rsidRDefault="006D0BD9">
            <w:pPr>
              <w:pStyle w:val="p1-standpara"/>
              <w:widowControl w:val="0"/>
              <w:spacing w:before="0" w:beforeAutospacing="0" w:after="0" w:afterAutospacing="0"/>
              <w:jc w:val="center"/>
              <w:rPr>
                <w:sz w:val="20"/>
                <w:szCs w:val="20"/>
              </w:rPr>
            </w:pPr>
            <w:r w:rsidRPr="00D40699">
              <w:rPr>
                <w:sz w:val="20"/>
                <w:szCs w:val="20"/>
              </w:rPr>
              <w:t>3,307</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A2C7F9B" w14:textId="54B8B850" w:rsidR="006D0BD9" w:rsidRPr="00D40699" w:rsidRDefault="006E0225" w:rsidP="007A0339">
            <w:pPr>
              <w:pStyle w:val="p1-standpara"/>
              <w:widowControl w:val="0"/>
              <w:spacing w:before="0" w:beforeAutospacing="0" w:after="0" w:afterAutospacing="0"/>
              <w:jc w:val="center"/>
              <w:rPr>
                <w:sz w:val="20"/>
                <w:szCs w:val="20"/>
              </w:rPr>
            </w:pPr>
            <w:r>
              <w:rPr>
                <w:sz w:val="20"/>
                <w:szCs w:val="20"/>
              </w:rPr>
              <w:t>513</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08283966" w14:textId="70EA905F" w:rsidR="006D0BD9" w:rsidRPr="00D40699" w:rsidRDefault="006D0BD9" w:rsidP="006E0225">
            <w:pPr>
              <w:pStyle w:val="p1-standpara"/>
              <w:widowControl w:val="0"/>
              <w:spacing w:before="0" w:beforeAutospacing="0" w:after="0" w:afterAutospacing="0"/>
              <w:jc w:val="center"/>
              <w:rPr>
                <w:sz w:val="20"/>
                <w:szCs w:val="20"/>
              </w:rPr>
            </w:pPr>
            <w:r w:rsidRPr="00D40699">
              <w:rPr>
                <w:sz w:val="20"/>
                <w:szCs w:val="20"/>
              </w:rPr>
              <w:t>(</w:t>
            </w:r>
            <w:r w:rsidR="007A0339" w:rsidRPr="00D40699">
              <w:rPr>
                <w:sz w:val="20"/>
                <w:szCs w:val="20"/>
              </w:rPr>
              <w:t>2,7</w:t>
            </w:r>
            <w:r w:rsidR="006E0225">
              <w:rPr>
                <w:sz w:val="20"/>
                <w:szCs w:val="20"/>
              </w:rPr>
              <w:t>94</w:t>
            </w:r>
            <w:r w:rsidRPr="00D40699">
              <w:rPr>
                <w:sz w:val="20"/>
                <w:szCs w:val="20"/>
              </w:rPr>
              <w:t>)</w:t>
            </w:r>
          </w:p>
        </w:tc>
      </w:tr>
      <w:tr w:rsidR="006D0BD9" w14:paraId="6317B137" w14:textId="77777777" w:rsidTr="00AF5BB7">
        <w:tc>
          <w:tcPr>
            <w:tcW w:w="4945" w:type="dxa"/>
            <w:tcBorders>
              <w:top w:val="single" w:sz="4" w:space="0" w:color="000000"/>
              <w:left w:val="single" w:sz="4" w:space="0" w:color="000000"/>
              <w:bottom w:val="single" w:sz="4" w:space="0" w:color="000000"/>
              <w:right w:val="single" w:sz="4" w:space="0" w:color="000000"/>
            </w:tcBorders>
            <w:vAlign w:val="center"/>
            <w:hideMark/>
          </w:tcPr>
          <w:p w14:paraId="094F656E" w14:textId="77777777" w:rsidR="006D0BD9" w:rsidRPr="00D40699" w:rsidRDefault="006D0BD9">
            <w:pPr>
              <w:pStyle w:val="sl-fllftsgl"/>
              <w:widowControl w:val="0"/>
              <w:spacing w:before="0" w:beforeAutospacing="0" w:after="0" w:afterAutospacing="0"/>
              <w:rPr>
                <w:sz w:val="20"/>
                <w:szCs w:val="20"/>
              </w:rPr>
            </w:pPr>
            <w:r w:rsidRPr="00D40699">
              <w:rPr>
                <w:sz w:val="20"/>
                <w:szCs w:val="20"/>
              </w:rPr>
              <w:t>Louis Stokes Alliances for Minority Participation (LSAMP) Monitoring System</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45F2DBCB" w14:textId="50D57219" w:rsidR="006D0BD9" w:rsidRPr="00D40699" w:rsidRDefault="006D0BD9">
            <w:pPr>
              <w:pStyle w:val="p1-standpara"/>
              <w:widowControl w:val="0"/>
              <w:spacing w:before="0" w:beforeAutospacing="0" w:after="0" w:afterAutospacing="0"/>
              <w:jc w:val="center"/>
              <w:rPr>
                <w:sz w:val="20"/>
                <w:szCs w:val="20"/>
              </w:rPr>
            </w:pPr>
            <w:r w:rsidRPr="00D40699">
              <w:rPr>
                <w:sz w:val="20"/>
                <w:szCs w:val="20"/>
              </w:rPr>
              <w:t>563</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10E6C261" w14:textId="278716C7" w:rsidR="006D0BD9" w:rsidRPr="00D40699" w:rsidRDefault="006D0BD9">
            <w:pPr>
              <w:pStyle w:val="p1-standpara"/>
              <w:widowControl w:val="0"/>
              <w:spacing w:before="0" w:beforeAutospacing="0" w:after="0" w:afterAutospacing="0"/>
              <w:jc w:val="center"/>
              <w:rPr>
                <w:sz w:val="20"/>
                <w:szCs w:val="20"/>
              </w:rPr>
            </w:pPr>
            <w:r w:rsidRPr="00D40699">
              <w:rPr>
                <w:sz w:val="20"/>
                <w:szCs w:val="20"/>
              </w:rPr>
              <w:t>625</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7FBBCF96" w14:textId="0481A724" w:rsidR="006D0BD9" w:rsidRPr="00D40699" w:rsidRDefault="007A0339" w:rsidP="007A0339">
            <w:pPr>
              <w:pStyle w:val="p1-standpara"/>
              <w:widowControl w:val="0"/>
              <w:spacing w:before="0" w:beforeAutospacing="0" w:after="0" w:afterAutospacing="0"/>
              <w:jc w:val="center"/>
              <w:rPr>
                <w:sz w:val="20"/>
                <w:szCs w:val="20"/>
              </w:rPr>
            </w:pPr>
            <w:r w:rsidRPr="00D40699">
              <w:rPr>
                <w:sz w:val="20"/>
                <w:szCs w:val="20"/>
              </w:rPr>
              <w:t>62</w:t>
            </w:r>
          </w:p>
        </w:tc>
      </w:tr>
      <w:tr w:rsidR="006D0BD9" w14:paraId="439FD597" w14:textId="77777777" w:rsidTr="00AF5BB7">
        <w:tc>
          <w:tcPr>
            <w:tcW w:w="4945" w:type="dxa"/>
            <w:tcBorders>
              <w:top w:val="single" w:sz="4" w:space="0" w:color="000000"/>
              <w:left w:val="single" w:sz="4" w:space="0" w:color="000000"/>
              <w:bottom w:val="single" w:sz="4" w:space="0" w:color="000000"/>
              <w:right w:val="single" w:sz="4" w:space="0" w:color="000000"/>
            </w:tcBorders>
            <w:vAlign w:val="center"/>
            <w:hideMark/>
          </w:tcPr>
          <w:p w14:paraId="6F69883B" w14:textId="77777777" w:rsidR="006D0BD9" w:rsidRPr="00D40699" w:rsidRDefault="006D0BD9">
            <w:pPr>
              <w:pStyle w:val="sl-fllftsgl"/>
              <w:widowControl w:val="0"/>
              <w:spacing w:before="0" w:beforeAutospacing="0" w:after="0" w:afterAutospacing="0"/>
              <w:rPr>
                <w:sz w:val="20"/>
                <w:szCs w:val="20"/>
              </w:rPr>
            </w:pPr>
            <w:r w:rsidRPr="00D40699">
              <w:rPr>
                <w:sz w:val="20"/>
                <w:szCs w:val="20"/>
              </w:rPr>
              <w:t xml:space="preserve">Louis Stokes Alliances for Minority Participation Bridge to the Doctorate (LSAMP-BD) Monitoring System </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3E9C3D63" w14:textId="7CF5B131" w:rsidR="006D0BD9" w:rsidRPr="00D40699" w:rsidRDefault="006D0BD9">
            <w:pPr>
              <w:pStyle w:val="p1-standpara"/>
              <w:widowControl w:val="0"/>
              <w:spacing w:before="0" w:beforeAutospacing="0" w:after="0" w:afterAutospacing="0"/>
              <w:jc w:val="center"/>
              <w:rPr>
                <w:sz w:val="20"/>
                <w:szCs w:val="20"/>
              </w:rPr>
            </w:pPr>
            <w:r w:rsidRPr="00D40699">
              <w:rPr>
                <w:sz w:val="20"/>
                <w:szCs w:val="20"/>
              </w:rPr>
              <w:t>55</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0AEBE5D8" w14:textId="789BAFF1" w:rsidR="006D0BD9" w:rsidRPr="00D40699" w:rsidRDefault="006D0BD9">
            <w:pPr>
              <w:pStyle w:val="p1-standpara"/>
              <w:widowControl w:val="0"/>
              <w:spacing w:before="0" w:beforeAutospacing="0" w:after="0" w:afterAutospacing="0"/>
              <w:jc w:val="center"/>
              <w:rPr>
                <w:sz w:val="20"/>
                <w:szCs w:val="20"/>
              </w:rPr>
            </w:pPr>
            <w:r w:rsidRPr="00D40699">
              <w:rPr>
                <w:sz w:val="20"/>
                <w:szCs w:val="20"/>
              </w:rPr>
              <w:t>56</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16DD5202" w14:textId="07B9963B" w:rsidR="006D0BD9" w:rsidRPr="00D40699" w:rsidRDefault="006D0BD9">
            <w:pPr>
              <w:pStyle w:val="p1-standpara"/>
              <w:widowControl w:val="0"/>
              <w:spacing w:before="0" w:beforeAutospacing="0" w:after="0" w:afterAutospacing="0"/>
              <w:jc w:val="center"/>
              <w:rPr>
                <w:sz w:val="20"/>
                <w:szCs w:val="20"/>
              </w:rPr>
            </w:pPr>
            <w:r w:rsidRPr="00D40699">
              <w:rPr>
                <w:sz w:val="20"/>
                <w:szCs w:val="20"/>
              </w:rPr>
              <w:t>1</w:t>
            </w:r>
          </w:p>
        </w:tc>
      </w:tr>
      <w:tr w:rsidR="006D0BD9" w14:paraId="2C0E1ECD" w14:textId="77777777" w:rsidTr="00AF5BB7">
        <w:tc>
          <w:tcPr>
            <w:tcW w:w="4945" w:type="dxa"/>
            <w:tcBorders>
              <w:top w:val="single" w:sz="4" w:space="0" w:color="000000"/>
              <w:left w:val="single" w:sz="4" w:space="0" w:color="000000"/>
              <w:bottom w:val="single" w:sz="4" w:space="0" w:color="000000"/>
              <w:right w:val="single" w:sz="4" w:space="0" w:color="000000"/>
            </w:tcBorders>
            <w:vAlign w:val="center"/>
            <w:hideMark/>
          </w:tcPr>
          <w:p w14:paraId="412D9315" w14:textId="77777777" w:rsidR="006D0BD9" w:rsidRPr="00D40699" w:rsidRDefault="006D0BD9">
            <w:pPr>
              <w:pStyle w:val="sl-fllftsgl"/>
              <w:widowControl w:val="0"/>
              <w:spacing w:before="0" w:beforeAutospacing="0" w:after="0" w:afterAutospacing="0"/>
              <w:rPr>
                <w:sz w:val="20"/>
                <w:szCs w:val="20"/>
              </w:rPr>
            </w:pPr>
            <w:r w:rsidRPr="00D40699">
              <w:rPr>
                <w:sz w:val="20"/>
                <w:szCs w:val="20"/>
              </w:rPr>
              <w:t>Robert Noyce Teacher Scholarship Program (Noyce) Monitoring System</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0C706D71" w14:textId="75C51BA3" w:rsidR="006D0BD9" w:rsidRPr="00D40699" w:rsidRDefault="006D0BD9">
            <w:pPr>
              <w:pStyle w:val="p1-standpara"/>
              <w:widowControl w:val="0"/>
              <w:spacing w:before="0" w:beforeAutospacing="0" w:after="0" w:afterAutospacing="0"/>
              <w:jc w:val="center"/>
              <w:rPr>
                <w:sz w:val="20"/>
                <w:szCs w:val="20"/>
              </w:rPr>
            </w:pPr>
            <w:r w:rsidRPr="00D40699">
              <w:rPr>
                <w:sz w:val="20"/>
                <w:szCs w:val="20"/>
              </w:rPr>
              <w:t>422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0232F3D" w14:textId="25C243FD" w:rsidR="006D0BD9" w:rsidRPr="00D40699" w:rsidRDefault="006D0BD9">
            <w:pPr>
              <w:pStyle w:val="p1-standpara"/>
              <w:widowControl w:val="0"/>
              <w:spacing w:before="0" w:beforeAutospacing="0" w:after="0" w:afterAutospacing="0"/>
              <w:jc w:val="center"/>
              <w:rPr>
                <w:sz w:val="20"/>
                <w:szCs w:val="20"/>
              </w:rPr>
            </w:pPr>
            <w:r w:rsidRPr="00D40699">
              <w:rPr>
                <w:sz w:val="20"/>
                <w:szCs w:val="20"/>
              </w:rPr>
              <w:t>550</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70D810EC" w14:textId="28B6F97C" w:rsidR="006D0BD9" w:rsidRPr="00D40699" w:rsidRDefault="006D0BD9">
            <w:pPr>
              <w:pStyle w:val="p1-standpara"/>
              <w:widowControl w:val="0"/>
              <w:spacing w:before="0" w:beforeAutospacing="0" w:after="0" w:afterAutospacing="0"/>
              <w:jc w:val="center"/>
              <w:rPr>
                <w:sz w:val="20"/>
                <w:szCs w:val="20"/>
              </w:rPr>
            </w:pPr>
            <w:r w:rsidRPr="00D40699">
              <w:rPr>
                <w:sz w:val="20"/>
                <w:szCs w:val="20"/>
              </w:rPr>
              <w:t>128</w:t>
            </w:r>
          </w:p>
        </w:tc>
      </w:tr>
      <w:tr w:rsidR="006D0BD9" w14:paraId="463F2864" w14:textId="77777777" w:rsidTr="00AF5BB7">
        <w:tc>
          <w:tcPr>
            <w:tcW w:w="4945" w:type="dxa"/>
            <w:tcBorders>
              <w:top w:val="single" w:sz="4" w:space="0" w:color="000000"/>
              <w:left w:val="single" w:sz="4" w:space="0" w:color="000000"/>
              <w:bottom w:val="single" w:sz="4" w:space="0" w:color="000000"/>
              <w:right w:val="single" w:sz="4" w:space="0" w:color="000000"/>
            </w:tcBorders>
            <w:vAlign w:val="center"/>
            <w:hideMark/>
          </w:tcPr>
          <w:p w14:paraId="57642044" w14:textId="77777777" w:rsidR="006D0BD9" w:rsidRPr="00D40699" w:rsidRDefault="006D0BD9">
            <w:pPr>
              <w:pStyle w:val="sl-fllftsgl"/>
              <w:widowControl w:val="0"/>
              <w:spacing w:before="0" w:beforeAutospacing="0" w:after="0" w:afterAutospacing="0"/>
              <w:rPr>
                <w:sz w:val="20"/>
                <w:szCs w:val="20"/>
              </w:rPr>
            </w:pPr>
            <w:r w:rsidRPr="00D40699">
              <w:rPr>
                <w:sz w:val="20"/>
                <w:szCs w:val="20"/>
              </w:rPr>
              <w:t>Research in Disabilities Education (RDE) Monitoring System</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3736C238" w14:textId="0E8DC2D9" w:rsidR="006D0BD9" w:rsidRPr="00D40699" w:rsidRDefault="007A0339" w:rsidP="007A0339">
            <w:pPr>
              <w:pStyle w:val="p1-standpara"/>
              <w:widowControl w:val="0"/>
              <w:spacing w:before="0" w:beforeAutospacing="0" w:after="0" w:afterAutospacing="0"/>
              <w:jc w:val="center"/>
              <w:rPr>
                <w:sz w:val="20"/>
                <w:szCs w:val="20"/>
              </w:rPr>
            </w:pPr>
            <w:r w:rsidRPr="00D40699">
              <w:rPr>
                <w:sz w:val="20"/>
                <w:szCs w:val="20"/>
              </w:rPr>
              <w:t>12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AC5BF4D" w14:textId="6F78A62B" w:rsidR="006D0BD9" w:rsidRPr="00D40699" w:rsidRDefault="006D0BD9">
            <w:pPr>
              <w:pStyle w:val="p1-standpara"/>
              <w:widowControl w:val="0"/>
              <w:spacing w:before="0" w:beforeAutospacing="0" w:after="0" w:afterAutospacing="0"/>
              <w:jc w:val="center"/>
              <w:rPr>
                <w:sz w:val="20"/>
                <w:szCs w:val="20"/>
              </w:rPr>
            </w:pPr>
            <w:r w:rsidRPr="00D40699">
              <w:rPr>
                <w:sz w:val="20"/>
                <w:szCs w:val="20"/>
              </w:rPr>
              <w:t>0</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1F48C876" w14:textId="429EDD9D" w:rsidR="006D0BD9" w:rsidRPr="00D40699" w:rsidRDefault="006D0BD9" w:rsidP="007A0339">
            <w:pPr>
              <w:pStyle w:val="p1-standpara"/>
              <w:widowControl w:val="0"/>
              <w:spacing w:before="0" w:beforeAutospacing="0" w:after="0" w:afterAutospacing="0"/>
              <w:jc w:val="center"/>
              <w:rPr>
                <w:sz w:val="20"/>
                <w:szCs w:val="20"/>
              </w:rPr>
            </w:pPr>
            <w:r w:rsidRPr="00D40699">
              <w:rPr>
                <w:sz w:val="20"/>
                <w:szCs w:val="20"/>
              </w:rPr>
              <w:t>(</w:t>
            </w:r>
            <w:r w:rsidR="007A0339" w:rsidRPr="00D40699">
              <w:rPr>
                <w:sz w:val="20"/>
                <w:szCs w:val="20"/>
              </w:rPr>
              <w:t>12</w:t>
            </w:r>
            <w:r w:rsidRPr="00D40699">
              <w:rPr>
                <w:sz w:val="20"/>
                <w:szCs w:val="20"/>
              </w:rPr>
              <w:t>)</w:t>
            </w:r>
          </w:p>
        </w:tc>
      </w:tr>
      <w:tr w:rsidR="006D0BD9" w14:paraId="12342943" w14:textId="77777777" w:rsidTr="00AF5BB7">
        <w:tc>
          <w:tcPr>
            <w:tcW w:w="4945" w:type="dxa"/>
            <w:tcBorders>
              <w:top w:val="single" w:sz="4" w:space="0" w:color="000000"/>
              <w:left w:val="single" w:sz="4" w:space="0" w:color="000000"/>
              <w:bottom w:val="single" w:sz="4" w:space="0" w:color="000000"/>
              <w:right w:val="single" w:sz="4" w:space="0" w:color="000000"/>
            </w:tcBorders>
            <w:vAlign w:val="center"/>
            <w:hideMark/>
          </w:tcPr>
          <w:p w14:paraId="33EA8220" w14:textId="77777777" w:rsidR="006D0BD9" w:rsidRPr="00D40699" w:rsidRDefault="006D0BD9">
            <w:pPr>
              <w:pStyle w:val="sl-fllftsgl"/>
              <w:widowControl w:val="0"/>
              <w:spacing w:before="0" w:beforeAutospacing="0" w:after="0" w:afterAutospacing="0"/>
              <w:rPr>
                <w:sz w:val="20"/>
                <w:szCs w:val="20"/>
              </w:rPr>
            </w:pPr>
            <w:r w:rsidRPr="00D40699">
              <w:rPr>
                <w:sz w:val="20"/>
                <w:szCs w:val="20"/>
              </w:rPr>
              <w:t>Scholarships in Science, Technology, Engineering, and Mathematics (S-STEM) Monitoring System</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468ED0C7" w14:textId="2F3950BB" w:rsidR="006D0BD9" w:rsidRPr="00D40699" w:rsidRDefault="006E0225">
            <w:pPr>
              <w:pStyle w:val="p1-standpara"/>
              <w:widowControl w:val="0"/>
              <w:spacing w:before="0" w:beforeAutospacing="0" w:after="0" w:afterAutospacing="0"/>
              <w:jc w:val="center"/>
              <w:rPr>
                <w:sz w:val="20"/>
                <w:szCs w:val="20"/>
              </w:rPr>
            </w:pPr>
            <w:r>
              <w:rPr>
                <w:sz w:val="20"/>
                <w:szCs w:val="20"/>
              </w:rPr>
              <w:t>500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FEC433F" w14:textId="36129B7E" w:rsidR="006D0BD9" w:rsidRPr="00D40699" w:rsidRDefault="006E0225" w:rsidP="007A0339">
            <w:pPr>
              <w:pStyle w:val="p1-standpara"/>
              <w:widowControl w:val="0"/>
              <w:spacing w:before="0" w:beforeAutospacing="0" w:after="0" w:afterAutospacing="0"/>
              <w:jc w:val="center"/>
              <w:rPr>
                <w:sz w:val="20"/>
                <w:szCs w:val="20"/>
              </w:rPr>
            </w:pPr>
            <w:r>
              <w:rPr>
                <w:sz w:val="20"/>
                <w:szCs w:val="20"/>
              </w:rPr>
              <w:t>700</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55DCC9BD" w14:textId="3A564A13" w:rsidR="006D0BD9" w:rsidRPr="00D40699" w:rsidRDefault="006E0225" w:rsidP="007A0339">
            <w:pPr>
              <w:pStyle w:val="p1-standpara"/>
              <w:widowControl w:val="0"/>
              <w:spacing w:before="0" w:beforeAutospacing="0" w:after="0" w:afterAutospacing="0"/>
              <w:jc w:val="center"/>
              <w:rPr>
                <w:sz w:val="20"/>
                <w:szCs w:val="20"/>
              </w:rPr>
            </w:pPr>
            <w:r>
              <w:rPr>
                <w:sz w:val="20"/>
                <w:szCs w:val="20"/>
              </w:rPr>
              <w:t>200</w:t>
            </w:r>
          </w:p>
        </w:tc>
      </w:tr>
      <w:tr w:rsidR="006D0BD9" w14:paraId="33059CF6" w14:textId="77777777" w:rsidTr="00AF5BB7">
        <w:tc>
          <w:tcPr>
            <w:tcW w:w="4945" w:type="dxa"/>
            <w:tcBorders>
              <w:top w:val="single" w:sz="4" w:space="0" w:color="000000"/>
              <w:left w:val="single" w:sz="4" w:space="0" w:color="000000"/>
              <w:bottom w:val="single" w:sz="4" w:space="0" w:color="000000"/>
              <w:right w:val="single" w:sz="4" w:space="0" w:color="000000"/>
            </w:tcBorders>
            <w:vAlign w:val="center"/>
            <w:hideMark/>
          </w:tcPr>
          <w:p w14:paraId="35996A67" w14:textId="77777777" w:rsidR="006D0BD9" w:rsidRPr="00D40699" w:rsidRDefault="006D0BD9">
            <w:pPr>
              <w:pStyle w:val="c1-ctrsglsp"/>
              <w:widowControl w:val="0"/>
              <w:spacing w:before="0" w:beforeAutospacing="0" w:after="0" w:afterAutospacing="0"/>
              <w:rPr>
                <w:sz w:val="20"/>
                <w:szCs w:val="20"/>
              </w:rPr>
            </w:pPr>
            <w:r w:rsidRPr="00D40699">
              <w:rPr>
                <w:sz w:val="20"/>
                <w:szCs w:val="20"/>
              </w:rPr>
              <w:t>Science, Technology, Engineering, and Mathematics Talent Expansion Program (STEP) Monitoring System</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5993BCDF" w14:textId="00F5EF99" w:rsidR="006D0BD9" w:rsidRPr="00D40699" w:rsidRDefault="006D0BD9">
            <w:pPr>
              <w:pStyle w:val="p1-standpara"/>
              <w:widowControl w:val="0"/>
              <w:spacing w:before="0" w:beforeAutospacing="0" w:after="0" w:afterAutospacing="0"/>
              <w:jc w:val="center"/>
              <w:rPr>
                <w:sz w:val="20"/>
                <w:szCs w:val="20"/>
              </w:rPr>
            </w:pPr>
            <w:r w:rsidRPr="00D40699">
              <w:rPr>
                <w:sz w:val="20"/>
                <w:szCs w:val="20"/>
              </w:rPr>
              <w:t>277</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13C18D7B" w14:textId="631C2483" w:rsidR="006D0BD9" w:rsidRPr="00D40699" w:rsidRDefault="007A0339" w:rsidP="007A0339">
            <w:pPr>
              <w:pStyle w:val="p1-standpara"/>
              <w:widowControl w:val="0"/>
              <w:spacing w:before="0" w:beforeAutospacing="0" w:after="0" w:afterAutospacing="0"/>
              <w:jc w:val="center"/>
              <w:rPr>
                <w:sz w:val="20"/>
                <w:szCs w:val="20"/>
              </w:rPr>
            </w:pPr>
            <w:r w:rsidRPr="00D40699">
              <w:rPr>
                <w:sz w:val="20"/>
                <w:szCs w:val="20"/>
              </w:rPr>
              <w:t>25</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035D72B1" w14:textId="793EFF9F" w:rsidR="006D0BD9" w:rsidRPr="00D40699" w:rsidRDefault="007A0339" w:rsidP="00BB3856">
            <w:pPr>
              <w:pStyle w:val="p1-standpara"/>
              <w:widowControl w:val="0"/>
              <w:spacing w:before="0" w:beforeAutospacing="0" w:after="0" w:afterAutospacing="0"/>
              <w:jc w:val="center"/>
              <w:rPr>
                <w:sz w:val="20"/>
                <w:szCs w:val="20"/>
              </w:rPr>
            </w:pPr>
            <w:r w:rsidRPr="00D40699">
              <w:rPr>
                <w:sz w:val="20"/>
                <w:szCs w:val="20"/>
              </w:rPr>
              <w:t>(2</w:t>
            </w:r>
            <w:r w:rsidR="00BB3856">
              <w:rPr>
                <w:sz w:val="20"/>
                <w:szCs w:val="20"/>
              </w:rPr>
              <w:t>52</w:t>
            </w:r>
            <w:r w:rsidRPr="00D40699">
              <w:rPr>
                <w:sz w:val="20"/>
                <w:szCs w:val="20"/>
              </w:rPr>
              <w:t>)</w:t>
            </w:r>
          </w:p>
        </w:tc>
      </w:tr>
      <w:tr w:rsidR="006D0BD9" w14:paraId="1B5372EC" w14:textId="77777777" w:rsidTr="00AF5BB7">
        <w:tc>
          <w:tcPr>
            <w:tcW w:w="4945" w:type="dxa"/>
            <w:tcBorders>
              <w:top w:val="single" w:sz="4" w:space="0" w:color="000000"/>
              <w:left w:val="single" w:sz="4" w:space="0" w:color="000000"/>
              <w:bottom w:val="single" w:sz="4" w:space="0" w:color="000000"/>
              <w:right w:val="single" w:sz="4" w:space="0" w:color="000000"/>
            </w:tcBorders>
            <w:vAlign w:val="center"/>
            <w:hideMark/>
          </w:tcPr>
          <w:p w14:paraId="709D6B11" w14:textId="77777777" w:rsidR="006D0BD9" w:rsidRPr="00D40699" w:rsidRDefault="006D0BD9">
            <w:pPr>
              <w:pStyle w:val="sl-fllftsgl"/>
              <w:widowControl w:val="0"/>
              <w:spacing w:before="0" w:beforeAutospacing="0" w:after="0" w:afterAutospacing="0"/>
              <w:rPr>
                <w:sz w:val="20"/>
                <w:szCs w:val="20"/>
              </w:rPr>
            </w:pPr>
            <w:r w:rsidRPr="00D40699">
              <w:rPr>
                <w:sz w:val="20"/>
                <w:szCs w:val="20"/>
              </w:rPr>
              <w:t>Transforming Undergraduate Education in Science, Technology, Engineering and Mathematics (TUES) Monitoring System</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6221642F" w14:textId="2B9FA187" w:rsidR="006D0BD9" w:rsidRPr="00D40699" w:rsidRDefault="007A0339" w:rsidP="007A0339">
            <w:pPr>
              <w:pStyle w:val="p1-standpara"/>
              <w:widowControl w:val="0"/>
              <w:spacing w:before="0" w:beforeAutospacing="0" w:after="0" w:afterAutospacing="0"/>
              <w:jc w:val="center"/>
              <w:rPr>
                <w:sz w:val="20"/>
                <w:szCs w:val="20"/>
              </w:rPr>
            </w:pPr>
            <w:r w:rsidRPr="00D40699">
              <w:rPr>
                <w:sz w:val="20"/>
                <w:szCs w:val="20"/>
              </w:rPr>
              <w:t>686</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60D4667" w14:textId="2604744A" w:rsidR="006D0BD9" w:rsidRPr="00D40699" w:rsidRDefault="006D0BD9">
            <w:pPr>
              <w:pStyle w:val="p1-standpara"/>
              <w:widowControl w:val="0"/>
              <w:spacing w:before="0" w:beforeAutospacing="0" w:after="0" w:afterAutospacing="0"/>
              <w:jc w:val="center"/>
              <w:rPr>
                <w:sz w:val="20"/>
                <w:szCs w:val="20"/>
              </w:rPr>
            </w:pPr>
            <w:r w:rsidRPr="00D40699">
              <w:rPr>
                <w:sz w:val="20"/>
                <w:szCs w:val="20"/>
              </w:rPr>
              <w:t>0</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3652A367" w14:textId="2A178E82" w:rsidR="006D0BD9" w:rsidRPr="00D40699" w:rsidRDefault="006D0BD9" w:rsidP="007A0339">
            <w:pPr>
              <w:pStyle w:val="p1-standpara"/>
              <w:widowControl w:val="0"/>
              <w:spacing w:before="0" w:beforeAutospacing="0" w:after="0" w:afterAutospacing="0"/>
              <w:jc w:val="center"/>
              <w:rPr>
                <w:sz w:val="20"/>
                <w:szCs w:val="20"/>
              </w:rPr>
            </w:pPr>
            <w:r w:rsidRPr="00D40699">
              <w:rPr>
                <w:sz w:val="20"/>
                <w:szCs w:val="20"/>
              </w:rPr>
              <w:t>(</w:t>
            </w:r>
            <w:r w:rsidR="007A0339" w:rsidRPr="00D40699">
              <w:rPr>
                <w:sz w:val="20"/>
                <w:szCs w:val="20"/>
              </w:rPr>
              <w:t>686</w:t>
            </w:r>
            <w:r w:rsidRPr="00D40699">
              <w:rPr>
                <w:sz w:val="20"/>
                <w:szCs w:val="20"/>
              </w:rPr>
              <w:t>)</w:t>
            </w:r>
          </w:p>
        </w:tc>
      </w:tr>
      <w:tr w:rsidR="006D0BD9" w14:paraId="5858E366" w14:textId="77777777" w:rsidTr="00AF5BB7">
        <w:tc>
          <w:tcPr>
            <w:tcW w:w="4945" w:type="dxa"/>
            <w:tcBorders>
              <w:top w:val="single" w:sz="4" w:space="0" w:color="000000"/>
              <w:left w:val="single" w:sz="4" w:space="0" w:color="000000"/>
              <w:bottom w:val="single" w:sz="4" w:space="0" w:color="000000"/>
              <w:right w:val="single" w:sz="4" w:space="0" w:color="000000"/>
            </w:tcBorders>
            <w:hideMark/>
          </w:tcPr>
          <w:p w14:paraId="3E5D5A28" w14:textId="64C2E4EB" w:rsidR="006D0BD9" w:rsidRPr="00D40699" w:rsidRDefault="006D0BD9">
            <w:pPr>
              <w:pStyle w:val="p1-standpara"/>
              <w:widowControl w:val="0"/>
              <w:spacing w:before="0" w:beforeAutospacing="0" w:after="0" w:afterAutospacing="0"/>
              <w:rPr>
                <w:b/>
                <w:sz w:val="20"/>
                <w:szCs w:val="20"/>
              </w:rPr>
            </w:pPr>
            <w:r w:rsidRPr="00D40699">
              <w:rPr>
                <w:b/>
                <w:sz w:val="20"/>
                <w:szCs w:val="20"/>
              </w:rPr>
              <w:t>NSF Respondent Estimate Total</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1E5888E0" w14:textId="6A25C730" w:rsidR="006D0BD9" w:rsidRPr="00D40699" w:rsidRDefault="006D0BD9" w:rsidP="006E0225">
            <w:pPr>
              <w:pStyle w:val="p1-standpara"/>
              <w:widowControl w:val="0"/>
              <w:spacing w:before="0" w:beforeAutospacing="0" w:after="0" w:afterAutospacing="0"/>
              <w:jc w:val="center"/>
              <w:rPr>
                <w:sz w:val="20"/>
                <w:szCs w:val="20"/>
              </w:rPr>
            </w:pPr>
            <w:r w:rsidRPr="00D40699">
              <w:rPr>
                <w:sz w:val="20"/>
                <w:szCs w:val="20"/>
              </w:rPr>
              <w:t>7,</w:t>
            </w:r>
            <w:r w:rsidR="006E0225">
              <w:rPr>
                <w:sz w:val="20"/>
                <w:szCs w:val="20"/>
              </w:rPr>
              <w:t>2</w:t>
            </w:r>
            <w:r w:rsidRPr="00D40699">
              <w:rPr>
                <w:sz w:val="20"/>
                <w:szCs w:val="20"/>
              </w:rPr>
              <w:t>84</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587B2C5" w14:textId="638A8D27" w:rsidR="006D0BD9" w:rsidRPr="00D40699" w:rsidRDefault="006E0225" w:rsidP="006E0225">
            <w:pPr>
              <w:pStyle w:val="p1-standpara"/>
              <w:widowControl w:val="0"/>
              <w:spacing w:before="0" w:beforeAutospacing="0" w:after="0" w:afterAutospacing="0"/>
              <w:jc w:val="center"/>
              <w:rPr>
                <w:sz w:val="20"/>
                <w:szCs w:val="20"/>
              </w:rPr>
            </w:pPr>
            <w:r>
              <w:rPr>
                <w:sz w:val="20"/>
                <w:szCs w:val="20"/>
              </w:rPr>
              <w:t>2</w:t>
            </w:r>
            <w:r w:rsidR="007A0339" w:rsidRPr="00D40699">
              <w:rPr>
                <w:sz w:val="20"/>
                <w:szCs w:val="20"/>
              </w:rPr>
              <w:t>,</w:t>
            </w:r>
            <w:r>
              <w:rPr>
                <w:sz w:val="20"/>
                <w:szCs w:val="20"/>
              </w:rPr>
              <w:t>511</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01E20EA8" w14:textId="7B4A69F2" w:rsidR="006D0BD9" w:rsidRPr="00D40699" w:rsidRDefault="007A0339" w:rsidP="006E0225">
            <w:pPr>
              <w:pStyle w:val="p1-standpara"/>
              <w:widowControl w:val="0"/>
              <w:spacing w:before="0" w:beforeAutospacing="0" w:after="0" w:afterAutospacing="0"/>
              <w:jc w:val="center"/>
              <w:rPr>
                <w:sz w:val="20"/>
                <w:szCs w:val="20"/>
              </w:rPr>
            </w:pPr>
            <w:r w:rsidRPr="00D40699">
              <w:rPr>
                <w:sz w:val="20"/>
                <w:szCs w:val="20"/>
              </w:rPr>
              <w:t>(4,</w:t>
            </w:r>
            <w:r w:rsidR="006E0225">
              <w:rPr>
                <w:sz w:val="20"/>
                <w:szCs w:val="20"/>
              </w:rPr>
              <w:t>773</w:t>
            </w:r>
            <w:r w:rsidRPr="00D40699">
              <w:rPr>
                <w:sz w:val="20"/>
                <w:szCs w:val="20"/>
              </w:rPr>
              <w:t>)</w:t>
            </w:r>
          </w:p>
        </w:tc>
      </w:tr>
    </w:tbl>
    <w:p w14:paraId="6518ABE0" w14:textId="77777777" w:rsidR="00E6721D" w:rsidRDefault="00E6721D" w:rsidP="00E6721D">
      <w:pPr>
        <w:pStyle w:val="p1-standpara"/>
        <w:spacing w:before="0" w:beforeAutospacing="0" w:after="0" w:afterAutospacing="0"/>
        <w:jc w:val="both"/>
      </w:pPr>
    </w:p>
    <w:p w14:paraId="7E86AFD3" w14:textId="0BD0F3E9" w:rsidR="00E6721D" w:rsidRDefault="00056F3D" w:rsidP="00E6721D">
      <w:pPr>
        <w:pStyle w:val="p1-standpara"/>
        <w:spacing w:before="0" w:beforeAutospacing="0" w:after="0" w:afterAutospacing="0"/>
        <w:jc w:val="both"/>
      </w:pPr>
      <w:r>
        <w:t>The decrease in respondents is due largely to (1) transitions in several programs that are no longer making new awards (i.e., GK-12, IGERT, RDE, STEP, and TUES), and (2) a decision by the AISL program to leverage NSF enterprise data to provide evidence necessary for monitoring, post-award management, and assessment of outcomes associated with AISL projects.</w:t>
      </w:r>
    </w:p>
    <w:p w14:paraId="101430BC" w14:textId="7AF2511A" w:rsidR="00C44885" w:rsidRDefault="00E6721D" w:rsidP="00B303E2">
      <w:pPr>
        <w:pStyle w:val="Heading3"/>
        <w:jc w:val="both"/>
        <w:rPr>
          <w:rFonts w:ascii="Times New Roman" w:eastAsia="Times New Roman" w:hAnsi="Times New Roman"/>
          <w:b w:val="0"/>
          <w:bCs w:val="0"/>
          <w:sz w:val="24"/>
          <w:szCs w:val="24"/>
        </w:rPr>
      </w:pPr>
      <w:r w:rsidRPr="00C44885">
        <w:rPr>
          <w:rFonts w:ascii="Times New Roman" w:eastAsia="Times New Roman" w:hAnsi="Times New Roman"/>
          <w:b w:val="0"/>
          <w:bCs w:val="0"/>
          <w:sz w:val="24"/>
          <w:szCs w:val="24"/>
        </w:rPr>
        <w:t>In future years, the burden will be affected by the deletion and addition of some subtasks and respondents. NSF will notify OMB when there are significant changes to the burden.</w:t>
      </w:r>
    </w:p>
    <w:p w14:paraId="719E522B" w14:textId="77777777" w:rsidR="00193BA8" w:rsidRDefault="00193BA8" w:rsidP="00193BA8">
      <w:pPr>
        <w:pStyle w:val="Heading3"/>
      </w:pPr>
      <w:r w:rsidRPr="00C44885">
        <w:t>A.16.</w:t>
      </w:r>
      <w:r w:rsidR="00C44885" w:rsidRPr="00C44885">
        <w:t xml:space="preserve"> </w:t>
      </w:r>
      <w:r>
        <w:t>Plans for Publication, Analysis, and Schedule</w:t>
      </w:r>
    </w:p>
    <w:p w14:paraId="05617013" w14:textId="1503F219" w:rsidR="00193BA8" w:rsidRDefault="009C7272" w:rsidP="00193BA8">
      <w:pPr>
        <w:pStyle w:val="NormalWeb"/>
        <w:spacing w:before="0" w:beforeAutospacing="0" w:after="0" w:afterAutospacing="0"/>
        <w:jc w:val="both"/>
      </w:pPr>
      <w:r>
        <w:t xml:space="preserve">The data collections that are the subject of this renewal request are utilized for multiple purposes, described in </w:t>
      </w:r>
      <w:r w:rsidR="00D40699">
        <w:t>s</w:t>
      </w:r>
      <w:r>
        <w:t>ection</w:t>
      </w:r>
      <w:r w:rsidR="00DE6587">
        <w:t>s</w:t>
      </w:r>
      <w:r>
        <w:t xml:space="preserve"> </w:t>
      </w:r>
      <w:r w:rsidR="00DE6587">
        <w:t xml:space="preserve">A.1 (Circumstances Requiring the Collection of Data) and </w:t>
      </w:r>
      <w:r>
        <w:t xml:space="preserve">A.2 (Purposes and Use of the Data). </w:t>
      </w:r>
      <w:r w:rsidR="00193BA8">
        <w:t xml:space="preserve">Some individual collections contribute to formal products (e.g., analytical reports) that can be published by NSF’s </w:t>
      </w:r>
      <w:r w:rsidR="007A0339">
        <w:t>On-Line Document System (</w:t>
      </w:r>
      <w:r w:rsidR="00193BA8">
        <w:t>ODS</w:t>
      </w:r>
      <w:r w:rsidR="007A0339">
        <w:t>)</w:t>
      </w:r>
      <w:r w:rsidR="00193BA8">
        <w:t xml:space="preserve">. </w:t>
      </w:r>
      <w:r w:rsidR="00193BA8" w:rsidRPr="00811AB2">
        <w:t xml:space="preserve">Most of </w:t>
      </w:r>
      <w:r>
        <w:t>the data</w:t>
      </w:r>
      <w:r w:rsidR="00193BA8" w:rsidRPr="00811AB2">
        <w:t xml:space="preserve"> the EHR </w:t>
      </w:r>
      <w:r w:rsidR="003F7124">
        <w:t>p</w:t>
      </w:r>
      <w:r w:rsidR="00193BA8" w:rsidRPr="00811AB2">
        <w:t xml:space="preserve">rogram </w:t>
      </w:r>
      <w:r w:rsidR="003F7124">
        <w:t>m</w:t>
      </w:r>
      <w:r w:rsidR="00193BA8" w:rsidRPr="00811AB2">
        <w:t xml:space="preserve">onitoring </w:t>
      </w:r>
      <w:r w:rsidR="003F7124">
        <w:t>c</w:t>
      </w:r>
      <w:r w:rsidR="00193BA8" w:rsidRPr="00811AB2">
        <w:t>learance collects, however, is not published as a stand-alone product, because the data are an input to how NSF manages, documents, evaluates, and measures its performance as an agency. NSF’s GPRA Performance Report or an individual division’s annual</w:t>
      </w:r>
      <w:r w:rsidR="00A41E89" w:rsidRPr="00811AB2">
        <w:t xml:space="preserve"> report to the NSF Director</w:t>
      </w:r>
      <w:r w:rsidR="00811AB2" w:rsidRPr="00811AB2">
        <w:t xml:space="preserve"> may</w:t>
      </w:r>
      <w:r w:rsidR="00A41E89" w:rsidRPr="00811AB2">
        <w:t xml:space="preserve"> use</w:t>
      </w:r>
      <w:r w:rsidR="00193BA8" w:rsidRPr="00811AB2">
        <w:t xml:space="preserve"> information from the collection to report to Congress. This is an annual cycle.</w:t>
      </w:r>
    </w:p>
    <w:p w14:paraId="061545D3" w14:textId="77777777" w:rsidR="00193BA8" w:rsidRDefault="00193BA8" w:rsidP="00193BA8">
      <w:pPr>
        <w:pStyle w:val="NormalWeb"/>
        <w:spacing w:before="0" w:beforeAutospacing="0" w:after="0" w:afterAutospacing="0"/>
        <w:jc w:val="both"/>
      </w:pPr>
    </w:p>
    <w:p w14:paraId="7924569D" w14:textId="30506711" w:rsidR="00193BA8" w:rsidRDefault="00193BA8" w:rsidP="00193BA8">
      <w:pPr>
        <w:pStyle w:val="NormalWeb"/>
        <w:spacing w:before="0" w:beforeAutospacing="0" w:after="0" w:afterAutospacing="0"/>
        <w:jc w:val="both"/>
      </w:pPr>
      <w:r>
        <w:t>The data collection efforts included under this request are administered by third-party contractors that deliver (1) analytical reports, (2) the raw data from the collections, or (3) both. Third parties are contractually forbidden from publishing results unless NSF has made a specific exception. In short, all products of the collections are the property of NSF. After the products are delivered, NSF determines whether the quality of the products deserves publication verbatim by NSF; i.e., NSF typically is the exclusive publisher of the information collected by the collections. Often it is only after seeing the quality of the information the collection delivers that NSF decides the format (raw or analytical) and manner (in the ODS or simply a page on the NSF Web site) in which to publish.</w:t>
      </w:r>
    </w:p>
    <w:p w14:paraId="178EBBBD" w14:textId="59C4FCDA" w:rsidR="003F7124" w:rsidRDefault="003F7124" w:rsidP="00193BA8">
      <w:pPr>
        <w:pStyle w:val="NormalWeb"/>
        <w:spacing w:before="0" w:beforeAutospacing="0" w:after="0" w:afterAutospacing="0"/>
        <w:jc w:val="both"/>
      </w:pPr>
    </w:p>
    <w:p w14:paraId="24CECF61" w14:textId="69C74AB4" w:rsidR="003F7124" w:rsidRDefault="003F7124" w:rsidP="003F7124">
      <w:pPr>
        <w:pStyle w:val="NormalWeb"/>
        <w:spacing w:before="0" w:beforeAutospacing="0" w:after="0" w:afterAutospacing="0"/>
        <w:jc w:val="both"/>
      </w:pPr>
      <w:r>
        <w:t xml:space="preserve">When </w:t>
      </w:r>
      <w:r w:rsidR="004C3D98">
        <w:t xml:space="preserve">reports on studies that employ monitoring data or </w:t>
      </w:r>
      <w:r>
        <w:t xml:space="preserve">documents presenting analyses of monitoring data are approved for publication, distribution is likely to be electronic in nature. For content authored by NSF or by a third party at NSF’s request, the agency rarely uses paper to publish the information. NSF publishes most documents electronically only using the agency’s Web site, from requests for proposals to evaluation or statistical reports, using an archive called an ODS. Public reports on studies that make use of monitoring data are </w:t>
      </w:r>
      <w:r w:rsidR="00056F3D">
        <w:t>typically</w:t>
      </w:r>
      <w:r>
        <w:t xml:space="preserve"> made available from the EHR main Web page, part of the NSF main public Web page.</w:t>
      </w:r>
    </w:p>
    <w:p w14:paraId="75252410" w14:textId="77777777" w:rsidR="003F7124" w:rsidRDefault="003F7124" w:rsidP="00193BA8">
      <w:pPr>
        <w:pStyle w:val="NormalWeb"/>
        <w:spacing w:before="0" w:beforeAutospacing="0" w:after="0" w:afterAutospacing="0"/>
        <w:jc w:val="both"/>
      </w:pPr>
    </w:p>
    <w:p w14:paraId="7B45AB1D" w14:textId="77777777" w:rsidR="00193BA8" w:rsidRDefault="00193BA8" w:rsidP="00193BA8">
      <w:pPr>
        <w:pStyle w:val="NormalWeb"/>
        <w:spacing w:before="0" w:beforeAutospacing="0" w:after="0" w:afterAutospacing="0"/>
        <w:jc w:val="both"/>
      </w:pPr>
      <w:r>
        <w:t>EHR recurring studies based on monitoring data are requested by program staff and are done to monitor, manage, and communicate with and about the clients funded by NSF’s investment in education and training. In most cases the primary purpose for each recurring study is program management. These studies generate data that enable both NSF and the funded education and training projects to improve management and performance. Typically, recurring studies generate information that NSF uses as inputs to other reports, and therefore EHR cites no specific publication plans other than internal or general use to meet reporting requirements.</w:t>
      </w:r>
    </w:p>
    <w:p w14:paraId="3AC28142" w14:textId="77777777" w:rsidR="00193BA8" w:rsidRDefault="00193BA8" w:rsidP="00193BA8">
      <w:pPr>
        <w:pStyle w:val="NormalWeb"/>
        <w:spacing w:before="0" w:beforeAutospacing="0" w:after="0" w:afterAutospacing="0"/>
        <w:jc w:val="both"/>
      </w:pPr>
    </w:p>
    <w:p w14:paraId="52E585FC" w14:textId="77777777" w:rsidR="00A35A6C" w:rsidRDefault="00193BA8" w:rsidP="00193BA8">
      <w:pPr>
        <w:pStyle w:val="NormalWeb"/>
        <w:spacing w:before="0" w:beforeAutospacing="0" w:after="0" w:afterAutospacing="0"/>
        <w:jc w:val="both"/>
      </w:pPr>
      <w:r>
        <w:t>EHR uses data from recurring studies to provide information that can be mined for program evaluation purposes, such as identifying best practices in the education of graduate and undergraduate students, or as a baseline fo</w:t>
      </w:r>
      <w:r w:rsidR="00A35A6C">
        <w:t>r summative evaluation reports.</w:t>
      </w:r>
    </w:p>
    <w:p w14:paraId="45DF6A5E" w14:textId="77777777" w:rsidR="00193BA8" w:rsidRDefault="00193BA8" w:rsidP="00193BA8">
      <w:pPr>
        <w:pStyle w:val="Heading3"/>
      </w:pPr>
      <w:r>
        <w:t>A.17. Approval to Not Display Expiration Date</w:t>
      </w:r>
    </w:p>
    <w:p w14:paraId="27007151" w14:textId="77777777" w:rsidR="00193BA8" w:rsidRDefault="00193BA8" w:rsidP="00193BA8">
      <w:pPr>
        <w:jc w:val="both"/>
      </w:pPr>
      <w:r>
        <w:rPr>
          <w:rFonts w:ascii="Times New Roman" w:hAnsi="Times New Roman"/>
          <w:sz w:val="24"/>
          <w:szCs w:val="24"/>
        </w:rPr>
        <w:t>Not applicable</w:t>
      </w:r>
    </w:p>
    <w:p w14:paraId="5707E9BF" w14:textId="04D24E3B" w:rsidR="008741FA" w:rsidRDefault="008741FA" w:rsidP="00D40699">
      <w:pPr>
        <w:pStyle w:val="Heading3"/>
        <w:keepNext/>
        <w:keepLines/>
      </w:pPr>
      <w:r>
        <w:t>A.18</w:t>
      </w:r>
      <w:r w:rsidR="00AA012E">
        <w:t>.</w:t>
      </w:r>
      <w:r>
        <w:t xml:space="preserve"> Exceptions to Item 19 of OMB Form 83-I</w:t>
      </w:r>
    </w:p>
    <w:p w14:paraId="659F1C80" w14:textId="77777777" w:rsidR="008741FA" w:rsidRDefault="008741FA" w:rsidP="00D40699">
      <w:pPr>
        <w:keepNext/>
        <w:keepLines/>
        <w:jc w:val="both"/>
      </w:pPr>
      <w:r>
        <w:rPr>
          <w:rFonts w:ascii="Times New Roman" w:hAnsi="Times New Roman"/>
          <w:sz w:val="24"/>
          <w:szCs w:val="24"/>
        </w:rPr>
        <w:t>No exceptions apply.</w:t>
      </w:r>
    </w:p>
    <w:sectPr w:rsidR="008741FA">
      <w:headerReference w:type="default"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2F1C7" w14:textId="77777777" w:rsidR="00611751" w:rsidRDefault="00611751" w:rsidP="00FA5673">
      <w:r>
        <w:separator/>
      </w:r>
    </w:p>
  </w:endnote>
  <w:endnote w:type="continuationSeparator" w:id="0">
    <w:p w14:paraId="3B724A04" w14:textId="77777777" w:rsidR="00611751" w:rsidRDefault="00611751" w:rsidP="00FA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6C27" w14:textId="28B8BE19" w:rsidR="00A03045" w:rsidRDefault="00A0304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60E1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0E1C">
      <w:rPr>
        <w:b/>
        <w:bCs/>
        <w:noProof/>
      </w:rPr>
      <w:t>3</w:t>
    </w:r>
    <w:r>
      <w:rPr>
        <w:b/>
        <w:bCs/>
        <w:sz w:val="24"/>
        <w:szCs w:val="24"/>
      </w:rPr>
      <w:fldChar w:fldCharType="end"/>
    </w:r>
  </w:p>
  <w:p w14:paraId="6D49D32E" w14:textId="77777777" w:rsidR="00A03045" w:rsidRDefault="00A030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8EEEB" w14:textId="77777777" w:rsidR="00611751" w:rsidRDefault="00611751" w:rsidP="00FA5673">
      <w:r>
        <w:separator/>
      </w:r>
    </w:p>
  </w:footnote>
  <w:footnote w:type="continuationSeparator" w:id="0">
    <w:p w14:paraId="6D5D71A5" w14:textId="77777777" w:rsidR="00611751" w:rsidRDefault="00611751" w:rsidP="00FA5673">
      <w:r>
        <w:continuationSeparator/>
      </w:r>
    </w:p>
  </w:footnote>
  <w:footnote w:id="1">
    <w:p w14:paraId="4DD078E9" w14:textId="58DEED6C" w:rsidR="00A03045" w:rsidRPr="00255AC0" w:rsidRDefault="00A03045" w:rsidP="00255AC0">
      <w:pPr>
        <w:pStyle w:val="FootnoteText"/>
        <w:spacing w:before="0" w:beforeAutospacing="0" w:after="0" w:afterAutospacing="0"/>
        <w:jc w:val="both"/>
        <w:rPr>
          <w:sz w:val="20"/>
          <w:szCs w:val="20"/>
        </w:rPr>
      </w:pPr>
      <w:r w:rsidRPr="00255AC0">
        <w:rPr>
          <w:rStyle w:val="FootnoteReference"/>
          <w:sz w:val="20"/>
          <w:szCs w:val="20"/>
          <w:vertAlign w:val="superscript"/>
        </w:rPr>
        <w:footnoteRef/>
      </w:r>
      <w:r w:rsidRPr="00255AC0">
        <w:rPr>
          <w:sz w:val="20"/>
          <w:szCs w:val="20"/>
        </w:rPr>
        <w:t xml:space="preserve"> National Science Foundation. (2019). </w:t>
      </w:r>
      <w:r w:rsidRPr="00255AC0">
        <w:rPr>
          <w:rStyle w:val="Emphasis"/>
          <w:sz w:val="20"/>
          <w:szCs w:val="20"/>
        </w:rPr>
        <w:t xml:space="preserve">About NSF: At a </w:t>
      </w:r>
      <w:r>
        <w:rPr>
          <w:rStyle w:val="Emphasis"/>
          <w:sz w:val="20"/>
          <w:szCs w:val="20"/>
        </w:rPr>
        <w:t>G</w:t>
      </w:r>
      <w:r w:rsidRPr="00255AC0">
        <w:rPr>
          <w:rStyle w:val="Emphasis"/>
          <w:sz w:val="20"/>
          <w:szCs w:val="20"/>
        </w:rPr>
        <w:t>lance</w:t>
      </w:r>
      <w:r w:rsidRPr="00255AC0">
        <w:rPr>
          <w:sz w:val="20"/>
          <w:szCs w:val="20"/>
        </w:rPr>
        <w:t xml:space="preserve">. Retrieved February 2019 from </w:t>
      </w:r>
      <w:hyperlink r:id="rId1" w:history="1">
        <w:r w:rsidRPr="00255AC0">
          <w:rPr>
            <w:rStyle w:val="Hyperlink"/>
            <w:sz w:val="20"/>
            <w:szCs w:val="20"/>
          </w:rPr>
          <w:t>https://www.nsf.gov/about/glance.jsp</w:t>
        </w:r>
      </w:hyperlink>
      <w:r w:rsidRPr="00255AC0">
        <w:rPr>
          <w:sz w:val="20"/>
          <w:szCs w:val="20"/>
        </w:rPr>
        <w:t>.</w:t>
      </w:r>
    </w:p>
  </w:footnote>
  <w:footnote w:id="2">
    <w:p w14:paraId="51BB6EEA" w14:textId="43A6968F" w:rsidR="00A03045" w:rsidRDefault="00A03045" w:rsidP="001639A9">
      <w:pPr>
        <w:pStyle w:val="FootnoteText"/>
        <w:spacing w:before="0" w:beforeAutospacing="0" w:after="0" w:afterAutospacing="0"/>
        <w:jc w:val="both"/>
      </w:pPr>
      <w:r w:rsidRPr="00255AC0">
        <w:rPr>
          <w:rStyle w:val="FootnoteReference"/>
          <w:sz w:val="20"/>
          <w:szCs w:val="20"/>
          <w:vertAlign w:val="superscript"/>
        </w:rPr>
        <w:footnoteRef/>
      </w:r>
      <w:r w:rsidRPr="00255AC0">
        <w:rPr>
          <w:sz w:val="20"/>
          <w:szCs w:val="20"/>
        </w:rPr>
        <w:t xml:space="preserve"> National Science Foundation. (2019). </w:t>
      </w:r>
      <w:r w:rsidRPr="00255AC0">
        <w:rPr>
          <w:rStyle w:val="Emphasis"/>
          <w:sz w:val="20"/>
          <w:szCs w:val="20"/>
        </w:rPr>
        <w:t xml:space="preserve">How </w:t>
      </w:r>
      <w:r>
        <w:rPr>
          <w:rStyle w:val="Emphasis"/>
          <w:sz w:val="20"/>
          <w:szCs w:val="20"/>
        </w:rPr>
        <w:t>W</w:t>
      </w:r>
      <w:r w:rsidRPr="00255AC0">
        <w:rPr>
          <w:rStyle w:val="Emphasis"/>
          <w:sz w:val="20"/>
          <w:szCs w:val="20"/>
        </w:rPr>
        <w:t xml:space="preserve">e </w:t>
      </w:r>
      <w:r>
        <w:rPr>
          <w:rStyle w:val="Emphasis"/>
          <w:sz w:val="20"/>
          <w:szCs w:val="20"/>
        </w:rPr>
        <w:t>W</w:t>
      </w:r>
      <w:r w:rsidRPr="00255AC0">
        <w:rPr>
          <w:rStyle w:val="Emphasis"/>
          <w:sz w:val="20"/>
          <w:szCs w:val="20"/>
        </w:rPr>
        <w:t>ork</w:t>
      </w:r>
      <w:r w:rsidRPr="00255AC0">
        <w:rPr>
          <w:sz w:val="20"/>
          <w:szCs w:val="20"/>
        </w:rPr>
        <w:t xml:space="preserve">. Retrieved February 2019 from </w:t>
      </w:r>
      <w:hyperlink r:id="rId2" w:history="1">
        <w:r w:rsidRPr="00255AC0">
          <w:rPr>
            <w:rStyle w:val="Hyperlink"/>
            <w:sz w:val="20"/>
            <w:szCs w:val="20"/>
          </w:rPr>
          <w:t>https://www.nsf.gov/about/how.jsp</w:t>
        </w:r>
      </w:hyperlink>
      <w:r w:rsidRPr="00255AC0">
        <w:rPr>
          <w:sz w:val="20"/>
          <w:szCs w:val="20"/>
        </w:rPr>
        <w:t>.</w:t>
      </w:r>
    </w:p>
  </w:footnote>
  <w:footnote w:id="3">
    <w:p w14:paraId="290D4B69" w14:textId="68EAC20A" w:rsidR="00A03045" w:rsidRPr="008975D6" w:rsidRDefault="00A03045" w:rsidP="00B303E2">
      <w:pPr>
        <w:pStyle w:val="FootnoteText"/>
        <w:jc w:val="both"/>
      </w:pPr>
      <w:r w:rsidRPr="00255AC0">
        <w:rPr>
          <w:rStyle w:val="FootnoteReference"/>
          <w:sz w:val="20"/>
          <w:szCs w:val="20"/>
          <w:vertAlign w:val="superscript"/>
        </w:rPr>
        <w:footnoteRef/>
      </w:r>
      <w:r w:rsidRPr="00255AC0">
        <w:rPr>
          <w:sz w:val="20"/>
          <w:szCs w:val="20"/>
        </w:rPr>
        <w:t xml:space="preserve">For general information on NSF performance assessment activities see </w:t>
      </w:r>
      <w:hyperlink r:id="rId3" w:history="1">
        <w:r w:rsidRPr="00255AC0">
          <w:rPr>
            <w:rStyle w:val="Hyperlink"/>
            <w:sz w:val="20"/>
            <w:szCs w:val="20"/>
          </w:rPr>
          <w:t>https://www.nsf.gov/about/performance/</w:t>
        </w:r>
      </w:hyperlink>
      <w:r w:rsidRPr="00255AC0">
        <w:rPr>
          <w:sz w:val="20"/>
          <w:szCs w:val="20"/>
        </w:rPr>
        <w:t>.</w:t>
      </w:r>
    </w:p>
  </w:footnote>
  <w:footnote w:id="4">
    <w:p w14:paraId="364E143C" w14:textId="09B84105" w:rsidR="00A03045" w:rsidRPr="00255AC0" w:rsidRDefault="00A03045" w:rsidP="00BD67AF">
      <w:pPr>
        <w:pStyle w:val="FootnoteText"/>
        <w:spacing w:before="0" w:beforeAutospacing="0" w:after="0" w:afterAutospacing="0"/>
        <w:jc w:val="both"/>
        <w:rPr>
          <w:sz w:val="20"/>
          <w:szCs w:val="20"/>
        </w:rPr>
      </w:pPr>
      <w:r w:rsidRPr="00255AC0">
        <w:rPr>
          <w:rStyle w:val="FootnoteReference"/>
          <w:sz w:val="20"/>
          <w:szCs w:val="20"/>
          <w:vertAlign w:val="superscript"/>
        </w:rPr>
        <w:footnoteRef/>
      </w:r>
      <w:r w:rsidRPr="00255AC0">
        <w:rPr>
          <w:sz w:val="20"/>
          <w:szCs w:val="20"/>
        </w:rPr>
        <w:t>See “Committee of Visitors (COV)</w:t>
      </w:r>
      <w:r>
        <w:rPr>
          <w:sz w:val="20"/>
          <w:szCs w:val="20"/>
        </w:rPr>
        <w:t>,</w:t>
      </w:r>
      <w:r w:rsidRPr="00255AC0">
        <w:rPr>
          <w:sz w:val="20"/>
          <w:szCs w:val="20"/>
        </w:rPr>
        <w:t xml:space="preserve">” retrieved March 2019 from </w:t>
      </w:r>
      <w:hyperlink r:id="rId4" w:history="1">
        <w:r w:rsidRPr="00255AC0">
          <w:rPr>
            <w:rStyle w:val="Hyperlink"/>
            <w:sz w:val="20"/>
            <w:szCs w:val="20"/>
          </w:rPr>
          <w:t>https://www.nsf.gov/od/oia/activities/cov/</w:t>
        </w:r>
      </w:hyperlink>
      <w:r w:rsidRPr="00255AC0">
        <w:rPr>
          <w:sz w:val="20"/>
          <w:szCs w:val="20"/>
        </w:rPr>
        <w:t>. COV reports are available at</w:t>
      </w:r>
      <w:r>
        <w:rPr>
          <w:sz w:val="20"/>
          <w:szCs w:val="20"/>
        </w:rPr>
        <w:t xml:space="preserve"> </w:t>
      </w:r>
      <w:hyperlink r:id="rId5" w:history="1">
        <w:r>
          <w:rPr>
            <w:rStyle w:val="Hyperlink"/>
            <w:sz w:val="20"/>
            <w:szCs w:val="20"/>
          </w:rPr>
          <w:t>https://www.nsf.gov/od/oia/activities/cov/covs.jsp</w:t>
        </w:r>
      </w:hyperlink>
      <w:r w:rsidRPr="00255AC0">
        <w:rPr>
          <w:sz w:val="20"/>
          <w:szCs w:val="20"/>
        </w:rPr>
        <w:t>.</w:t>
      </w:r>
    </w:p>
  </w:footnote>
  <w:footnote w:id="5">
    <w:p w14:paraId="0AB990EC" w14:textId="0069FE2B" w:rsidR="00A03045" w:rsidRDefault="00A03045" w:rsidP="00AA1F0E">
      <w:pPr>
        <w:pStyle w:val="FootnoteText"/>
        <w:spacing w:before="0" w:beforeAutospacing="0" w:after="0" w:afterAutospacing="0"/>
        <w:jc w:val="both"/>
      </w:pPr>
      <w:r w:rsidRPr="00255AC0">
        <w:rPr>
          <w:rStyle w:val="FootnoteReference"/>
          <w:sz w:val="20"/>
          <w:szCs w:val="20"/>
          <w:vertAlign w:val="superscript"/>
        </w:rPr>
        <w:footnoteRef/>
      </w:r>
      <w:r w:rsidRPr="00255AC0">
        <w:rPr>
          <w:sz w:val="20"/>
          <w:szCs w:val="20"/>
        </w:rPr>
        <w:t>See “About Education and Human Resources (EHR)</w:t>
      </w:r>
      <w:r>
        <w:rPr>
          <w:sz w:val="20"/>
          <w:szCs w:val="20"/>
        </w:rPr>
        <w:t>,</w:t>
      </w:r>
      <w:r w:rsidRPr="00255AC0">
        <w:rPr>
          <w:sz w:val="20"/>
          <w:szCs w:val="20"/>
        </w:rPr>
        <w:t>” retrieved March 2019 from https://www.nsf.gov/ehr/about.jsp.</w:t>
      </w:r>
    </w:p>
  </w:footnote>
  <w:footnote w:id="6">
    <w:p w14:paraId="2703DC53" w14:textId="5B58F140" w:rsidR="00A03045" w:rsidRPr="00255AC0" w:rsidRDefault="00A03045" w:rsidP="00AA1F0E">
      <w:pPr>
        <w:pStyle w:val="FootnoteText"/>
        <w:spacing w:before="0" w:beforeAutospacing="0" w:after="0" w:afterAutospacing="0"/>
        <w:jc w:val="both"/>
        <w:rPr>
          <w:sz w:val="20"/>
          <w:szCs w:val="20"/>
        </w:rPr>
      </w:pPr>
      <w:r w:rsidRPr="00255AC0">
        <w:rPr>
          <w:rStyle w:val="FootnoteReference"/>
          <w:sz w:val="20"/>
          <w:szCs w:val="20"/>
          <w:vertAlign w:val="superscript"/>
        </w:rPr>
        <w:footnoteRef/>
      </w:r>
      <w:r w:rsidRPr="00255AC0">
        <w:rPr>
          <w:sz w:val="20"/>
          <w:szCs w:val="20"/>
        </w:rPr>
        <w:t xml:space="preserve"> See </w:t>
      </w:r>
      <w:r w:rsidRPr="00255AC0">
        <w:rPr>
          <w:i/>
          <w:sz w:val="20"/>
          <w:szCs w:val="20"/>
        </w:rPr>
        <w:t>Delivering Government Solutions in the 21</w:t>
      </w:r>
      <w:r w:rsidRPr="00255AC0">
        <w:rPr>
          <w:i/>
          <w:sz w:val="20"/>
          <w:szCs w:val="20"/>
          <w:vertAlign w:val="superscript"/>
        </w:rPr>
        <w:t>st</w:t>
      </w:r>
      <w:r w:rsidRPr="00255AC0">
        <w:rPr>
          <w:i/>
          <w:sz w:val="20"/>
          <w:szCs w:val="20"/>
        </w:rPr>
        <w:t xml:space="preserve"> Century: Reform Plan and Reorganization Recommendations</w:t>
      </w:r>
      <w:r w:rsidRPr="00255AC0">
        <w:rPr>
          <w:sz w:val="20"/>
          <w:szCs w:val="20"/>
        </w:rPr>
        <w:t xml:space="preserve">, pp. 118-120, retrieved March 2019 from </w:t>
      </w:r>
      <w:hyperlink r:id="rId6" w:history="1">
        <w:r w:rsidRPr="00255AC0">
          <w:rPr>
            <w:rStyle w:val="Hyperlink"/>
            <w:sz w:val="20"/>
            <w:szCs w:val="20"/>
          </w:rPr>
          <w:t>https://www.whitehouse.gov/wp-content/uploads/2018/06/Government-Reform-and-Reorg-Plan.pdf</w:t>
        </w:r>
      </w:hyperlink>
      <w:r w:rsidRPr="00255AC0">
        <w:rPr>
          <w:sz w:val="20"/>
          <w:szCs w:val="20"/>
        </w:rPr>
        <w:t xml:space="preserve"> and “Building and Using Evidence to Improve Government Effectiveness</w:t>
      </w:r>
      <w:r>
        <w:rPr>
          <w:sz w:val="20"/>
          <w:szCs w:val="20"/>
        </w:rPr>
        <w:t>,</w:t>
      </w:r>
      <w:r w:rsidRPr="00255AC0">
        <w:rPr>
          <w:sz w:val="20"/>
          <w:szCs w:val="20"/>
        </w:rPr>
        <w:t xml:space="preserve">” Chapter 6, FY 2019 Budget Analytical Perspectives, retrieved March 2019 from </w:t>
      </w:r>
      <w:hyperlink r:id="rId7" w:history="1">
        <w:r w:rsidRPr="00255AC0">
          <w:rPr>
            <w:rStyle w:val="Hyperlink"/>
            <w:sz w:val="20"/>
            <w:szCs w:val="20"/>
          </w:rPr>
          <w:t>https://www.whitehouse.gov/wp-content/uploads/2018/02/ap_6_evidence-fy2019.pdf</w:t>
        </w:r>
      </w:hyperlink>
      <w:r w:rsidRPr="00255AC0">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1E959" w14:textId="2D2AFBB7" w:rsidR="00A03045" w:rsidRPr="00FB3912" w:rsidRDefault="00FB3912" w:rsidP="00FB3912">
    <w:pPr>
      <w:pStyle w:val="Header"/>
      <w:jc w:val="right"/>
      <w:rPr>
        <w:rFonts w:ascii="Times New Roman" w:hAnsi="Times New Roman"/>
      </w:rPr>
    </w:pPr>
    <w:r w:rsidRPr="00861CD5">
      <w:rPr>
        <w:rFonts w:ascii="Times New Roman" w:hAnsi="Times New Roman"/>
      </w:rPr>
      <w:ptab w:relativeTo="margin" w:alignment="center" w:leader="none"/>
    </w:r>
    <w:r w:rsidRPr="00861CD5">
      <w:rPr>
        <w:rFonts w:ascii="Times New Roman" w:hAnsi="Times New Roman"/>
      </w:rPr>
      <w:t>Supporting Statement (</w:t>
    </w:r>
    <w:r>
      <w:rPr>
        <w:rFonts w:ascii="Times New Roman" w:hAnsi="Times New Roman"/>
      </w:rPr>
      <w:t>Part A; Control No. 3145-0226</w:t>
    </w:r>
    <w:r w:rsidR="00455787">
      <w:rPr>
        <w:rFonts w:ascii="Times New Roman" w:hAnsi="Times New Roman"/>
      </w:rPr>
      <w:t>, 2019</w:t>
    </w:r>
    <w:r>
      <w:rPr>
        <w:rFonts w:ascii="Times New Roman" w:hAnsi="Times New Roman"/>
      </w:rPr>
      <w:t xml:space="preserve"> renewal</w:t>
    </w:r>
    <w:r w:rsidRPr="00861CD5">
      <w:rPr>
        <w:rFonts w:ascii="Times New Roman" w:hAnsi="Times New Roma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50E7"/>
    <w:multiLevelType w:val="multilevel"/>
    <w:tmpl w:val="EF40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0586F"/>
    <w:multiLevelType w:val="hybridMultilevel"/>
    <w:tmpl w:val="E99CC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916DE5"/>
    <w:multiLevelType w:val="multilevel"/>
    <w:tmpl w:val="86C6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DE2F1D"/>
    <w:multiLevelType w:val="multilevel"/>
    <w:tmpl w:val="4720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4F6738"/>
    <w:multiLevelType w:val="multilevel"/>
    <w:tmpl w:val="172E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DF54FC"/>
    <w:multiLevelType w:val="hybridMultilevel"/>
    <w:tmpl w:val="100E3BDE"/>
    <w:lvl w:ilvl="0" w:tplc="AE08FA0A">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BEB6D51"/>
    <w:multiLevelType w:val="hybridMultilevel"/>
    <w:tmpl w:val="9CE80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F66032"/>
    <w:multiLevelType w:val="multilevel"/>
    <w:tmpl w:val="544A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583FB3"/>
    <w:multiLevelType w:val="multilevel"/>
    <w:tmpl w:val="10FE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0D1024"/>
    <w:multiLevelType w:val="hybridMultilevel"/>
    <w:tmpl w:val="46D6EA26"/>
    <w:lvl w:ilvl="0" w:tplc="50FC28B6">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18456E5"/>
    <w:multiLevelType w:val="multilevel"/>
    <w:tmpl w:val="7A0C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A35D2D"/>
    <w:multiLevelType w:val="hybridMultilevel"/>
    <w:tmpl w:val="8474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0D0FA4"/>
    <w:multiLevelType w:val="multilevel"/>
    <w:tmpl w:val="579A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136956"/>
    <w:multiLevelType w:val="multilevel"/>
    <w:tmpl w:val="C2B4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6D44D8"/>
    <w:multiLevelType w:val="multilevel"/>
    <w:tmpl w:val="86DC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A097F9D"/>
    <w:multiLevelType w:val="multilevel"/>
    <w:tmpl w:val="15FE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511487"/>
    <w:multiLevelType w:val="multilevel"/>
    <w:tmpl w:val="56A0A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4"/>
  </w:num>
  <w:num w:numId="3">
    <w:abstractNumId w:val="3"/>
  </w:num>
  <w:num w:numId="4">
    <w:abstractNumId w:val="16"/>
  </w:num>
  <w:num w:numId="5">
    <w:abstractNumId w:val="4"/>
  </w:num>
  <w:num w:numId="6">
    <w:abstractNumId w:val="7"/>
  </w:num>
  <w:num w:numId="7">
    <w:abstractNumId w:val="12"/>
  </w:num>
  <w:num w:numId="8">
    <w:abstractNumId w:val="13"/>
  </w:num>
  <w:num w:numId="9">
    <w:abstractNumId w:val="15"/>
  </w:num>
  <w:num w:numId="10">
    <w:abstractNumId w:val="2"/>
  </w:num>
  <w:num w:numId="11">
    <w:abstractNumId w:val="8"/>
  </w:num>
  <w:num w:numId="12">
    <w:abstractNumId w:val="0"/>
  </w:num>
  <w:num w:numId="13">
    <w:abstractNumId w:val="1"/>
  </w:num>
  <w:num w:numId="14">
    <w:abstractNumId w:val="6"/>
  </w:num>
  <w:num w:numId="15">
    <w:abstractNumId w:val="9"/>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ED9"/>
    <w:rsid w:val="00002BA3"/>
    <w:rsid w:val="00006691"/>
    <w:rsid w:val="00016803"/>
    <w:rsid w:val="000235AE"/>
    <w:rsid w:val="00035A98"/>
    <w:rsid w:val="00037605"/>
    <w:rsid w:val="000513F7"/>
    <w:rsid w:val="00056F3D"/>
    <w:rsid w:val="00073DEB"/>
    <w:rsid w:val="000859FD"/>
    <w:rsid w:val="00086FD0"/>
    <w:rsid w:val="00092E1C"/>
    <w:rsid w:val="000B6D2E"/>
    <w:rsid w:val="000C4881"/>
    <w:rsid w:val="000C682E"/>
    <w:rsid w:val="000D0732"/>
    <w:rsid w:val="000D0965"/>
    <w:rsid w:val="000D52FB"/>
    <w:rsid w:val="000E75BE"/>
    <w:rsid w:val="00110A17"/>
    <w:rsid w:val="00114F92"/>
    <w:rsid w:val="00123928"/>
    <w:rsid w:val="0013639D"/>
    <w:rsid w:val="001379AC"/>
    <w:rsid w:val="0015165E"/>
    <w:rsid w:val="00157594"/>
    <w:rsid w:val="001639A9"/>
    <w:rsid w:val="00184394"/>
    <w:rsid w:val="0019151E"/>
    <w:rsid w:val="0019220F"/>
    <w:rsid w:val="00193BA8"/>
    <w:rsid w:val="0019712F"/>
    <w:rsid w:val="001A61CF"/>
    <w:rsid w:val="001A7509"/>
    <w:rsid w:val="001A7B21"/>
    <w:rsid w:val="001C3931"/>
    <w:rsid w:val="001C4B3B"/>
    <w:rsid w:val="001C4D95"/>
    <w:rsid w:val="001E4096"/>
    <w:rsid w:val="001F678A"/>
    <w:rsid w:val="00233229"/>
    <w:rsid w:val="0024512A"/>
    <w:rsid w:val="00251582"/>
    <w:rsid w:val="002530FE"/>
    <w:rsid w:val="002558D3"/>
    <w:rsid w:val="00255AC0"/>
    <w:rsid w:val="00255F92"/>
    <w:rsid w:val="002750A4"/>
    <w:rsid w:val="00292767"/>
    <w:rsid w:val="002941BC"/>
    <w:rsid w:val="00295BF0"/>
    <w:rsid w:val="002A2273"/>
    <w:rsid w:val="002C1486"/>
    <w:rsid w:val="002C4B69"/>
    <w:rsid w:val="002D4677"/>
    <w:rsid w:val="002D5CE7"/>
    <w:rsid w:val="002E0E72"/>
    <w:rsid w:val="002E361D"/>
    <w:rsid w:val="002E6346"/>
    <w:rsid w:val="002F5D08"/>
    <w:rsid w:val="002F65A6"/>
    <w:rsid w:val="00323E47"/>
    <w:rsid w:val="00336F0F"/>
    <w:rsid w:val="00347E07"/>
    <w:rsid w:val="00351D44"/>
    <w:rsid w:val="00356036"/>
    <w:rsid w:val="00356732"/>
    <w:rsid w:val="0036168A"/>
    <w:rsid w:val="00384A7E"/>
    <w:rsid w:val="003876BF"/>
    <w:rsid w:val="00391273"/>
    <w:rsid w:val="00392996"/>
    <w:rsid w:val="003A2463"/>
    <w:rsid w:val="003A54BB"/>
    <w:rsid w:val="003C048A"/>
    <w:rsid w:val="003C2AC3"/>
    <w:rsid w:val="003C49E6"/>
    <w:rsid w:val="003C4C55"/>
    <w:rsid w:val="003C500A"/>
    <w:rsid w:val="003C50E7"/>
    <w:rsid w:val="003C6354"/>
    <w:rsid w:val="003D2863"/>
    <w:rsid w:val="003D3EF6"/>
    <w:rsid w:val="003F7124"/>
    <w:rsid w:val="00437662"/>
    <w:rsid w:val="00444C57"/>
    <w:rsid w:val="004510BA"/>
    <w:rsid w:val="004532C3"/>
    <w:rsid w:val="0045378A"/>
    <w:rsid w:val="00455787"/>
    <w:rsid w:val="00455FC9"/>
    <w:rsid w:val="00456F58"/>
    <w:rsid w:val="00471D24"/>
    <w:rsid w:val="004762B0"/>
    <w:rsid w:val="00484DD0"/>
    <w:rsid w:val="0049043A"/>
    <w:rsid w:val="004A32A6"/>
    <w:rsid w:val="004A6F1D"/>
    <w:rsid w:val="004C3D98"/>
    <w:rsid w:val="004C44A5"/>
    <w:rsid w:val="004D03F8"/>
    <w:rsid w:val="004D1431"/>
    <w:rsid w:val="004E33D3"/>
    <w:rsid w:val="00513946"/>
    <w:rsid w:val="00515184"/>
    <w:rsid w:val="00525C7E"/>
    <w:rsid w:val="005350A2"/>
    <w:rsid w:val="00536A63"/>
    <w:rsid w:val="00540655"/>
    <w:rsid w:val="005449AB"/>
    <w:rsid w:val="00547FB2"/>
    <w:rsid w:val="005520B9"/>
    <w:rsid w:val="0055511B"/>
    <w:rsid w:val="00556211"/>
    <w:rsid w:val="00562E89"/>
    <w:rsid w:val="005670C9"/>
    <w:rsid w:val="00567FBF"/>
    <w:rsid w:val="005724E8"/>
    <w:rsid w:val="0057406F"/>
    <w:rsid w:val="00590835"/>
    <w:rsid w:val="00590FB7"/>
    <w:rsid w:val="005947B6"/>
    <w:rsid w:val="005A4A6F"/>
    <w:rsid w:val="005B56C3"/>
    <w:rsid w:val="005C06C5"/>
    <w:rsid w:val="005E15CA"/>
    <w:rsid w:val="005E6EC7"/>
    <w:rsid w:val="005E739B"/>
    <w:rsid w:val="005E7E8E"/>
    <w:rsid w:val="005F01BC"/>
    <w:rsid w:val="00602101"/>
    <w:rsid w:val="00607C5E"/>
    <w:rsid w:val="00607CE7"/>
    <w:rsid w:val="00611751"/>
    <w:rsid w:val="00617AA9"/>
    <w:rsid w:val="006239D2"/>
    <w:rsid w:val="00625128"/>
    <w:rsid w:val="00631189"/>
    <w:rsid w:val="006421B0"/>
    <w:rsid w:val="00644E65"/>
    <w:rsid w:val="00647A8A"/>
    <w:rsid w:val="00656569"/>
    <w:rsid w:val="0066091A"/>
    <w:rsid w:val="00670F77"/>
    <w:rsid w:val="00674569"/>
    <w:rsid w:val="00674A43"/>
    <w:rsid w:val="006773D8"/>
    <w:rsid w:val="00681D86"/>
    <w:rsid w:val="00684A04"/>
    <w:rsid w:val="006853B5"/>
    <w:rsid w:val="00685684"/>
    <w:rsid w:val="00693AA3"/>
    <w:rsid w:val="006959EA"/>
    <w:rsid w:val="0069671B"/>
    <w:rsid w:val="006A455D"/>
    <w:rsid w:val="006A4B35"/>
    <w:rsid w:val="006B1291"/>
    <w:rsid w:val="006C075F"/>
    <w:rsid w:val="006D0BD9"/>
    <w:rsid w:val="006D2588"/>
    <w:rsid w:val="006D4F95"/>
    <w:rsid w:val="006E0225"/>
    <w:rsid w:val="006E0E06"/>
    <w:rsid w:val="006E1355"/>
    <w:rsid w:val="006E620F"/>
    <w:rsid w:val="006E718C"/>
    <w:rsid w:val="006F2479"/>
    <w:rsid w:val="00701F89"/>
    <w:rsid w:val="00702EA1"/>
    <w:rsid w:val="00710290"/>
    <w:rsid w:val="00711E8D"/>
    <w:rsid w:val="00712044"/>
    <w:rsid w:val="007154CB"/>
    <w:rsid w:val="00726110"/>
    <w:rsid w:val="007271EF"/>
    <w:rsid w:val="007338D1"/>
    <w:rsid w:val="00737EB6"/>
    <w:rsid w:val="00740DCC"/>
    <w:rsid w:val="00741AC6"/>
    <w:rsid w:val="0074639A"/>
    <w:rsid w:val="00753B17"/>
    <w:rsid w:val="00753E21"/>
    <w:rsid w:val="007563C6"/>
    <w:rsid w:val="007574B0"/>
    <w:rsid w:val="00761682"/>
    <w:rsid w:val="00765AD0"/>
    <w:rsid w:val="00766ED9"/>
    <w:rsid w:val="00777CB8"/>
    <w:rsid w:val="0078364E"/>
    <w:rsid w:val="0079711B"/>
    <w:rsid w:val="007A0339"/>
    <w:rsid w:val="007A56CB"/>
    <w:rsid w:val="007A582C"/>
    <w:rsid w:val="007A7173"/>
    <w:rsid w:val="007B5D4B"/>
    <w:rsid w:val="007C0491"/>
    <w:rsid w:val="007C46E2"/>
    <w:rsid w:val="007C4F8D"/>
    <w:rsid w:val="007C7328"/>
    <w:rsid w:val="007D4C9D"/>
    <w:rsid w:val="007D532D"/>
    <w:rsid w:val="007E0416"/>
    <w:rsid w:val="007E3B55"/>
    <w:rsid w:val="00806938"/>
    <w:rsid w:val="00811AB2"/>
    <w:rsid w:val="0081668C"/>
    <w:rsid w:val="0081786D"/>
    <w:rsid w:val="00833646"/>
    <w:rsid w:val="00846F7C"/>
    <w:rsid w:val="00855EC5"/>
    <w:rsid w:val="008571BF"/>
    <w:rsid w:val="008662CD"/>
    <w:rsid w:val="0087415C"/>
    <w:rsid w:val="008741FA"/>
    <w:rsid w:val="00895F48"/>
    <w:rsid w:val="008975D6"/>
    <w:rsid w:val="00897C57"/>
    <w:rsid w:val="008A0B25"/>
    <w:rsid w:val="008A1001"/>
    <w:rsid w:val="008B4DF0"/>
    <w:rsid w:val="008C2CAD"/>
    <w:rsid w:val="008C3E6D"/>
    <w:rsid w:val="008C5CC6"/>
    <w:rsid w:val="008D416B"/>
    <w:rsid w:val="008E361F"/>
    <w:rsid w:val="008E7D31"/>
    <w:rsid w:val="00900285"/>
    <w:rsid w:val="0091096F"/>
    <w:rsid w:val="00924E64"/>
    <w:rsid w:val="00930FCA"/>
    <w:rsid w:val="009355AA"/>
    <w:rsid w:val="0094163D"/>
    <w:rsid w:val="00962C95"/>
    <w:rsid w:val="00964876"/>
    <w:rsid w:val="0097571F"/>
    <w:rsid w:val="00983626"/>
    <w:rsid w:val="00997583"/>
    <w:rsid w:val="009A5DA7"/>
    <w:rsid w:val="009B2818"/>
    <w:rsid w:val="009B6326"/>
    <w:rsid w:val="009C5306"/>
    <w:rsid w:val="009C7272"/>
    <w:rsid w:val="009D4744"/>
    <w:rsid w:val="009D5C75"/>
    <w:rsid w:val="009E12C1"/>
    <w:rsid w:val="009E2693"/>
    <w:rsid w:val="009E51E9"/>
    <w:rsid w:val="009F0CCB"/>
    <w:rsid w:val="009F11A1"/>
    <w:rsid w:val="00A02C34"/>
    <w:rsid w:val="00A03045"/>
    <w:rsid w:val="00A13842"/>
    <w:rsid w:val="00A166C7"/>
    <w:rsid w:val="00A25ABB"/>
    <w:rsid w:val="00A35A6C"/>
    <w:rsid w:val="00A36A2D"/>
    <w:rsid w:val="00A41E89"/>
    <w:rsid w:val="00A459E7"/>
    <w:rsid w:val="00A54221"/>
    <w:rsid w:val="00A54595"/>
    <w:rsid w:val="00A56FD2"/>
    <w:rsid w:val="00A63531"/>
    <w:rsid w:val="00A71F38"/>
    <w:rsid w:val="00A8569F"/>
    <w:rsid w:val="00A91CC0"/>
    <w:rsid w:val="00A933BB"/>
    <w:rsid w:val="00A940E8"/>
    <w:rsid w:val="00A94CC6"/>
    <w:rsid w:val="00A952A3"/>
    <w:rsid w:val="00A96CDC"/>
    <w:rsid w:val="00AA012E"/>
    <w:rsid w:val="00AA0831"/>
    <w:rsid w:val="00AA1A89"/>
    <w:rsid w:val="00AA1F0E"/>
    <w:rsid w:val="00AB5243"/>
    <w:rsid w:val="00AC2851"/>
    <w:rsid w:val="00AD0E87"/>
    <w:rsid w:val="00AE7F70"/>
    <w:rsid w:val="00AF5BB7"/>
    <w:rsid w:val="00B01645"/>
    <w:rsid w:val="00B017F3"/>
    <w:rsid w:val="00B03471"/>
    <w:rsid w:val="00B10B53"/>
    <w:rsid w:val="00B11ACD"/>
    <w:rsid w:val="00B13B79"/>
    <w:rsid w:val="00B24A3B"/>
    <w:rsid w:val="00B303E2"/>
    <w:rsid w:val="00B3408B"/>
    <w:rsid w:val="00B40B3C"/>
    <w:rsid w:val="00B415E1"/>
    <w:rsid w:val="00B44FEF"/>
    <w:rsid w:val="00B62C34"/>
    <w:rsid w:val="00B64347"/>
    <w:rsid w:val="00B654AE"/>
    <w:rsid w:val="00B67597"/>
    <w:rsid w:val="00B73FC5"/>
    <w:rsid w:val="00B777FB"/>
    <w:rsid w:val="00B77A96"/>
    <w:rsid w:val="00B82076"/>
    <w:rsid w:val="00B856F1"/>
    <w:rsid w:val="00B91AB1"/>
    <w:rsid w:val="00B954D5"/>
    <w:rsid w:val="00BA6077"/>
    <w:rsid w:val="00BB3856"/>
    <w:rsid w:val="00BB6BCA"/>
    <w:rsid w:val="00BC3A97"/>
    <w:rsid w:val="00BC6EE5"/>
    <w:rsid w:val="00BD25D5"/>
    <w:rsid w:val="00BD67AF"/>
    <w:rsid w:val="00BE5AA6"/>
    <w:rsid w:val="00C073A4"/>
    <w:rsid w:val="00C125CA"/>
    <w:rsid w:val="00C1270D"/>
    <w:rsid w:val="00C14A35"/>
    <w:rsid w:val="00C1617D"/>
    <w:rsid w:val="00C23E48"/>
    <w:rsid w:val="00C3014B"/>
    <w:rsid w:val="00C401B6"/>
    <w:rsid w:val="00C44885"/>
    <w:rsid w:val="00C478EF"/>
    <w:rsid w:val="00C501D7"/>
    <w:rsid w:val="00C505E8"/>
    <w:rsid w:val="00C616B1"/>
    <w:rsid w:val="00C65037"/>
    <w:rsid w:val="00C740F1"/>
    <w:rsid w:val="00C75C8C"/>
    <w:rsid w:val="00C836A8"/>
    <w:rsid w:val="00C93263"/>
    <w:rsid w:val="00CA0C8D"/>
    <w:rsid w:val="00CB39D2"/>
    <w:rsid w:val="00CC140E"/>
    <w:rsid w:val="00CC6AAC"/>
    <w:rsid w:val="00CD1023"/>
    <w:rsid w:val="00CD64E4"/>
    <w:rsid w:val="00CE3E45"/>
    <w:rsid w:val="00CE4413"/>
    <w:rsid w:val="00CE63F8"/>
    <w:rsid w:val="00CE6927"/>
    <w:rsid w:val="00CE78EA"/>
    <w:rsid w:val="00CF7204"/>
    <w:rsid w:val="00CF7C26"/>
    <w:rsid w:val="00D01486"/>
    <w:rsid w:val="00D03CE3"/>
    <w:rsid w:val="00D066ED"/>
    <w:rsid w:val="00D074BF"/>
    <w:rsid w:val="00D168D9"/>
    <w:rsid w:val="00D23787"/>
    <w:rsid w:val="00D3006F"/>
    <w:rsid w:val="00D40073"/>
    <w:rsid w:val="00D40699"/>
    <w:rsid w:val="00D45BFD"/>
    <w:rsid w:val="00D55441"/>
    <w:rsid w:val="00D60E1C"/>
    <w:rsid w:val="00D629F9"/>
    <w:rsid w:val="00D662E6"/>
    <w:rsid w:val="00D704AA"/>
    <w:rsid w:val="00D75495"/>
    <w:rsid w:val="00D762AB"/>
    <w:rsid w:val="00D81EDD"/>
    <w:rsid w:val="00D82998"/>
    <w:rsid w:val="00D83252"/>
    <w:rsid w:val="00D8513D"/>
    <w:rsid w:val="00D85677"/>
    <w:rsid w:val="00D86673"/>
    <w:rsid w:val="00D9001F"/>
    <w:rsid w:val="00DA6D7C"/>
    <w:rsid w:val="00DC75E1"/>
    <w:rsid w:val="00DC7AEA"/>
    <w:rsid w:val="00DD26B9"/>
    <w:rsid w:val="00DD317D"/>
    <w:rsid w:val="00DE2359"/>
    <w:rsid w:val="00DE6587"/>
    <w:rsid w:val="00DE6C0C"/>
    <w:rsid w:val="00DE7C63"/>
    <w:rsid w:val="00DF2828"/>
    <w:rsid w:val="00DF3EE2"/>
    <w:rsid w:val="00DF64B0"/>
    <w:rsid w:val="00E04177"/>
    <w:rsid w:val="00E0470A"/>
    <w:rsid w:val="00E0490E"/>
    <w:rsid w:val="00E13228"/>
    <w:rsid w:val="00E16FA7"/>
    <w:rsid w:val="00E3351F"/>
    <w:rsid w:val="00E44CF1"/>
    <w:rsid w:val="00E47800"/>
    <w:rsid w:val="00E55D5F"/>
    <w:rsid w:val="00E6721D"/>
    <w:rsid w:val="00E718A4"/>
    <w:rsid w:val="00E71D17"/>
    <w:rsid w:val="00E76047"/>
    <w:rsid w:val="00E81DB5"/>
    <w:rsid w:val="00E857E3"/>
    <w:rsid w:val="00E8753F"/>
    <w:rsid w:val="00E95C1C"/>
    <w:rsid w:val="00EA0187"/>
    <w:rsid w:val="00EA432B"/>
    <w:rsid w:val="00EC0B52"/>
    <w:rsid w:val="00ED68A1"/>
    <w:rsid w:val="00EE21F3"/>
    <w:rsid w:val="00EE26DA"/>
    <w:rsid w:val="00EE490C"/>
    <w:rsid w:val="00EE5A68"/>
    <w:rsid w:val="00EF42AC"/>
    <w:rsid w:val="00F0612A"/>
    <w:rsid w:val="00F07FED"/>
    <w:rsid w:val="00F1032E"/>
    <w:rsid w:val="00F11121"/>
    <w:rsid w:val="00F16A77"/>
    <w:rsid w:val="00F204EC"/>
    <w:rsid w:val="00F218C7"/>
    <w:rsid w:val="00F251EC"/>
    <w:rsid w:val="00F27377"/>
    <w:rsid w:val="00F50259"/>
    <w:rsid w:val="00F52C63"/>
    <w:rsid w:val="00F53633"/>
    <w:rsid w:val="00F616A6"/>
    <w:rsid w:val="00F619ED"/>
    <w:rsid w:val="00F711E7"/>
    <w:rsid w:val="00F74293"/>
    <w:rsid w:val="00FA0805"/>
    <w:rsid w:val="00FA19D7"/>
    <w:rsid w:val="00FA2DE7"/>
    <w:rsid w:val="00FA5673"/>
    <w:rsid w:val="00FA72F7"/>
    <w:rsid w:val="00FA7B28"/>
    <w:rsid w:val="00FB17E0"/>
    <w:rsid w:val="00FB2AA8"/>
    <w:rsid w:val="00FB3912"/>
    <w:rsid w:val="00FC7B69"/>
    <w:rsid w:val="00FD058B"/>
    <w:rsid w:val="00FE0CC9"/>
    <w:rsid w:val="00FE18E0"/>
    <w:rsid w:val="00FF0A8B"/>
    <w:rsid w:val="00FF0C13"/>
    <w:rsid w:val="00FF2EF3"/>
    <w:rsid w:val="00FF4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A0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Normal">
    <w:name w:val="Normal"/>
    <w:qFormat/>
    <w:rPr>
      <w:rFonts w:ascii="Verdana" w:eastAsia="Verdana" w:hAnsi="Verdana"/>
    </w:rPr>
  </w:style>
  <w:style w:type="paragraph" w:styleId="Heading1">
    <w:name w:val="heading 1"/>
    <w:basedOn w:val="Normal"/>
    <w:link w:val="Heading1Char"/>
    <w:uiPriority w:val="9"/>
    <w:qFormat/>
    <w:pPr>
      <w:spacing w:before="100" w:beforeAutospacing="1" w:after="100" w:afterAutospacing="1"/>
      <w:jc w:val="center"/>
      <w:outlineLvl w:val="0"/>
    </w:pPr>
    <w:rPr>
      <w:b/>
      <w:bCs/>
      <w:kern w:val="36"/>
      <w:sz w:val="28"/>
      <w:szCs w:val="28"/>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24"/>
      <w:szCs w:val="24"/>
    </w:rPr>
  </w:style>
  <w:style w:type="paragraph" w:styleId="Heading3">
    <w:name w:val="heading 3"/>
    <w:basedOn w:val="Normal"/>
    <w:link w:val="Heading3Char"/>
    <w:uiPriority w:val="9"/>
    <w:semiHidden/>
    <w:unhideWhenUsed/>
    <w:qFormat/>
    <w:pPr>
      <w:spacing w:before="100" w:beforeAutospacing="1" w:after="100" w:afterAutospacing="1"/>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Pr>
      <w:rFonts w:ascii="Cambria" w:eastAsia="Times New Roman" w:hAnsi="Cambria" w:cs="Times New Roman"/>
      <w:b/>
      <w:bCs/>
      <w:color w:val="4F81BD"/>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Pr>
      <w:b/>
      <w:bCs/>
    </w:rPr>
  </w:style>
  <w:style w:type="paragraph" w:customStyle="1" w:styleId="c1-ctrsglsp">
    <w:name w:val="c1-ctrsglsp"/>
    <w:basedOn w:val="Normal"/>
    <w:pPr>
      <w:spacing w:before="100" w:beforeAutospacing="1" w:after="100" w:afterAutospacing="1"/>
    </w:pPr>
    <w:rPr>
      <w:rFonts w:ascii="Times New Roman" w:eastAsia="Times New Roman" w:hAnsi="Times New Roman"/>
      <w:sz w:val="24"/>
      <w:szCs w:val="24"/>
    </w:rPr>
  </w:style>
  <w:style w:type="paragraph" w:customStyle="1" w:styleId="p1-standpara">
    <w:name w:val="p1-standpara"/>
    <w:basedOn w:val="Normal"/>
    <w:pPr>
      <w:spacing w:before="100" w:beforeAutospacing="1" w:after="100" w:afterAutospacing="1"/>
    </w:pPr>
    <w:rPr>
      <w:rFonts w:ascii="Times New Roman" w:eastAsia="Times New Roman" w:hAnsi="Times New Roman"/>
      <w:sz w:val="24"/>
      <w:szCs w:val="24"/>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character" w:styleId="FootnoteReference">
    <w:name w:val="footnote reference"/>
    <w:basedOn w:val="DefaultParagraphFont"/>
    <w:semiHidden/>
    <w:unhideWhenUsed/>
  </w:style>
  <w:style w:type="character" w:styleId="Emphasis">
    <w:name w:val="Emphasis"/>
    <w:uiPriority w:val="20"/>
    <w:qFormat/>
    <w:rPr>
      <w:i/>
      <w:iCs/>
    </w:r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before="100" w:beforeAutospacing="1" w:after="100" w:afterAutospacing="1"/>
    </w:pPr>
    <w:rPr>
      <w:rFonts w:ascii="Times New Roman" w:eastAsia="Times New Roman" w:hAnsi="Times New Roman"/>
      <w:sz w:val="24"/>
      <w:szCs w:val="24"/>
    </w:rPr>
  </w:style>
  <w:style w:type="character" w:customStyle="1" w:styleId="FootnoteTextChar">
    <w:name w:val="Footnote Text Char"/>
    <w:link w:val="FootnoteText"/>
    <w:uiPriority w:val="99"/>
    <w:semiHidden/>
    <w:rPr>
      <w:rFonts w:ascii="Verdana" w:eastAsia="Verdana" w:hAnsi="Verdana"/>
    </w:rPr>
  </w:style>
  <w:style w:type="paragraph" w:customStyle="1" w:styleId="default">
    <w:name w:val="default"/>
    <w:basedOn w:val="Normal"/>
    <w:pPr>
      <w:spacing w:before="100" w:beforeAutospacing="1" w:after="100" w:afterAutospacing="1"/>
    </w:pPr>
    <w:rPr>
      <w:rFonts w:ascii="Times New Roman" w:eastAsia="Times New Roman" w:hAnsi="Times New Roman"/>
      <w:sz w:val="24"/>
      <w:szCs w:val="24"/>
    </w:rPr>
  </w:style>
  <w:style w:type="paragraph" w:customStyle="1" w:styleId="p1-standpara0">
    <w:name w:val="p1-standpara0"/>
    <w:basedOn w:val="Normal"/>
    <w:rsid w:val="00193BA8"/>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40B3C"/>
    <w:rPr>
      <w:rFonts w:ascii="Tahoma" w:hAnsi="Tahoma" w:cs="Tahoma"/>
      <w:sz w:val="16"/>
      <w:szCs w:val="16"/>
    </w:rPr>
  </w:style>
  <w:style w:type="character" w:customStyle="1" w:styleId="BalloonTextChar">
    <w:name w:val="Balloon Text Char"/>
    <w:link w:val="BalloonText"/>
    <w:uiPriority w:val="99"/>
    <w:semiHidden/>
    <w:rsid w:val="00B40B3C"/>
    <w:rPr>
      <w:rFonts w:ascii="Tahoma" w:eastAsia="Verdana" w:hAnsi="Tahoma" w:cs="Tahoma"/>
      <w:sz w:val="16"/>
      <w:szCs w:val="16"/>
    </w:rPr>
  </w:style>
  <w:style w:type="paragraph" w:styleId="Header">
    <w:name w:val="header"/>
    <w:basedOn w:val="Normal"/>
    <w:link w:val="HeaderChar"/>
    <w:uiPriority w:val="99"/>
    <w:unhideWhenUsed/>
    <w:rsid w:val="00FA5673"/>
    <w:pPr>
      <w:tabs>
        <w:tab w:val="center" w:pos="4680"/>
        <w:tab w:val="right" w:pos="9360"/>
      </w:tabs>
    </w:pPr>
  </w:style>
  <w:style w:type="character" w:customStyle="1" w:styleId="HeaderChar">
    <w:name w:val="Header Char"/>
    <w:link w:val="Header"/>
    <w:uiPriority w:val="99"/>
    <w:rsid w:val="00FA5673"/>
    <w:rPr>
      <w:rFonts w:ascii="Verdana" w:eastAsia="Verdana" w:hAnsi="Verdana"/>
    </w:rPr>
  </w:style>
  <w:style w:type="paragraph" w:styleId="Footer">
    <w:name w:val="footer"/>
    <w:basedOn w:val="Normal"/>
    <w:link w:val="FooterChar"/>
    <w:uiPriority w:val="99"/>
    <w:unhideWhenUsed/>
    <w:rsid w:val="00FA5673"/>
    <w:pPr>
      <w:tabs>
        <w:tab w:val="center" w:pos="4680"/>
        <w:tab w:val="right" w:pos="9360"/>
      </w:tabs>
    </w:pPr>
  </w:style>
  <w:style w:type="character" w:customStyle="1" w:styleId="FooterChar">
    <w:name w:val="Footer Char"/>
    <w:link w:val="Footer"/>
    <w:uiPriority w:val="99"/>
    <w:rsid w:val="00FA5673"/>
    <w:rPr>
      <w:rFonts w:ascii="Verdana" w:eastAsia="Verdana" w:hAnsi="Verdana"/>
    </w:rPr>
  </w:style>
  <w:style w:type="character" w:styleId="CommentReference">
    <w:name w:val="annotation reference"/>
    <w:uiPriority w:val="99"/>
    <w:semiHidden/>
    <w:unhideWhenUsed/>
    <w:rsid w:val="000D0732"/>
    <w:rPr>
      <w:sz w:val="16"/>
      <w:szCs w:val="16"/>
    </w:rPr>
  </w:style>
  <w:style w:type="paragraph" w:styleId="CommentText">
    <w:name w:val="annotation text"/>
    <w:basedOn w:val="Normal"/>
    <w:link w:val="CommentTextChar"/>
    <w:uiPriority w:val="99"/>
    <w:semiHidden/>
    <w:unhideWhenUsed/>
    <w:rsid w:val="000D0732"/>
  </w:style>
  <w:style w:type="character" w:customStyle="1" w:styleId="CommentTextChar">
    <w:name w:val="Comment Text Char"/>
    <w:link w:val="CommentText"/>
    <w:uiPriority w:val="99"/>
    <w:semiHidden/>
    <w:rsid w:val="000D0732"/>
    <w:rPr>
      <w:rFonts w:ascii="Verdana" w:eastAsia="Verdana" w:hAnsi="Verdana"/>
    </w:rPr>
  </w:style>
  <w:style w:type="paragraph" w:styleId="CommentSubject">
    <w:name w:val="annotation subject"/>
    <w:basedOn w:val="CommentText"/>
    <w:next w:val="CommentText"/>
    <w:link w:val="CommentSubjectChar"/>
    <w:uiPriority w:val="99"/>
    <w:semiHidden/>
    <w:unhideWhenUsed/>
    <w:rsid w:val="000D0732"/>
    <w:rPr>
      <w:b/>
      <w:bCs/>
    </w:rPr>
  </w:style>
  <w:style w:type="character" w:customStyle="1" w:styleId="CommentSubjectChar">
    <w:name w:val="Comment Subject Char"/>
    <w:link w:val="CommentSubject"/>
    <w:uiPriority w:val="99"/>
    <w:semiHidden/>
    <w:rsid w:val="000D0732"/>
    <w:rPr>
      <w:rFonts w:ascii="Verdana" w:eastAsia="Verdana" w:hAnsi="Verdana"/>
      <w:b/>
      <w:bCs/>
    </w:rPr>
  </w:style>
  <w:style w:type="paragraph" w:customStyle="1" w:styleId="sl-fllftsgl">
    <w:name w:val="sl-fllftsgl"/>
    <w:basedOn w:val="Normal"/>
    <w:rsid w:val="00E6721D"/>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unhideWhenUsed/>
    <w:rsid w:val="003A2463"/>
    <w:rPr>
      <w:rFonts w:ascii="Verdana" w:eastAsia="Verdana" w:hAnsi="Verdana"/>
    </w:rPr>
  </w:style>
  <w:style w:type="character" w:customStyle="1" w:styleId="UnresolvedMention1">
    <w:name w:val="Unresolved Mention1"/>
    <w:basedOn w:val="DefaultParagraphFont"/>
    <w:uiPriority w:val="99"/>
    <w:semiHidden/>
    <w:unhideWhenUsed/>
    <w:rsid w:val="003A246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Normal">
    <w:name w:val="Normal"/>
    <w:qFormat/>
    <w:rPr>
      <w:rFonts w:ascii="Verdana" w:eastAsia="Verdana" w:hAnsi="Verdana"/>
    </w:rPr>
  </w:style>
  <w:style w:type="paragraph" w:styleId="Heading1">
    <w:name w:val="heading 1"/>
    <w:basedOn w:val="Normal"/>
    <w:link w:val="Heading1Char"/>
    <w:uiPriority w:val="9"/>
    <w:qFormat/>
    <w:pPr>
      <w:spacing w:before="100" w:beforeAutospacing="1" w:after="100" w:afterAutospacing="1"/>
      <w:jc w:val="center"/>
      <w:outlineLvl w:val="0"/>
    </w:pPr>
    <w:rPr>
      <w:b/>
      <w:bCs/>
      <w:kern w:val="36"/>
      <w:sz w:val="28"/>
      <w:szCs w:val="28"/>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24"/>
      <w:szCs w:val="24"/>
    </w:rPr>
  </w:style>
  <w:style w:type="paragraph" w:styleId="Heading3">
    <w:name w:val="heading 3"/>
    <w:basedOn w:val="Normal"/>
    <w:link w:val="Heading3Char"/>
    <w:uiPriority w:val="9"/>
    <w:semiHidden/>
    <w:unhideWhenUsed/>
    <w:qFormat/>
    <w:pPr>
      <w:spacing w:before="100" w:beforeAutospacing="1" w:after="100" w:afterAutospacing="1"/>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Pr>
      <w:rFonts w:ascii="Cambria" w:eastAsia="Times New Roman" w:hAnsi="Cambria" w:cs="Times New Roman"/>
      <w:b/>
      <w:bCs/>
      <w:color w:val="4F81BD"/>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Pr>
      <w:b/>
      <w:bCs/>
    </w:rPr>
  </w:style>
  <w:style w:type="paragraph" w:customStyle="1" w:styleId="c1-ctrsglsp">
    <w:name w:val="c1-ctrsglsp"/>
    <w:basedOn w:val="Normal"/>
    <w:pPr>
      <w:spacing w:before="100" w:beforeAutospacing="1" w:after="100" w:afterAutospacing="1"/>
    </w:pPr>
    <w:rPr>
      <w:rFonts w:ascii="Times New Roman" w:eastAsia="Times New Roman" w:hAnsi="Times New Roman"/>
      <w:sz w:val="24"/>
      <w:szCs w:val="24"/>
    </w:rPr>
  </w:style>
  <w:style w:type="paragraph" w:customStyle="1" w:styleId="p1-standpara">
    <w:name w:val="p1-standpara"/>
    <w:basedOn w:val="Normal"/>
    <w:pPr>
      <w:spacing w:before="100" w:beforeAutospacing="1" w:after="100" w:afterAutospacing="1"/>
    </w:pPr>
    <w:rPr>
      <w:rFonts w:ascii="Times New Roman" w:eastAsia="Times New Roman" w:hAnsi="Times New Roman"/>
      <w:sz w:val="24"/>
      <w:szCs w:val="24"/>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character" w:styleId="FootnoteReference">
    <w:name w:val="footnote reference"/>
    <w:basedOn w:val="DefaultParagraphFont"/>
    <w:semiHidden/>
    <w:unhideWhenUsed/>
  </w:style>
  <w:style w:type="character" w:styleId="Emphasis">
    <w:name w:val="Emphasis"/>
    <w:uiPriority w:val="20"/>
    <w:qFormat/>
    <w:rPr>
      <w:i/>
      <w:iCs/>
    </w:r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before="100" w:beforeAutospacing="1" w:after="100" w:afterAutospacing="1"/>
    </w:pPr>
    <w:rPr>
      <w:rFonts w:ascii="Times New Roman" w:eastAsia="Times New Roman" w:hAnsi="Times New Roman"/>
      <w:sz w:val="24"/>
      <w:szCs w:val="24"/>
    </w:rPr>
  </w:style>
  <w:style w:type="character" w:customStyle="1" w:styleId="FootnoteTextChar">
    <w:name w:val="Footnote Text Char"/>
    <w:link w:val="FootnoteText"/>
    <w:uiPriority w:val="99"/>
    <w:semiHidden/>
    <w:rPr>
      <w:rFonts w:ascii="Verdana" w:eastAsia="Verdana" w:hAnsi="Verdana"/>
    </w:rPr>
  </w:style>
  <w:style w:type="paragraph" w:customStyle="1" w:styleId="default">
    <w:name w:val="default"/>
    <w:basedOn w:val="Normal"/>
    <w:pPr>
      <w:spacing w:before="100" w:beforeAutospacing="1" w:after="100" w:afterAutospacing="1"/>
    </w:pPr>
    <w:rPr>
      <w:rFonts w:ascii="Times New Roman" w:eastAsia="Times New Roman" w:hAnsi="Times New Roman"/>
      <w:sz w:val="24"/>
      <w:szCs w:val="24"/>
    </w:rPr>
  </w:style>
  <w:style w:type="paragraph" w:customStyle="1" w:styleId="p1-standpara0">
    <w:name w:val="p1-standpara0"/>
    <w:basedOn w:val="Normal"/>
    <w:rsid w:val="00193BA8"/>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40B3C"/>
    <w:rPr>
      <w:rFonts w:ascii="Tahoma" w:hAnsi="Tahoma" w:cs="Tahoma"/>
      <w:sz w:val="16"/>
      <w:szCs w:val="16"/>
    </w:rPr>
  </w:style>
  <w:style w:type="character" w:customStyle="1" w:styleId="BalloonTextChar">
    <w:name w:val="Balloon Text Char"/>
    <w:link w:val="BalloonText"/>
    <w:uiPriority w:val="99"/>
    <w:semiHidden/>
    <w:rsid w:val="00B40B3C"/>
    <w:rPr>
      <w:rFonts w:ascii="Tahoma" w:eastAsia="Verdana" w:hAnsi="Tahoma" w:cs="Tahoma"/>
      <w:sz w:val="16"/>
      <w:szCs w:val="16"/>
    </w:rPr>
  </w:style>
  <w:style w:type="paragraph" w:styleId="Header">
    <w:name w:val="header"/>
    <w:basedOn w:val="Normal"/>
    <w:link w:val="HeaderChar"/>
    <w:uiPriority w:val="99"/>
    <w:unhideWhenUsed/>
    <w:rsid w:val="00FA5673"/>
    <w:pPr>
      <w:tabs>
        <w:tab w:val="center" w:pos="4680"/>
        <w:tab w:val="right" w:pos="9360"/>
      </w:tabs>
    </w:pPr>
  </w:style>
  <w:style w:type="character" w:customStyle="1" w:styleId="HeaderChar">
    <w:name w:val="Header Char"/>
    <w:link w:val="Header"/>
    <w:uiPriority w:val="99"/>
    <w:rsid w:val="00FA5673"/>
    <w:rPr>
      <w:rFonts w:ascii="Verdana" w:eastAsia="Verdana" w:hAnsi="Verdana"/>
    </w:rPr>
  </w:style>
  <w:style w:type="paragraph" w:styleId="Footer">
    <w:name w:val="footer"/>
    <w:basedOn w:val="Normal"/>
    <w:link w:val="FooterChar"/>
    <w:uiPriority w:val="99"/>
    <w:unhideWhenUsed/>
    <w:rsid w:val="00FA5673"/>
    <w:pPr>
      <w:tabs>
        <w:tab w:val="center" w:pos="4680"/>
        <w:tab w:val="right" w:pos="9360"/>
      </w:tabs>
    </w:pPr>
  </w:style>
  <w:style w:type="character" w:customStyle="1" w:styleId="FooterChar">
    <w:name w:val="Footer Char"/>
    <w:link w:val="Footer"/>
    <w:uiPriority w:val="99"/>
    <w:rsid w:val="00FA5673"/>
    <w:rPr>
      <w:rFonts w:ascii="Verdana" w:eastAsia="Verdana" w:hAnsi="Verdana"/>
    </w:rPr>
  </w:style>
  <w:style w:type="character" w:styleId="CommentReference">
    <w:name w:val="annotation reference"/>
    <w:uiPriority w:val="99"/>
    <w:semiHidden/>
    <w:unhideWhenUsed/>
    <w:rsid w:val="000D0732"/>
    <w:rPr>
      <w:sz w:val="16"/>
      <w:szCs w:val="16"/>
    </w:rPr>
  </w:style>
  <w:style w:type="paragraph" w:styleId="CommentText">
    <w:name w:val="annotation text"/>
    <w:basedOn w:val="Normal"/>
    <w:link w:val="CommentTextChar"/>
    <w:uiPriority w:val="99"/>
    <w:semiHidden/>
    <w:unhideWhenUsed/>
    <w:rsid w:val="000D0732"/>
  </w:style>
  <w:style w:type="character" w:customStyle="1" w:styleId="CommentTextChar">
    <w:name w:val="Comment Text Char"/>
    <w:link w:val="CommentText"/>
    <w:uiPriority w:val="99"/>
    <w:semiHidden/>
    <w:rsid w:val="000D0732"/>
    <w:rPr>
      <w:rFonts w:ascii="Verdana" w:eastAsia="Verdana" w:hAnsi="Verdana"/>
    </w:rPr>
  </w:style>
  <w:style w:type="paragraph" w:styleId="CommentSubject">
    <w:name w:val="annotation subject"/>
    <w:basedOn w:val="CommentText"/>
    <w:next w:val="CommentText"/>
    <w:link w:val="CommentSubjectChar"/>
    <w:uiPriority w:val="99"/>
    <w:semiHidden/>
    <w:unhideWhenUsed/>
    <w:rsid w:val="000D0732"/>
    <w:rPr>
      <w:b/>
      <w:bCs/>
    </w:rPr>
  </w:style>
  <w:style w:type="character" w:customStyle="1" w:styleId="CommentSubjectChar">
    <w:name w:val="Comment Subject Char"/>
    <w:link w:val="CommentSubject"/>
    <w:uiPriority w:val="99"/>
    <w:semiHidden/>
    <w:rsid w:val="000D0732"/>
    <w:rPr>
      <w:rFonts w:ascii="Verdana" w:eastAsia="Verdana" w:hAnsi="Verdana"/>
      <w:b/>
      <w:bCs/>
    </w:rPr>
  </w:style>
  <w:style w:type="paragraph" w:customStyle="1" w:styleId="sl-fllftsgl">
    <w:name w:val="sl-fllftsgl"/>
    <w:basedOn w:val="Normal"/>
    <w:rsid w:val="00E6721D"/>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unhideWhenUsed/>
    <w:rsid w:val="003A2463"/>
    <w:rPr>
      <w:rFonts w:ascii="Verdana" w:eastAsia="Verdana" w:hAnsi="Verdana"/>
    </w:rPr>
  </w:style>
  <w:style w:type="character" w:customStyle="1" w:styleId="UnresolvedMention1">
    <w:name w:val="Unresolved Mention1"/>
    <w:basedOn w:val="DefaultParagraphFont"/>
    <w:uiPriority w:val="99"/>
    <w:semiHidden/>
    <w:unhideWhenUsed/>
    <w:rsid w:val="003A2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951460">
      <w:marLeft w:val="0"/>
      <w:marRight w:val="0"/>
      <w:marTop w:val="0"/>
      <w:marBottom w:val="0"/>
      <w:divBdr>
        <w:top w:val="none" w:sz="0" w:space="0" w:color="auto"/>
        <w:left w:val="none" w:sz="0" w:space="0" w:color="auto"/>
        <w:bottom w:val="none" w:sz="0" w:space="0" w:color="auto"/>
        <w:right w:val="none" w:sz="0" w:space="0" w:color="auto"/>
      </w:divBdr>
    </w:div>
    <w:div w:id="729226683">
      <w:marLeft w:val="0"/>
      <w:marRight w:val="0"/>
      <w:marTop w:val="0"/>
      <w:marBottom w:val="0"/>
      <w:divBdr>
        <w:top w:val="none" w:sz="0" w:space="0" w:color="auto"/>
        <w:left w:val="none" w:sz="0" w:space="0" w:color="auto"/>
        <w:bottom w:val="none" w:sz="0" w:space="0" w:color="auto"/>
        <w:right w:val="none" w:sz="0" w:space="0" w:color="auto"/>
      </w:divBdr>
    </w:div>
    <w:div w:id="733242651">
      <w:bodyDiv w:val="1"/>
      <w:marLeft w:val="0"/>
      <w:marRight w:val="0"/>
      <w:marTop w:val="0"/>
      <w:marBottom w:val="0"/>
      <w:divBdr>
        <w:top w:val="none" w:sz="0" w:space="0" w:color="auto"/>
        <w:left w:val="none" w:sz="0" w:space="0" w:color="auto"/>
        <w:bottom w:val="none" w:sz="0" w:space="0" w:color="auto"/>
        <w:right w:val="none" w:sz="0" w:space="0" w:color="auto"/>
      </w:divBdr>
    </w:div>
    <w:div w:id="1438021907">
      <w:marLeft w:val="0"/>
      <w:marRight w:val="0"/>
      <w:marTop w:val="0"/>
      <w:marBottom w:val="0"/>
      <w:divBdr>
        <w:top w:val="none" w:sz="0" w:space="0" w:color="auto"/>
        <w:left w:val="none" w:sz="0" w:space="0" w:color="auto"/>
        <w:bottom w:val="none" w:sz="0" w:space="0" w:color="auto"/>
        <w:right w:val="none" w:sz="0" w:space="0" w:color="auto"/>
      </w:divBdr>
    </w:div>
    <w:div w:id="1886595292">
      <w:marLeft w:val="0"/>
      <w:marRight w:val="0"/>
      <w:marTop w:val="0"/>
      <w:marBottom w:val="0"/>
      <w:divBdr>
        <w:top w:val="none" w:sz="0" w:space="0" w:color="auto"/>
        <w:left w:val="none" w:sz="0" w:space="0" w:color="auto"/>
        <w:bottom w:val="none" w:sz="0" w:space="0" w:color="auto"/>
        <w:right w:val="none" w:sz="0" w:space="0" w:color="auto"/>
      </w:divBdr>
      <w:divsChild>
        <w:div w:id="760027166">
          <w:marLeft w:val="0"/>
          <w:marRight w:val="0"/>
          <w:marTop w:val="0"/>
          <w:marBottom w:val="0"/>
          <w:divBdr>
            <w:top w:val="none" w:sz="0" w:space="0" w:color="auto"/>
            <w:left w:val="none" w:sz="0" w:space="0" w:color="auto"/>
            <w:bottom w:val="none" w:sz="0" w:space="0" w:color="auto"/>
            <w:right w:val="none" w:sz="0" w:space="0" w:color="auto"/>
          </w:divBdr>
        </w:div>
        <w:div w:id="1286892764">
          <w:marLeft w:val="0"/>
          <w:marRight w:val="0"/>
          <w:marTop w:val="0"/>
          <w:marBottom w:val="0"/>
          <w:divBdr>
            <w:top w:val="none" w:sz="0" w:space="0" w:color="auto"/>
            <w:left w:val="none" w:sz="0" w:space="0" w:color="auto"/>
            <w:bottom w:val="none" w:sz="0" w:space="0" w:color="auto"/>
            <w:right w:val="none" w:sz="0" w:space="0" w:color="auto"/>
          </w:divBdr>
        </w:div>
        <w:div w:id="1586377107">
          <w:marLeft w:val="0"/>
          <w:marRight w:val="0"/>
          <w:marTop w:val="0"/>
          <w:marBottom w:val="0"/>
          <w:divBdr>
            <w:top w:val="none" w:sz="0" w:space="0" w:color="auto"/>
            <w:left w:val="none" w:sz="0" w:space="0" w:color="auto"/>
            <w:bottom w:val="none" w:sz="0" w:space="0" w:color="auto"/>
            <w:right w:val="none" w:sz="0" w:space="0" w:color="auto"/>
          </w:divBdr>
        </w:div>
      </w:divsChild>
    </w:div>
    <w:div w:id="1918130588">
      <w:bodyDiv w:val="1"/>
      <w:marLeft w:val="0"/>
      <w:marRight w:val="0"/>
      <w:marTop w:val="0"/>
      <w:marBottom w:val="0"/>
      <w:divBdr>
        <w:top w:val="none" w:sz="0" w:space="0" w:color="auto"/>
        <w:left w:val="none" w:sz="0" w:space="0" w:color="auto"/>
        <w:bottom w:val="none" w:sz="0" w:space="0" w:color="auto"/>
        <w:right w:val="none" w:sz="0" w:space="0" w:color="auto"/>
      </w:divBdr>
    </w:div>
    <w:div w:id="2036884606">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sf.gov/pubs/2018/nsf18045/nsf18045.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nsf.gov/pubs/2018/nsf18045/nsf18045.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aaup.org/sites/default/files/ARES_2017-18.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search.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sf.gov/about/performance/" TargetMode="External"/><Relationship Id="rId7" Type="http://schemas.openxmlformats.org/officeDocument/2006/relationships/hyperlink" Target="https://www.whitehouse.gov/wp-content/uploads/2018/02/ap_6_evidence-fy2019.pdf" TargetMode="External"/><Relationship Id="rId2" Type="http://schemas.openxmlformats.org/officeDocument/2006/relationships/hyperlink" Target="https://www.nsf.gov/about/how.jsp" TargetMode="External"/><Relationship Id="rId1" Type="http://schemas.openxmlformats.org/officeDocument/2006/relationships/hyperlink" Target="https://www.nsf.gov/about/glance.jsp" TargetMode="External"/><Relationship Id="rId6" Type="http://schemas.openxmlformats.org/officeDocument/2006/relationships/hyperlink" Target="https://www.whitehouse.gov/wp-content/uploads/2018/06/Government-Reform-and-Reorg-Plan.pdf" TargetMode="External"/><Relationship Id="rId5" Type="http://schemas.openxmlformats.org/officeDocument/2006/relationships/hyperlink" Target="https://www.nsf.gov/od/oia/activities/cov/covs.jsp" TargetMode="External"/><Relationship Id="rId4" Type="http://schemas.openxmlformats.org/officeDocument/2006/relationships/hyperlink" Target="https://www.nsf.gov/od/oia/activities/c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EB790940AB2A49859147073ABEA831" ma:contentTypeVersion="0" ma:contentTypeDescription="Create a new document." ma:contentTypeScope="" ma:versionID="d59c51e486c4fbc3bbe642720ec58832">
  <xsd:schema xmlns:xsd="http://www.w3.org/2001/XMLSchema" xmlns:xs="http://www.w3.org/2001/XMLSchema" xmlns:p="http://schemas.microsoft.com/office/2006/metadata/properties" targetNamespace="http://schemas.microsoft.com/office/2006/metadata/properties" ma:root="true" ma:fieldsID="14ffdd9121c724c9673c0bc323c3070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b:Source>
    <b:Tag>Mat14</b:Tag>
    <b:SourceType>Report</b:SourceType>
    <b:Guid>{406F6E2C-6D0E-46BD-ADBC-B4AAB1DA522A}</b:Guid>
    <b:Title>National Evaluation of the Louis Stokes Alliances for Minority Participation - Bridge to the Doctorate (LSAMP-BD) Program</b:Title>
    <b:Year>February 28, 2014</b:Year>
    <b:Author>
      <b:Author>
        <b:NameList>
          <b:Person>
            <b:Last>Research</b:Last>
            <b:First>Mathematica</b:First>
            <b:Middle>Policy</b:Middle>
          </b:Person>
        </b:NameList>
      </b:Author>
    </b:Author>
    <b:RefOrder>1</b:RefOrder>
  </b:Source>
</b:Sources>
</file>

<file path=customXml/itemProps1.xml><?xml version="1.0" encoding="utf-8"?>
<ds:datastoreItem xmlns:ds="http://schemas.openxmlformats.org/officeDocument/2006/customXml" ds:itemID="{8D811E8A-B0A5-4954-8EB5-B78902F56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7174040-34F4-4106-A8BF-7D1208B3FFDC}">
  <ds:schemaRefs>
    <ds:schemaRef ds:uri="http://schemas.microsoft.com/sharepoint/v3/contenttype/forms"/>
  </ds:schemaRefs>
</ds:datastoreItem>
</file>

<file path=customXml/itemProps3.xml><?xml version="1.0" encoding="utf-8"?>
<ds:datastoreItem xmlns:ds="http://schemas.openxmlformats.org/officeDocument/2006/customXml" ds:itemID="{3CCF2F44-0B18-4F90-A3B3-F2A324C09E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CC5B32-443E-4B24-95C7-7426B97F8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7100</Words>
  <Characters>40475</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47481</CharactersWithSpaces>
  <SharedDoc>false</SharedDoc>
  <HLinks>
    <vt:vector size="42" baseType="variant">
      <vt:variant>
        <vt:i4>7405627</vt:i4>
      </vt:variant>
      <vt:variant>
        <vt:i4>18</vt:i4>
      </vt:variant>
      <vt:variant>
        <vt:i4>0</vt:i4>
      </vt:variant>
      <vt:variant>
        <vt:i4>5</vt:i4>
      </vt:variant>
      <vt:variant>
        <vt:lpwstr>http://www.aaup.org/sites/default/files/files/2015salarysurvey/2015tab4.pdf</vt:lpwstr>
      </vt:variant>
      <vt:variant>
        <vt:lpwstr/>
      </vt:variant>
      <vt:variant>
        <vt:i4>4587611</vt:i4>
      </vt:variant>
      <vt:variant>
        <vt:i4>15</vt:i4>
      </vt:variant>
      <vt:variant>
        <vt:i4>0</vt:i4>
      </vt:variant>
      <vt:variant>
        <vt:i4>5</vt:i4>
      </vt:variant>
      <vt:variant>
        <vt:lpwstr>http://www.research.gov/</vt:lpwstr>
      </vt:variant>
      <vt:variant>
        <vt:lpwstr/>
      </vt:variant>
      <vt:variant>
        <vt:i4>2293801</vt:i4>
      </vt:variant>
      <vt:variant>
        <vt:i4>12</vt:i4>
      </vt:variant>
      <vt:variant>
        <vt:i4>0</vt:i4>
      </vt:variant>
      <vt:variant>
        <vt:i4>5</vt:i4>
      </vt:variant>
      <vt:variant>
        <vt:lpwstr>http://www.whitehouse.gov/sites/default/files/omb/memoranda/2010/m10-32.pdf</vt:lpwstr>
      </vt:variant>
      <vt:variant>
        <vt:lpwstr/>
      </vt:variant>
      <vt:variant>
        <vt:i4>1048652</vt:i4>
      </vt:variant>
      <vt:variant>
        <vt:i4>9</vt:i4>
      </vt:variant>
      <vt:variant>
        <vt:i4>0</vt:i4>
      </vt:variant>
      <vt:variant>
        <vt:i4>5</vt:i4>
      </vt:variant>
      <vt:variant>
        <vt:lpwstr>http://www.nsf.gov/od/oia/activities/cov/covs.jsp</vt:lpwstr>
      </vt:variant>
      <vt:variant>
        <vt:lpwstr/>
      </vt:variant>
      <vt:variant>
        <vt:i4>4390918</vt:i4>
      </vt:variant>
      <vt:variant>
        <vt:i4>6</vt:i4>
      </vt:variant>
      <vt:variant>
        <vt:i4>0</vt:i4>
      </vt:variant>
      <vt:variant>
        <vt:i4>5</vt:i4>
      </vt:variant>
      <vt:variant>
        <vt:lpwstr>http://www.nsf.gov/about/performance/</vt:lpwstr>
      </vt:variant>
      <vt:variant>
        <vt:lpwstr/>
      </vt:variant>
      <vt:variant>
        <vt:i4>8061028</vt:i4>
      </vt:variant>
      <vt:variant>
        <vt:i4>3</vt:i4>
      </vt:variant>
      <vt:variant>
        <vt:i4>0</vt:i4>
      </vt:variant>
      <vt:variant>
        <vt:i4>5</vt:i4>
      </vt:variant>
      <vt:variant>
        <vt:lpwstr>http://www.nsf.gov/pubs/2014/nsf14043/nsf14043.pdf</vt:lpwstr>
      </vt:variant>
      <vt:variant>
        <vt:lpwstr/>
      </vt:variant>
      <vt:variant>
        <vt:i4>2949146</vt:i4>
      </vt:variant>
      <vt:variant>
        <vt:i4>0</vt:i4>
      </vt:variant>
      <vt:variant>
        <vt:i4>0</vt:i4>
      </vt:variant>
      <vt:variant>
        <vt:i4>5</vt:i4>
      </vt:variant>
      <vt:variant>
        <vt:lpwstr>http://www.whitehouse.gov/sites/default/files/omb/assets/memoranda_2010/m10-24.pdf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21773</dc:creator>
  <cp:keywords/>
  <cp:lastModifiedBy>SYSTEM</cp:lastModifiedBy>
  <cp:revision>2</cp:revision>
  <cp:lastPrinted>2015-12-17T15:15:00Z</cp:lastPrinted>
  <dcterms:created xsi:type="dcterms:W3CDTF">2019-04-11T16:10:00Z</dcterms:created>
  <dcterms:modified xsi:type="dcterms:W3CDTF">2019-04-11T16:10:00Z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0x010100D7EB790940AB2A49859147073ABEA831</vt:lpwstr>
  </property>
</Properties>
</file>