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C18AB" w14:textId="77777777" w:rsidR="00266732" w:rsidRDefault="00266732">
      <w:pPr>
        <w:suppressAutoHyphens/>
        <w:rPr>
          <w:rFonts w:ascii="Times New Roman" w:hAnsi="Times New Roman"/>
        </w:rPr>
      </w:pPr>
      <w:bookmarkStart w:id="0" w:name="_GoBack"/>
      <w:bookmarkEnd w:id="0"/>
    </w:p>
    <w:p w14:paraId="6EFB0826" w14:textId="77777777" w:rsidR="002D133A" w:rsidRDefault="002D133A">
      <w:pPr>
        <w:suppressAutoHyphens/>
        <w:rPr>
          <w:rFonts w:ascii="Times New Roman" w:hAnsi="Times New Roman"/>
        </w:rPr>
      </w:pPr>
      <w:r>
        <w:rPr>
          <w:rFonts w:ascii="Times New Roman" w:hAnsi="Times New Roman"/>
        </w:rPr>
        <w:t>SUPPORTING STATEMENT FOR NEW AND REVISED INFORMATION COLLECTIONS</w:t>
      </w:r>
      <w:r w:rsidR="00B16D87">
        <w:rPr>
          <w:rFonts w:ascii="Times New Roman" w:hAnsi="Times New Roman"/>
        </w:rPr>
        <w:fldChar w:fldCharType="begin"/>
      </w:r>
      <w:r>
        <w:rPr>
          <w:rFonts w:ascii="Times New Roman" w:hAnsi="Times New Roman"/>
        </w:rPr>
        <w:instrText xml:space="preserve">PRIVATE </w:instrText>
      </w:r>
      <w:r w:rsidR="00B16D87">
        <w:rPr>
          <w:rFonts w:ascii="Times New Roman" w:hAnsi="Times New Roman"/>
        </w:rPr>
        <w:fldChar w:fldCharType="end"/>
      </w:r>
    </w:p>
    <w:p w14:paraId="2F748434" w14:textId="77777777" w:rsidR="002D133A" w:rsidRDefault="002D133A">
      <w:pPr>
        <w:suppressAutoHyphens/>
        <w:rPr>
          <w:rFonts w:ascii="Times New Roman" w:hAnsi="Times New Roman"/>
        </w:rPr>
      </w:pPr>
    </w:p>
    <w:p w14:paraId="24009609" w14:textId="77777777" w:rsidR="002D133A" w:rsidRDefault="002D133A">
      <w:pPr>
        <w:tabs>
          <w:tab w:val="center" w:pos="4680"/>
        </w:tabs>
        <w:suppressAutoHyphens/>
        <w:rPr>
          <w:rFonts w:ascii="Times New Roman" w:hAnsi="Times New Roman"/>
        </w:rPr>
      </w:pPr>
      <w:r>
        <w:rPr>
          <w:rFonts w:ascii="Times New Roman" w:hAnsi="Times New Roman"/>
        </w:rPr>
        <w:tab/>
        <w:t>OMB CONTROL NUMBER 3038-</w:t>
      </w:r>
      <w:r w:rsidR="00A64548">
        <w:rPr>
          <w:rFonts w:ascii="Times New Roman" w:hAnsi="Times New Roman"/>
        </w:rPr>
        <w:t>0055</w:t>
      </w:r>
    </w:p>
    <w:p w14:paraId="45889443" w14:textId="77777777" w:rsidR="002D133A" w:rsidRDefault="002D133A">
      <w:pPr>
        <w:tabs>
          <w:tab w:val="left" w:pos="-720"/>
        </w:tabs>
        <w:suppressAutoHyphens/>
        <w:rPr>
          <w:rFonts w:ascii="Times New Roman" w:hAnsi="Times New Roman"/>
        </w:rPr>
      </w:pPr>
    </w:p>
    <w:p w14:paraId="23ACA2A3" w14:textId="77777777" w:rsidR="002D133A" w:rsidRDefault="002D133A">
      <w:pPr>
        <w:tabs>
          <w:tab w:val="left" w:pos="-720"/>
        </w:tabs>
        <w:suppressAutoHyphens/>
        <w:rPr>
          <w:rFonts w:ascii="Times New Roman" w:hAnsi="Times New Roman"/>
        </w:rPr>
      </w:pPr>
      <w:r>
        <w:rPr>
          <w:rFonts w:ascii="Times New Roman" w:hAnsi="Times New Roman"/>
          <w:u w:val="single"/>
        </w:rPr>
        <w:t>Justification</w:t>
      </w:r>
    </w:p>
    <w:p w14:paraId="30E807F4" w14:textId="77777777" w:rsidR="002D133A" w:rsidRDefault="002D133A">
      <w:pPr>
        <w:tabs>
          <w:tab w:val="left" w:pos="-720"/>
        </w:tabs>
        <w:suppressAutoHyphens/>
        <w:rPr>
          <w:rFonts w:ascii="Times New Roman" w:hAnsi="Times New Roman"/>
        </w:rPr>
      </w:pPr>
    </w:p>
    <w:p w14:paraId="5085F315"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9B7A95">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14:paraId="3DCB457F" w14:textId="77777777" w:rsidR="002D133A" w:rsidRDefault="002D133A">
      <w:pPr>
        <w:tabs>
          <w:tab w:val="left" w:pos="-720"/>
        </w:tabs>
        <w:suppressAutoHyphens/>
        <w:rPr>
          <w:rFonts w:ascii="Times New Roman" w:hAnsi="Times New Roman"/>
        </w:rPr>
      </w:pPr>
    </w:p>
    <w:p w14:paraId="0AAAEC51" w14:textId="293EDAC5" w:rsidR="002D133A" w:rsidRDefault="004C2994" w:rsidP="00E655F6">
      <w:pPr>
        <w:tabs>
          <w:tab w:val="left" w:pos="-720"/>
        </w:tabs>
        <w:suppressAutoHyphens/>
        <w:rPr>
          <w:rFonts w:ascii="Times New Roman" w:hAnsi="Times New Roman"/>
        </w:rPr>
      </w:pPr>
      <w:r>
        <w:rPr>
          <w:rFonts w:ascii="Times New Roman" w:hAnsi="Times New Roman"/>
        </w:rPr>
        <w:tab/>
        <w:t xml:space="preserve">Section 124 of the Commodity Futures Modernization Act of 2000 amended the Commodity Exchange Act (the “Act”) and added a new Section 5g to the Act to </w:t>
      </w:r>
      <w:r w:rsidR="009E79F1">
        <w:rPr>
          <w:rFonts w:ascii="Times New Roman" w:hAnsi="Times New Roman"/>
        </w:rPr>
        <w:t>(i) add that</w:t>
      </w:r>
      <w:r w:rsidR="007A6613">
        <w:rPr>
          <w:rFonts w:ascii="Times New Roman" w:hAnsi="Times New Roman"/>
        </w:rPr>
        <w:t xml:space="preserve"> </w:t>
      </w:r>
      <w:r w:rsidR="001E7F5A">
        <w:rPr>
          <w:rFonts w:ascii="Times New Roman" w:hAnsi="Times New Roman"/>
        </w:rPr>
        <w:t>futures commission merchant</w:t>
      </w:r>
      <w:r w:rsidR="00266732">
        <w:rPr>
          <w:rFonts w:ascii="Times New Roman" w:hAnsi="Times New Roman"/>
        </w:rPr>
        <w:t>s</w:t>
      </w:r>
      <w:r w:rsidR="001E7F5A">
        <w:rPr>
          <w:rFonts w:ascii="Times New Roman" w:hAnsi="Times New Roman"/>
        </w:rPr>
        <w:t>, commodity trading advisor</w:t>
      </w:r>
      <w:r w:rsidR="00266732">
        <w:rPr>
          <w:rFonts w:ascii="Times New Roman" w:hAnsi="Times New Roman"/>
        </w:rPr>
        <w:t>s</w:t>
      </w:r>
      <w:r w:rsidR="001E7F5A">
        <w:rPr>
          <w:rFonts w:ascii="Times New Roman" w:hAnsi="Times New Roman"/>
        </w:rPr>
        <w:t>, commodity pool operator</w:t>
      </w:r>
      <w:r w:rsidR="00266732">
        <w:rPr>
          <w:rFonts w:ascii="Times New Roman" w:hAnsi="Times New Roman"/>
        </w:rPr>
        <w:t>s</w:t>
      </w:r>
      <w:r w:rsidR="00D01079">
        <w:rPr>
          <w:rFonts w:ascii="Times New Roman" w:hAnsi="Times New Roman"/>
        </w:rPr>
        <w:t>,</w:t>
      </w:r>
      <w:r w:rsidR="001E7F5A">
        <w:rPr>
          <w:rFonts w:ascii="Times New Roman" w:hAnsi="Times New Roman"/>
        </w:rPr>
        <w:t xml:space="preserve"> </w:t>
      </w:r>
      <w:r w:rsidR="00266732">
        <w:rPr>
          <w:rFonts w:ascii="Times New Roman" w:hAnsi="Times New Roman"/>
        </w:rPr>
        <w:t xml:space="preserve">and </w:t>
      </w:r>
      <w:r w:rsidR="001E7F5A">
        <w:rPr>
          <w:rFonts w:ascii="Times New Roman" w:hAnsi="Times New Roman"/>
        </w:rPr>
        <w:t>introducing broker</w:t>
      </w:r>
      <w:r w:rsidR="00266732">
        <w:rPr>
          <w:rFonts w:ascii="Times New Roman" w:hAnsi="Times New Roman"/>
        </w:rPr>
        <w:t>s</w:t>
      </w:r>
      <w:r w:rsidR="001E7F5A">
        <w:rPr>
          <w:rFonts w:ascii="Times New Roman" w:hAnsi="Times New Roman"/>
        </w:rPr>
        <w:t xml:space="preserve"> that </w:t>
      </w:r>
      <w:r w:rsidR="00266732">
        <w:rPr>
          <w:rFonts w:ascii="Times New Roman" w:hAnsi="Times New Roman"/>
        </w:rPr>
        <w:t>are</w:t>
      </w:r>
      <w:r w:rsidR="001E7F5A">
        <w:rPr>
          <w:rFonts w:ascii="Times New Roman" w:hAnsi="Times New Roman"/>
        </w:rPr>
        <w:t xml:space="preserve"> subject to the </w:t>
      </w:r>
      <w:r w:rsidR="007A6613">
        <w:rPr>
          <w:rFonts w:ascii="Times New Roman" w:hAnsi="Times New Roman"/>
        </w:rPr>
        <w:t>Commodity Futures Trading Commission’s (“Commission” or “CFTC”)</w:t>
      </w:r>
      <w:r w:rsidR="001E7F5A">
        <w:rPr>
          <w:rFonts w:ascii="Times New Roman" w:hAnsi="Times New Roman"/>
        </w:rPr>
        <w:t xml:space="preserve"> jurisdiction with respect to any financial activity</w:t>
      </w:r>
      <w:r w:rsidR="009E79F1">
        <w:rPr>
          <w:rFonts w:ascii="Times New Roman" w:hAnsi="Times New Roman"/>
        </w:rPr>
        <w:t xml:space="preserve"> shall be treated as a financial institution for purposes of Title V, Subtitle A of the Gramm-Leach-Bliley Act (“GLB Act”)</w:t>
      </w:r>
      <w:r w:rsidR="007A6613">
        <w:rPr>
          <w:rFonts w:ascii="Times New Roman" w:hAnsi="Times New Roman"/>
        </w:rPr>
        <w:t xml:space="preserve">, </w:t>
      </w:r>
      <w:r w:rsidR="009E79F1">
        <w:rPr>
          <w:rFonts w:ascii="Times New Roman" w:hAnsi="Times New Roman"/>
        </w:rPr>
        <w:t>(ii) treat the Commission as a Federal functional regulator for purposes of applying the provisions of the GLB Act, and (iii) direct the Commission to prescribe regulations under Title V of the GLB Act</w:t>
      </w:r>
      <w:r w:rsidR="001E7F5A">
        <w:rPr>
          <w:rFonts w:ascii="Times New Roman" w:hAnsi="Times New Roman"/>
        </w:rPr>
        <w:t xml:space="preserve">.  </w:t>
      </w:r>
      <w:r w:rsidR="009866EB" w:rsidRPr="009866EB">
        <w:rPr>
          <w:rFonts w:ascii="Times New Roman" w:hAnsi="Times New Roman"/>
        </w:rPr>
        <w:t>The</w:t>
      </w:r>
      <w:r w:rsidR="009E79F1">
        <w:rPr>
          <w:rFonts w:ascii="Times New Roman" w:hAnsi="Times New Roman"/>
        </w:rPr>
        <w:t xml:space="preserve"> Commission adopted </w:t>
      </w:r>
      <w:r w:rsidR="00214BA8">
        <w:rPr>
          <w:rFonts w:ascii="Times New Roman" w:hAnsi="Times New Roman"/>
        </w:rPr>
        <w:t xml:space="preserve">regulations for these entities under part 160 and </w:t>
      </w:r>
      <w:r w:rsidR="009866EB" w:rsidRPr="009866EB">
        <w:rPr>
          <w:rFonts w:ascii="Times New Roman" w:hAnsi="Times New Roman"/>
        </w:rPr>
        <w:t xml:space="preserve">later extended </w:t>
      </w:r>
      <w:r w:rsidR="00214BA8">
        <w:rPr>
          <w:rFonts w:ascii="Times New Roman" w:hAnsi="Times New Roman"/>
        </w:rPr>
        <w:t xml:space="preserve">them </w:t>
      </w:r>
      <w:r w:rsidR="009866EB" w:rsidRPr="009866EB">
        <w:rPr>
          <w:rFonts w:ascii="Times New Roman" w:hAnsi="Times New Roman"/>
        </w:rPr>
        <w:t>to retail foreign exchange dealers</w:t>
      </w:r>
      <w:r w:rsidR="00072DCF">
        <w:rPr>
          <w:rFonts w:ascii="Times New Roman" w:hAnsi="Times New Roman"/>
        </w:rPr>
        <w:t>, swap dealers, and major swap participants</w:t>
      </w:r>
      <w:r w:rsidR="009866EB" w:rsidRPr="009866EB">
        <w:rPr>
          <w:rFonts w:ascii="Times New Roman" w:hAnsi="Times New Roman"/>
        </w:rPr>
        <w:t>.</w:t>
      </w:r>
      <w:r w:rsidR="009866EB">
        <w:rPr>
          <w:rFonts w:ascii="Times New Roman" w:hAnsi="Times New Roman"/>
        </w:rPr>
        <w:t xml:space="preserve">  </w:t>
      </w:r>
      <w:r w:rsidR="00214BA8">
        <w:rPr>
          <w:rFonts w:ascii="Times New Roman" w:hAnsi="Times New Roman"/>
        </w:rPr>
        <w:t>Part 160</w:t>
      </w:r>
      <w:r w:rsidR="00072DCF">
        <w:rPr>
          <w:rFonts w:ascii="Times New Roman" w:hAnsi="Times New Roman"/>
        </w:rPr>
        <w:t xml:space="preserve"> </w:t>
      </w:r>
      <w:r w:rsidR="000376FB">
        <w:rPr>
          <w:rFonts w:ascii="Times New Roman" w:hAnsi="Times New Roman"/>
        </w:rPr>
        <w:t>require</w:t>
      </w:r>
      <w:r w:rsidR="00072DCF">
        <w:rPr>
          <w:rFonts w:ascii="Times New Roman" w:hAnsi="Times New Roman"/>
        </w:rPr>
        <w:t>s</w:t>
      </w:r>
      <w:r w:rsidR="000376FB">
        <w:rPr>
          <w:rFonts w:ascii="Times New Roman" w:hAnsi="Times New Roman"/>
        </w:rPr>
        <w:t xml:space="preserve"> </w:t>
      </w:r>
      <w:r w:rsidR="00934362">
        <w:rPr>
          <w:rFonts w:ascii="Times New Roman" w:hAnsi="Times New Roman"/>
        </w:rPr>
        <w:t xml:space="preserve">those subject to the regulations to adopt appropriate policies and procedures to safeguard customer records and information, </w:t>
      </w:r>
      <w:r w:rsidR="000376FB">
        <w:rPr>
          <w:rFonts w:ascii="Times New Roman" w:hAnsi="Times New Roman"/>
        </w:rPr>
        <w:t xml:space="preserve">by </w:t>
      </w:r>
      <w:r w:rsidR="00934362">
        <w:rPr>
          <w:rFonts w:ascii="Times New Roman" w:hAnsi="Times New Roman"/>
        </w:rPr>
        <w:t xml:space="preserve">providing initial and annual privacy notices to customers, and </w:t>
      </w:r>
      <w:r w:rsidR="000376FB">
        <w:rPr>
          <w:rFonts w:ascii="Times New Roman" w:hAnsi="Times New Roman"/>
        </w:rPr>
        <w:t xml:space="preserve">by </w:t>
      </w:r>
      <w:r w:rsidR="00934362">
        <w:rPr>
          <w:rFonts w:ascii="Times New Roman" w:hAnsi="Times New Roman"/>
        </w:rPr>
        <w:t>providing opt-out provisions to the extent that those subject to the regulations wish to share such records and information with non-affiliates.</w:t>
      </w:r>
      <w:r w:rsidR="000376FB">
        <w:rPr>
          <w:rFonts w:ascii="Times New Roman" w:hAnsi="Times New Roman"/>
        </w:rPr>
        <w:t xml:space="preserve">  </w:t>
      </w:r>
    </w:p>
    <w:p w14:paraId="5A38A7F5" w14:textId="77777777" w:rsidR="00072DCF" w:rsidRDefault="00072DCF">
      <w:pPr>
        <w:tabs>
          <w:tab w:val="left" w:pos="-720"/>
        </w:tabs>
        <w:suppressAutoHyphens/>
        <w:rPr>
          <w:rFonts w:ascii="Times New Roman" w:hAnsi="Times New Roman"/>
        </w:rPr>
      </w:pPr>
    </w:p>
    <w:p w14:paraId="4A903540" w14:textId="77777777" w:rsidR="006F0590" w:rsidRDefault="00214BA8">
      <w:pPr>
        <w:tabs>
          <w:tab w:val="left" w:pos="-720"/>
        </w:tabs>
        <w:suppressAutoHyphens/>
        <w:rPr>
          <w:rFonts w:ascii="Times New Roman" w:hAnsi="Times New Roman"/>
        </w:rPr>
      </w:pPr>
      <w:r>
        <w:rPr>
          <w:rFonts w:ascii="Times New Roman" w:hAnsi="Times New Roman"/>
        </w:rPr>
        <w:tab/>
      </w:r>
      <w:r w:rsidR="006F0590" w:rsidRPr="006F0590">
        <w:rPr>
          <w:rFonts w:ascii="Times New Roman" w:hAnsi="Times New Roman"/>
        </w:rPr>
        <w:t xml:space="preserve">The </w:t>
      </w:r>
      <w:r w:rsidR="006F0590">
        <w:rPr>
          <w:rFonts w:ascii="Times New Roman" w:hAnsi="Times New Roman"/>
        </w:rPr>
        <w:t>Commission</w:t>
      </w:r>
      <w:r w:rsidR="006F0590" w:rsidRPr="006F0590">
        <w:rPr>
          <w:rFonts w:ascii="Times New Roman" w:hAnsi="Times New Roman"/>
        </w:rPr>
        <w:t xml:space="preserve"> is proposing </w:t>
      </w:r>
      <w:r w:rsidR="006F0590">
        <w:rPr>
          <w:rFonts w:ascii="Times New Roman" w:hAnsi="Times New Roman"/>
        </w:rPr>
        <w:t xml:space="preserve">(“Proposal”) </w:t>
      </w:r>
      <w:r w:rsidR="006F0590" w:rsidRPr="006F0590">
        <w:rPr>
          <w:rFonts w:ascii="Times New Roman" w:hAnsi="Times New Roman"/>
        </w:rPr>
        <w:t xml:space="preserve">to revise its </w:t>
      </w:r>
      <w:r w:rsidR="007A6613">
        <w:rPr>
          <w:rFonts w:ascii="Times New Roman" w:hAnsi="Times New Roman"/>
        </w:rPr>
        <w:t xml:space="preserve">part 160 </w:t>
      </w:r>
      <w:r w:rsidR="006F0590" w:rsidRPr="006F0590">
        <w:rPr>
          <w:rFonts w:ascii="Times New Roman" w:hAnsi="Times New Roman"/>
        </w:rPr>
        <w:t xml:space="preserve">regulations requiring covered persons to provide annual privacy notices to customers.  The proposed revisions implement the Fixing America’s Surface Transportation Act’s (“FAST Act”) December 2015 statutory </w:t>
      </w:r>
      <w:r w:rsidR="006F0590">
        <w:rPr>
          <w:rFonts w:ascii="Times New Roman" w:hAnsi="Times New Roman"/>
        </w:rPr>
        <w:t>amendment to the GLB Act</w:t>
      </w:r>
      <w:r w:rsidR="006F0590" w:rsidRPr="006F0590">
        <w:rPr>
          <w:rFonts w:ascii="Times New Roman" w:hAnsi="Times New Roman"/>
        </w:rPr>
        <w:t xml:space="preserve"> by providing an exception to the annual notice requirement</w:t>
      </w:r>
      <w:r w:rsidR="007A6613">
        <w:rPr>
          <w:rFonts w:ascii="Times New Roman" w:hAnsi="Times New Roman"/>
        </w:rPr>
        <w:t xml:space="preserve"> in Commission regulation 160.5</w:t>
      </w:r>
      <w:r w:rsidR="006F0590" w:rsidRPr="006F0590">
        <w:rPr>
          <w:rFonts w:ascii="Times New Roman" w:hAnsi="Times New Roman"/>
        </w:rPr>
        <w:t xml:space="preserve"> under certain conditions.</w:t>
      </w:r>
      <w:r w:rsidR="006F0590">
        <w:rPr>
          <w:rFonts w:ascii="Times New Roman" w:hAnsi="Times New Roman"/>
        </w:rPr>
        <w:t xml:space="preserve">  The Commission estimates that th</w:t>
      </w:r>
      <w:r w:rsidR="007A6613">
        <w:rPr>
          <w:rFonts w:ascii="Times New Roman" w:hAnsi="Times New Roman"/>
        </w:rPr>
        <w:t>e burden of this collection would</w:t>
      </w:r>
      <w:r w:rsidR="006F0590">
        <w:rPr>
          <w:rFonts w:ascii="Times New Roman" w:hAnsi="Times New Roman"/>
        </w:rPr>
        <w:t xml:space="preserve"> be reduced as a result of this exception, as discussed below.  </w:t>
      </w:r>
    </w:p>
    <w:p w14:paraId="1957AA86" w14:textId="77777777" w:rsidR="00E1260A" w:rsidRDefault="00E1260A">
      <w:pPr>
        <w:tabs>
          <w:tab w:val="left" w:pos="-720"/>
        </w:tabs>
        <w:suppressAutoHyphens/>
        <w:rPr>
          <w:rFonts w:ascii="Times New Roman" w:hAnsi="Times New Roman"/>
        </w:rPr>
      </w:pPr>
    </w:p>
    <w:p w14:paraId="53359B17" w14:textId="77777777"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650C51">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14:paraId="4A8B94FA" w14:textId="77777777" w:rsidR="006F0590" w:rsidRDefault="006F0590">
      <w:pPr>
        <w:tabs>
          <w:tab w:val="left" w:pos="-720"/>
        </w:tabs>
        <w:suppressAutoHyphens/>
        <w:ind w:left="720" w:hanging="720"/>
        <w:rPr>
          <w:rFonts w:ascii="Times New Roman" w:hAnsi="Times New Roman"/>
        </w:rPr>
      </w:pPr>
    </w:p>
    <w:p w14:paraId="67DF0991" w14:textId="77777777" w:rsidR="002D133A" w:rsidRDefault="002D133A" w:rsidP="003233A6">
      <w:pPr>
        <w:tabs>
          <w:tab w:val="left" w:pos="-720"/>
        </w:tabs>
        <w:suppressAutoHyphens/>
        <w:rPr>
          <w:rFonts w:ascii="Times New Roman" w:hAnsi="Times New Roman"/>
        </w:rPr>
      </w:pPr>
      <w:r>
        <w:rPr>
          <w:rFonts w:ascii="Times New Roman" w:hAnsi="Times New Roman"/>
        </w:rPr>
        <w:tab/>
      </w:r>
      <w:r w:rsidR="003233A6">
        <w:rPr>
          <w:rFonts w:ascii="Times New Roman" w:hAnsi="Times New Roman"/>
        </w:rPr>
        <w:t xml:space="preserve">The financial institutions covered by these regulations must prepare and provide the initial privacy notice to all current and all new customers at the time of establishing a customer relationship.  Subsequently, </w:t>
      </w:r>
      <w:r w:rsidR="007A6613">
        <w:rPr>
          <w:rFonts w:ascii="Times New Roman" w:hAnsi="Times New Roman"/>
        </w:rPr>
        <w:t xml:space="preserve">subject to the exception in the Proposal, </w:t>
      </w:r>
      <w:r w:rsidR="003233A6">
        <w:rPr>
          <w:rFonts w:ascii="Times New Roman" w:hAnsi="Times New Roman"/>
        </w:rPr>
        <w:t>an annual notice must be provided to all cu</w:t>
      </w:r>
      <w:r w:rsidR="00B64B15">
        <w:rPr>
          <w:rFonts w:ascii="Times New Roman" w:hAnsi="Times New Roman"/>
        </w:rPr>
        <w:t>stomers at least once during a 12</w:t>
      </w:r>
      <w:r w:rsidR="003233A6">
        <w:rPr>
          <w:rFonts w:ascii="Times New Roman" w:hAnsi="Times New Roman"/>
        </w:rPr>
        <w:t>–month period during the continuation of the customer relationship.  The initial notice and opt out notice must be provided to a consumer prior to disclosing nonpublic personal information to certain nonaffiliated third parties.</w:t>
      </w:r>
    </w:p>
    <w:p w14:paraId="727EFC34" w14:textId="77777777" w:rsidR="003233A6" w:rsidRDefault="003233A6" w:rsidP="003233A6">
      <w:pPr>
        <w:tabs>
          <w:tab w:val="left" w:pos="-720"/>
        </w:tabs>
        <w:suppressAutoHyphens/>
        <w:rPr>
          <w:rFonts w:ascii="Times New Roman" w:hAnsi="Times New Roman"/>
        </w:rPr>
      </w:pPr>
    </w:p>
    <w:p w14:paraId="0C9E52C0" w14:textId="77777777"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lastRenderedPageBreak/>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0D94CF8" w14:textId="77777777" w:rsidR="003233A6" w:rsidRDefault="003233A6">
      <w:pPr>
        <w:tabs>
          <w:tab w:val="left" w:pos="-720"/>
          <w:tab w:val="left" w:pos="0"/>
        </w:tabs>
        <w:suppressAutoHyphens/>
        <w:ind w:left="720" w:hanging="720"/>
        <w:rPr>
          <w:rFonts w:ascii="Times New Roman" w:hAnsi="Times New Roman"/>
        </w:rPr>
      </w:pPr>
    </w:p>
    <w:p w14:paraId="1B6A88EF" w14:textId="77777777" w:rsidR="003233A6" w:rsidRDefault="008B790B" w:rsidP="00B64B15">
      <w:pPr>
        <w:tabs>
          <w:tab w:val="left" w:pos="-720"/>
          <w:tab w:val="left" w:pos="0"/>
        </w:tabs>
        <w:suppressAutoHyphens/>
        <w:rPr>
          <w:rFonts w:ascii="Times New Roman" w:hAnsi="Times New Roman"/>
        </w:rPr>
      </w:pPr>
      <w:r>
        <w:rPr>
          <w:rFonts w:ascii="Times New Roman" w:hAnsi="Times New Roman"/>
        </w:rPr>
        <w:tab/>
      </w:r>
      <w:r w:rsidR="003233A6">
        <w:rPr>
          <w:rFonts w:ascii="Times New Roman" w:hAnsi="Times New Roman"/>
        </w:rPr>
        <w:t xml:space="preserve">The required privacy notices may be distributed to consumers electronically </w:t>
      </w:r>
      <w:r>
        <w:rPr>
          <w:rFonts w:ascii="Times New Roman" w:hAnsi="Times New Roman"/>
        </w:rPr>
        <w:t>upon the consumer’s consent.  Therefore, a financial institution may reasonably expect that a customer who uses the institution’s website to obtain financial products and services will receive actual notice of the annual privacy notice if the customer has agreed to accept notices at the institution’s website and the institution continuously posts a current notice of its privacy policies and practices in a clear and conspicuous manner on the website.  In addition, the regulations provide that an institution may provide an electronic mail address as a reasonable means for the consumer to opt out of the institutions’ information sharing practices with non-affiliated third parties.</w:t>
      </w:r>
    </w:p>
    <w:p w14:paraId="6113ED33" w14:textId="77777777" w:rsidR="002D133A" w:rsidRDefault="002D133A">
      <w:pPr>
        <w:tabs>
          <w:tab w:val="left" w:pos="-720"/>
        </w:tabs>
        <w:suppressAutoHyphens/>
        <w:rPr>
          <w:rFonts w:ascii="Times New Roman" w:hAnsi="Times New Roman"/>
        </w:rPr>
      </w:pPr>
    </w:p>
    <w:p w14:paraId="547F9617"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14:paraId="3DADE505" w14:textId="77777777" w:rsidR="002D133A" w:rsidRDefault="002D133A">
      <w:pPr>
        <w:tabs>
          <w:tab w:val="left" w:pos="-720"/>
        </w:tabs>
        <w:suppressAutoHyphens/>
        <w:rPr>
          <w:rFonts w:ascii="Times New Roman" w:hAnsi="Times New Roman"/>
        </w:rPr>
      </w:pPr>
    </w:p>
    <w:p w14:paraId="5337C389" w14:textId="77777777" w:rsidR="008B790B" w:rsidRDefault="008B790B">
      <w:pPr>
        <w:tabs>
          <w:tab w:val="left" w:pos="-720"/>
        </w:tabs>
        <w:suppressAutoHyphens/>
        <w:rPr>
          <w:rFonts w:ascii="Times New Roman" w:hAnsi="Times New Roman"/>
        </w:rPr>
      </w:pPr>
      <w:r>
        <w:rPr>
          <w:rFonts w:ascii="Times New Roman" w:hAnsi="Times New Roman"/>
        </w:rPr>
        <w:tab/>
        <w:t>The type of information required to be collected under the regulation is not currently collected nor is the information available for public disclosure through any other source.</w:t>
      </w:r>
    </w:p>
    <w:p w14:paraId="1D554CFE" w14:textId="77777777" w:rsidR="008B790B" w:rsidRDefault="008B790B">
      <w:pPr>
        <w:tabs>
          <w:tab w:val="left" w:pos="-720"/>
        </w:tabs>
        <w:suppressAutoHyphens/>
        <w:rPr>
          <w:rFonts w:ascii="Times New Roman" w:hAnsi="Times New Roman"/>
        </w:rPr>
      </w:pPr>
    </w:p>
    <w:p w14:paraId="6C77672A"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14:paraId="3BBDAD9F" w14:textId="77777777" w:rsidR="008B790B" w:rsidRDefault="008B790B">
      <w:pPr>
        <w:tabs>
          <w:tab w:val="left" w:pos="-720"/>
          <w:tab w:val="left" w:pos="0"/>
        </w:tabs>
        <w:suppressAutoHyphens/>
        <w:ind w:left="720" w:hanging="720"/>
        <w:rPr>
          <w:rFonts w:ascii="Times New Roman" w:hAnsi="Times New Roman"/>
        </w:rPr>
      </w:pPr>
    </w:p>
    <w:p w14:paraId="76BA6DDF" w14:textId="246A2BD2" w:rsidR="008B790B" w:rsidRDefault="008B790B" w:rsidP="00B64B15">
      <w:pPr>
        <w:tabs>
          <w:tab w:val="left" w:pos="-720"/>
          <w:tab w:val="left" w:pos="0"/>
        </w:tabs>
        <w:suppressAutoHyphens/>
        <w:rPr>
          <w:rFonts w:ascii="Times New Roman" w:hAnsi="Times New Roman"/>
        </w:rPr>
      </w:pPr>
      <w:r>
        <w:rPr>
          <w:rFonts w:ascii="Times New Roman" w:hAnsi="Times New Roman"/>
        </w:rPr>
        <w:tab/>
      </w:r>
      <w:r w:rsidR="004C754E">
        <w:rPr>
          <w:rFonts w:ascii="Times New Roman" w:hAnsi="Times New Roman"/>
        </w:rPr>
        <w:t>T</w:t>
      </w:r>
      <w:r w:rsidR="004C754E" w:rsidRPr="004C754E">
        <w:rPr>
          <w:rFonts w:ascii="Times New Roman" w:hAnsi="Times New Roman"/>
        </w:rPr>
        <w:t>he Commission believes that</w:t>
      </w:r>
      <w:r w:rsidR="004C754E">
        <w:rPr>
          <w:rFonts w:ascii="Times New Roman" w:hAnsi="Times New Roman"/>
        </w:rPr>
        <w:t>, to the extent the Proposal involves small entities, it will reduce the burden</w:t>
      </w:r>
      <w:r w:rsidR="00EB04AB">
        <w:rPr>
          <w:rFonts w:ascii="Times New Roman" w:hAnsi="Times New Roman"/>
        </w:rPr>
        <w:t xml:space="preserve"> on</w:t>
      </w:r>
      <w:r w:rsidR="004C754E">
        <w:rPr>
          <w:rFonts w:ascii="Times New Roman" w:hAnsi="Times New Roman"/>
        </w:rPr>
        <w:t xml:space="preserve"> such entities.</w:t>
      </w:r>
    </w:p>
    <w:p w14:paraId="6915FE4B" w14:textId="77777777" w:rsidR="002D133A" w:rsidRDefault="002D133A">
      <w:pPr>
        <w:tabs>
          <w:tab w:val="left" w:pos="-720"/>
        </w:tabs>
        <w:suppressAutoHyphens/>
        <w:rPr>
          <w:rFonts w:ascii="Times New Roman" w:hAnsi="Times New Roman"/>
        </w:rPr>
      </w:pPr>
    </w:p>
    <w:p w14:paraId="0BC96DDF"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14:paraId="4988C9B2" w14:textId="77777777" w:rsidR="00F23052" w:rsidRDefault="00F23052">
      <w:pPr>
        <w:tabs>
          <w:tab w:val="left" w:pos="-720"/>
          <w:tab w:val="left" w:pos="0"/>
        </w:tabs>
        <w:suppressAutoHyphens/>
        <w:ind w:left="720" w:hanging="720"/>
        <w:rPr>
          <w:rFonts w:ascii="Times New Roman" w:hAnsi="Times New Roman"/>
        </w:rPr>
      </w:pPr>
    </w:p>
    <w:p w14:paraId="1FAE88A8" w14:textId="77777777" w:rsidR="00F23052" w:rsidRDefault="00B64B15" w:rsidP="000751BE">
      <w:pPr>
        <w:tabs>
          <w:tab w:val="left" w:pos="-720"/>
          <w:tab w:val="left" w:pos="0"/>
        </w:tabs>
        <w:suppressAutoHyphens/>
        <w:rPr>
          <w:rFonts w:ascii="Times New Roman" w:hAnsi="Times New Roman"/>
        </w:rPr>
      </w:pPr>
      <w:r>
        <w:rPr>
          <w:rFonts w:ascii="Times New Roman" w:hAnsi="Times New Roman"/>
        </w:rPr>
        <w:tab/>
      </w:r>
      <w:r w:rsidR="00F23052">
        <w:rPr>
          <w:rFonts w:ascii="Times New Roman" w:hAnsi="Times New Roman"/>
        </w:rPr>
        <w:t xml:space="preserve">The GLB Act mandates that </w:t>
      </w:r>
      <w:r w:rsidR="00A679CE">
        <w:rPr>
          <w:rFonts w:ascii="Times New Roman" w:hAnsi="Times New Roman"/>
        </w:rPr>
        <w:t xml:space="preserve">initial and </w:t>
      </w:r>
      <w:r w:rsidR="00F23052">
        <w:rPr>
          <w:rFonts w:ascii="Times New Roman" w:hAnsi="Times New Roman"/>
        </w:rPr>
        <w:t>annual priv</w:t>
      </w:r>
      <w:r w:rsidR="000751BE">
        <w:rPr>
          <w:rFonts w:ascii="Times New Roman" w:hAnsi="Times New Roman"/>
        </w:rPr>
        <w:t xml:space="preserve">acy notices must be provided by </w:t>
      </w:r>
      <w:r w:rsidR="00F23052">
        <w:rPr>
          <w:rFonts w:ascii="Times New Roman" w:hAnsi="Times New Roman"/>
        </w:rPr>
        <w:t>financial institutions to consumers with whom the financial institution has a customer relationship.</w:t>
      </w:r>
    </w:p>
    <w:p w14:paraId="05BD6A74" w14:textId="77777777" w:rsidR="002D133A" w:rsidRDefault="002D133A">
      <w:pPr>
        <w:tabs>
          <w:tab w:val="left" w:pos="-720"/>
        </w:tabs>
        <w:suppressAutoHyphens/>
        <w:rPr>
          <w:rFonts w:ascii="Times New Roman" w:hAnsi="Times New Roman"/>
        </w:rPr>
      </w:pPr>
    </w:p>
    <w:p w14:paraId="4EA99A50" w14:textId="77777777" w:rsidR="002D133A" w:rsidRDefault="002D133A" w:rsidP="000751BE">
      <w:pPr>
        <w:tabs>
          <w:tab w:val="left" w:pos="-720"/>
        </w:tabs>
        <w:suppressAutoHyphens/>
        <w:ind w:left="720" w:hanging="720"/>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14:paraId="5B91D56A" w14:textId="77777777" w:rsidR="002D133A" w:rsidRDefault="002D133A">
      <w:pPr>
        <w:tabs>
          <w:tab w:val="left" w:pos="-720"/>
        </w:tabs>
        <w:suppressAutoHyphens/>
        <w:rPr>
          <w:rFonts w:ascii="Times New Roman" w:hAnsi="Times New Roman"/>
        </w:rPr>
      </w:pPr>
    </w:p>
    <w:p w14:paraId="04B521FF"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14:paraId="33E5E8FD" w14:textId="77777777" w:rsidR="002D133A" w:rsidRDefault="002D133A">
      <w:pPr>
        <w:tabs>
          <w:tab w:val="left" w:pos="-720"/>
        </w:tabs>
        <w:suppressAutoHyphens/>
        <w:rPr>
          <w:rFonts w:ascii="Times New Roman" w:hAnsi="Times New Roman"/>
        </w:rPr>
      </w:pPr>
    </w:p>
    <w:p w14:paraId="1627F1FA" w14:textId="77777777"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 xml:space="preserve">Notices required by these </w:t>
      </w:r>
      <w:r>
        <w:rPr>
          <w:rFonts w:ascii="Times New Roman" w:hAnsi="Times New Roman"/>
        </w:rPr>
        <w:t xml:space="preserve">proposed </w:t>
      </w:r>
      <w:r w:rsidR="00F23052">
        <w:rPr>
          <w:rFonts w:ascii="Times New Roman" w:hAnsi="Times New Roman"/>
        </w:rPr>
        <w:t>regulations are not required to be submitted to the Commission.</w:t>
      </w:r>
    </w:p>
    <w:p w14:paraId="157AC2EA" w14:textId="77777777" w:rsidR="00F23052" w:rsidRDefault="00F23052">
      <w:pPr>
        <w:tabs>
          <w:tab w:val="left" w:pos="-720"/>
        </w:tabs>
        <w:suppressAutoHyphens/>
        <w:rPr>
          <w:rFonts w:ascii="Times New Roman" w:hAnsi="Times New Roman"/>
        </w:rPr>
      </w:pPr>
    </w:p>
    <w:p w14:paraId="21943C3D" w14:textId="77777777"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14:paraId="4ED7B099" w14:textId="77777777" w:rsidR="00F23052" w:rsidRDefault="00F23052">
      <w:pPr>
        <w:tabs>
          <w:tab w:val="left" w:pos="-720"/>
          <w:tab w:val="left" w:pos="0"/>
          <w:tab w:val="left" w:pos="720"/>
        </w:tabs>
        <w:suppressAutoHyphens/>
        <w:ind w:left="1440" w:hanging="1440"/>
        <w:rPr>
          <w:rFonts w:ascii="Times New Roman" w:hAnsi="Times New Roman"/>
          <w:u w:val="single"/>
        </w:rPr>
      </w:pPr>
    </w:p>
    <w:p w14:paraId="439EBF83" w14:textId="77777777" w:rsidR="00F23052" w:rsidRPr="00F23052" w:rsidRDefault="002607C6">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F23052" w:rsidRPr="00F23052">
        <w:rPr>
          <w:rFonts w:ascii="Times New Roman" w:hAnsi="Times New Roman"/>
        </w:rPr>
        <w:t>This does not apply.</w:t>
      </w:r>
    </w:p>
    <w:p w14:paraId="3C25EDF1" w14:textId="77777777" w:rsidR="002D133A" w:rsidRPr="00F23052" w:rsidRDefault="002D133A">
      <w:pPr>
        <w:tabs>
          <w:tab w:val="left" w:pos="-720"/>
        </w:tabs>
        <w:suppressAutoHyphens/>
        <w:rPr>
          <w:rFonts w:ascii="Times New Roman" w:hAnsi="Times New Roman"/>
        </w:rPr>
      </w:pPr>
    </w:p>
    <w:p w14:paraId="1625F8DD"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14:paraId="49C9069C" w14:textId="77777777" w:rsidR="002D133A" w:rsidRDefault="002D133A">
      <w:pPr>
        <w:tabs>
          <w:tab w:val="left" w:pos="-720"/>
        </w:tabs>
        <w:suppressAutoHyphens/>
        <w:rPr>
          <w:rFonts w:ascii="Times New Roman" w:hAnsi="Times New Roman"/>
        </w:rPr>
      </w:pPr>
    </w:p>
    <w:p w14:paraId="400F5DB9" w14:textId="77777777"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This does not apply.</w:t>
      </w:r>
    </w:p>
    <w:p w14:paraId="288B4DE3" w14:textId="77777777" w:rsidR="002607C6" w:rsidRDefault="002607C6">
      <w:pPr>
        <w:tabs>
          <w:tab w:val="left" w:pos="-720"/>
        </w:tabs>
        <w:suppressAutoHyphens/>
        <w:rPr>
          <w:rFonts w:ascii="Times New Roman" w:hAnsi="Times New Roman"/>
        </w:rPr>
      </w:pPr>
    </w:p>
    <w:p w14:paraId="0337C27A"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14:paraId="0D2C80F7" w14:textId="77777777" w:rsidR="002D133A" w:rsidRDefault="002D133A">
      <w:pPr>
        <w:tabs>
          <w:tab w:val="left" w:pos="-720"/>
        </w:tabs>
        <w:suppressAutoHyphens/>
        <w:rPr>
          <w:rFonts w:ascii="Times New Roman" w:hAnsi="Times New Roman"/>
        </w:rPr>
      </w:pPr>
    </w:p>
    <w:p w14:paraId="7F5C3183" w14:textId="77777777"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Financial institutions are required to retain information regarding a consumer’s decision to opt out after the financial institution’s customer relationship with the financial institution terminates.</w:t>
      </w:r>
    </w:p>
    <w:p w14:paraId="0EE45EC0" w14:textId="77777777" w:rsidR="00F23052" w:rsidRDefault="00F23052">
      <w:pPr>
        <w:tabs>
          <w:tab w:val="left" w:pos="-720"/>
        </w:tabs>
        <w:suppressAutoHyphens/>
        <w:rPr>
          <w:rFonts w:ascii="Times New Roman" w:hAnsi="Times New Roman"/>
        </w:rPr>
      </w:pPr>
    </w:p>
    <w:p w14:paraId="6A13B328"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14:paraId="10CCE358" w14:textId="77777777" w:rsidR="002D133A" w:rsidRDefault="002D133A">
      <w:pPr>
        <w:tabs>
          <w:tab w:val="left" w:pos="-720"/>
        </w:tabs>
        <w:suppressAutoHyphens/>
        <w:rPr>
          <w:rFonts w:ascii="Times New Roman" w:hAnsi="Times New Roman"/>
        </w:rPr>
      </w:pPr>
    </w:p>
    <w:p w14:paraId="1F3A6A55" w14:textId="77777777"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 xml:space="preserve">The </w:t>
      </w:r>
      <w:r>
        <w:rPr>
          <w:rFonts w:ascii="Times New Roman" w:hAnsi="Times New Roman"/>
        </w:rPr>
        <w:t xml:space="preserve">proposed </w:t>
      </w:r>
      <w:r w:rsidR="00F23052">
        <w:rPr>
          <w:rFonts w:ascii="Times New Roman" w:hAnsi="Times New Roman"/>
        </w:rPr>
        <w:t>regulations do not involve a statistical survey.</w:t>
      </w:r>
    </w:p>
    <w:p w14:paraId="1F0DFDAC" w14:textId="77777777" w:rsidR="00F23052" w:rsidRDefault="00F23052">
      <w:pPr>
        <w:tabs>
          <w:tab w:val="left" w:pos="-720"/>
        </w:tabs>
        <w:suppressAutoHyphens/>
        <w:rPr>
          <w:rFonts w:ascii="Times New Roman" w:hAnsi="Times New Roman"/>
        </w:rPr>
      </w:pPr>
    </w:p>
    <w:p w14:paraId="76C96B33"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14:paraId="28227AD1" w14:textId="77777777" w:rsidR="002D133A" w:rsidRDefault="002D133A">
      <w:pPr>
        <w:tabs>
          <w:tab w:val="left" w:pos="-720"/>
        </w:tabs>
        <w:suppressAutoHyphens/>
        <w:rPr>
          <w:rFonts w:ascii="Times New Roman" w:hAnsi="Times New Roman"/>
        </w:rPr>
      </w:pPr>
    </w:p>
    <w:p w14:paraId="4DCE5DFF" w14:textId="77777777"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 xml:space="preserve">The </w:t>
      </w:r>
      <w:r>
        <w:rPr>
          <w:rFonts w:ascii="Times New Roman" w:hAnsi="Times New Roman"/>
        </w:rPr>
        <w:t xml:space="preserve">proposed </w:t>
      </w:r>
      <w:r w:rsidR="00F23052">
        <w:rPr>
          <w:rFonts w:ascii="Times New Roman" w:hAnsi="Times New Roman"/>
        </w:rPr>
        <w:t>regulation</w:t>
      </w:r>
      <w:r>
        <w:rPr>
          <w:rFonts w:ascii="Times New Roman" w:hAnsi="Times New Roman"/>
        </w:rPr>
        <w:t>s</w:t>
      </w:r>
      <w:r w:rsidR="00F23052">
        <w:rPr>
          <w:rFonts w:ascii="Times New Roman" w:hAnsi="Times New Roman"/>
        </w:rPr>
        <w:t xml:space="preserve"> do not involve the use of statistical data.</w:t>
      </w:r>
    </w:p>
    <w:p w14:paraId="00F8D0B7" w14:textId="77777777" w:rsidR="00F23052" w:rsidRDefault="00F23052">
      <w:pPr>
        <w:tabs>
          <w:tab w:val="left" w:pos="-720"/>
        </w:tabs>
        <w:suppressAutoHyphens/>
        <w:rPr>
          <w:rFonts w:ascii="Times New Roman" w:hAnsi="Times New Roman"/>
        </w:rPr>
      </w:pPr>
    </w:p>
    <w:p w14:paraId="646B9E1F"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F9DFA76" w14:textId="77777777" w:rsidR="002D133A" w:rsidRDefault="002D133A">
      <w:pPr>
        <w:tabs>
          <w:tab w:val="left" w:pos="-720"/>
        </w:tabs>
        <w:suppressAutoHyphens/>
        <w:rPr>
          <w:rFonts w:ascii="Times New Roman" w:hAnsi="Times New Roman"/>
        </w:rPr>
      </w:pPr>
    </w:p>
    <w:p w14:paraId="3A9E2EB9" w14:textId="77777777" w:rsidR="00F23052" w:rsidRDefault="002607C6">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This does not apply.</w:t>
      </w:r>
    </w:p>
    <w:p w14:paraId="61734F57" w14:textId="77777777" w:rsidR="00F23052" w:rsidRDefault="00F23052">
      <w:pPr>
        <w:tabs>
          <w:tab w:val="left" w:pos="-720"/>
        </w:tabs>
        <w:suppressAutoHyphens/>
        <w:rPr>
          <w:rFonts w:ascii="Times New Roman" w:hAnsi="Times New Roman"/>
        </w:rPr>
      </w:pPr>
    </w:p>
    <w:p w14:paraId="1FB7982C"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14:paraId="6155821C" w14:textId="77777777" w:rsidR="002D133A" w:rsidRDefault="002D133A">
      <w:pPr>
        <w:tabs>
          <w:tab w:val="left" w:pos="-720"/>
        </w:tabs>
        <w:suppressAutoHyphens/>
        <w:rPr>
          <w:rFonts w:ascii="Times New Roman" w:hAnsi="Times New Roman"/>
        </w:rPr>
      </w:pPr>
    </w:p>
    <w:p w14:paraId="286D59DE" w14:textId="77777777" w:rsidR="00F23052" w:rsidRDefault="000F3F59">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This does not apply.</w:t>
      </w:r>
    </w:p>
    <w:p w14:paraId="061D707F" w14:textId="77777777" w:rsidR="000F3F59" w:rsidRDefault="000F3F59">
      <w:pPr>
        <w:tabs>
          <w:tab w:val="left" w:pos="-720"/>
        </w:tabs>
        <w:suppressAutoHyphens/>
        <w:rPr>
          <w:rFonts w:ascii="Times New Roman" w:hAnsi="Times New Roman"/>
        </w:rPr>
      </w:pPr>
    </w:p>
    <w:p w14:paraId="32715942"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79F764" w14:textId="77777777" w:rsidR="002D133A" w:rsidRDefault="002D133A">
      <w:pPr>
        <w:tabs>
          <w:tab w:val="left" w:pos="-720"/>
        </w:tabs>
        <w:suppressAutoHyphens/>
        <w:rPr>
          <w:rFonts w:ascii="Times New Roman" w:hAnsi="Times New Roman"/>
        </w:rPr>
      </w:pPr>
    </w:p>
    <w:p w14:paraId="7F149CED" w14:textId="66356AAC" w:rsidR="00A22DF4" w:rsidRDefault="00A3539D" w:rsidP="002C4BC5">
      <w:pPr>
        <w:tabs>
          <w:tab w:val="left" w:pos="-720"/>
        </w:tabs>
        <w:suppressAutoHyphens/>
        <w:rPr>
          <w:rFonts w:ascii="Times New Roman" w:hAnsi="Times New Roman"/>
        </w:rPr>
      </w:pPr>
      <w:r>
        <w:rPr>
          <w:rFonts w:ascii="Times New Roman" w:hAnsi="Times New Roman"/>
        </w:rPr>
        <w:tab/>
      </w:r>
      <w:r w:rsidR="00FB4EB3" w:rsidRPr="00FB4EB3">
        <w:rPr>
          <w:rFonts w:ascii="Times New Roman" w:hAnsi="Times New Roman"/>
        </w:rPr>
        <w:t xml:space="preserve">The Commission’s Proposal is soliciting comments on this collection of information through publication in the Federal Register.  </w:t>
      </w:r>
    </w:p>
    <w:p w14:paraId="54D53BFD" w14:textId="77777777" w:rsidR="00A64548" w:rsidRDefault="00A64548">
      <w:pPr>
        <w:tabs>
          <w:tab w:val="left" w:pos="-720"/>
        </w:tabs>
        <w:suppressAutoHyphens/>
        <w:rPr>
          <w:rFonts w:ascii="Times New Roman" w:hAnsi="Times New Roman"/>
        </w:rPr>
      </w:pPr>
    </w:p>
    <w:p w14:paraId="136B378C" w14:textId="77777777"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33EB926" w14:textId="77777777" w:rsidR="002D133A" w:rsidRDefault="002D133A">
      <w:pPr>
        <w:tabs>
          <w:tab w:val="left" w:pos="-720"/>
        </w:tabs>
        <w:suppressAutoHyphens/>
        <w:rPr>
          <w:rFonts w:ascii="Times New Roman" w:hAnsi="Times New Roman"/>
          <w:u w:val="single"/>
        </w:rPr>
      </w:pPr>
    </w:p>
    <w:p w14:paraId="68519EA0" w14:textId="77777777" w:rsidR="00A3539D" w:rsidRPr="00A3539D" w:rsidRDefault="00A3539D">
      <w:pPr>
        <w:tabs>
          <w:tab w:val="left" w:pos="-720"/>
        </w:tabs>
        <w:suppressAutoHyphens/>
        <w:rPr>
          <w:rFonts w:ascii="Times New Roman" w:hAnsi="Times New Roman"/>
        </w:rPr>
      </w:pPr>
      <w:r w:rsidRPr="00A3539D">
        <w:rPr>
          <w:rFonts w:ascii="Times New Roman" w:hAnsi="Times New Roman"/>
        </w:rPr>
        <w:tab/>
        <w:t>The Commission consulted the National Futures Association when the Part 160 regulations were initially published to determine the availability of data, frequency of collection and the clarity of instructions and recordkeeping disclosure and on the data elements to be recorded, disclosed, or reported.</w:t>
      </w:r>
      <w:r w:rsidR="00BC23DA">
        <w:rPr>
          <w:rFonts w:ascii="Times New Roman" w:hAnsi="Times New Roman"/>
        </w:rPr>
        <w:t xml:space="preserve"> </w:t>
      </w:r>
      <w:r w:rsidR="00FB4EB3">
        <w:rPr>
          <w:rFonts w:ascii="Times New Roman" w:hAnsi="Times New Roman"/>
        </w:rPr>
        <w:t xml:space="preserve"> Further, i</w:t>
      </w:r>
      <w:r w:rsidR="00FB4EB3" w:rsidRPr="00FB4EB3">
        <w:rPr>
          <w:rFonts w:ascii="Times New Roman" w:hAnsi="Times New Roman"/>
        </w:rPr>
        <w:t>n developing the Proposal, pursuant to Section 6804(a)(2) of the GLB Act,</w:t>
      </w:r>
      <w:r w:rsidR="00FB4EB3">
        <w:rPr>
          <w:rStyle w:val="FootnoteReference"/>
          <w:rFonts w:ascii="Times New Roman" w:hAnsi="Times New Roman"/>
        </w:rPr>
        <w:footnoteReference w:id="2"/>
      </w:r>
      <w:r w:rsidR="00FB4EB3" w:rsidRPr="00FB4EB3">
        <w:rPr>
          <w:rFonts w:ascii="Times New Roman" w:hAnsi="Times New Roman"/>
        </w:rPr>
        <w:t xml:space="preserve"> the Commission consulted and coordinated with the Bureau of Consumer Financial Protection, the Securities and Exchange Commission, the Federal Trade Commission, and representatives of State insurance authorities designated by the National Association of Insurance Commissioners, including regarding consistency and comparability with the regulations prescribed by such agencies. </w:t>
      </w:r>
    </w:p>
    <w:p w14:paraId="1E3F4654" w14:textId="77777777" w:rsidR="00A3539D" w:rsidRDefault="00A3539D">
      <w:pPr>
        <w:tabs>
          <w:tab w:val="left" w:pos="-720"/>
        </w:tabs>
        <w:suppressAutoHyphens/>
        <w:rPr>
          <w:rFonts w:ascii="Times New Roman" w:hAnsi="Times New Roman"/>
          <w:u w:val="single"/>
        </w:rPr>
      </w:pPr>
    </w:p>
    <w:p w14:paraId="7C79D50F"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14:paraId="68EFAAC4" w14:textId="77777777" w:rsidR="002D133A" w:rsidRDefault="002D133A">
      <w:pPr>
        <w:tabs>
          <w:tab w:val="left" w:pos="-720"/>
        </w:tabs>
        <w:suppressAutoHyphens/>
        <w:rPr>
          <w:rFonts w:ascii="Times New Roman" w:hAnsi="Times New Roman"/>
        </w:rPr>
      </w:pPr>
    </w:p>
    <w:p w14:paraId="4D7706E1" w14:textId="77777777" w:rsidR="00A3539D" w:rsidRDefault="00A3539D">
      <w:pPr>
        <w:tabs>
          <w:tab w:val="left" w:pos="-720"/>
        </w:tabs>
        <w:suppressAutoHyphens/>
        <w:rPr>
          <w:rFonts w:ascii="Times New Roman" w:hAnsi="Times New Roman"/>
        </w:rPr>
      </w:pPr>
      <w:r>
        <w:rPr>
          <w:rFonts w:ascii="Times New Roman" w:hAnsi="Times New Roman"/>
        </w:rPr>
        <w:tab/>
        <w:t>This question does not apply.</w:t>
      </w:r>
    </w:p>
    <w:p w14:paraId="6A4FD23B" w14:textId="77777777" w:rsidR="00A3539D" w:rsidRDefault="00A3539D">
      <w:pPr>
        <w:tabs>
          <w:tab w:val="left" w:pos="-720"/>
        </w:tabs>
        <w:suppressAutoHyphens/>
        <w:rPr>
          <w:rFonts w:ascii="Times New Roman" w:hAnsi="Times New Roman"/>
        </w:rPr>
      </w:pPr>
    </w:p>
    <w:p w14:paraId="1341223D"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14:paraId="44CB3ADA" w14:textId="77777777" w:rsidR="00A3539D" w:rsidRDefault="00A3539D">
      <w:pPr>
        <w:tabs>
          <w:tab w:val="left" w:pos="-720"/>
        </w:tabs>
        <w:suppressAutoHyphens/>
        <w:rPr>
          <w:rFonts w:ascii="Times New Roman" w:hAnsi="Times New Roman"/>
        </w:rPr>
      </w:pPr>
      <w:r>
        <w:rPr>
          <w:rFonts w:ascii="Times New Roman" w:hAnsi="Times New Roman"/>
        </w:rPr>
        <w:tab/>
      </w:r>
    </w:p>
    <w:p w14:paraId="439D9BFB" w14:textId="77777777" w:rsidR="002D133A" w:rsidRDefault="00A3539D">
      <w:pPr>
        <w:tabs>
          <w:tab w:val="left" w:pos="-720"/>
        </w:tabs>
        <w:suppressAutoHyphens/>
        <w:rPr>
          <w:rFonts w:ascii="Times New Roman" w:hAnsi="Times New Roman"/>
        </w:rPr>
      </w:pPr>
      <w:r>
        <w:rPr>
          <w:rFonts w:ascii="Times New Roman" w:hAnsi="Times New Roman"/>
        </w:rPr>
        <w:tab/>
        <w:t>This question does not apply.</w:t>
      </w:r>
    </w:p>
    <w:p w14:paraId="1075BD69" w14:textId="77777777" w:rsidR="002D133A" w:rsidRDefault="002D133A">
      <w:pPr>
        <w:tabs>
          <w:tab w:val="left" w:pos="-720"/>
        </w:tabs>
        <w:suppressAutoHyphens/>
        <w:rPr>
          <w:rFonts w:ascii="Times New Roman" w:hAnsi="Times New Roman"/>
        </w:rPr>
      </w:pPr>
      <w:r>
        <w:rPr>
          <w:rFonts w:ascii="Times New Roman" w:hAnsi="Times New Roman"/>
        </w:rPr>
        <w:t xml:space="preserve">  </w:t>
      </w:r>
    </w:p>
    <w:p w14:paraId="0FF014BA"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14:paraId="0857E42A" w14:textId="77777777" w:rsidR="002D133A" w:rsidRDefault="002D133A">
      <w:pPr>
        <w:tabs>
          <w:tab w:val="left" w:pos="-720"/>
        </w:tabs>
        <w:suppressAutoHyphens/>
        <w:rPr>
          <w:rFonts w:ascii="Times New Roman" w:hAnsi="Times New Roman"/>
        </w:rPr>
      </w:pPr>
      <w:r>
        <w:rPr>
          <w:rFonts w:ascii="Times New Roman" w:hAnsi="Times New Roman"/>
        </w:rPr>
        <w:tab/>
      </w:r>
    </w:p>
    <w:p w14:paraId="2ED8C267" w14:textId="77777777" w:rsidR="00957AF3" w:rsidRDefault="00A3539D">
      <w:pPr>
        <w:tabs>
          <w:tab w:val="left" w:pos="-720"/>
        </w:tabs>
        <w:suppressAutoHyphens/>
        <w:rPr>
          <w:rFonts w:ascii="Times New Roman" w:hAnsi="Times New Roman"/>
        </w:rPr>
      </w:pPr>
      <w:r>
        <w:rPr>
          <w:rFonts w:ascii="Times New Roman" w:hAnsi="Times New Roman"/>
        </w:rPr>
        <w:tab/>
      </w:r>
      <w:r w:rsidR="00AD66F5" w:rsidRPr="00AD66F5">
        <w:rPr>
          <w:rFonts w:ascii="Times New Roman" w:hAnsi="Times New Roman"/>
        </w:rPr>
        <w:t xml:space="preserve">The Commission does not provide respondents with an assurance of confidentiality, only to the extent provided by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w:t>
      </w:r>
    </w:p>
    <w:p w14:paraId="4CA6A429" w14:textId="77777777" w:rsidR="00A3539D" w:rsidRDefault="00A3539D">
      <w:pPr>
        <w:tabs>
          <w:tab w:val="left" w:pos="-720"/>
        </w:tabs>
        <w:suppressAutoHyphens/>
        <w:rPr>
          <w:rFonts w:ascii="Times New Roman" w:hAnsi="Times New Roman"/>
        </w:rPr>
      </w:pPr>
    </w:p>
    <w:p w14:paraId="2FF4A252" w14:textId="77777777"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14:paraId="5703ED11" w14:textId="77777777" w:rsidR="002D133A" w:rsidRDefault="002D133A">
      <w:pPr>
        <w:tabs>
          <w:tab w:val="left" w:pos="-720"/>
        </w:tabs>
        <w:suppressAutoHyphens/>
        <w:rPr>
          <w:rFonts w:ascii="Times New Roman" w:hAnsi="Times New Roman"/>
        </w:rPr>
      </w:pPr>
    </w:p>
    <w:p w14:paraId="4CAA97BE" w14:textId="77777777" w:rsidR="00A3539D" w:rsidRDefault="00A3539D">
      <w:pPr>
        <w:tabs>
          <w:tab w:val="left" w:pos="-720"/>
        </w:tabs>
        <w:suppressAutoHyphens/>
        <w:rPr>
          <w:rFonts w:ascii="Times New Roman" w:hAnsi="Times New Roman"/>
        </w:rPr>
      </w:pPr>
      <w:r>
        <w:rPr>
          <w:rFonts w:ascii="Times New Roman" w:hAnsi="Times New Roman"/>
        </w:rPr>
        <w:tab/>
        <w:t>The proposed regulation</w:t>
      </w:r>
      <w:r w:rsidR="000F3F59">
        <w:rPr>
          <w:rFonts w:ascii="Times New Roman" w:hAnsi="Times New Roman"/>
        </w:rPr>
        <w:t>s</w:t>
      </w:r>
      <w:r>
        <w:rPr>
          <w:rFonts w:ascii="Times New Roman" w:hAnsi="Times New Roman"/>
        </w:rPr>
        <w:t xml:space="preserve"> do not require the giving of sensitive information, as that term is used in Question 11.</w:t>
      </w:r>
    </w:p>
    <w:p w14:paraId="478C2373" w14:textId="77777777" w:rsidR="00A3539D" w:rsidRDefault="00A3539D">
      <w:pPr>
        <w:tabs>
          <w:tab w:val="left" w:pos="-720"/>
        </w:tabs>
        <w:suppressAutoHyphens/>
        <w:rPr>
          <w:rFonts w:ascii="Times New Roman" w:hAnsi="Times New Roman"/>
        </w:rPr>
      </w:pPr>
    </w:p>
    <w:p w14:paraId="6638BAEE"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14:paraId="29683998" w14:textId="77777777" w:rsidR="002D133A" w:rsidRDefault="002D133A">
      <w:pPr>
        <w:tabs>
          <w:tab w:val="left" w:pos="-720"/>
        </w:tabs>
        <w:suppressAutoHyphens/>
        <w:rPr>
          <w:rFonts w:ascii="Times New Roman" w:hAnsi="Times New Roman"/>
        </w:rPr>
      </w:pPr>
    </w:p>
    <w:p w14:paraId="1E763CBC"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04BAD5" w14:textId="77777777" w:rsidR="002D133A" w:rsidRDefault="002D133A">
      <w:pPr>
        <w:tabs>
          <w:tab w:val="left" w:pos="-720"/>
        </w:tabs>
        <w:suppressAutoHyphens/>
        <w:rPr>
          <w:rFonts w:ascii="Times New Roman" w:hAnsi="Times New Roman"/>
        </w:rPr>
      </w:pPr>
    </w:p>
    <w:p w14:paraId="0580629C"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14:paraId="2953BD5C" w14:textId="77777777" w:rsidR="002D133A" w:rsidRDefault="002D133A">
      <w:pPr>
        <w:tabs>
          <w:tab w:val="left" w:pos="-720"/>
        </w:tabs>
        <w:suppressAutoHyphens/>
        <w:rPr>
          <w:rFonts w:ascii="Times New Roman" w:hAnsi="Times New Roman"/>
        </w:rPr>
      </w:pPr>
    </w:p>
    <w:p w14:paraId="0C943F3A"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w:t>
      </w:r>
      <w:r w:rsidR="00755A68">
        <w:rPr>
          <w:rFonts w:ascii="Times New Roman" w:hAnsi="Times New Roman"/>
        </w:rPr>
        <w:t>t</w:t>
      </w:r>
      <w:r>
        <w:rPr>
          <w:rFonts w:ascii="Times New Roman" w:hAnsi="Times New Roman"/>
        </w:rPr>
        <w:t xml:space="preserve"> or paying outside parties for information collection activities should not be included here.  Instead, this cost should be included in Item 13.</w:t>
      </w:r>
    </w:p>
    <w:p w14:paraId="2E4A4E84" w14:textId="77777777" w:rsidR="002D133A" w:rsidRDefault="002D133A">
      <w:pPr>
        <w:tabs>
          <w:tab w:val="left" w:pos="-720"/>
        </w:tabs>
        <w:suppressAutoHyphens/>
        <w:rPr>
          <w:rFonts w:ascii="Times New Roman" w:hAnsi="Times New Roman"/>
        </w:rPr>
      </w:pPr>
    </w:p>
    <w:p w14:paraId="73B2EB80" w14:textId="77777777" w:rsidR="00A3539D" w:rsidRDefault="00A3539D">
      <w:pPr>
        <w:tabs>
          <w:tab w:val="left" w:pos="-720"/>
        </w:tabs>
        <w:suppressAutoHyphens/>
        <w:rPr>
          <w:rFonts w:ascii="Times New Roman" w:hAnsi="Times New Roman"/>
        </w:rPr>
      </w:pPr>
      <w:r>
        <w:rPr>
          <w:rFonts w:ascii="Times New Roman" w:hAnsi="Times New Roman"/>
        </w:rPr>
        <w:tab/>
        <w:t>See Attachment A.</w:t>
      </w:r>
    </w:p>
    <w:p w14:paraId="32018DA1" w14:textId="77777777" w:rsidR="00A3539D" w:rsidRDefault="00A3539D">
      <w:pPr>
        <w:tabs>
          <w:tab w:val="left" w:pos="-720"/>
        </w:tabs>
        <w:suppressAutoHyphens/>
        <w:rPr>
          <w:rFonts w:ascii="Times New Roman" w:hAnsi="Times New Roman"/>
        </w:rPr>
      </w:pPr>
    </w:p>
    <w:p w14:paraId="00A32432"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recordkeepers resulting </w:t>
      </w:r>
      <w:r w:rsidR="000F3F59">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14:paraId="0DB04951" w14:textId="77777777" w:rsidR="002D133A" w:rsidRDefault="002D133A">
      <w:pPr>
        <w:tabs>
          <w:tab w:val="left" w:pos="-720"/>
        </w:tabs>
        <w:suppressAutoHyphens/>
        <w:rPr>
          <w:rFonts w:ascii="Times New Roman" w:hAnsi="Times New Roman"/>
        </w:rPr>
      </w:pPr>
    </w:p>
    <w:p w14:paraId="3EF94FEA"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D7B9EC8" w14:textId="77777777" w:rsidR="002D133A" w:rsidRDefault="002D133A">
      <w:pPr>
        <w:tabs>
          <w:tab w:val="left" w:pos="-720"/>
        </w:tabs>
        <w:suppressAutoHyphens/>
        <w:rPr>
          <w:rFonts w:ascii="Times New Roman" w:hAnsi="Times New Roman"/>
        </w:rPr>
      </w:pPr>
    </w:p>
    <w:p w14:paraId="0A874DEE"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03C54CE6" w14:textId="77777777" w:rsidR="002D133A" w:rsidRDefault="002D133A">
      <w:pPr>
        <w:tabs>
          <w:tab w:val="left" w:pos="-720"/>
        </w:tabs>
        <w:suppressAutoHyphens/>
        <w:rPr>
          <w:rFonts w:ascii="Times New Roman" w:hAnsi="Times New Roman"/>
        </w:rPr>
      </w:pPr>
    </w:p>
    <w:p w14:paraId="4323D830"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0F3F59">
        <w:rPr>
          <w:rFonts w:ascii="Times New Roman" w:hAnsi="Times New Roman"/>
        </w:rPr>
        <w:t>government</w:t>
      </w:r>
      <w:r>
        <w:rPr>
          <w:rFonts w:ascii="Times New Roman" w:hAnsi="Times New Roman"/>
        </w:rPr>
        <w:t xml:space="preserve"> or (4) as part of customary and usual business or private practices.</w:t>
      </w:r>
    </w:p>
    <w:p w14:paraId="512991F6" w14:textId="77777777" w:rsidR="002D133A" w:rsidRDefault="002D133A">
      <w:pPr>
        <w:tabs>
          <w:tab w:val="left" w:pos="-720"/>
        </w:tabs>
        <w:suppressAutoHyphens/>
        <w:rPr>
          <w:rFonts w:ascii="Times New Roman" w:hAnsi="Times New Roman"/>
        </w:rPr>
      </w:pPr>
    </w:p>
    <w:p w14:paraId="42D1731E" w14:textId="77777777" w:rsidR="00A17B53" w:rsidRDefault="00AB5AFD">
      <w:pPr>
        <w:tabs>
          <w:tab w:val="left" w:pos="-720"/>
        </w:tabs>
        <w:suppressAutoHyphens/>
        <w:rPr>
          <w:rFonts w:ascii="Times New Roman" w:hAnsi="Times New Roman"/>
        </w:rPr>
      </w:pPr>
      <w:r>
        <w:rPr>
          <w:rFonts w:ascii="Times New Roman" w:hAnsi="Times New Roman"/>
        </w:rPr>
        <w:tab/>
        <w:t>The proposed regulations covered by this collection require no new start-up or operations and maintenance costs.</w:t>
      </w:r>
    </w:p>
    <w:p w14:paraId="783A1D30" w14:textId="77777777" w:rsidR="00AB5AFD" w:rsidRDefault="00AB5AFD">
      <w:pPr>
        <w:tabs>
          <w:tab w:val="left" w:pos="-720"/>
        </w:tabs>
        <w:suppressAutoHyphens/>
        <w:rPr>
          <w:rFonts w:ascii="Times New Roman" w:hAnsi="Times New Roman"/>
        </w:rPr>
      </w:pPr>
    </w:p>
    <w:p w14:paraId="687EABBA" w14:textId="77777777"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14:paraId="5E8EF0FC" w14:textId="77777777" w:rsidR="002D133A" w:rsidRDefault="002D133A">
      <w:pPr>
        <w:tabs>
          <w:tab w:val="left" w:pos="-720"/>
        </w:tabs>
        <w:suppressAutoHyphens/>
        <w:rPr>
          <w:rFonts w:ascii="Times New Roman" w:hAnsi="Times New Roman"/>
        </w:rPr>
      </w:pPr>
    </w:p>
    <w:p w14:paraId="2CBFDB66" w14:textId="77777777" w:rsidR="00A17B53" w:rsidRDefault="00A17B53">
      <w:pPr>
        <w:tabs>
          <w:tab w:val="left" w:pos="-720"/>
        </w:tabs>
        <w:suppressAutoHyphens/>
        <w:rPr>
          <w:rFonts w:ascii="Times New Roman" w:hAnsi="Times New Roman"/>
        </w:rPr>
      </w:pPr>
      <w:r>
        <w:rPr>
          <w:rFonts w:ascii="Times New Roman" w:hAnsi="Times New Roman"/>
        </w:rPr>
        <w:tab/>
        <w:t>Financial institutions are not required to provide copies of privacy notices to the Commission, and the Commission is not required to review each institution’s privacy policies.  Consequently, the annualized cost to the Commission should be minimal, except in cases where the Commission initiates an enforcement proceeding against an institution for non-compliance with the rule.</w:t>
      </w:r>
    </w:p>
    <w:p w14:paraId="5750A874" w14:textId="77777777" w:rsidR="00A17B53" w:rsidRDefault="00A17B53">
      <w:pPr>
        <w:tabs>
          <w:tab w:val="left" w:pos="-720"/>
        </w:tabs>
        <w:suppressAutoHyphens/>
        <w:rPr>
          <w:rFonts w:ascii="Times New Roman" w:hAnsi="Times New Roman"/>
        </w:rPr>
      </w:pPr>
    </w:p>
    <w:p w14:paraId="4C5B4028"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14:paraId="63B92C73" w14:textId="77777777" w:rsidR="002D133A" w:rsidRDefault="002D133A">
      <w:pPr>
        <w:tabs>
          <w:tab w:val="left" w:pos="-720"/>
        </w:tabs>
        <w:suppressAutoHyphens/>
        <w:rPr>
          <w:rFonts w:ascii="Times New Roman" w:hAnsi="Times New Roman"/>
        </w:rPr>
      </w:pPr>
    </w:p>
    <w:p w14:paraId="51EB2386" w14:textId="7FA1A909" w:rsidR="00A17B53" w:rsidRDefault="00A17B53">
      <w:pPr>
        <w:tabs>
          <w:tab w:val="left" w:pos="-720"/>
        </w:tabs>
        <w:suppressAutoHyphens/>
        <w:rPr>
          <w:rFonts w:ascii="Times New Roman" w:hAnsi="Times New Roman"/>
        </w:rPr>
      </w:pPr>
      <w:r>
        <w:rPr>
          <w:rFonts w:ascii="Times New Roman" w:hAnsi="Times New Roman"/>
        </w:rPr>
        <w:tab/>
      </w:r>
      <w:r w:rsidR="00973EA6" w:rsidRPr="00973EA6">
        <w:rPr>
          <w:rFonts w:ascii="Times New Roman" w:hAnsi="Times New Roman"/>
        </w:rPr>
        <w:t xml:space="preserve">On December 4, 2015, Congress amended </w:t>
      </w:r>
      <w:r w:rsidR="00973EA6">
        <w:rPr>
          <w:rFonts w:ascii="Times New Roman" w:hAnsi="Times New Roman"/>
        </w:rPr>
        <w:t>the GLB Act</w:t>
      </w:r>
      <w:r w:rsidR="00973EA6" w:rsidRPr="00973EA6">
        <w:rPr>
          <w:rFonts w:ascii="Times New Roman" w:hAnsi="Times New Roman"/>
        </w:rPr>
        <w:t xml:space="preserve"> as part of the FAST Act.  This amendment, titled “Eliminate Privacy Notice Confusion,” added section 503(f) to the GLB Act to limit the circumstances under which a financial institution must provide a privacy notice to its customers on an annual basis.  In particular, under section 503(f), a financial institution is excepted from the requirement to send privacy notices on an annual basis if that financial institution (1) does not share nonpublic personal information except as described in certain specified exceptions; and (2) has not changed its policies and practices with regard to disclosing nonpublic personal information from those policies and practices that the institution disclosed in the most recent disclosure it sent to consumers in</w:t>
      </w:r>
      <w:r w:rsidR="00973EA6">
        <w:rPr>
          <w:rFonts w:ascii="Times New Roman" w:hAnsi="Times New Roman"/>
        </w:rPr>
        <w:t xml:space="preserve"> accordance with section 503.  Through the Proposal, t</w:t>
      </w:r>
      <w:r w:rsidR="00973EA6" w:rsidRPr="00973EA6">
        <w:rPr>
          <w:rFonts w:ascii="Times New Roman" w:hAnsi="Times New Roman"/>
        </w:rPr>
        <w:t xml:space="preserve">he Commission is proposing to amend § 160.5 to reflect this amendment to the GLB Act. </w:t>
      </w:r>
      <w:r>
        <w:rPr>
          <w:rFonts w:ascii="Times New Roman" w:hAnsi="Times New Roman"/>
        </w:rPr>
        <w:t xml:space="preserve">  </w:t>
      </w:r>
    </w:p>
    <w:p w14:paraId="44BEAD29" w14:textId="77777777" w:rsidR="00A17B53" w:rsidRDefault="00A17B53">
      <w:pPr>
        <w:tabs>
          <w:tab w:val="left" w:pos="-720"/>
        </w:tabs>
        <w:suppressAutoHyphens/>
        <w:rPr>
          <w:rFonts w:ascii="Times New Roman" w:hAnsi="Times New Roman"/>
        </w:rPr>
      </w:pPr>
    </w:p>
    <w:p w14:paraId="6205E3CC"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14:paraId="1700E426" w14:textId="77777777" w:rsidR="002D133A" w:rsidRDefault="002D133A">
      <w:pPr>
        <w:tabs>
          <w:tab w:val="left" w:pos="-720"/>
        </w:tabs>
        <w:suppressAutoHyphens/>
        <w:rPr>
          <w:rFonts w:ascii="Times New Roman" w:hAnsi="Times New Roman"/>
        </w:rPr>
      </w:pPr>
    </w:p>
    <w:p w14:paraId="183D53E2" w14:textId="77777777" w:rsidR="00A17B53" w:rsidRDefault="00A17B53">
      <w:pPr>
        <w:tabs>
          <w:tab w:val="left" w:pos="-720"/>
        </w:tabs>
        <w:suppressAutoHyphens/>
        <w:rPr>
          <w:rFonts w:ascii="Times New Roman" w:hAnsi="Times New Roman"/>
        </w:rPr>
      </w:pPr>
      <w:r>
        <w:rPr>
          <w:rFonts w:ascii="Times New Roman" w:hAnsi="Times New Roman"/>
        </w:rPr>
        <w:tab/>
        <w:t>This question does not apply.</w:t>
      </w:r>
    </w:p>
    <w:p w14:paraId="03C7C2EC" w14:textId="77777777" w:rsidR="00A17B53" w:rsidRDefault="00A17B53">
      <w:pPr>
        <w:tabs>
          <w:tab w:val="left" w:pos="-720"/>
        </w:tabs>
        <w:suppressAutoHyphens/>
        <w:rPr>
          <w:rFonts w:ascii="Times New Roman" w:hAnsi="Times New Roman"/>
        </w:rPr>
      </w:pPr>
    </w:p>
    <w:p w14:paraId="218D8598"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14:paraId="4D4AD1FD" w14:textId="77777777" w:rsidR="00A17B53" w:rsidRDefault="00A17B53">
      <w:pPr>
        <w:tabs>
          <w:tab w:val="left" w:pos="-720"/>
        </w:tabs>
        <w:suppressAutoHyphens/>
        <w:rPr>
          <w:rFonts w:ascii="Times New Roman" w:hAnsi="Times New Roman"/>
        </w:rPr>
      </w:pPr>
      <w:r>
        <w:rPr>
          <w:rFonts w:ascii="Times New Roman" w:hAnsi="Times New Roman"/>
        </w:rPr>
        <w:tab/>
      </w:r>
    </w:p>
    <w:p w14:paraId="4A66B279" w14:textId="77777777" w:rsidR="002D133A" w:rsidRDefault="00A17B53">
      <w:pPr>
        <w:tabs>
          <w:tab w:val="left" w:pos="-720"/>
        </w:tabs>
        <w:suppressAutoHyphens/>
        <w:rPr>
          <w:rFonts w:ascii="Times New Roman" w:hAnsi="Times New Roman"/>
        </w:rPr>
      </w:pPr>
      <w:r>
        <w:rPr>
          <w:rFonts w:ascii="Times New Roman" w:hAnsi="Times New Roman"/>
        </w:rPr>
        <w:tab/>
        <w:t>This question does not apply.</w:t>
      </w:r>
    </w:p>
    <w:p w14:paraId="60D9A472" w14:textId="77777777" w:rsidR="00A17B53" w:rsidRDefault="00A17B53">
      <w:pPr>
        <w:tabs>
          <w:tab w:val="left" w:pos="-720"/>
        </w:tabs>
        <w:suppressAutoHyphens/>
        <w:rPr>
          <w:rFonts w:ascii="Times New Roman" w:hAnsi="Times New Roman"/>
        </w:rPr>
      </w:pPr>
    </w:p>
    <w:p w14:paraId="1886971D"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14:paraId="7E5FE403" w14:textId="77777777" w:rsidR="002D133A" w:rsidRDefault="002D133A">
      <w:pPr>
        <w:tabs>
          <w:tab w:val="left" w:pos="-720"/>
        </w:tabs>
        <w:suppressAutoHyphens/>
        <w:rPr>
          <w:rFonts w:ascii="Times New Roman" w:hAnsi="Times New Roman"/>
        </w:rPr>
      </w:pPr>
    </w:p>
    <w:p w14:paraId="3FBB34EF" w14:textId="77777777" w:rsidR="002D133A" w:rsidRDefault="00A17B53">
      <w:pPr>
        <w:tabs>
          <w:tab w:val="left" w:pos="-720"/>
        </w:tabs>
        <w:suppressAutoHyphens/>
        <w:rPr>
          <w:rFonts w:ascii="Times New Roman" w:hAnsi="Times New Roman"/>
        </w:rPr>
      </w:pPr>
      <w:r>
        <w:rPr>
          <w:rFonts w:ascii="Times New Roman" w:hAnsi="Times New Roman"/>
        </w:rPr>
        <w:tab/>
        <w:t>This question does not apply.</w:t>
      </w:r>
      <w:r w:rsidR="002D133A">
        <w:rPr>
          <w:rFonts w:ascii="Times New Roman" w:hAnsi="Times New Roman"/>
        </w:rPr>
        <w:tab/>
      </w:r>
    </w:p>
    <w:p w14:paraId="0BEA999B" w14:textId="77777777" w:rsidR="005600D1" w:rsidRDefault="005600D1">
      <w:pPr>
        <w:rPr>
          <w:rFonts w:ascii="Times New Roman" w:hAnsi="Times New Roman"/>
        </w:rPr>
      </w:pPr>
      <w:r>
        <w:rPr>
          <w:rFonts w:ascii="Times New Roman" w:hAnsi="Times New Roman"/>
        </w:rPr>
        <w:br w:type="page"/>
      </w:r>
    </w:p>
    <w:p w14:paraId="42138E8C" w14:textId="77777777" w:rsidR="005600D1" w:rsidRDefault="005600D1" w:rsidP="005600D1">
      <w:pPr>
        <w:pStyle w:val="BodyTextIndent"/>
        <w:jc w:val="center"/>
      </w:pPr>
      <w:r>
        <w:t>Attachment A</w:t>
      </w:r>
    </w:p>
    <w:p w14:paraId="03507664" w14:textId="77777777" w:rsidR="005600D1" w:rsidRDefault="005600D1" w:rsidP="005600D1">
      <w:pPr>
        <w:pStyle w:val="BodyTextIndent"/>
        <w:jc w:val="both"/>
      </w:pPr>
    </w:p>
    <w:p w14:paraId="40DA9286" w14:textId="77777777" w:rsidR="005600D1" w:rsidRDefault="005600D1" w:rsidP="005600D1">
      <w:pPr>
        <w:pStyle w:val="BodyTextIndent"/>
        <w:jc w:val="both"/>
      </w:pPr>
    </w:p>
    <w:p w14:paraId="1C34015D" w14:textId="77777777" w:rsidR="005600D1" w:rsidRDefault="005600D1" w:rsidP="005600D1">
      <w:pPr>
        <w:pStyle w:val="BodyTextIndent"/>
        <w:jc w:val="both"/>
      </w:pPr>
    </w:p>
    <w:p w14:paraId="12251FBC" w14:textId="77777777" w:rsidR="005600D1" w:rsidRDefault="005600D1" w:rsidP="005600D1">
      <w:pPr>
        <w:pStyle w:val="BodyTextIndent"/>
        <w:jc w:val="center"/>
      </w:pPr>
      <w:r>
        <w:t>Part 160</w:t>
      </w:r>
    </w:p>
    <w:p w14:paraId="353F25B2" w14:textId="77777777" w:rsidR="005600D1" w:rsidRDefault="005600D1" w:rsidP="005600D1">
      <w:pPr>
        <w:pStyle w:val="BodyTextIndent"/>
        <w:jc w:val="center"/>
      </w:pPr>
      <w:r>
        <w:t>Privacy of Consumer Financial Information</w:t>
      </w:r>
    </w:p>
    <w:p w14:paraId="5295F28F" w14:textId="77777777" w:rsidR="005600D1" w:rsidRDefault="005600D1" w:rsidP="005600D1">
      <w:pPr>
        <w:pStyle w:val="BodyTextIndent"/>
        <w:jc w:val="center"/>
      </w:pPr>
    </w:p>
    <w:p w14:paraId="5D872A12" w14:textId="77777777" w:rsidR="005600D1" w:rsidRDefault="005600D1" w:rsidP="005600D1">
      <w:pPr>
        <w:pStyle w:val="BodyTextInden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00"/>
        <w:gridCol w:w="1620"/>
        <w:gridCol w:w="1710"/>
        <w:gridCol w:w="1350"/>
        <w:gridCol w:w="2275"/>
      </w:tblGrid>
      <w:tr w:rsidR="00EB04AB" w14:paraId="7713B50F" w14:textId="77777777" w:rsidTr="00757D0B">
        <w:trPr>
          <w:jc w:val="center"/>
        </w:trPr>
        <w:tc>
          <w:tcPr>
            <w:tcW w:w="1800" w:type="dxa"/>
          </w:tcPr>
          <w:p w14:paraId="2565D161" w14:textId="77777777" w:rsidR="00EB04AB" w:rsidRDefault="00EB04AB" w:rsidP="00F87745">
            <w:pPr>
              <w:pStyle w:val="BodyTextIndent"/>
              <w:ind w:left="0" w:firstLine="0"/>
              <w:jc w:val="center"/>
            </w:pPr>
            <w:r>
              <w:t>A</w:t>
            </w:r>
          </w:p>
        </w:tc>
        <w:tc>
          <w:tcPr>
            <w:tcW w:w="1620" w:type="dxa"/>
          </w:tcPr>
          <w:p w14:paraId="4E1E2BBD" w14:textId="77777777" w:rsidR="00EB04AB" w:rsidRDefault="00EB04AB" w:rsidP="009B3367">
            <w:pPr>
              <w:pStyle w:val="BodyTextIndent"/>
              <w:ind w:left="0" w:firstLine="0"/>
              <w:jc w:val="center"/>
            </w:pPr>
            <w:r>
              <w:t>B</w:t>
            </w:r>
          </w:p>
        </w:tc>
        <w:tc>
          <w:tcPr>
            <w:tcW w:w="1710" w:type="dxa"/>
          </w:tcPr>
          <w:p w14:paraId="7680BFA8" w14:textId="77777777" w:rsidR="00EB04AB" w:rsidRDefault="00EB04AB" w:rsidP="00E655F6">
            <w:pPr>
              <w:pStyle w:val="BodyTextIndent"/>
              <w:ind w:left="0" w:firstLine="0"/>
              <w:jc w:val="center"/>
            </w:pPr>
            <w:r>
              <w:t>C</w:t>
            </w:r>
          </w:p>
        </w:tc>
        <w:tc>
          <w:tcPr>
            <w:tcW w:w="1350" w:type="dxa"/>
          </w:tcPr>
          <w:p w14:paraId="4445939B" w14:textId="77777777" w:rsidR="00EB04AB" w:rsidRDefault="00EB04AB" w:rsidP="00E655F6">
            <w:pPr>
              <w:pStyle w:val="BodyTextIndent"/>
              <w:ind w:left="0" w:firstLine="0"/>
              <w:jc w:val="center"/>
            </w:pPr>
            <w:r>
              <w:t>D</w:t>
            </w:r>
          </w:p>
        </w:tc>
        <w:tc>
          <w:tcPr>
            <w:tcW w:w="2275" w:type="dxa"/>
          </w:tcPr>
          <w:p w14:paraId="3C3C79A6" w14:textId="77777777" w:rsidR="00EB04AB" w:rsidRDefault="00EB04AB" w:rsidP="00E655F6">
            <w:pPr>
              <w:pStyle w:val="BodyTextIndent"/>
              <w:ind w:left="0" w:firstLine="0"/>
              <w:jc w:val="center"/>
            </w:pPr>
            <w:r>
              <w:t>E</w:t>
            </w:r>
          </w:p>
        </w:tc>
      </w:tr>
      <w:tr w:rsidR="005600D1" w14:paraId="05239D4D" w14:textId="77777777" w:rsidTr="00757D0B">
        <w:trPr>
          <w:jc w:val="center"/>
        </w:trPr>
        <w:tc>
          <w:tcPr>
            <w:tcW w:w="1800" w:type="dxa"/>
          </w:tcPr>
          <w:p w14:paraId="4A1605E5" w14:textId="77DEADFC" w:rsidR="005600D1" w:rsidRDefault="005600D1" w:rsidP="00B33266">
            <w:pPr>
              <w:pStyle w:val="BodyTextIndent"/>
              <w:ind w:left="0" w:firstLine="0"/>
            </w:pPr>
            <w:r>
              <w:t xml:space="preserve">Estimated # of </w:t>
            </w:r>
            <w:r w:rsidR="00546D96">
              <w:t>Re</w:t>
            </w:r>
            <w:r w:rsidR="00B33266">
              <w:t>spondents</w:t>
            </w:r>
          </w:p>
        </w:tc>
        <w:tc>
          <w:tcPr>
            <w:tcW w:w="1620" w:type="dxa"/>
          </w:tcPr>
          <w:p w14:paraId="49ED0F5D" w14:textId="77777777" w:rsidR="005600D1" w:rsidRDefault="005600D1" w:rsidP="00E655F6">
            <w:pPr>
              <w:pStyle w:val="BodyTextIndent"/>
              <w:ind w:left="0" w:firstLine="0"/>
              <w:jc w:val="center"/>
            </w:pPr>
            <w:r>
              <w:t>Reports Annually by Each Respondent</w:t>
            </w:r>
            <w:r w:rsidR="009C4A0B">
              <w:t xml:space="preserve"> </w:t>
            </w:r>
          </w:p>
        </w:tc>
        <w:tc>
          <w:tcPr>
            <w:tcW w:w="1710" w:type="dxa"/>
          </w:tcPr>
          <w:p w14:paraId="26732F37" w14:textId="77777777" w:rsidR="00FC376C" w:rsidRDefault="005600D1" w:rsidP="005600D1">
            <w:pPr>
              <w:pStyle w:val="BodyTextIndent"/>
              <w:ind w:left="0" w:firstLine="0"/>
              <w:jc w:val="center"/>
            </w:pPr>
            <w:r>
              <w:t>Total Annual Responses</w:t>
            </w:r>
          </w:p>
          <w:p w14:paraId="2BE70EF3" w14:textId="77777777" w:rsidR="005600D1" w:rsidRPr="00F87745" w:rsidRDefault="001E27F4" w:rsidP="00E655F6">
            <w:pPr>
              <w:pStyle w:val="BodyTextIndent"/>
              <w:ind w:left="0" w:firstLine="0"/>
              <w:jc w:val="center"/>
              <w:rPr>
                <w:b/>
              </w:rPr>
            </w:pPr>
            <w:r>
              <w:rPr>
                <w:b/>
              </w:rPr>
              <w:t xml:space="preserve"> </w:t>
            </w:r>
            <w:r w:rsidR="009B3367">
              <w:rPr>
                <w:b/>
              </w:rPr>
              <w:t>[</w:t>
            </w:r>
            <w:r w:rsidR="00EB04AB" w:rsidRPr="00F87745">
              <w:rPr>
                <w:b/>
              </w:rPr>
              <w:t>A*B</w:t>
            </w:r>
            <w:r w:rsidR="009B3367">
              <w:rPr>
                <w:b/>
              </w:rPr>
              <w:t>]</w:t>
            </w:r>
            <w:r w:rsidR="005600D1" w:rsidRPr="00F87745">
              <w:rPr>
                <w:b/>
              </w:rPr>
              <w:t xml:space="preserve"> </w:t>
            </w:r>
          </w:p>
        </w:tc>
        <w:tc>
          <w:tcPr>
            <w:tcW w:w="1350" w:type="dxa"/>
          </w:tcPr>
          <w:p w14:paraId="5A353C12" w14:textId="77777777" w:rsidR="005600D1" w:rsidRDefault="005600D1" w:rsidP="005600D1">
            <w:pPr>
              <w:pStyle w:val="BodyTextIndent"/>
              <w:ind w:left="0" w:firstLine="0"/>
              <w:jc w:val="center"/>
            </w:pPr>
            <w:r>
              <w:t>Estimated Average Number of Hours Per Response</w:t>
            </w:r>
          </w:p>
          <w:p w14:paraId="474E566E" w14:textId="77777777" w:rsidR="009C1C00" w:rsidRDefault="009C1C00" w:rsidP="009B3367">
            <w:pPr>
              <w:pStyle w:val="BodyTextIndent"/>
              <w:ind w:left="0" w:firstLine="0"/>
              <w:jc w:val="center"/>
            </w:pPr>
          </w:p>
        </w:tc>
        <w:tc>
          <w:tcPr>
            <w:tcW w:w="2275" w:type="dxa"/>
          </w:tcPr>
          <w:p w14:paraId="23569646" w14:textId="77777777" w:rsidR="005600D1" w:rsidRDefault="005600D1" w:rsidP="005600D1">
            <w:pPr>
              <w:pStyle w:val="BodyTextIndent"/>
              <w:ind w:left="0" w:firstLine="0"/>
              <w:jc w:val="center"/>
            </w:pPr>
            <w:r>
              <w:t>Estimated Total Number of Hours of Annual Burden in a Fiscal Year</w:t>
            </w:r>
          </w:p>
          <w:p w14:paraId="4BCFCCE0" w14:textId="77777777" w:rsidR="00EB04AB" w:rsidRPr="00F87745" w:rsidRDefault="009B3367" w:rsidP="005600D1">
            <w:pPr>
              <w:pStyle w:val="BodyTextIndent"/>
              <w:ind w:left="0" w:firstLine="0"/>
              <w:jc w:val="center"/>
              <w:rPr>
                <w:b/>
              </w:rPr>
            </w:pPr>
            <w:r>
              <w:rPr>
                <w:b/>
              </w:rPr>
              <w:t>[</w:t>
            </w:r>
            <w:r w:rsidR="00EB04AB" w:rsidRPr="00F87745">
              <w:rPr>
                <w:b/>
              </w:rPr>
              <w:t>C*D</w:t>
            </w:r>
            <w:r>
              <w:rPr>
                <w:b/>
              </w:rPr>
              <w:t>]</w:t>
            </w:r>
          </w:p>
          <w:p w14:paraId="7DF39838" w14:textId="77777777" w:rsidR="00F84BF2" w:rsidRDefault="00F84BF2" w:rsidP="005600D1">
            <w:pPr>
              <w:pStyle w:val="BodyTextIndent"/>
              <w:ind w:left="0" w:firstLine="0"/>
              <w:jc w:val="center"/>
            </w:pPr>
          </w:p>
        </w:tc>
      </w:tr>
      <w:tr w:rsidR="00FC376C" w14:paraId="09F0445A" w14:textId="77777777" w:rsidTr="00757D0B">
        <w:trPr>
          <w:jc w:val="center"/>
        </w:trPr>
        <w:tc>
          <w:tcPr>
            <w:tcW w:w="1800" w:type="dxa"/>
          </w:tcPr>
          <w:p w14:paraId="25FF065A" w14:textId="7353B44B" w:rsidR="00FC376C" w:rsidRPr="00E655F6" w:rsidRDefault="00FC376C" w:rsidP="003D1ACD">
            <w:pPr>
              <w:pStyle w:val="BodyTextIndent"/>
              <w:ind w:left="0" w:firstLine="0"/>
            </w:pPr>
            <w:r w:rsidRPr="009B3367">
              <w:t>1,</w:t>
            </w:r>
            <w:r w:rsidRPr="00E655F6">
              <w:t>196</w:t>
            </w:r>
            <w:r w:rsidR="008E738C">
              <w:t>*</w:t>
            </w:r>
            <w:r w:rsidR="00F84BF2" w:rsidRPr="00E655F6">
              <w:t xml:space="preserve"> </w:t>
            </w:r>
          </w:p>
        </w:tc>
        <w:tc>
          <w:tcPr>
            <w:tcW w:w="1620" w:type="dxa"/>
          </w:tcPr>
          <w:p w14:paraId="43A38249" w14:textId="77777777" w:rsidR="00FC376C" w:rsidRPr="00F87745" w:rsidRDefault="00FC376C" w:rsidP="006F3707">
            <w:pPr>
              <w:pStyle w:val="BodyTextIndent"/>
              <w:ind w:left="0" w:firstLine="0"/>
              <w:jc w:val="center"/>
            </w:pPr>
            <w:r w:rsidRPr="00F87745">
              <w:t>95</w:t>
            </w:r>
          </w:p>
        </w:tc>
        <w:tc>
          <w:tcPr>
            <w:tcW w:w="1710" w:type="dxa"/>
          </w:tcPr>
          <w:p w14:paraId="72CA1152" w14:textId="6D388B31" w:rsidR="00FC376C" w:rsidRPr="00F87745" w:rsidRDefault="00F84BF2" w:rsidP="00EE7CBE">
            <w:pPr>
              <w:pStyle w:val="BodyTextIndent"/>
              <w:ind w:left="0" w:firstLine="0"/>
              <w:jc w:val="center"/>
            </w:pPr>
            <w:r w:rsidRPr="00F87745">
              <w:t>113,620</w:t>
            </w:r>
            <w:r w:rsidR="00292786">
              <w:t>*</w:t>
            </w:r>
          </w:p>
        </w:tc>
        <w:tc>
          <w:tcPr>
            <w:tcW w:w="1350" w:type="dxa"/>
          </w:tcPr>
          <w:p w14:paraId="4D0758B8" w14:textId="77777777" w:rsidR="00FC376C" w:rsidRPr="00F87745" w:rsidRDefault="00F84BF2" w:rsidP="005600D1">
            <w:pPr>
              <w:pStyle w:val="BodyTextIndent"/>
              <w:ind w:left="0" w:firstLine="0"/>
              <w:jc w:val="center"/>
            </w:pPr>
            <w:r w:rsidRPr="00F87745">
              <w:t>.01</w:t>
            </w:r>
          </w:p>
        </w:tc>
        <w:tc>
          <w:tcPr>
            <w:tcW w:w="2275" w:type="dxa"/>
          </w:tcPr>
          <w:p w14:paraId="2DE37445" w14:textId="2D40D0DC" w:rsidR="00FC376C" w:rsidRPr="00F87745" w:rsidRDefault="00F84BF2" w:rsidP="00F84BF2">
            <w:pPr>
              <w:pStyle w:val="BodyTextIndent"/>
              <w:ind w:left="0" w:firstLine="0"/>
              <w:jc w:val="center"/>
            </w:pPr>
            <w:r w:rsidRPr="00F87745">
              <w:t>1,136</w:t>
            </w:r>
            <w:r w:rsidR="001E27F4">
              <w:t>.2</w:t>
            </w:r>
            <w:r w:rsidR="00292786">
              <w:t>*</w:t>
            </w:r>
          </w:p>
        </w:tc>
      </w:tr>
      <w:tr w:rsidR="005600D1" w:rsidRPr="00F87745" w14:paraId="2FFD020B" w14:textId="77777777" w:rsidTr="00757D0B">
        <w:trPr>
          <w:jc w:val="center"/>
        </w:trPr>
        <w:tc>
          <w:tcPr>
            <w:tcW w:w="1800" w:type="dxa"/>
          </w:tcPr>
          <w:p w14:paraId="2452746F" w14:textId="7FBC3C8D" w:rsidR="005600D1" w:rsidRPr="00F87745" w:rsidRDefault="005600D1" w:rsidP="00F87745">
            <w:pPr>
              <w:pStyle w:val="BodyTextIndent"/>
              <w:ind w:left="0" w:firstLine="0"/>
              <w:rPr>
                <w:b/>
              </w:rPr>
            </w:pPr>
            <w:r w:rsidRPr="00F87745">
              <w:rPr>
                <w:b/>
              </w:rPr>
              <w:t xml:space="preserve">Total: </w:t>
            </w:r>
            <w:r w:rsidR="00FC376C" w:rsidRPr="00F87745">
              <w:rPr>
                <w:b/>
              </w:rPr>
              <w:t>2,789</w:t>
            </w:r>
          </w:p>
        </w:tc>
        <w:tc>
          <w:tcPr>
            <w:tcW w:w="1620" w:type="dxa"/>
          </w:tcPr>
          <w:p w14:paraId="0A498904" w14:textId="736BE362" w:rsidR="005600D1" w:rsidRPr="00F87745" w:rsidRDefault="005600D1" w:rsidP="006F3707">
            <w:pPr>
              <w:pStyle w:val="BodyTextIndent"/>
              <w:ind w:left="0" w:firstLine="0"/>
              <w:jc w:val="center"/>
              <w:rPr>
                <w:b/>
              </w:rPr>
            </w:pPr>
          </w:p>
        </w:tc>
        <w:tc>
          <w:tcPr>
            <w:tcW w:w="1710" w:type="dxa"/>
          </w:tcPr>
          <w:p w14:paraId="421A04E4" w14:textId="22191B64" w:rsidR="005600D1" w:rsidRPr="00F87745" w:rsidRDefault="00FC376C" w:rsidP="00C02BB3">
            <w:pPr>
              <w:pStyle w:val="BodyTextIndent"/>
              <w:ind w:left="0" w:firstLine="0"/>
              <w:jc w:val="center"/>
              <w:rPr>
                <w:b/>
              </w:rPr>
            </w:pPr>
            <w:r w:rsidRPr="00F87745">
              <w:rPr>
                <w:b/>
              </w:rPr>
              <w:t>264,9</w:t>
            </w:r>
            <w:r w:rsidR="00C02BB3">
              <w:rPr>
                <w:b/>
              </w:rPr>
              <w:t>55</w:t>
            </w:r>
          </w:p>
        </w:tc>
        <w:tc>
          <w:tcPr>
            <w:tcW w:w="1350" w:type="dxa"/>
          </w:tcPr>
          <w:p w14:paraId="7B3A7FA2" w14:textId="77777777" w:rsidR="005600D1" w:rsidRPr="00F87745" w:rsidRDefault="005600D1" w:rsidP="005600D1">
            <w:pPr>
              <w:pStyle w:val="BodyTextIndent"/>
              <w:ind w:left="0" w:firstLine="0"/>
              <w:jc w:val="center"/>
              <w:rPr>
                <w:b/>
              </w:rPr>
            </w:pPr>
          </w:p>
        </w:tc>
        <w:tc>
          <w:tcPr>
            <w:tcW w:w="2275" w:type="dxa"/>
          </w:tcPr>
          <w:p w14:paraId="0E3F5DC5" w14:textId="3A114D78" w:rsidR="005600D1" w:rsidRPr="00F87745" w:rsidRDefault="00F84BF2" w:rsidP="00FC376C">
            <w:pPr>
              <w:pStyle w:val="BodyTextIndent"/>
              <w:ind w:left="0" w:firstLine="0"/>
              <w:jc w:val="center"/>
              <w:rPr>
                <w:b/>
              </w:rPr>
            </w:pPr>
            <w:r w:rsidRPr="00F87745">
              <w:rPr>
                <w:b/>
              </w:rPr>
              <w:t>8,45</w:t>
            </w:r>
            <w:r w:rsidR="001E27F4">
              <w:rPr>
                <w:b/>
              </w:rPr>
              <w:t>7.8</w:t>
            </w:r>
          </w:p>
        </w:tc>
      </w:tr>
    </w:tbl>
    <w:p w14:paraId="184431AC" w14:textId="77777777" w:rsidR="005600D1" w:rsidRDefault="005600D1" w:rsidP="005600D1">
      <w:pPr>
        <w:pStyle w:val="BodyTextIndent"/>
      </w:pPr>
    </w:p>
    <w:p w14:paraId="0B324684" w14:textId="77777777" w:rsidR="005600D1" w:rsidRDefault="005600D1" w:rsidP="005600D1">
      <w:pPr>
        <w:pStyle w:val="BodyTextIndent"/>
        <w:jc w:val="center"/>
      </w:pPr>
    </w:p>
    <w:p w14:paraId="22C7DDD1" w14:textId="77777777" w:rsidR="005600D1" w:rsidRDefault="005600D1" w:rsidP="005600D1">
      <w:pPr>
        <w:pStyle w:val="BodyTextIndent"/>
        <w:jc w:val="center"/>
      </w:pPr>
    </w:p>
    <w:p w14:paraId="40E82B52" w14:textId="05FE175C" w:rsidR="001E27F4" w:rsidRDefault="001E27F4" w:rsidP="00F87745">
      <w:pPr>
        <w:pStyle w:val="BodyTextIndent"/>
        <w:ind w:left="0" w:firstLine="0"/>
      </w:pPr>
    </w:p>
    <w:p w14:paraId="25D2BD4F" w14:textId="0216B1DB" w:rsidR="005600D1" w:rsidRDefault="001E27F4" w:rsidP="00F87745">
      <w:pPr>
        <w:pStyle w:val="BodyTextIndent"/>
        <w:ind w:left="0" w:firstLine="0"/>
      </w:pPr>
      <w:r>
        <w:t>*</w:t>
      </w:r>
      <w:r w:rsidR="00C00DD4">
        <w:t xml:space="preserve">With the </w:t>
      </w:r>
      <w:r w:rsidR="00F84BF2">
        <w:t xml:space="preserve">proposed </w:t>
      </w:r>
      <w:r w:rsidR="00C00DD4">
        <w:t>addition of</w:t>
      </w:r>
      <w:r w:rsidR="00546D96">
        <w:t xml:space="preserve"> the exception to the requirement to provide annual </w:t>
      </w:r>
      <w:r w:rsidR="00F84BF2">
        <w:t xml:space="preserve">privacy </w:t>
      </w:r>
      <w:r w:rsidR="00546D96">
        <w:t xml:space="preserve">notices under Commission regulation 160.5, the Commission estimates that the </w:t>
      </w:r>
      <w:r w:rsidR="008E738C">
        <w:t xml:space="preserve">number of respondents and </w:t>
      </w:r>
      <w:r w:rsidR="00F84BF2">
        <w:t>total annual number of responses and burden hours will decrease as shown above</w:t>
      </w:r>
      <w:r w:rsidR="00C00DD4">
        <w:t xml:space="preserve">.  </w:t>
      </w:r>
    </w:p>
    <w:p w14:paraId="20B55558" w14:textId="77777777" w:rsidR="00224C64" w:rsidRDefault="00224C64" w:rsidP="005600D1">
      <w:pPr>
        <w:pStyle w:val="BodyTextIndent"/>
      </w:pPr>
    </w:p>
    <w:p w14:paraId="47E19259" w14:textId="77777777" w:rsidR="009C394B" w:rsidRDefault="009C394B" w:rsidP="00224C64">
      <w:pPr>
        <w:pStyle w:val="BodyTextIndent"/>
        <w:ind w:firstLine="0"/>
      </w:pPr>
    </w:p>
    <w:p w14:paraId="3E79D1B3" w14:textId="77777777" w:rsidR="00C73A8B" w:rsidRDefault="00C73A8B" w:rsidP="00224C64">
      <w:pPr>
        <w:pStyle w:val="BodyTextIndent"/>
        <w:ind w:firstLine="0"/>
      </w:pPr>
    </w:p>
    <w:p w14:paraId="626E8F00" w14:textId="77777777" w:rsidR="00C73A8B" w:rsidRDefault="00C73A8B" w:rsidP="00224C64">
      <w:pPr>
        <w:pStyle w:val="BodyTextIndent"/>
        <w:ind w:firstLine="0"/>
      </w:pPr>
    </w:p>
    <w:sectPr w:rsidR="00C73A8B" w:rsidSect="00C57E76">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42568" w14:textId="77777777" w:rsidR="00F87745" w:rsidRDefault="00F87745">
      <w:pPr>
        <w:spacing w:line="20" w:lineRule="exact"/>
      </w:pPr>
    </w:p>
  </w:endnote>
  <w:endnote w:type="continuationSeparator" w:id="0">
    <w:p w14:paraId="4DA75E86" w14:textId="77777777" w:rsidR="00F87745" w:rsidRDefault="00F87745">
      <w:r>
        <w:t xml:space="preserve"> </w:t>
      </w:r>
    </w:p>
  </w:endnote>
  <w:endnote w:type="continuationNotice" w:id="1">
    <w:p w14:paraId="033D0F5F" w14:textId="77777777" w:rsidR="00F87745" w:rsidRDefault="00F877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6A0F" w14:textId="77777777" w:rsidR="00F87745" w:rsidRDefault="00F8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1CEB7" w14:textId="77777777" w:rsidR="00F87745" w:rsidRDefault="00F87745">
      <w:r>
        <w:separator/>
      </w:r>
    </w:p>
  </w:footnote>
  <w:footnote w:type="continuationSeparator" w:id="0">
    <w:p w14:paraId="1411EB45" w14:textId="77777777" w:rsidR="00F87745" w:rsidRDefault="00F87745">
      <w:r>
        <w:t>(..continued)</w:t>
      </w:r>
    </w:p>
  </w:footnote>
  <w:footnote w:type="continuationNotice" w:id="1">
    <w:p w14:paraId="4CC98BE4" w14:textId="77777777" w:rsidR="00F87745" w:rsidRDefault="00F87745"/>
  </w:footnote>
  <w:footnote w:id="2">
    <w:p w14:paraId="73044808" w14:textId="77777777" w:rsidR="00FB4EB3" w:rsidRDefault="00FB4EB3">
      <w:pPr>
        <w:pStyle w:val="FootnoteText"/>
      </w:pPr>
      <w:r>
        <w:rPr>
          <w:rStyle w:val="FootnoteReference"/>
        </w:rPr>
        <w:footnoteRef/>
      </w:r>
      <w:r>
        <w:t xml:space="preserve"> </w:t>
      </w:r>
      <w:r w:rsidRPr="00FB4EB3">
        <w:rPr>
          <w:rFonts w:ascii="Times New Roman" w:hAnsi="Times New Roman"/>
        </w:rPr>
        <w:t>15 U.S.C. 6804(a)(2).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0DD51" w14:textId="77777777" w:rsidR="00F87745" w:rsidRDefault="00F87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C64"/>
    <w:rsid w:val="00016AC2"/>
    <w:rsid w:val="00030C7F"/>
    <w:rsid w:val="00030D98"/>
    <w:rsid w:val="000329DB"/>
    <w:rsid w:val="000376FB"/>
    <w:rsid w:val="00072DCF"/>
    <w:rsid w:val="000751BE"/>
    <w:rsid w:val="000B6B87"/>
    <w:rsid w:val="000E4542"/>
    <w:rsid w:val="000E6EDB"/>
    <w:rsid w:val="000F3F59"/>
    <w:rsid w:val="000F7121"/>
    <w:rsid w:val="001008C0"/>
    <w:rsid w:val="00112C86"/>
    <w:rsid w:val="00132D9A"/>
    <w:rsid w:val="0016775F"/>
    <w:rsid w:val="001A0615"/>
    <w:rsid w:val="001B28B1"/>
    <w:rsid w:val="001E27F4"/>
    <w:rsid w:val="001E7F5A"/>
    <w:rsid w:val="001F43B9"/>
    <w:rsid w:val="00214BA8"/>
    <w:rsid w:val="00223B2A"/>
    <w:rsid w:val="00224C64"/>
    <w:rsid w:val="00250E6C"/>
    <w:rsid w:val="002607C6"/>
    <w:rsid w:val="00263450"/>
    <w:rsid w:val="00266732"/>
    <w:rsid w:val="00280FC1"/>
    <w:rsid w:val="00292786"/>
    <w:rsid w:val="002C4BC5"/>
    <w:rsid w:val="002D133A"/>
    <w:rsid w:val="002D6CC7"/>
    <w:rsid w:val="003174F0"/>
    <w:rsid w:val="003233A6"/>
    <w:rsid w:val="00344B90"/>
    <w:rsid w:val="00362FAA"/>
    <w:rsid w:val="003A122E"/>
    <w:rsid w:val="003A7E43"/>
    <w:rsid w:val="003D1ACD"/>
    <w:rsid w:val="0040373E"/>
    <w:rsid w:val="0047397D"/>
    <w:rsid w:val="00493088"/>
    <w:rsid w:val="004B5F70"/>
    <w:rsid w:val="004C2994"/>
    <w:rsid w:val="004C754E"/>
    <w:rsid w:val="004F17D2"/>
    <w:rsid w:val="005016FF"/>
    <w:rsid w:val="005026F7"/>
    <w:rsid w:val="00516162"/>
    <w:rsid w:val="00546D96"/>
    <w:rsid w:val="00556B6B"/>
    <w:rsid w:val="005600D1"/>
    <w:rsid w:val="005A0CEE"/>
    <w:rsid w:val="005A23DC"/>
    <w:rsid w:val="005A608D"/>
    <w:rsid w:val="005E2AD6"/>
    <w:rsid w:val="005E62EF"/>
    <w:rsid w:val="005F4226"/>
    <w:rsid w:val="00650C51"/>
    <w:rsid w:val="006857BF"/>
    <w:rsid w:val="00686419"/>
    <w:rsid w:val="006B0D6D"/>
    <w:rsid w:val="006B319D"/>
    <w:rsid w:val="006F0590"/>
    <w:rsid w:val="006F3707"/>
    <w:rsid w:val="007203FD"/>
    <w:rsid w:val="00721118"/>
    <w:rsid w:val="00755A68"/>
    <w:rsid w:val="00757D0B"/>
    <w:rsid w:val="007648BD"/>
    <w:rsid w:val="00787541"/>
    <w:rsid w:val="007A6613"/>
    <w:rsid w:val="007B4692"/>
    <w:rsid w:val="007D54F2"/>
    <w:rsid w:val="007E5737"/>
    <w:rsid w:val="00802661"/>
    <w:rsid w:val="00835A56"/>
    <w:rsid w:val="0086765D"/>
    <w:rsid w:val="0087009D"/>
    <w:rsid w:val="00895106"/>
    <w:rsid w:val="008A7ED8"/>
    <w:rsid w:val="008B790B"/>
    <w:rsid w:val="008E738C"/>
    <w:rsid w:val="008F77C3"/>
    <w:rsid w:val="009313E8"/>
    <w:rsid w:val="00934362"/>
    <w:rsid w:val="009560AE"/>
    <w:rsid w:val="00957AF3"/>
    <w:rsid w:val="00973EA6"/>
    <w:rsid w:val="009866EB"/>
    <w:rsid w:val="009A0DA8"/>
    <w:rsid w:val="009B3367"/>
    <w:rsid w:val="009B7A95"/>
    <w:rsid w:val="009C1C00"/>
    <w:rsid w:val="009C394B"/>
    <w:rsid w:val="009C4A0B"/>
    <w:rsid w:val="009E79F1"/>
    <w:rsid w:val="00A17B53"/>
    <w:rsid w:val="00A22DF4"/>
    <w:rsid w:val="00A3539D"/>
    <w:rsid w:val="00A54294"/>
    <w:rsid w:val="00A64548"/>
    <w:rsid w:val="00A679CE"/>
    <w:rsid w:val="00A87240"/>
    <w:rsid w:val="00AB5AFD"/>
    <w:rsid w:val="00AD66F5"/>
    <w:rsid w:val="00B01AA3"/>
    <w:rsid w:val="00B16D87"/>
    <w:rsid w:val="00B30958"/>
    <w:rsid w:val="00B33266"/>
    <w:rsid w:val="00B64B15"/>
    <w:rsid w:val="00B75D65"/>
    <w:rsid w:val="00B8024B"/>
    <w:rsid w:val="00B82327"/>
    <w:rsid w:val="00B84428"/>
    <w:rsid w:val="00BC23DA"/>
    <w:rsid w:val="00BC46AC"/>
    <w:rsid w:val="00BD1665"/>
    <w:rsid w:val="00BD1F92"/>
    <w:rsid w:val="00BD4579"/>
    <w:rsid w:val="00BD70F7"/>
    <w:rsid w:val="00BF27A2"/>
    <w:rsid w:val="00C00DD4"/>
    <w:rsid w:val="00C02BB3"/>
    <w:rsid w:val="00C561BF"/>
    <w:rsid w:val="00C57E76"/>
    <w:rsid w:val="00C73A8B"/>
    <w:rsid w:val="00C944DB"/>
    <w:rsid w:val="00D01079"/>
    <w:rsid w:val="00D16860"/>
    <w:rsid w:val="00D7662D"/>
    <w:rsid w:val="00DD48C6"/>
    <w:rsid w:val="00E05333"/>
    <w:rsid w:val="00E1260A"/>
    <w:rsid w:val="00E574AC"/>
    <w:rsid w:val="00E655F6"/>
    <w:rsid w:val="00E75AB7"/>
    <w:rsid w:val="00E9419D"/>
    <w:rsid w:val="00EB04AB"/>
    <w:rsid w:val="00ED6C64"/>
    <w:rsid w:val="00EE7CBE"/>
    <w:rsid w:val="00EF3A01"/>
    <w:rsid w:val="00F1200B"/>
    <w:rsid w:val="00F12D82"/>
    <w:rsid w:val="00F23052"/>
    <w:rsid w:val="00F34FEB"/>
    <w:rsid w:val="00F52721"/>
    <w:rsid w:val="00F84BF2"/>
    <w:rsid w:val="00F87745"/>
    <w:rsid w:val="00FB4EB3"/>
    <w:rsid w:val="00FC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7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7E76"/>
  </w:style>
  <w:style w:type="character" w:styleId="EndnoteReference">
    <w:name w:val="endnote reference"/>
    <w:semiHidden/>
    <w:rsid w:val="00C57E76"/>
    <w:rPr>
      <w:vertAlign w:val="superscript"/>
    </w:rPr>
  </w:style>
  <w:style w:type="paragraph" w:styleId="FootnoteText">
    <w:name w:val="footnote text"/>
    <w:basedOn w:val="Normal"/>
    <w:semiHidden/>
    <w:rsid w:val="00C57E76"/>
  </w:style>
  <w:style w:type="character" w:styleId="FootnoteReference">
    <w:name w:val="footnote reference"/>
    <w:semiHidden/>
    <w:rsid w:val="00C57E76"/>
    <w:rPr>
      <w:vertAlign w:val="superscript"/>
    </w:rPr>
  </w:style>
  <w:style w:type="character" w:customStyle="1" w:styleId="Document8">
    <w:name w:val="Document 8"/>
    <w:basedOn w:val="DefaultParagraphFont"/>
    <w:rsid w:val="00C57E76"/>
  </w:style>
  <w:style w:type="character" w:customStyle="1" w:styleId="Document4">
    <w:name w:val="Document 4"/>
    <w:rsid w:val="00C57E76"/>
    <w:rPr>
      <w:b/>
      <w:i/>
      <w:sz w:val="24"/>
    </w:rPr>
  </w:style>
  <w:style w:type="character" w:customStyle="1" w:styleId="Document6">
    <w:name w:val="Document 6"/>
    <w:basedOn w:val="DefaultParagraphFont"/>
    <w:rsid w:val="00C57E76"/>
  </w:style>
  <w:style w:type="character" w:customStyle="1" w:styleId="Document5">
    <w:name w:val="Document 5"/>
    <w:basedOn w:val="DefaultParagraphFont"/>
    <w:rsid w:val="00C57E76"/>
  </w:style>
  <w:style w:type="character" w:customStyle="1" w:styleId="Document2">
    <w:name w:val="Document 2"/>
    <w:rsid w:val="00C57E76"/>
    <w:rPr>
      <w:rFonts w:ascii="Courier" w:hAnsi="Courier"/>
      <w:noProof w:val="0"/>
      <w:sz w:val="24"/>
      <w:lang w:val="en-US"/>
    </w:rPr>
  </w:style>
  <w:style w:type="character" w:customStyle="1" w:styleId="Document7">
    <w:name w:val="Document 7"/>
    <w:basedOn w:val="DefaultParagraphFont"/>
    <w:rsid w:val="00C57E76"/>
  </w:style>
  <w:style w:type="character" w:customStyle="1" w:styleId="Bibliogrphy">
    <w:name w:val="Bibliogrphy"/>
    <w:basedOn w:val="DefaultParagraphFont"/>
    <w:rsid w:val="00C57E76"/>
  </w:style>
  <w:style w:type="paragraph" w:customStyle="1" w:styleId="RightPar1">
    <w:name w:val="Right Par 1"/>
    <w:rsid w:val="00C57E76"/>
    <w:pPr>
      <w:tabs>
        <w:tab w:val="left" w:pos="-720"/>
        <w:tab w:val="left" w:pos="0"/>
        <w:tab w:val="decimal" w:pos="720"/>
      </w:tabs>
      <w:suppressAutoHyphens/>
      <w:ind w:left="720"/>
    </w:pPr>
    <w:rPr>
      <w:rFonts w:ascii="Courier" w:hAnsi="Courier"/>
      <w:sz w:val="24"/>
    </w:rPr>
  </w:style>
  <w:style w:type="paragraph" w:customStyle="1" w:styleId="RightPar2">
    <w:name w:val="Right Par 2"/>
    <w:rsid w:val="00C57E76"/>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C57E76"/>
    <w:rPr>
      <w:rFonts w:ascii="Courier" w:hAnsi="Courier"/>
      <w:noProof w:val="0"/>
      <w:sz w:val="24"/>
      <w:lang w:val="en-US"/>
    </w:rPr>
  </w:style>
  <w:style w:type="paragraph" w:customStyle="1" w:styleId="RightPar3">
    <w:name w:val="Right Par 3"/>
    <w:rsid w:val="00C57E76"/>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C57E76"/>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C57E76"/>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C57E7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C57E76"/>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C57E7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C57E76"/>
    <w:pPr>
      <w:keepNext/>
      <w:keepLines/>
      <w:tabs>
        <w:tab w:val="left" w:pos="-720"/>
      </w:tabs>
      <w:suppressAutoHyphens/>
    </w:pPr>
    <w:rPr>
      <w:rFonts w:ascii="Courier" w:hAnsi="Courier"/>
      <w:sz w:val="24"/>
    </w:rPr>
  </w:style>
  <w:style w:type="character" w:customStyle="1" w:styleId="DocInit">
    <w:name w:val="Doc Init"/>
    <w:basedOn w:val="DefaultParagraphFont"/>
    <w:rsid w:val="00C57E76"/>
  </w:style>
  <w:style w:type="character" w:customStyle="1" w:styleId="TechInit">
    <w:name w:val="Tech Init"/>
    <w:rsid w:val="00C57E76"/>
    <w:rPr>
      <w:rFonts w:ascii="Courier" w:hAnsi="Courier"/>
      <w:noProof w:val="0"/>
      <w:sz w:val="24"/>
      <w:lang w:val="en-US"/>
    </w:rPr>
  </w:style>
  <w:style w:type="paragraph" w:customStyle="1" w:styleId="Technical5">
    <w:name w:val="Technical 5"/>
    <w:rsid w:val="00C57E76"/>
    <w:pPr>
      <w:tabs>
        <w:tab w:val="left" w:pos="-720"/>
      </w:tabs>
      <w:suppressAutoHyphens/>
      <w:ind w:firstLine="720"/>
    </w:pPr>
    <w:rPr>
      <w:rFonts w:ascii="Courier" w:hAnsi="Courier"/>
      <w:b/>
      <w:sz w:val="24"/>
    </w:rPr>
  </w:style>
  <w:style w:type="paragraph" w:customStyle="1" w:styleId="Technical6">
    <w:name w:val="Technical 6"/>
    <w:rsid w:val="00C57E76"/>
    <w:pPr>
      <w:tabs>
        <w:tab w:val="left" w:pos="-720"/>
      </w:tabs>
      <w:suppressAutoHyphens/>
      <w:ind w:firstLine="720"/>
    </w:pPr>
    <w:rPr>
      <w:rFonts w:ascii="Courier" w:hAnsi="Courier"/>
      <w:b/>
      <w:sz w:val="24"/>
    </w:rPr>
  </w:style>
  <w:style w:type="character" w:customStyle="1" w:styleId="Technical2">
    <w:name w:val="Technical 2"/>
    <w:rsid w:val="00C57E76"/>
    <w:rPr>
      <w:rFonts w:ascii="Courier" w:hAnsi="Courier"/>
      <w:noProof w:val="0"/>
      <w:sz w:val="24"/>
      <w:lang w:val="en-US"/>
    </w:rPr>
  </w:style>
  <w:style w:type="character" w:customStyle="1" w:styleId="Technical3">
    <w:name w:val="Technical 3"/>
    <w:rsid w:val="00C57E76"/>
    <w:rPr>
      <w:rFonts w:ascii="Courier" w:hAnsi="Courier"/>
      <w:noProof w:val="0"/>
      <w:sz w:val="24"/>
      <w:lang w:val="en-US"/>
    </w:rPr>
  </w:style>
  <w:style w:type="paragraph" w:customStyle="1" w:styleId="Technical4">
    <w:name w:val="Technical 4"/>
    <w:rsid w:val="00C57E76"/>
    <w:pPr>
      <w:tabs>
        <w:tab w:val="left" w:pos="-720"/>
      </w:tabs>
      <w:suppressAutoHyphens/>
    </w:pPr>
    <w:rPr>
      <w:rFonts w:ascii="Courier" w:hAnsi="Courier"/>
      <w:b/>
      <w:sz w:val="24"/>
    </w:rPr>
  </w:style>
  <w:style w:type="character" w:customStyle="1" w:styleId="Technical1">
    <w:name w:val="Technical 1"/>
    <w:rsid w:val="00C57E76"/>
    <w:rPr>
      <w:rFonts w:ascii="Courier" w:hAnsi="Courier"/>
      <w:noProof w:val="0"/>
      <w:sz w:val="24"/>
      <w:lang w:val="en-US"/>
    </w:rPr>
  </w:style>
  <w:style w:type="paragraph" w:customStyle="1" w:styleId="Technical7">
    <w:name w:val="Technical 7"/>
    <w:rsid w:val="00C57E76"/>
    <w:pPr>
      <w:tabs>
        <w:tab w:val="left" w:pos="-720"/>
      </w:tabs>
      <w:suppressAutoHyphens/>
      <w:ind w:firstLine="720"/>
    </w:pPr>
    <w:rPr>
      <w:rFonts w:ascii="Courier" w:hAnsi="Courier"/>
      <w:b/>
      <w:sz w:val="24"/>
    </w:rPr>
  </w:style>
  <w:style w:type="paragraph" w:customStyle="1" w:styleId="Technical8">
    <w:name w:val="Technical 8"/>
    <w:rsid w:val="00C57E76"/>
    <w:pPr>
      <w:tabs>
        <w:tab w:val="left" w:pos="-720"/>
      </w:tabs>
      <w:suppressAutoHyphens/>
      <w:ind w:firstLine="720"/>
    </w:pPr>
    <w:rPr>
      <w:rFonts w:ascii="Courier" w:hAnsi="Courier"/>
      <w:b/>
      <w:sz w:val="24"/>
    </w:rPr>
  </w:style>
  <w:style w:type="paragraph" w:styleId="TOC1">
    <w:name w:val="toc 1"/>
    <w:basedOn w:val="Normal"/>
    <w:next w:val="Normal"/>
    <w:semiHidden/>
    <w:rsid w:val="00C57E76"/>
    <w:pPr>
      <w:tabs>
        <w:tab w:val="right" w:leader="dot" w:pos="9360"/>
      </w:tabs>
      <w:suppressAutoHyphens/>
      <w:spacing w:before="480"/>
      <w:ind w:left="720" w:right="720" w:hanging="720"/>
    </w:pPr>
  </w:style>
  <w:style w:type="paragraph" w:styleId="TOC2">
    <w:name w:val="toc 2"/>
    <w:basedOn w:val="Normal"/>
    <w:next w:val="Normal"/>
    <w:semiHidden/>
    <w:rsid w:val="00C57E76"/>
    <w:pPr>
      <w:tabs>
        <w:tab w:val="right" w:leader="dot" w:pos="9360"/>
      </w:tabs>
      <w:suppressAutoHyphens/>
      <w:ind w:left="1440" w:right="720" w:hanging="720"/>
    </w:pPr>
  </w:style>
  <w:style w:type="paragraph" w:styleId="TOC3">
    <w:name w:val="toc 3"/>
    <w:basedOn w:val="Normal"/>
    <w:next w:val="Normal"/>
    <w:semiHidden/>
    <w:rsid w:val="00C57E76"/>
    <w:pPr>
      <w:tabs>
        <w:tab w:val="right" w:leader="dot" w:pos="9360"/>
      </w:tabs>
      <w:suppressAutoHyphens/>
      <w:ind w:left="2160" w:right="720" w:hanging="720"/>
    </w:pPr>
  </w:style>
  <w:style w:type="paragraph" w:styleId="TOC4">
    <w:name w:val="toc 4"/>
    <w:basedOn w:val="Normal"/>
    <w:next w:val="Normal"/>
    <w:semiHidden/>
    <w:rsid w:val="00C57E76"/>
    <w:pPr>
      <w:tabs>
        <w:tab w:val="right" w:leader="dot" w:pos="9360"/>
      </w:tabs>
      <w:suppressAutoHyphens/>
      <w:ind w:left="2880" w:right="720" w:hanging="720"/>
    </w:pPr>
  </w:style>
  <w:style w:type="paragraph" w:styleId="TOC5">
    <w:name w:val="toc 5"/>
    <w:basedOn w:val="Normal"/>
    <w:next w:val="Normal"/>
    <w:semiHidden/>
    <w:rsid w:val="00C57E76"/>
    <w:pPr>
      <w:tabs>
        <w:tab w:val="right" w:leader="dot" w:pos="9360"/>
      </w:tabs>
      <w:suppressAutoHyphens/>
      <w:ind w:left="3600" w:right="720" w:hanging="720"/>
    </w:pPr>
  </w:style>
  <w:style w:type="paragraph" w:styleId="TOC6">
    <w:name w:val="toc 6"/>
    <w:basedOn w:val="Normal"/>
    <w:next w:val="Normal"/>
    <w:semiHidden/>
    <w:rsid w:val="00C57E76"/>
    <w:pPr>
      <w:tabs>
        <w:tab w:val="right" w:pos="9360"/>
      </w:tabs>
      <w:suppressAutoHyphens/>
      <w:ind w:left="720" w:hanging="720"/>
    </w:pPr>
  </w:style>
  <w:style w:type="paragraph" w:styleId="TOC7">
    <w:name w:val="toc 7"/>
    <w:basedOn w:val="Normal"/>
    <w:next w:val="Normal"/>
    <w:semiHidden/>
    <w:rsid w:val="00C57E76"/>
    <w:pPr>
      <w:suppressAutoHyphens/>
      <w:ind w:left="720" w:hanging="720"/>
    </w:pPr>
  </w:style>
  <w:style w:type="paragraph" w:styleId="TOC8">
    <w:name w:val="toc 8"/>
    <w:basedOn w:val="Normal"/>
    <w:next w:val="Normal"/>
    <w:semiHidden/>
    <w:rsid w:val="00C57E76"/>
    <w:pPr>
      <w:tabs>
        <w:tab w:val="right" w:pos="9360"/>
      </w:tabs>
      <w:suppressAutoHyphens/>
      <w:ind w:left="720" w:hanging="720"/>
    </w:pPr>
  </w:style>
  <w:style w:type="paragraph" w:styleId="TOC9">
    <w:name w:val="toc 9"/>
    <w:basedOn w:val="Normal"/>
    <w:next w:val="Normal"/>
    <w:semiHidden/>
    <w:rsid w:val="00C57E76"/>
    <w:pPr>
      <w:tabs>
        <w:tab w:val="right" w:leader="dot" w:pos="9360"/>
      </w:tabs>
      <w:suppressAutoHyphens/>
      <w:ind w:left="720" w:hanging="720"/>
    </w:pPr>
  </w:style>
  <w:style w:type="paragraph" w:styleId="Index1">
    <w:name w:val="index 1"/>
    <w:basedOn w:val="Normal"/>
    <w:next w:val="Normal"/>
    <w:semiHidden/>
    <w:rsid w:val="00C57E76"/>
    <w:pPr>
      <w:tabs>
        <w:tab w:val="right" w:leader="dot" w:pos="9360"/>
      </w:tabs>
      <w:suppressAutoHyphens/>
      <w:ind w:left="1440" w:right="720" w:hanging="1440"/>
    </w:pPr>
  </w:style>
  <w:style w:type="paragraph" w:styleId="Index2">
    <w:name w:val="index 2"/>
    <w:basedOn w:val="Normal"/>
    <w:next w:val="Normal"/>
    <w:semiHidden/>
    <w:rsid w:val="00C57E76"/>
    <w:pPr>
      <w:tabs>
        <w:tab w:val="right" w:leader="dot" w:pos="9360"/>
      </w:tabs>
      <w:suppressAutoHyphens/>
      <w:ind w:left="1440" w:right="720" w:hanging="720"/>
    </w:pPr>
  </w:style>
  <w:style w:type="paragraph" w:styleId="TOAHeading">
    <w:name w:val="toa heading"/>
    <w:basedOn w:val="Normal"/>
    <w:next w:val="Normal"/>
    <w:semiHidden/>
    <w:rsid w:val="00C57E76"/>
    <w:pPr>
      <w:tabs>
        <w:tab w:val="right" w:pos="9360"/>
      </w:tabs>
      <w:suppressAutoHyphens/>
    </w:pPr>
  </w:style>
  <w:style w:type="paragraph" w:styleId="Caption">
    <w:name w:val="caption"/>
    <w:basedOn w:val="Normal"/>
    <w:next w:val="Normal"/>
    <w:qFormat/>
    <w:rsid w:val="00C57E76"/>
  </w:style>
  <w:style w:type="character" w:customStyle="1" w:styleId="EquationCaption">
    <w:name w:val="_Equation Caption"/>
    <w:rsid w:val="00C57E76"/>
  </w:style>
  <w:style w:type="paragraph" w:styleId="BodyTextIndent">
    <w:name w:val="Body Text Indent"/>
    <w:basedOn w:val="Normal"/>
    <w:link w:val="BodyTextIndentChar"/>
    <w:rsid w:val="005600D1"/>
    <w:pPr>
      <w:ind w:left="720" w:hanging="720"/>
    </w:pPr>
    <w:rPr>
      <w:rFonts w:ascii="Times New Roman" w:hAnsi="Times New Roman"/>
      <w:szCs w:val="24"/>
    </w:rPr>
  </w:style>
  <w:style w:type="character" w:customStyle="1" w:styleId="BodyTextIndentChar">
    <w:name w:val="Body Text Indent Char"/>
    <w:link w:val="BodyTextIndent"/>
    <w:rsid w:val="005600D1"/>
    <w:rPr>
      <w:sz w:val="24"/>
      <w:szCs w:val="24"/>
    </w:rPr>
  </w:style>
  <w:style w:type="character" w:styleId="CommentReference">
    <w:name w:val="annotation reference"/>
    <w:uiPriority w:val="99"/>
    <w:semiHidden/>
    <w:unhideWhenUsed/>
    <w:rsid w:val="000751BE"/>
    <w:rPr>
      <w:sz w:val="16"/>
      <w:szCs w:val="16"/>
    </w:rPr>
  </w:style>
  <w:style w:type="paragraph" w:styleId="CommentText">
    <w:name w:val="annotation text"/>
    <w:basedOn w:val="Normal"/>
    <w:link w:val="CommentTextChar"/>
    <w:uiPriority w:val="99"/>
    <w:semiHidden/>
    <w:unhideWhenUsed/>
    <w:rsid w:val="000751BE"/>
    <w:rPr>
      <w:sz w:val="20"/>
    </w:rPr>
  </w:style>
  <w:style w:type="character" w:customStyle="1" w:styleId="CommentTextChar">
    <w:name w:val="Comment Text Char"/>
    <w:link w:val="CommentText"/>
    <w:uiPriority w:val="99"/>
    <w:semiHidden/>
    <w:rsid w:val="000751BE"/>
    <w:rPr>
      <w:rFonts w:ascii="Courier" w:hAnsi="Courier"/>
    </w:rPr>
  </w:style>
  <w:style w:type="paragraph" w:styleId="CommentSubject">
    <w:name w:val="annotation subject"/>
    <w:basedOn w:val="CommentText"/>
    <w:next w:val="CommentText"/>
    <w:link w:val="CommentSubjectChar"/>
    <w:uiPriority w:val="99"/>
    <w:semiHidden/>
    <w:unhideWhenUsed/>
    <w:rsid w:val="000751BE"/>
    <w:rPr>
      <w:b/>
      <w:bCs/>
    </w:rPr>
  </w:style>
  <w:style w:type="character" w:customStyle="1" w:styleId="CommentSubjectChar">
    <w:name w:val="Comment Subject Char"/>
    <w:link w:val="CommentSubject"/>
    <w:uiPriority w:val="99"/>
    <w:semiHidden/>
    <w:rsid w:val="000751BE"/>
    <w:rPr>
      <w:rFonts w:ascii="Courier" w:hAnsi="Courier"/>
      <w:b/>
      <w:bCs/>
    </w:rPr>
  </w:style>
  <w:style w:type="paragraph" w:styleId="BalloonText">
    <w:name w:val="Balloon Text"/>
    <w:basedOn w:val="Normal"/>
    <w:link w:val="BalloonTextChar"/>
    <w:uiPriority w:val="99"/>
    <w:semiHidden/>
    <w:unhideWhenUsed/>
    <w:rsid w:val="000751BE"/>
    <w:rPr>
      <w:rFonts w:ascii="Tahoma" w:hAnsi="Tahoma" w:cs="Tahoma"/>
      <w:sz w:val="16"/>
      <w:szCs w:val="16"/>
    </w:rPr>
  </w:style>
  <w:style w:type="character" w:customStyle="1" w:styleId="BalloonTextChar">
    <w:name w:val="Balloon Text Char"/>
    <w:link w:val="BalloonText"/>
    <w:uiPriority w:val="99"/>
    <w:semiHidden/>
    <w:rsid w:val="000751BE"/>
    <w:rPr>
      <w:rFonts w:ascii="Tahoma" w:hAnsi="Tahoma" w:cs="Tahoma"/>
      <w:sz w:val="16"/>
      <w:szCs w:val="16"/>
    </w:rPr>
  </w:style>
  <w:style w:type="character" w:styleId="Hyperlink">
    <w:name w:val="Hyperlink"/>
    <w:uiPriority w:val="99"/>
    <w:unhideWhenUsed/>
    <w:rsid w:val="00F84BF2"/>
    <w:rPr>
      <w:color w:val="0000FF"/>
      <w:u w:val="single"/>
    </w:rPr>
  </w:style>
  <w:style w:type="character" w:styleId="FollowedHyperlink">
    <w:name w:val="FollowedHyperlink"/>
    <w:uiPriority w:val="99"/>
    <w:semiHidden/>
    <w:unhideWhenUsed/>
    <w:rsid w:val="008E738C"/>
    <w:rPr>
      <w:color w:val="800080"/>
      <w:u w:val="single"/>
    </w:rPr>
  </w:style>
  <w:style w:type="paragraph" w:styleId="Revision">
    <w:name w:val="Revision"/>
    <w:hidden/>
    <w:uiPriority w:val="99"/>
    <w:semiHidden/>
    <w:rsid w:val="00E655F6"/>
    <w:rPr>
      <w:rFonts w:ascii="Courier" w:hAnsi="Courier"/>
      <w:sz w:val="24"/>
    </w:rPr>
  </w:style>
  <w:style w:type="paragraph" w:styleId="Header">
    <w:name w:val="header"/>
    <w:basedOn w:val="Normal"/>
    <w:link w:val="HeaderChar"/>
    <w:uiPriority w:val="99"/>
    <w:unhideWhenUsed/>
    <w:rsid w:val="00F87745"/>
    <w:pPr>
      <w:tabs>
        <w:tab w:val="center" w:pos="4680"/>
        <w:tab w:val="right" w:pos="9360"/>
      </w:tabs>
    </w:pPr>
  </w:style>
  <w:style w:type="character" w:customStyle="1" w:styleId="HeaderChar">
    <w:name w:val="Header Char"/>
    <w:basedOn w:val="DefaultParagraphFont"/>
    <w:link w:val="Header"/>
    <w:uiPriority w:val="99"/>
    <w:rsid w:val="00F87745"/>
    <w:rPr>
      <w:rFonts w:ascii="Courier" w:hAnsi="Courier"/>
      <w:sz w:val="24"/>
    </w:rPr>
  </w:style>
  <w:style w:type="paragraph" w:styleId="Footer">
    <w:name w:val="footer"/>
    <w:basedOn w:val="Normal"/>
    <w:link w:val="FooterChar"/>
    <w:uiPriority w:val="99"/>
    <w:unhideWhenUsed/>
    <w:rsid w:val="00F87745"/>
    <w:pPr>
      <w:tabs>
        <w:tab w:val="center" w:pos="4680"/>
        <w:tab w:val="right" w:pos="9360"/>
      </w:tabs>
    </w:pPr>
  </w:style>
  <w:style w:type="character" w:customStyle="1" w:styleId="FooterChar">
    <w:name w:val="Footer Char"/>
    <w:basedOn w:val="DefaultParagraphFont"/>
    <w:link w:val="Footer"/>
    <w:uiPriority w:val="99"/>
    <w:rsid w:val="00F87745"/>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7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7E76"/>
  </w:style>
  <w:style w:type="character" w:styleId="EndnoteReference">
    <w:name w:val="endnote reference"/>
    <w:semiHidden/>
    <w:rsid w:val="00C57E76"/>
    <w:rPr>
      <w:vertAlign w:val="superscript"/>
    </w:rPr>
  </w:style>
  <w:style w:type="paragraph" w:styleId="FootnoteText">
    <w:name w:val="footnote text"/>
    <w:basedOn w:val="Normal"/>
    <w:semiHidden/>
    <w:rsid w:val="00C57E76"/>
  </w:style>
  <w:style w:type="character" w:styleId="FootnoteReference">
    <w:name w:val="footnote reference"/>
    <w:semiHidden/>
    <w:rsid w:val="00C57E76"/>
    <w:rPr>
      <w:vertAlign w:val="superscript"/>
    </w:rPr>
  </w:style>
  <w:style w:type="character" w:customStyle="1" w:styleId="Document8">
    <w:name w:val="Document 8"/>
    <w:basedOn w:val="DefaultParagraphFont"/>
    <w:rsid w:val="00C57E76"/>
  </w:style>
  <w:style w:type="character" w:customStyle="1" w:styleId="Document4">
    <w:name w:val="Document 4"/>
    <w:rsid w:val="00C57E76"/>
    <w:rPr>
      <w:b/>
      <w:i/>
      <w:sz w:val="24"/>
    </w:rPr>
  </w:style>
  <w:style w:type="character" w:customStyle="1" w:styleId="Document6">
    <w:name w:val="Document 6"/>
    <w:basedOn w:val="DefaultParagraphFont"/>
    <w:rsid w:val="00C57E76"/>
  </w:style>
  <w:style w:type="character" w:customStyle="1" w:styleId="Document5">
    <w:name w:val="Document 5"/>
    <w:basedOn w:val="DefaultParagraphFont"/>
    <w:rsid w:val="00C57E76"/>
  </w:style>
  <w:style w:type="character" w:customStyle="1" w:styleId="Document2">
    <w:name w:val="Document 2"/>
    <w:rsid w:val="00C57E76"/>
    <w:rPr>
      <w:rFonts w:ascii="Courier" w:hAnsi="Courier"/>
      <w:noProof w:val="0"/>
      <w:sz w:val="24"/>
      <w:lang w:val="en-US"/>
    </w:rPr>
  </w:style>
  <w:style w:type="character" w:customStyle="1" w:styleId="Document7">
    <w:name w:val="Document 7"/>
    <w:basedOn w:val="DefaultParagraphFont"/>
    <w:rsid w:val="00C57E76"/>
  </w:style>
  <w:style w:type="character" w:customStyle="1" w:styleId="Bibliogrphy">
    <w:name w:val="Bibliogrphy"/>
    <w:basedOn w:val="DefaultParagraphFont"/>
    <w:rsid w:val="00C57E76"/>
  </w:style>
  <w:style w:type="paragraph" w:customStyle="1" w:styleId="RightPar1">
    <w:name w:val="Right Par 1"/>
    <w:rsid w:val="00C57E76"/>
    <w:pPr>
      <w:tabs>
        <w:tab w:val="left" w:pos="-720"/>
        <w:tab w:val="left" w:pos="0"/>
        <w:tab w:val="decimal" w:pos="720"/>
      </w:tabs>
      <w:suppressAutoHyphens/>
      <w:ind w:left="720"/>
    </w:pPr>
    <w:rPr>
      <w:rFonts w:ascii="Courier" w:hAnsi="Courier"/>
      <w:sz w:val="24"/>
    </w:rPr>
  </w:style>
  <w:style w:type="paragraph" w:customStyle="1" w:styleId="RightPar2">
    <w:name w:val="Right Par 2"/>
    <w:rsid w:val="00C57E76"/>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C57E76"/>
    <w:rPr>
      <w:rFonts w:ascii="Courier" w:hAnsi="Courier"/>
      <w:noProof w:val="0"/>
      <w:sz w:val="24"/>
      <w:lang w:val="en-US"/>
    </w:rPr>
  </w:style>
  <w:style w:type="paragraph" w:customStyle="1" w:styleId="RightPar3">
    <w:name w:val="Right Par 3"/>
    <w:rsid w:val="00C57E76"/>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C57E76"/>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C57E76"/>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C57E7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C57E76"/>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C57E7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C57E76"/>
    <w:pPr>
      <w:keepNext/>
      <w:keepLines/>
      <w:tabs>
        <w:tab w:val="left" w:pos="-720"/>
      </w:tabs>
      <w:suppressAutoHyphens/>
    </w:pPr>
    <w:rPr>
      <w:rFonts w:ascii="Courier" w:hAnsi="Courier"/>
      <w:sz w:val="24"/>
    </w:rPr>
  </w:style>
  <w:style w:type="character" w:customStyle="1" w:styleId="DocInit">
    <w:name w:val="Doc Init"/>
    <w:basedOn w:val="DefaultParagraphFont"/>
    <w:rsid w:val="00C57E76"/>
  </w:style>
  <w:style w:type="character" w:customStyle="1" w:styleId="TechInit">
    <w:name w:val="Tech Init"/>
    <w:rsid w:val="00C57E76"/>
    <w:rPr>
      <w:rFonts w:ascii="Courier" w:hAnsi="Courier"/>
      <w:noProof w:val="0"/>
      <w:sz w:val="24"/>
      <w:lang w:val="en-US"/>
    </w:rPr>
  </w:style>
  <w:style w:type="paragraph" w:customStyle="1" w:styleId="Technical5">
    <w:name w:val="Technical 5"/>
    <w:rsid w:val="00C57E76"/>
    <w:pPr>
      <w:tabs>
        <w:tab w:val="left" w:pos="-720"/>
      </w:tabs>
      <w:suppressAutoHyphens/>
      <w:ind w:firstLine="720"/>
    </w:pPr>
    <w:rPr>
      <w:rFonts w:ascii="Courier" w:hAnsi="Courier"/>
      <w:b/>
      <w:sz w:val="24"/>
    </w:rPr>
  </w:style>
  <w:style w:type="paragraph" w:customStyle="1" w:styleId="Technical6">
    <w:name w:val="Technical 6"/>
    <w:rsid w:val="00C57E76"/>
    <w:pPr>
      <w:tabs>
        <w:tab w:val="left" w:pos="-720"/>
      </w:tabs>
      <w:suppressAutoHyphens/>
      <w:ind w:firstLine="720"/>
    </w:pPr>
    <w:rPr>
      <w:rFonts w:ascii="Courier" w:hAnsi="Courier"/>
      <w:b/>
      <w:sz w:val="24"/>
    </w:rPr>
  </w:style>
  <w:style w:type="character" w:customStyle="1" w:styleId="Technical2">
    <w:name w:val="Technical 2"/>
    <w:rsid w:val="00C57E76"/>
    <w:rPr>
      <w:rFonts w:ascii="Courier" w:hAnsi="Courier"/>
      <w:noProof w:val="0"/>
      <w:sz w:val="24"/>
      <w:lang w:val="en-US"/>
    </w:rPr>
  </w:style>
  <w:style w:type="character" w:customStyle="1" w:styleId="Technical3">
    <w:name w:val="Technical 3"/>
    <w:rsid w:val="00C57E76"/>
    <w:rPr>
      <w:rFonts w:ascii="Courier" w:hAnsi="Courier"/>
      <w:noProof w:val="0"/>
      <w:sz w:val="24"/>
      <w:lang w:val="en-US"/>
    </w:rPr>
  </w:style>
  <w:style w:type="paragraph" w:customStyle="1" w:styleId="Technical4">
    <w:name w:val="Technical 4"/>
    <w:rsid w:val="00C57E76"/>
    <w:pPr>
      <w:tabs>
        <w:tab w:val="left" w:pos="-720"/>
      </w:tabs>
      <w:suppressAutoHyphens/>
    </w:pPr>
    <w:rPr>
      <w:rFonts w:ascii="Courier" w:hAnsi="Courier"/>
      <w:b/>
      <w:sz w:val="24"/>
    </w:rPr>
  </w:style>
  <w:style w:type="character" w:customStyle="1" w:styleId="Technical1">
    <w:name w:val="Technical 1"/>
    <w:rsid w:val="00C57E76"/>
    <w:rPr>
      <w:rFonts w:ascii="Courier" w:hAnsi="Courier"/>
      <w:noProof w:val="0"/>
      <w:sz w:val="24"/>
      <w:lang w:val="en-US"/>
    </w:rPr>
  </w:style>
  <w:style w:type="paragraph" w:customStyle="1" w:styleId="Technical7">
    <w:name w:val="Technical 7"/>
    <w:rsid w:val="00C57E76"/>
    <w:pPr>
      <w:tabs>
        <w:tab w:val="left" w:pos="-720"/>
      </w:tabs>
      <w:suppressAutoHyphens/>
      <w:ind w:firstLine="720"/>
    </w:pPr>
    <w:rPr>
      <w:rFonts w:ascii="Courier" w:hAnsi="Courier"/>
      <w:b/>
      <w:sz w:val="24"/>
    </w:rPr>
  </w:style>
  <w:style w:type="paragraph" w:customStyle="1" w:styleId="Technical8">
    <w:name w:val="Technical 8"/>
    <w:rsid w:val="00C57E76"/>
    <w:pPr>
      <w:tabs>
        <w:tab w:val="left" w:pos="-720"/>
      </w:tabs>
      <w:suppressAutoHyphens/>
      <w:ind w:firstLine="720"/>
    </w:pPr>
    <w:rPr>
      <w:rFonts w:ascii="Courier" w:hAnsi="Courier"/>
      <w:b/>
      <w:sz w:val="24"/>
    </w:rPr>
  </w:style>
  <w:style w:type="paragraph" w:styleId="TOC1">
    <w:name w:val="toc 1"/>
    <w:basedOn w:val="Normal"/>
    <w:next w:val="Normal"/>
    <w:semiHidden/>
    <w:rsid w:val="00C57E76"/>
    <w:pPr>
      <w:tabs>
        <w:tab w:val="right" w:leader="dot" w:pos="9360"/>
      </w:tabs>
      <w:suppressAutoHyphens/>
      <w:spacing w:before="480"/>
      <w:ind w:left="720" w:right="720" w:hanging="720"/>
    </w:pPr>
  </w:style>
  <w:style w:type="paragraph" w:styleId="TOC2">
    <w:name w:val="toc 2"/>
    <w:basedOn w:val="Normal"/>
    <w:next w:val="Normal"/>
    <w:semiHidden/>
    <w:rsid w:val="00C57E76"/>
    <w:pPr>
      <w:tabs>
        <w:tab w:val="right" w:leader="dot" w:pos="9360"/>
      </w:tabs>
      <w:suppressAutoHyphens/>
      <w:ind w:left="1440" w:right="720" w:hanging="720"/>
    </w:pPr>
  </w:style>
  <w:style w:type="paragraph" w:styleId="TOC3">
    <w:name w:val="toc 3"/>
    <w:basedOn w:val="Normal"/>
    <w:next w:val="Normal"/>
    <w:semiHidden/>
    <w:rsid w:val="00C57E76"/>
    <w:pPr>
      <w:tabs>
        <w:tab w:val="right" w:leader="dot" w:pos="9360"/>
      </w:tabs>
      <w:suppressAutoHyphens/>
      <w:ind w:left="2160" w:right="720" w:hanging="720"/>
    </w:pPr>
  </w:style>
  <w:style w:type="paragraph" w:styleId="TOC4">
    <w:name w:val="toc 4"/>
    <w:basedOn w:val="Normal"/>
    <w:next w:val="Normal"/>
    <w:semiHidden/>
    <w:rsid w:val="00C57E76"/>
    <w:pPr>
      <w:tabs>
        <w:tab w:val="right" w:leader="dot" w:pos="9360"/>
      </w:tabs>
      <w:suppressAutoHyphens/>
      <w:ind w:left="2880" w:right="720" w:hanging="720"/>
    </w:pPr>
  </w:style>
  <w:style w:type="paragraph" w:styleId="TOC5">
    <w:name w:val="toc 5"/>
    <w:basedOn w:val="Normal"/>
    <w:next w:val="Normal"/>
    <w:semiHidden/>
    <w:rsid w:val="00C57E76"/>
    <w:pPr>
      <w:tabs>
        <w:tab w:val="right" w:leader="dot" w:pos="9360"/>
      </w:tabs>
      <w:suppressAutoHyphens/>
      <w:ind w:left="3600" w:right="720" w:hanging="720"/>
    </w:pPr>
  </w:style>
  <w:style w:type="paragraph" w:styleId="TOC6">
    <w:name w:val="toc 6"/>
    <w:basedOn w:val="Normal"/>
    <w:next w:val="Normal"/>
    <w:semiHidden/>
    <w:rsid w:val="00C57E76"/>
    <w:pPr>
      <w:tabs>
        <w:tab w:val="right" w:pos="9360"/>
      </w:tabs>
      <w:suppressAutoHyphens/>
      <w:ind w:left="720" w:hanging="720"/>
    </w:pPr>
  </w:style>
  <w:style w:type="paragraph" w:styleId="TOC7">
    <w:name w:val="toc 7"/>
    <w:basedOn w:val="Normal"/>
    <w:next w:val="Normal"/>
    <w:semiHidden/>
    <w:rsid w:val="00C57E76"/>
    <w:pPr>
      <w:suppressAutoHyphens/>
      <w:ind w:left="720" w:hanging="720"/>
    </w:pPr>
  </w:style>
  <w:style w:type="paragraph" w:styleId="TOC8">
    <w:name w:val="toc 8"/>
    <w:basedOn w:val="Normal"/>
    <w:next w:val="Normal"/>
    <w:semiHidden/>
    <w:rsid w:val="00C57E76"/>
    <w:pPr>
      <w:tabs>
        <w:tab w:val="right" w:pos="9360"/>
      </w:tabs>
      <w:suppressAutoHyphens/>
      <w:ind w:left="720" w:hanging="720"/>
    </w:pPr>
  </w:style>
  <w:style w:type="paragraph" w:styleId="TOC9">
    <w:name w:val="toc 9"/>
    <w:basedOn w:val="Normal"/>
    <w:next w:val="Normal"/>
    <w:semiHidden/>
    <w:rsid w:val="00C57E76"/>
    <w:pPr>
      <w:tabs>
        <w:tab w:val="right" w:leader="dot" w:pos="9360"/>
      </w:tabs>
      <w:suppressAutoHyphens/>
      <w:ind w:left="720" w:hanging="720"/>
    </w:pPr>
  </w:style>
  <w:style w:type="paragraph" w:styleId="Index1">
    <w:name w:val="index 1"/>
    <w:basedOn w:val="Normal"/>
    <w:next w:val="Normal"/>
    <w:semiHidden/>
    <w:rsid w:val="00C57E76"/>
    <w:pPr>
      <w:tabs>
        <w:tab w:val="right" w:leader="dot" w:pos="9360"/>
      </w:tabs>
      <w:suppressAutoHyphens/>
      <w:ind w:left="1440" w:right="720" w:hanging="1440"/>
    </w:pPr>
  </w:style>
  <w:style w:type="paragraph" w:styleId="Index2">
    <w:name w:val="index 2"/>
    <w:basedOn w:val="Normal"/>
    <w:next w:val="Normal"/>
    <w:semiHidden/>
    <w:rsid w:val="00C57E76"/>
    <w:pPr>
      <w:tabs>
        <w:tab w:val="right" w:leader="dot" w:pos="9360"/>
      </w:tabs>
      <w:suppressAutoHyphens/>
      <w:ind w:left="1440" w:right="720" w:hanging="720"/>
    </w:pPr>
  </w:style>
  <w:style w:type="paragraph" w:styleId="TOAHeading">
    <w:name w:val="toa heading"/>
    <w:basedOn w:val="Normal"/>
    <w:next w:val="Normal"/>
    <w:semiHidden/>
    <w:rsid w:val="00C57E76"/>
    <w:pPr>
      <w:tabs>
        <w:tab w:val="right" w:pos="9360"/>
      </w:tabs>
      <w:suppressAutoHyphens/>
    </w:pPr>
  </w:style>
  <w:style w:type="paragraph" w:styleId="Caption">
    <w:name w:val="caption"/>
    <w:basedOn w:val="Normal"/>
    <w:next w:val="Normal"/>
    <w:qFormat/>
    <w:rsid w:val="00C57E76"/>
  </w:style>
  <w:style w:type="character" w:customStyle="1" w:styleId="EquationCaption">
    <w:name w:val="_Equation Caption"/>
    <w:rsid w:val="00C57E76"/>
  </w:style>
  <w:style w:type="paragraph" w:styleId="BodyTextIndent">
    <w:name w:val="Body Text Indent"/>
    <w:basedOn w:val="Normal"/>
    <w:link w:val="BodyTextIndentChar"/>
    <w:rsid w:val="005600D1"/>
    <w:pPr>
      <w:ind w:left="720" w:hanging="720"/>
    </w:pPr>
    <w:rPr>
      <w:rFonts w:ascii="Times New Roman" w:hAnsi="Times New Roman"/>
      <w:szCs w:val="24"/>
    </w:rPr>
  </w:style>
  <w:style w:type="character" w:customStyle="1" w:styleId="BodyTextIndentChar">
    <w:name w:val="Body Text Indent Char"/>
    <w:link w:val="BodyTextIndent"/>
    <w:rsid w:val="005600D1"/>
    <w:rPr>
      <w:sz w:val="24"/>
      <w:szCs w:val="24"/>
    </w:rPr>
  </w:style>
  <w:style w:type="character" w:styleId="CommentReference">
    <w:name w:val="annotation reference"/>
    <w:uiPriority w:val="99"/>
    <w:semiHidden/>
    <w:unhideWhenUsed/>
    <w:rsid w:val="000751BE"/>
    <w:rPr>
      <w:sz w:val="16"/>
      <w:szCs w:val="16"/>
    </w:rPr>
  </w:style>
  <w:style w:type="paragraph" w:styleId="CommentText">
    <w:name w:val="annotation text"/>
    <w:basedOn w:val="Normal"/>
    <w:link w:val="CommentTextChar"/>
    <w:uiPriority w:val="99"/>
    <w:semiHidden/>
    <w:unhideWhenUsed/>
    <w:rsid w:val="000751BE"/>
    <w:rPr>
      <w:sz w:val="20"/>
    </w:rPr>
  </w:style>
  <w:style w:type="character" w:customStyle="1" w:styleId="CommentTextChar">
    <w:name w:val="Comment Text Char"/>
    <w:link w:val="CommentText"/>
    <w:uiPriority w:val="99"/>
    <w:semiHidden/>
    <w:rsid w:val="000751BE"/>
    <w:rPr>
      <w:rFonts w:ascii="Courier" w:hAnsi="Courier"/>
    </w:rPr>
  </w:style>
  <w:style w:type="paragraph" w:styleId="CommentSubject">
    <w:name w:val="annotation subject"/>
    <w:basedOn w:val="CommentText"/>
    <w:next w:val="CommentText"/>
    <w:link w:val="CommentSubjectChar"/>
    <w:uiPriority w:val="99"/>
    <w:semiHidden/>
    <w:unhideWhenUsed/>
    <w:rsid w:val="000751BE"/>
    <w:rPr>
      <w:b/>
      <w:bCs/>
    </w:rPr>
  </w:style>
  <w:style w:type="character" w:customStyle="1" w:styleId="CommentSubjectChar">
    <w:name w:val="Comment Subject Char"/>
    <w:link w:val="CommentSubject"/>
    <w:uiPriority w:val="99"/>
    <w:semiHidden/>
    <w:rsid w:val="000751BE"/>
    <w:rPr>
      <w:rFonts w:ascii="Courier" w:hAnsi="Courier"/>
      <w:b/>
      <w:bCs/>
    </w:rPr>
  </w:style>
  <w:style w:type="paragraph" w:styleId="BalloonText">
    <w:name w:val="Balloon Text"/>
    <w:basedOn w:val="Normal"/>
    <w:link w:val="BalloonTextChar"/>
    <w:uiPriority w:val="99"/>
    <w:semiHidden/>
    <w:unhideWhenUsed/>
    <w:rsid w:val="000751BE"/>
    <w:rPr>
      <w:rFonts w:ascii="Tahoma" w:hAnsi="Tahoma" w:cs="Tahoma"/>
      <w:sz w:val="16"/>
      <w:szCs w:val="16"/>
    </w:rPr>
  </w:style>
  <w:style w:type="character" w:customStyle="1" w:styleId="BalloonTextChar">
    <w:name w:val="Balloon Text Char"/>
    <w:link w:val="BalloonText"/>
    <w:uiPriority w:val="99"/>
    <w:semiHidden/>
    <w:rsid w:val="000751BE"/>
    <w:rPr>
      <w:rFonts w:ascii="Tahoma" w:hAnsi="Tahoma" w:cs="Tahoma"/>
      <w:sz w:val="16"/>
      <w:szCs w:val="16"/>
    </w:rPr>
  </w:style>
  <w:style w:type="character" w:styleId="Hyperlink">
    <w:name w:val="Hyperlink"/>
    <w:uiPriority w:val="99"/>
    <w:unhideWhenUsed/>
    <w:rsid w:val="00F84BF2"/>
    <w:rPr>
      <w:color w:val="0000FF"/>
      <w:u w:val="single"/>
    </w:rPr>
  </w:style>
  <w:style w:type="character" w:styleId="FollowedHyperlink">
    <w:name w:val="FollowedHyperlink"/>
    <w:uiPriority w:val="99"/>
    <w:semiHidden/>
    <w:unhideWhenUsed/>
    <w:rsid w:val="008E738C"/>
    <w:rPr>
      <w:color w:val="800080"/>
      <w:u w:val="single"/>
    </w:rPr>
  </w:style>
  <w:style w:type="paragraph" w:styleId="Revision">
    <w:name w:val="Revision"/>
    <w:hidden/>
    <w:uiPriority w:val="99"/>
    <w:semiHidden/>
    <w:rsid w:val="00E655F6"/>
    <w:rPr>
      <w:rFonts w:ascii="Courier" w:hAnsi="Courier"/>
      <w:sz w:val="24"/>
    </w:rPr>
  </w:style>
  <w:style w:type="paragraph" w:styleId="Header">
    <w:name w:val="header"/>
    <w:basedOn w:val="Normal"/>
    <w:link w:val="HeaderChar"/>
    <w:uiPriority w:val="99"/>
    <w:unhideWhenUsed/>
    <w:rsid w:val="00F87745"/>
    <w:pPr>
      <w:tabs>
        <w:tab w:val="center" w:pos="4680"/>
        <w:tab w:val="right" w:pos="9360"/>
      </w:tabs>
    </w:pPr>
  </w:style>
  <w:style w:type="character" w:customStyle="1" w:styleId="HeaderChar">
    <w:name w:val="Header Char"/>
    <w:basedOn w:val="DefaultParagraphFont"/>
    <w:link w:val="Header"/>
    <w:uiPriority w:val="99"/>
    <w:rsid w:val="00F87745"/>
    <w:rPr>
      <w:rFonts w:ascii="Courier" w:hAnsi="Courier"/>
      <w:sz w:val="24"/>
    </w:rPr>
  </w:style>
  <w:style w:type="paragraph" w:styleId="Footer">
    <w:name w:val="footer"/>
    <w:basedOn w:val="Normal"/>
    <w:link w:val="FooterChar"/>
    <w:uiPriority w:val="99"/>
    <w:unhideWhenUsed/>
    <w:rsid w:val="00F87745"/>
    <w:pPr>
      <w:tabs>
        <w:tab w:val="center" w:pos="4680"/>
        <w:tab w:val="right" w:pos="9360"/>
      </w:tabs>
    </w:pPr>
  </w:style>
  <w:style w:type="character" w:customStyle="1" w:styleId="FooterChar">
    <w:name w:val="Footer Char"/>
    <w:basedOn w:val="DefaultParagraphFont"/>
    <w:link w:val="Footer"/>
    <w:uiPriority w:val="99"/>
    <w:rsid w:val="00F8774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17115</CharactersWithSpaces>
  <SharedDoc>false</SharedDoc>
  <HLinks>
    <vt:vector size="6" baseType="variant">
      <vt:variant>
        <vt:i4>1572971</vt:i4>
      </vt:variant>
      <vt:variant>
        <vt:i4>0</vt:i4>
      </vt:variant>
      <vt:variant>
        <vt:i4>0</vt:i4>
      </vt:variant>
      <vt:variant>
        <vt:i4>5</vt:i4>
      </vt:variant>
      <vt:variant>
        <vt:lpwstr>https://www.reginfo.gov/public/do/PRAViewICR?ref_nbr=201709-3038-001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SYSTEM</cp:lastModifiedBy>
  <cp:revision>2</cp:revision>
  <cp:lastPrinted>2014-10-14T18:09:00Z</cp:lastPrinted>
  <dcterms:created xsi:type="dcterms:W3CDTF">2018-11-27T20:50:00Z</dcterms:created>
  <dcterms:modified xsi:type="dcterms:W3CDTF">2018-11-27T20:50:00Z</dcterms:modified>
</cp:coreProperties>
</file>