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98F21" w14:textId="3E2B9E1C" w:rsidR="00F84C89" w:rsidRPr="003F24D5" w:rsidRDefault="00F84C89">
      <w:pPr>
        <w:pStyle w:val="Title"/>
        <w:rPr>
          <w:rFonts w:ascii="Times New Roman" w:hAnsi="Times New Roman"/>
          <w:bCs/>
          <w:sz w:val="24"/>
          <w:szCs w:val="24"/>
        </w:rPr>
      </w:pPr>
      <w:bookmarkStart w:id="0" w:name="_GoBack"/>
      <w:bookmarkEnd w:id="0"/>
      <w:r w:rsidRPr="003F24D5">
        <w:rPr>
          <w:rFonts w:ascii="Times New Roman" w:hAnsi="Times New Roman"/>
          <w:bCs/>
          <w:sz w:val="24"/>
          <w:szCs w:val="24"/>
        </w:rPr>
        <w:t>Supporting Statement for Paperwork Reduction Act Submission</w:t>
      </w:r>
      <w:r w:rsidR="00A3682C" w:rsidRPr="003F24D5">
        <w:rPr>
          <w:rFonts w:ascii="Times New Roman" w:hAnsi="Times New Roman"/>
          <w:bCs/>
          <w:sz w:val="24"/>
          <w:szCs w:val="24"/>
        </w:rPr>
        <w:t>s</w:t>
      </w:r>
    </w:p>
    <w:p w14:paraId="2C8DDC76" w14:textId="77777777" w:rsidR="003F24D5" w:rsidRPr="003F24D5" w:rsidRDefault="00F84C89">
      <w:pPr>
        <w:pStyle w:val="Subtitle"/>
      </w:pPr>
      <w:r w:rsidRPr="003F24D5">
        <w:t>Race and Ethnic Data Collection</w:t>
      </w:r>
    </w:p>
    <w:p w14:paraId="28D496D1" w14:textId="642931D4" w:rsidR="00F84C89" w:rsidRPr="003F24D5" w:rsidRDefault="003F24D5">
      <w:pPr>
        <w:pStyle w:val="Subtitle"/>
      </w:pPr>
      <w:r w:rsidRPr="003F24D5">
        <w:t>OMB: 2535-0113</w:t>
      </w:r>
      <w:r w:rsidR="00F84C89" w:rsidRPr="003F24D5">
        <w:t xml:space="preserve"> </w:t>
      </w:r>
    </w:p>
    <w:p w14:paraId="7EAAA1BE" w14:textId="77777777" w:rsidR="00F84C89" w:rsidRDefault="00F84C89">
      <w:pPr>
        <w:pStyle w:val="Subtitle"/>
      </w:pPr>
    </w:p>
    <w:p w14:paraId="730C03B6" w14:textId="77777777" w:rsidR="00F84C89" w:rsidRDefault="00F84C89">
      <w:pPr>
        <w:pStyle w:val="Subtitle"/>
      </w:pPr>
    </w:p>
    <w:p w14:paraId="2EF7498A" w14:textId="77777777" w:rsidR="00F84C89" w:rsidRDefault="00F84C89"/>
    <w:p w14:paraId="5FCD06AD" w14:textId="77777777" w:rsidR="00F84C89" w:rsidRDefault="00F84C89">
      <w:pPr>
        <w:pStyle w:val="Heading1"/>
        <w:numPr>
          <w:ilvl w:val="0"/>
          <w:numId w:val="10"/>
        </w:numPr>
      </w:pPr>
      <w:r>
        <w:t>Justification</w:t>
      </w:r>
    </w:p>
    <w:p w14:paraId="578608FE" w14:textId="77777777" w:rsidR="00F84C89" w:rsidRDefault="00F84C89"/>
    <w:p w14:paraId="4C13D290" w14:textId="77777777" w:rsidR="00F84C89" w:rsidRDefault="00F84C89">
      <w:pPr>
        <w:ind w:left="360"/>
      </w:pPr>
    </w:p>
    <w:p w14:paraId="2F81B36F" w14:textId="77777777" w:rsidR="00F84C89" w:rsidRDefault="00F84C89">
      <w:pPr>
        <w:tabs>
          <w:tab w:val="left" w:pos="360"/>
        </w:tabs>
        <w:ind w:left="360" w:hanging="360"/>
        <w:rPr>
          <w:sz w:val="24"/>
        </w:rPr>
      </w:pPr>
      <w:r>
        <w:rPr>
          <w:sz w:val="24"/>
        </w:rPr>
        <w:t>1.</w:t>
      </w:r>
      <w:r>
        <w:rPr>
          <w:sz w:val="24"/>
        </w:rPr>
        <w:tab/>
        <w:t xml:space="preserve">Authority:  HUD Regulations 24 CFR 1.6 - Nondiscrimination in Federally Assisted Programs of the Department of Housing and Urban Development -Effectuation of Title VI of the Civil Right Act of 1964; </w:t>
      </w:r>
      <w:r>
        <w:rPr>
          <w:i/>
          <w:iCs/>
          <w:sz w:val="24"/>
        </w:rPr>
        <w:t xml:space="preserve">Federal Register </w:t>
      </w:r>
      <w:r>
        <w:rPr>
          <w:sz w:val="24"/>
        </w:rPr>
        <w:t>Notice (62 FR 58782-58790) published on October 30, 1997; and Office of Management and Budget (OMB) Bulletin No. 00-02 –Provisional Guidance on Aggregation and Allocation of Data on Race for Use in Civil Rights Monitoring and Enforcement.</w:t>
      </w:r>
    </w:p>
    <w:p w14:paraId="1DCD69FD" w14:textId="77777777" w:rsidR="00F84C89" w:rsidRDefault="00F84C89">
      <w:pPr>
        <w:tabs>
          <w:tab w:val="left" w:pos="360"/>
        </w:tabs>
        <w:ind w:left="360"/>
        <w:rPr>
          <w:sz w:val="24"/>
        </w:rPr>
      </w:pPr>
    </w:p>
    <w:p w14:paraId="6C67DF61" w14:textId="77777777" w:rsidR="00F84C89" w:rsidRDefault="00F84C89">
      <w:pPr>
        <w:tabs>
          <w:tab w:val="left" w:pos="360"/>
        </w:tabs>
        <w:ind w:left="360"/>
        <w:rPr>
          <w:sz w:val="24"/>
        </w:rPr>
      </w:pPr>
      <w:r>
        <w:rPr>
          <w:sz w:val="24"/>
        </w:rPr>
        <w:t>Based on the Department of Housing and Urban Development’s (HUD) Title VI Regulations (24 CFR 1.6), HUD requires all recipients of funding to maintain and submit racial and ethnic data so HUD may determine whether federally assisted programs are in compliance with Title VI data collection requirements.  HUD must offer individuals, who are responding to agency data requests for race, the option of selecting one or more of five racial categories.  HUD must also treat ethnicity as a category separate from race, and change the terminology for certain racial and ethnic groups.</w:t>
      </w:r>
    </w:p>
    <w:p w14:paraId="67F18F96" w14:textId="77777777" w:rsidR="00F84C89" w:rsidRDefault="00F84C89">
      <w:pPr>
        <w:tabs>
          <w:tab w:val="left" w:pos="360"/>
        </w:tabs>
        <w:ind w:left="360"/>
        <w:rPr>
          <w:sz w:val="24"/>
        </w:rPr>
      </w:pPr>
    </w:p>
    <w:p w14:paraId="391E575E" w14:textId="77777777" w:rsidR="00F84C89" w:rsidRDefault="00F84C89">
      <w:pPr>
        <w:numPr>
          <w:ilvl w:val="0"/>
          <w:numId w:val="11"/>
        </w:numPr>
        <w:tabs>
          <w:tab w:val="left" w:pos="360"/>
        </w:tabs>
        <w:ind w:left="360"/>
        <w:rPr>
          <w:b/>
          <w:bCs/>
          <w:sz w:val="24"/>
        </w:rPr>
      </w:pPr>
      <w:r>
        <w:rPr>
          <w:sz w:val="24"/>
        </w:rPr>
        <w:t>Under Title VI of the Civil Right Act of 1964, no person in the United States shall, on the grounds of race, color, or national origin, be excluded from participation in, be denied the benefits of, or be otherwise subjected to discrimination under any program or activity receiving Federal financial assistance from the Department of Housing and Urban Development.  Title VI requires all recipients of HUD funding to maintain and submit this data during program monitoring and compliance reviews to ensure compliance with nondiscrimination requirements of Title VI.</w:t>
      </w:r>
    </w:p>
    <w:p w14:paraId="5C0A7DE0" w14:textId="77777777" w:rsidR="00F84C89" w:rsidRDefault="00F84C89">
      <w:pPr>
        <w:pStyle w:val="BodyTextIndent"/>
        <w:tabs>
          <w:tab w:val="left" w:pos="360"/>
        </w:tabs>
        <w:ind w:left="360"/>
      </w:pPr>
    </w:p>
    <w:p w14:paraId="198BD437" w14:textId="77777777" w:rsidR="00F84C89" w:rsidRDefault="00F84C89">
      <w:pPr>
        <w:pStyle w:val="BodyTextIndent"/>
        <w:tabs>
          <w:tab w:val="left" w:pos="360"/>
        </w:tabs>
        <w:ind w:left="360"/>
      </w:pPr>
      <w:r>
        <w:t xml:space="preserve">This collection of information provides that all HUD programs comply with OMB guidelines on reporting aggregating data on race and ethnicity.  </w:t>
      </w:r>
    </w:p>
    <w:p w14:paraId="245913A8" w14:textId="77777777" w:rsidR="00F84C89" w:rsidRDefault="00F84C89">
      <w:pPr>
        <w:pStyle w:val="BodyTextIndent"/>
        <w:tabs>
          <w:tab w:val="left" w:pos="360"/>
        </w:tabs>
        <w:ind w:left="360" w:hanging="360"/>
      </w:pPr>
    </w:p>
    <w:p w14:paraId="0853C710" w14:textId="6FAED7B6" w:rsidR="00F84C89" w:rsidRDefault="00F84C89">
      <w:pPr>
        <w:numPr>
          <w:ilvl w:val="0"/>
          <w:numId w:val="11"/>
        </w:numPr>
        <w:tabs>
          <w:tab w:val="left" w:pos="360"/>
        </w:tabs>
        <w:ind w:left="360"/>
        <w:rPr>
          <w:sz w:val="24"/>
        </w:rPr>
      </w:pPr>
      <w:r>
        <w:rPr>
          <w:sz w:val="24"/>
        </w:rPr>
        <w:t>HUD’s automated systems have been modified to conform to the latest requirements</w:t>
      </w:r>
      <w:r w:rsidR="00E404EC">
        <w:rPr>
          <w:sz w:val="24"/>
        </w:rPr>
        <w:t xml:space="preserve"> of the Title VI regulations</w:t>
      </w:r>
      <w:r>
        <w:rPr>
          <w:sz w:val="24"/>
        </w:rPr>
        <w:t xml:space="preserve">.  The E-Grants </w:t>
      </w:r>
      <w:r w:rsidR="00E404EC">
        <w:rPr>
          <w:sz w:val="24"/>
        </w:rPr>
        <w:t xml:space="preserve">electronic data </w:t>
      </w:r>
      <w:r>
        <w:rPr>
          <w:sz w:val="24"/>
        </w:rPr>
        <w:t xml:space="preserve">system </w:t>
      </w:r>
      <w:r w:rsidR="00E404EC">
        <w:rPr>
          <w:sz w:val="24"/>
        </w:rPr>
        <w:t>is the</w:t>
      </w:r>
      <w:r>
        <w:rPr>
          <w:sz w:val="24"/>
        </w:rPr>
        <w:t xml:space="preserve"> primary system for collection of this information.</w:t>
      </w:r>
      <w:r w:rsidR="00E404EC">
        <w:rPr>
          <w:sz w:val="24"/>
        </w:rPr>
        <w:t xml:space="preserve"> </w:t>
      </w:r>
    </w:p>
    <w:p w14:paraId="110858AD" w14:textId="77777777" w:rsidR="00F84C89" w:rsidRDefault="00F84C89">
      <w:pPr>
        <w:tabs>
          <w:tab w:val="left" w:pos="360"/>
        </w:tabs>
        <w:rPr>
          <w:sz w:val="24"/>
        </w:rPr>
      </w:pPr>
    </w:p>
    <w:p w14:paraId="083EB09B" w14:textId="77777777" w:rsidR="00F84C89" w:rsidRDefault="00F84C89">
      <w:pPr>
        <w:tabs>
          <w:tab w:val="left" w:pos="360"/>
        </w:tabs>
        <w:ind w:left="360" w:hanging="360"/>
        <w:rPr>
          <w:sz w:val="24"/>
        </w:rPr>
      </w:pPr>
      <w:r>
        <w:rPr>
          <w:sz w:val="24"/>
        </w:rPr>
        <w:t>4.  This collection of information is not being duplicated.</w:t>
      </w:r>
    </w:p>
    <w:p w14:paraId="6809CFEC" w14:textId="77777777" w:rsidR="00F84C89" w:rsidRDefault="00F84C89">
      <w:pPr>
        <w:tabs>
          <w:tab w:val="left" w:pos="360"/>
        </w:tabs>
        <w:ind w:left="360" w:hanging="360"/>
        <w:rPr>
          <w:sz w:val="24"/>
        </w:rPr>
      </w:pPr>
    </w:p>
    <w:p w14:paraId="5B7A719E" w14:textId="77777777" w:rsidR="00F84C89" w:rsidRDefault="00F84C89">
      <w:pPr>
        <w:numPr>
          <w:ilvl w:val="0"/>
          <w:numId w:val="12"/>
        </w:numPr>
        <w:tabs>
          <w:tab w:val="left" w:pos="360"/>
        </w:tabs>
        <w:ind w:left="360"/>
        <w:rPr>
          <w:b/>
          <w:bCs/>
          <w:sz w:val="24"/>
        </w:rPr>
      </w:pPr>
      <w:r>
        <w:rPr>
          <w:sz w:val="24"/>
        </w:rPr>
        <w:t xml:space="preserve">This collection of information does not have an impact on small businesses or other small entities. </w:t>
      </w:r>
    </w:p>
    <w:p w14:paraId="03658EEC" w14:textId="77777777" w:rsidR="00F84C89" w:rsidRDefault="00F84C89">
      <w:pPr>
        <w:tabs>
          <w:tab w:val="left" w:pos="360"/>
        </w:tabs>
        <w:ind w:left="360" w:hanging="360"/>
        <w:rPr>
          <w:b/>
          <w:bCs/>
          <w:sz w:val="24"/>
        </w:rPr>
      </w:pPr>
    </w:p>
    <w:p w14:paraId="6A28A303" w14:textId="77777777" w:rsidR="00F84C89" w:rsidRDefault="00F84C89">
      <w:pPr>
        <w:numPr>
          <w:ilvl w:val="0"/>
          <w:numId w:val="12"/>
        </w:numPr>
        <w:tabs>
          <w:tab w:val="left" w:pos="360"/>
        </w:tabs>
        <w:ind w:left="360"/>
        <w:rPr>
          <w:b/>
          <w:bCs/>
          <w:sz w:val="24"/>
        </w:rPr>
      </w:pPr>
      <w:r>
        <w:rPr>
          <w:sz w:val="24"/>
        </w:rPr>
        <w:t>The racial and ethnic data of HUD funded recipients must be available to the Department to show:</w:t>
      </w:r>
    </w:p>
    <w:p w14:paraId="34029B88" w14:textId="77777777" w:rsidR="00F84C89" w:rsidRDefault="00F84C89">
      <w:pPr>
        <w:tabs>
          <w:tab w:val="left" w:pos="720"/>
        </w:tabs>
        <w:ind w:left="360"/>
        <w:rPr>
          <w:sz w:val="24"/>
        </w:rPr>
      </w:pPr>
      <w:r>
        <w:rPr>
          <w:sz w:val="24"/>
        </w:rPr>
        <w:t xml:space="preserve">(1)  the actual beneficiaries of HUD’s programs and activities; </w:t>
      </w:r>
    </w:p>
    <w:p w14:paraId="63158A65" w14:textId="77777777" w:rsidR="00F84C89" w:rsidRDefault="00F84C89">
      <w:pPr>
        <w:tabs>
          <w:tab w:val="left" w:pos="720"/>
        </w:tabs>
        <w:ind w:left="720" w:hanging="360"/>
        <w:rPr>
          <w:b/>
          <w:bCs/>
          <w:sz w:val="24"/>
        </w:rPr>
      </w:pPr>
      <w:r>
        <w:rPr>
          <w:sz w:val="24"/>
        </w:rPr>
        <w:t>(2)  the extent to which members of minority groups are beneficiaries of HUD’s federally assisted programs.</w:t>
      </w:r>
    </w:p>
    <w:p w14:paraId="4C6B244D" w14:textId="77777777" w:rsidR="00F84C89" w:rsidRDefault="00F84C89">
      <w:pPr>
        <w:tabs>
          <w:tab w:val="left" w:pos="360"/>
        </w:tabs>
        <w:ind w:left="360" w:hanging="360"/>
        <w:rPr>
          <w:b/>
          <w:bCs/>
          <w:sz w:val="24"/>
        </w:rPr>
      </w:pPr>
    </w:p>
    <w:p w14:paraId="455C6F1F" w14:textId="56C3A606" w:rsidR="00F84C89" w:rsidRDefault="00F84C89">
      <w:pPr>
        <w:pStyle w:val="BodyTextIndent"/>
        <w:numPr>
          <w:ilvl w:val="0"/>
          <w:numId w:val="12"/>
        </w:numPr>
        <w:tabs>
          <w:tab w:val="left" w:pos="360"/>
        </w:tabs>
        <w:ind w:left="360"/>
      </w:pPr>
      <w:r>
        <w:t>There are no special circumstances that require this collection of information to be conducted in a manner that is inconsistent with the guidelines in 5 CFR 1320.6.</w:t>
      </w:r>
      <w:r w:rsidR="00E404EC">
        <w:t xml:space="preserve"> This includes:</w:t>
      </w:r>
    </w:p>
    <w:p w14:paraId="68411EC0" w14:textId="60D52B57" w:rsidR="00E404EC" w:rsidRPr="00E404EC" w:rsidRDefault="00E404EC" w:rsidP="00E404EC">
      <w:pPr>
        <w:numPr>
          <w:ilvl w:val="0"/>
          <w:numId w:val="15"/>
        </w:numPr>
        <w:tabs>
          <w:tab w:val="left" w:pos="600"/>
        </w:tabs>
        <w:rPr>
          <w:sz w:val="24"/>
          <w:szCs w:val="24"/>
        </w:rPr>
      </w:pPr>
      <w:r w:rsidRPr="00E404EC">
        <w:rPr>
          <w:sz w:val="24"/>
          <w:szCs w:val="24"/>
        </w:rPr>
        <w:t>requiring respondents to report information to the agency more than quarterly</w:t>
      </w:r>
      <w:r w:rsidR="00005A7B">
        <w:rPr>
          <w:sz w:val="24"/>
          <w:szCs w:val="24"/>
        </w:rPr>
        <w:t xml:space="preserve"> (N/A)</w:t>
      </w:r>
      <w:r w:rsidRPr="00E404EC">
        <w:rPr>
          <w:sz w:val="24"/>
          <w:szCs w:val="24"/>
        </w:rPr>
        <w:t xml:space="preserve">; </w:t>
      </w:r>
    </w:p>
    <w:p w14:paraId="25458B5C" w14:textId="3F122B4B" w:rsidR="00E404EC" w:rsidRPr="00E404EC" w:rsidRDefault="00E404EC" w:rsidP="00E404EC">
      <w:pPr>
        <w:numPr>
          <w:ilvl w:val="0"/>
          <w:numId w:val="15"/>
        </w:numPr>
        <w:tabs>
          <w:tab w:val="left" w:pos="600"/>
        </w:tabs>
        <w:rPr>
          <w:sz w:val="24"/>
          <w:szCs w:val="24"/>
        </w:rPr>
      </w:pPr>
      <w:r w:rsidRPr="00E404EC">
        <w:rPr>
          <w:sz w:val="24"/>
          <w:szCs w:val="24"/>
        </w:rPr>
        <w:t>requiring respondents to prepare a written response to a collection of information in fewer than 30 days after receipt of it</w:t>
      </w:r>
      <w:r w:rsidR="00005A7B">
        <w:rPr>
          <w:sz w:val="24"/>
          <w:szCs w:val="24"/>
        </w:rPr>
        <w:t xml:space="preserve"> (N/A)</w:t>
      </w:r>
      <w:r w:rsidRPr="00E404EC">
        <w:rPr>
          <w:sz w:val="24"/>
          <w:szCs w:val="24"/>
        </w:rPr>
        <w:t xml:space="preserve">; </w:t>
      </w:r>
    </w:p>
    <w:p w14:paraId="78001991" w14:textId="6ED5A383" w:rsidR="00E404EC" w:rsidRPr="00E404EC" w:rsidRDefault="00E404EC" w:rsidP="00E404EC">
      <w:pPr>
        <w:numPr>
          <w:ilvl w:val="0"/>
          <w:numId w:val="15"/>
        </w:numPr>
        <w:tabs>
          <w:tab w:val="left" w:pos="600"/>
        </w:tabs>
        <w:rPr>
          <w:sz w:val="24"/>
          <w:szCs w:val="24"/>
        </w:rPr>
      </w:pPr>
      <w:r w:rsidRPr="00E404EC">
        <w:rPr>
          <w:sz w:val="24"/>
          <w:szCs w:val="24"/>
        </w:rPr>
        <w:t>requiring respondents to submit more than an original and two copies of any document</w:t>
      </w:r>
      <w:r w:rsidR="00005A7B">
        <w:rPr>
          <w:sz w:val="24"/>
          <w:szCs w:val="24"/>
        </w:rPr>
        <w:t xml:space="preserve"> (N/A)</w:t>
      </w:r>
      <w:r w:rsidRPr="00E404EC">
        <w:rPr>
          <w:sz w:val="24"/>
          <w:szCs w:val="24"/>
        </w:rPr>
        <w:t xml:space="preserve">; </w:t>
      </w:r>
    </w:p>
    <w:p w14:paraId="36E1C504" w14:textId="7BB8765F" w:rsidR="00E404EC" w:rsidRPr="00E404EC" w:rsidRDefault="00E404EC" w:rsidP="00E404EC">
      <w:pPr>
        <w:numPr>
          <w:ilvl w:val="0"/>
          <w:numId w:val="15"/>
        </w:numPr>
        <w:tabs>
          <w:tab w:val="left" w:pos="600"/>
        </w:tabs>
        <w:rPr>
          <w:sz w:val="24"/>
          <w:szCs w:val="24"/>
        </w:rPr>
      </w:pPr>
      <w:r w:rsidRPr="00E404EC">
        <w:rPr>
          <w:sz w:val="24"/>
          <w:szCs w:val="24"/>
        </w:rPr>
        <w:t>requiring respondents to retain records other than health, medical, government contract, grant-in-aid, or tax records for more than three years</w:t>
      </w:r>
      <w:r w:rsidR="00005A7B">
        <w:rPr>
          <w:sz w:val="24"/>
          <w:szCs w:val="24"/>
        </w:rPr>
        <w:t xml:space="preserve"> (N/A)</w:t>
      </w:r>
      <w:r w:rsidRPr="00E404EC">
        <w:rPr>
          <w:sz w:val="24"/>
          <w:szCs w:val="24"/>
        </w:rPr>
        <w:t xml:space="preserve">; </w:t>
      </w:r>
    </w:p>
    <w:p w14:paraId="0E4FEF51" w14:textId="59DEBF8F" w:rsidR="00E404EC" w:rsidRPr="00E404EC" w:rsidRDefault="00E404EC" w:rsidP="00E404EC">
      <w:pPr>
        <w:numPr>
          <w:ilvl w:val="0"/>
          <w:numId w:val="15"/>
        </w:numPr>
        <w:tabs>
          <w:tab w:val="left" w:pos="600"/>
        </w:tabs>
        <w:rPr>
          <w:sz w:val="24"/>
          <w:szCs w:val="24"/>
        </w:rPr>
      </w:pPr>
      <w:r w:rsidRPr="00E404EC">
        <w:rPr>
          <w:sz w:val="24"/>
          <w:szCs w:val="24"/>
        </w:rPr>
        <w:t>in connection with a statistical survey, that is not designed to produce valid and reliable results than can be generalized to the universe of study</w:t>
      </w:r>
      <w:r w:rsidR="00005A7B">
        <w:rPr>
          <w:sz w:val="24"/>
          <w:szCs w:val="24"/>
        </w:rPr>
        <w:t xml:space="preserve"> (N/A)</w:t>
      </w:r>
      <w:r w:rsidRPr="00E404EC">
        <w:rPr>
          <w:sz w:val="24"/>
          <w:szCs w:val="24"/>
        </w:rPr>
        <w:t xml:space="preserve">; </w:t>
      </w:r>
    </w:p>
    <w:p w14:paraId="5C05A870" w14:textId="7EB68178" w:rsidR="00E404EC" w:rsidRDefault="00E404EC" w:rsidP="00E404EC">
      <w:pPr>
        <w:numPr>
          <w:ilvl w:val="0"/>
          <w:numId w:val="15"/>
        </w:numPr>
        <w:tabs>
          <w:tab w:val="left" w:pos="600"/>
        </w:tabs>
        <w:rPr>
          <w:sz w:val="24"/>
          <w:szCs w:val="24"/>
        </w:rPr>
      </w:pPr>
      <w:r w:rsidRPr="00E404EC">
        <w:rPr>
          <w:sz w:val="24"/>
          <w:szCs w:val="24"/>
        </w:rPr>
        <w:lastRenderedPageBreak/>
        <w:t>requiring the use of a statistical data classification that has not been reviewed and approved by OMB</w:t>
      </w:r>
      <w:r w:rsidR="00005A7B">
        <w:rPr>
          <w:sz w:val="24"/>
          <w:szCs w:val="24"/>
        </w:rPr>
        <w:t xml:space="preserve"> (N/A)</w:t>
      </w:r>
      <w:r w:rsidRPr="00E404EC">
        <w:rPr>
          <w:sz w:val="24"/>
          <w:szCs w:val="24"/>
        </w:rPr>
        <w:t>;</w:t>
      </w:r>
    </w:p>
    <w:p w14:paraId="601BAAAD" w14:textId="7A4CA5C0" w:rsidR="00E404EC" w:rsidRPr="00E404EC" w:rsidRDefault="00E404EC" w:rsidP="00E404EC">
      <w:pPr>
        <w:numPr>
          <w:ilvl w:val="0"/>
          <w:numId w:val="15"/>
        </w:numPr>
        <w:tabs>
          <w:tab w:val="left" w:pos="600"/>
        </w:tabs>
        <w:rPr>
          <w:sz w:val="24"/>
          <w:szCs w:val="24"/>
        </w:rPr>
      </w:pPr>
      <w:r w:rsidRPr="00E404EC">
        <w:rPr>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005A7B">
        <w:rPr>
          <w:sz w:val="24"/>
          <w:szCs w:val="24"/>
        </w:rPr>
        <w:t xml:space="preserve"> (N/A)</w:t>
      </w:r>
      <w:r w:rsidRPr="00E404EC">
        <w:rPr>
          <w:sz w:val="24"/>
          <w:szCs w:val="24"/>
        </w:rPr>
        <w:t xml:space="preserve">; or </w:t>
      </w:r>
    </w:p>
    <w:p w14:paraId="2B9CA721" w14:textId="48FA4E6F" w:rsidR="00E404EC" w:rsidRPr="00E404EC" w:rsidRDefault="00E404EC" w:rsidP="00E404EC">
      <w:pPr>
        <w:keepLines/>
        <w:numPr>
          <w:ilvl w:val="0"/>
          <w:numId w:val="15"/>
        </w:numPr>
        <w:tabs>
          <w:tab w:val="left" w:pos="600"/>
        </w:tabs>
        <w:spacing w:after="80"/>
        <w:rPr>
          <w:sz w:val="24"/>
          <w:szCs w:val="24"/>
        </w:rPr>
      </w:pPr>
      <w:r w:rsidRPr="00E404EC">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00005A7B">
        <w:rPr>
          <w:sz w:val="24"/>
          <w:szCs w:val="24"/>
        </w:rPr>
        <w:t xml:space="preserve"> (N/A)</w:t>
      </w:r>
      <w:r w:rsidRPr="00E404EC">
        <w:rPr>
          <w:sz w:val="24"/>
          <w:szCs w:val="24"/>
        </w:rPr>
        <w:t>.</w:t>
      </w:r>
    </w:p>
    <w:p w14:paraId="0C2B33DF" w14:textId="1AC2B539" w:rsidR="00F84C89" w:rsidRDefault="00F84C89" w:rsidP="00F449E0">
      <w:pPr>
        <w:pStyle w:val="BodyTextIndent"/>
        <w:numPr>
          <w:ilvl w:val="0"/>
          <w:numId w:val="13"/>
        </w:numPr>
      </w:pPr>
      <w:r>
        <w:t xml:space="preserve">Notice of this collection of information was published in the </w:t>
      </w:r>
      <w:r>
        <w:rPr>
          <w:i/>
          <w:iCs/>
        </w:rPr>
        <w:t>Federal Register</w:t>
      </w:r>
      <w:r>
        <w:t xml:space="preserve"> on</w:t>
      </w:r>
      <w:r w:rsidR="00044C42">
        <w:t xml:space="preserve"> </w:t>
      </w:r>
      <w:r w:rsidR="006377FC">
        <w:t>December 4, 2018</w:t>
      </w:r>
      <w:r w:rsidR="00720D93">
        <w:t>,</w:t>
      </w:r>
      <w:r w:rsidR="00044C42">
        <w:t xml:space="preserve"> Vol.</w:t>
      </w:r>
      <w:r w:rsidR="00720D93">
        <w:t xml:space="preserve"> </w:t>
      </w:r>
      <w:r w:rsidR="004203D4">
        <w:t>83</w:t>
      </w:r>
      <w:r w:rsidR="00720D93">
        <w:t xml:space="preserve"> Page </w:t>
      </w:r>
      <w:r w:rsidR="004203D4">
        <w:t>62599</w:t>
      </w:r>
      <w:r>
        <w:t xml:space="preserve">. </w:t>
      </w:r>
      <w:r w:rsidR="009E3566">
        <w:t xml:space="preserve"> No comments were received.</w:t>
      </w:r>
    </w:p>
    <w:p w14:paraId="7071BB24" w14:textId="77777777" w:rsidR="00F84C89" w:rsidRDefault="00F84C89">
      <w:pPr>
        <w:tabs>
          <w:tab w:val="left" w:pos="-108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sz w:val="24"/>
        </w:rPr>
      </w:pPr>
    </w:p>
    <w:p w14:paraId="562538B5" w14:textId="77777777" w:rsidR="00F84C89" w:rsidRDefault="00F84C89">
      <w:pPr>
        <w:pStyle w:val="BodyTextIndent"/>
        <w:numPr>
          <w:ilvl w:val="0"/>
          <w:numId w:val="13"/>
        </w:numPr>
        <w:tabs>
          <w:tab w:val="left" w:pos="360"/>
        </w:tabs>
      </w:pPr>
      <w:r>
        <w:t>There are no payments or gifts provided to respondents in this collection of information.</w:t>
      </w:r>
    </w:p>
    <w:p w14:paraId="6CFD4F7E" w14:textId="77777777" w:rsidR="00F84C89" w:rsidRDefault="00F84C89">
      <w:pPr>
        <w:pStyle w:val="BodyTextIndent"/>
        <w:tabs>
          <w:tab w:val="left" w:pos="360"/>
        </w:tabs>
        <w:ind w:left="360" w:hanging="360"/>
      </w:pPr>
    </w:p>
    <w:p w14:paraId="4CDF8983" w14:textId="0EEC7FF5" w:rsidR="00F84C89" w:rsidRDefault="00F84C89">
      <w:pPr>
        <w:pStyle w:val="BodyTextIndent"/>
        <w:numPr>
          <w:ilvl w:val="0"/>
          <w:numId w:val="13"/>
        </w:numPr>
        <w:tabs>
          <w:tab w:val="left" w:pos="360"/>
        </w:tabs>
      </w:pPr>
      <w:r>
        <w:t>There are no assurances of confidentiality provided in this collection of information.</w:t>
      </w:r>
      <w:r w:rsidR="00E404EC">
        <w:t xml:space="preserve"> The information requested under this collection is protected and held private in accordance with 5 U.S.C. 552 (Freedom of Information Act), and (Privacy Act of 1974).  A Privacy Threshold Analysis was approved by the Department. </w:t>
      </w:r>
    </w:p>
    <w:p w14:paraId="36AB406E" w14:textId="77777777" w:rsidR="00F84C89" w:rsidRDefault="00F84C89">
      <w:pPr>
        <w:pStyle w:val="BodyTextIndent"/>
        <w:tabs>
          <w:tab w:val="left" w:pos="360"/>
        </w:tabs>
        <w:ind w:left="360" w:hanging="360"/>
      </w:pPr>
    </w:p>
    <w:p w14:paraId="62D38DA2" w14:textId="7ACBBFAB" w:rsidR="00F84C89" w:rsidRDefault="00F84C89">
      <w:pPr>
        <w:pStyle w:val="BodyTextIndent"/>
        <w:tabs>
          <w:tab w:val="left" w:pos="360"/>
        </w:tabs>
        <w:ind w:left="360" w:hanging="360"/>
      </w:pPr>
      <w:r>
        <w:t>11.</w:t>
      </w:r>
      <w:r>
        <w:tab/>
      </w:r>
      <w:r w:rsidR="00E404EC">
        <w:t>The collection does not contain information of a sensitive nature about sexual behavior or attitudes, religious beliefs, or private matters.</w:t>
      </w:r>
    </w:p>
    <w:p w14:paraId="68ED593D" w14:textId="77777777" w:rsidR="00F84C89" w:rsidRDefault="00F84C89">
      <w:pPr>
        <w:pStyle w:val="BodyTextIndent"/>
        <w:tabs>
          <w:tab w:val="left" w:pos="360"/>
        </w:tabs>
        <w:ind w:left="360" w:hanging="360"/>
      </w:pPr>
    </w:p>
    <w:p w14:paraId="74856DBF" w14:textId="78E5BDBB" w:rsidR="00F84C89" w:rsidRDefault="00F84C89">
      <w:pPr>
        <w:pStyle w:val="BodyTextIndent"/>
        <w:tabs>
          <w:tab w:val="left" w:pos="360"/>
        </w:tabs>
        <w:ind w:left="360" w:hanging="360"/>
      </w:pPr>
      <w:r>
        <w:t>12.</w:t>
      </w:r>
      <w:r>
        <w:tab/>
        <w:t>Estimate</w:t>
      </w:r>
      <w:r w:rsidR="00132949">
        <w:t>d Burden</w:t>
      </w:r>
    </w:p>
    <w:p w14:paraId="20AC9523" w14:textId="77777777" w:rsidR="00132949" w:rsidRDefault="00132949">
      <w:pPr>
        <w:pStyle w:val="BodyTextIndent"/>
        <w:tabs>
          <w:tab w:val="left" w:pos="360"/>
        </w:tabs>
        <w:ind w:left="360" w:hanging="360"/>
      </w:pPr>
    </w:p>
    <w:tbl>
      <w:tblPr>
        <w:tblW w:w="0" w:type="auto"/>
        <w:tblInd w:w="558" w:type="dxa"/>
        <w:tblCellMar>
          <w:left w:w="0" w:type="dxa"/>
          <w:right w:w="0" w:type="dxa"/>
        </w:tblCellMar>
        <w:tblLook w:val="04A0" w:firstRow="1" w:lastRow="0" w:firstColumn="1" w:lastColumn="0" w:noHBand="0" w:noVBand="1"/>
      </w:tblPr>
      <w:tblGrid>
        <w:gridCol w:w="1894"/>
        <w:gridCol w:w="1341"/>
        <w:gridCol w:w="1145"/>
        <w:gridCol w:w="939"/>
        <w:gridCol w:w="1253"/>
        <w:gridCol w:w="1348"/>
        <w:gridCol w:w="1224"/>
        <w:gridCol w:w="1078"/>
      </w:tblGrid>
      <w:tr w:rsidR="00132949" w:rsidRPr="00F449E0" w14:paraId="617E305D" w14:textId="77777777" w:rsidTr="00D848B0">
        <w:tc>
          <w:tcPr>
            <w:tcW w:w="18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30C31E" w14:textId="77777777" w:rsidR="00132949" w:rsidRPr="00F449E0" w:rsidRDefault="00132949" w:rsidP="00073AC8">
            <w:pPr>
              <w:pStyle w:val="NoSpacing"/>
              <w:rPr>
                <w:rFonts w:eastAsia="Calibri"/>
                <w:sz w:val="18"/>
                <w:szCs w:val="18"/>
              </w:rPr>
            </w:pPr>
            <w:r w:rsidRPr="00F449E0">
              <w:rPr>
                <w:sz w:val="18"/>
                <w:szCs w:val="18"/>
              </w:rPr>
              <w:t>Information Collection</w:t>
            </w:r>
          </w:p>
        </w:tc>
        <w:tc>
          <w:tcPr>
            <w:tcW w:w="13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BA14E9" w14:textId="77777777" w:rsidR="00132949" w:rsidRPr="00F449E0" w:rsidRDefault="00132949" w:rsidP="00073AC8">
            <w:pPr>
              <w:pStyle w:val="NoSpacing"/>
              <w:rPr>
                <w:rFonts w:eastAsia="Calibri"/>
                <w:sz w:val="18"/>
                <w:szCs w:val="18"/>
              </w:rPr>
            </w:pPr>
            <w:r w:rsidRPr="00F449E0">
              <w:rPr>
                <w:sz w:val="18"/>
                <w:szCs w:val="18"/>
              </w:rPr>
              <w:t>Number of Respondents</w:t>
            </w:r>
          </w:p>
        </w:tc>
        <w:tc>
          <w:tcPr>
            <w:tcW w:w="1145"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22C125A2" w14:textId="77777777" w:rsidR="00132949" w:rsidRPr="00F449E0" w:rsidRDefault="00132949" w:rsidP="00073AC8">
            <w:pPr>
              <w:pStyle w:val="NoSpacing"/>
              <w:rPr>
                <w:rFonts w:eastAsia="Calibri"/>
                <w:sz w:val="18"/>
                <w:szCs w:val="18"/>
              </w:rPr>
            </w:pPr>
            <w:r w:rsidRPr="00F449E0">
              <w:rPr>
                <w:sz w:val="18"/>
                <w:szCs w:val="18"/>
              </w:rPr>
              <w:t>Frequency of Response</w:t>
            </w:r>
          </w:p>
        </w:tc>
        <w:tc>
          <w:tcPr>
            <w:tcW w:w="939" w:type="dxa"/>
            <w:tcBorders>
              <w:top w:val="single" w:sz="4" w:space="0" w:color="auto"/>
              <w:left w:val="single" w:sz="4" w:space="0" w:color="auto"/>
              <w:bottom w:val="single" w:sz="4" w:space="0" w:color="auto"/>
              <w:right w:val="single" w:sz="4" w:space="0" w:color="auto"/>
            </w:tcBorders>
          </w:tcPr>
          <w:p w14:paraId="66CD8ACC" w14:textId="77777777" w:rsidR="00132949" w:rsidRPr="00F449E0" w:rsidRDefault="00132949" w:rsidP="00073AC8">
            <w:pPr>
              <w:pStyle w:val="NoSpacing"/>
              <w:rPr>
                <w:sz w:val="18"/>
                <w:szCs w:val="18"/>
              </w:rPr>
            </w:pPr>
            <w:r w:rsidRPr="00F449E0">
              <w:rPr>
                <w:sz w:val="18"/>
                <w:szCs w:val="18"/>
              </w:rPr>
              <w:t>Responses Per Annum</w:t>
            </w:r>
          </w:p>
        </w:tc>
        <w:tc>
          <w:tcPr>
            <w:tcW w:w="1253"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65290DE" w14:textId="77777777" w:rsidR="00132949" w:rsidRPr="00F449E0" w:rsidRDefault="00132949" w:rsidP="00073AC8">
            <w:pPr>
              <w:pStyle w:val="NoSpacing"/>
              <w:rPr>
                <w:rFonts w:eastAsia="Calibri"/>
                <w:sz w:val="18"/>
                <w:szCs w:val="18"/>
              </w:rPr>
            </w:pPr>
            <w:r w:rsidRPr="00F449E0">
              <w:rPr>
                <w:sz w:val="18"/>
                <w:szCs w:val="18"/>
              </w:rPr>
              <w:t>Burden Hour Per Response</w:t>
            </w:r>
          </w:p>
        </w:tc>
        <w:tc>
          <w:tcPr>
            <w:tcW w:w="13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8C8FE8" w14:textId="77777777" w:rsidR="00132949" w:rsidRPr="00F449E0" w:rsidRDefault="00132949" w:rsidP="00073AC8">
            <w:pPr>
              <w:pStyle w:val="NoSpacing"/>
              <w:rPr>
                <w:rFonts w:eastAsia="Calibri"/>
                <w:sz w:val="18"/>
                <w:szCs w:val="18"/>
              </w:rPr>
            </w:pPr>
            <w:r w:rsidRPr="00F449E0">
              <w:rPr>
                <w:sz w:val="18"/>
                <w:szCs w:val="18"/>
              </w:rPr>
              <w:t>Annual Burden Hours</w:t>
            </w:r>
          </w:p>
        </w:tc>
        <w:tc>
          <w:tcPr>
            <w:tcW w:w="1224" w:type="dxa"/>
            <w:tcBorders>
              <w:top w:val="single" w:sz="8" w:space="0" w:color="auto"/>
              <w:left w:val="nil"/>
              <w:bottom w:val="single" w:sz="8" w:space="0" w:color="auto"/>
              <w:right w:val="single" w:sz="8" w:space="0" w:color="auto"/>
            </w:tcBorders>
          </w:tcPr>
          <w:p w14:paraId="2379897B" w14:textId="77777777" w:rsidR="00132949" w:rsidRPr="00F449E0" w:rsidRDefault="00132949" w:rsidP="00073AC8">
            <w:pPr>
              <w:pStyle w:val="NoSpacing"/>
              <w:rPr>
                <w:sz w:val="18"/>
                <w:szCs w:val="18"/>
              </w:rPr>
            </w:pPr>
            <w:r w:rsidRPr="00F449E0">
              <w:rPr>
                <w:sz w:val="18"/>
                <w:szCs w:val="18"/>
              </w:rPr>
              <w:t>Hourly Cost Per Response</w:t>
            </w:r>
          </w:p>
        </w:tc>
        <w:tc>
          <w:tcPr>
            <w:tcW w:w="1078" w:type="dxa"/>
            <w:tcBorders>
              <w:top w:val="single" w:sz="8" w:space="0" w:color="auto"/>
              <w:left w:val="nil"/>
              <w:bottom w:val="single" w:sz="8" w:space="0" w:color="auto"/>
              <w:right w:val="single" w:sz="8" w:space="0" w:color="auto"/>
            </w:tcBorders>
          </w:tcPr>
          <w:p w14:paraId="089BF121" w14:textId="77777777" w:rsidR="00132949" w:rsidRPr="00F449E0" w:rsidRDefault="00132949" w:rsidP="00073AC8">
            <w:pPr>
              <w:pStyle w:val="NoSpacing"/>
              <w:rPr>
                <w:sz w:val="18"/>
                <w:szCs w:val="18"/>
              </w:rPr>
            </w:pPr>
            <w:r w:rsidRPr="00F449E0">
              <w:rPr>
                <w:sz w:val="18"/>
                <w:szCs w:val="18"/>
              </w:rPr>
              <w:t>Annual Cost</w:t>
            </w:r>
          </w:p>
        </w:tc>
      </w:tr>
      <w:tr w:rsidR="00132949" w:rsidRPr="00F449E0" w14:paraId="549EE3E0" w14:textId="77777777" w:rsidTr="00D848B0">
        <w:tc>
          <w:tcPr>
            <w:tcW w:w="189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44144A1" w14:textId="69173164" w:rsidR="00132949" w:rsidRPr="00F449E0" w:rsidRDefault="00EF24A4" w:rsidP="00073AC8">
            <w:pPr>
              <w:pStyle w:val="NoSpacing"/>
              <w:rPr>
                <w:sz w:val="18"/>
                <w:szCs w:val="18"/>
              </w:rPr>
            </w:pPr>
            <w:r w:rsidRPr="00F449E0">
              <w:rPr>
                <w:sz w:val="18"/>
                <w:szCs w:val="18"/>
              </w:rPr>
              <w:t xml:space="preserve">HUD </w:t>
            </w:r>
            <w:r w:rsidR="00132949" w:rsidRPr="00F449E0">
              <w:rPr>
                <w:sz w:val="18"/>
                <w:szCs w:val="18"/>
              </w:rPr>
              <w:t>-</w:t>
            </w:r>
            <w:r w:rsidR="007F31F6" w:rsidRPr="00F449E0">
              <w:rPr>
                <w:sz w:val="18"/>
                <w:szCs w:val="18"/>
              </w:rPr>
              <w:t xml:space="preserve"> 27061</w:t>
            </w:r>
          </w:p>
          <w:p w14:paraId="41125486" w14:textId="4658346D" w:rsidR="00132949" w:rsidRPr="00F449E0" w:rsidRDefault="00132949" w:rsidP="00073AC8">
            <w:pPr>
              <w:pStyle w:val="NoSpacing"/>
              <w:rPr>
                <w:rFonts w:eastAsia="Calibri"/>
                <w:sz w:val="18"/>
                <w:szCs w:val="18"/>
              </w:rPr>
            </w:pPr>
            <w:r w:rsidRPr="00F449E0">
              <w:rPr>
                <w:sz w:val="18"/>
                <w:szCs w:val="18"/>
              </w:rPr>
              <w:t>Race and Ethnic</w:t>
            </w:r>
            <w:r w:rsidR="00900EDA" w:rsidRPr="00F449E0">
              <w:rPr>
                <w:sz w:val="18"/>
                <w:szCs w:val="18"/>
              </w:rPr>
              <w:t xml:space="preserve"> Data</w:t>
            </w:r>
            <w:r w:rsidR="003945F1" w:rsidRPr="00F449E0">
              <w:rPr>
                <w:sz w:val="18"/>
                <w:szCs w:val="18"/>
              </w:rPr>
              <w:t xml:space="preserve"> Reporting Form</w:t>
            </w:r>
          </w:p>
        </w:tc>
        <w:tc>
          <w:tcPr>
            <w:tcW w:w="1341" w:type="dxa"/>
            <w:tcBorders>
              <w:top w:val="nil"/>
              <w:left w:val="nil"/>
              <w:bottom w:val="single" w:sz="4" w:space="0" w:color="auto"/>
              <w:right w:val="single" w:sz="8" w:space="0" w:color="auto"/>
            </w:tcBorders>
            <w:tcMar>
              <w:top w:w="0" w:type="dxa"/>
              <w:left w:w="108" w:type="dxa"/>
              <w:bottom w:w="0" w:type="dxa"/>
              <w:right w:w="108" w:type="dxa"/>
            </w:tcMar>
            <w:hideMark/>
          </w:tcPr>
          <w:p w14:paraId="7741725E" w14:textId="16B83927" w:rsidR="00132949" w:rsidRPr="00F449E0" w:rsidRDefault="00132949" w:rsidP="003F24D5">
            <w:pPr>
              <w:pStyle w:val="NoSpacing"/>
              <w:jc w:val="right"/>
              <w:rPr>
                <w:rFonts w:eastAsia="Calibri"/>
                <w:sz w:val="18"/>
                <w:szCs w:val="18"/>
              </w:rPr>
            </w:pPr>
            <w:r w:rsidRPr="00F449E0">
              <w:rPr>
                <w:sz w:val="18"/>
                <w:szCs w:val="18"/>
              </w:rPr>
              <w:t>4</w:t>
            </w:r>
            <w:r w:rsidR="00F449E0">
              <w:rPr>
                <w:sz w:val="18"/>
                <w:szCs w:val="18"/>
              </w:rPr>
              <w:t>,</w:t>
            </w:r>
            <w:r w:rsidRPr="00F449E0">
              <w:rPr>
                <w:sz w:val="18"/>
                <w:szCs w:val="18"/>
              </w:rPr>
              <w:t>100.00</w:t>
            </w:r>
          </w:p>
        </w:tc>
        <w:tc>
          <w:tcPr>
            <w:tcW w:w="1145" w:type="dxa"/>
            <w:tcBorders>
              <w:top w:val="nil"/>
              <w:left w:val="nil"/>
              <w:bottom w:val="single" w:sz="4" w:space="0" w:color="auto"/>
              <w:right w:val="single" w:sz="4" w:space="0" w:color="auto"/>
            </w:tcBorders>
            <w:tcMar>
              <w:top w:w="0" w:type="dxa"/>
              <w:left w:w="108" w:type="dxa"/>
              <w:bottom w:w="0" w:type="dxa"/>
              <w:right w:w="108" w:type="dxa"/>
            </w:tcMar>
            <w:hideMark/>
          </w:tcPr>
          <w:p w14:paraId="24CD6A40" w14:textId="3D80B03C" w:rsidR="00132949" w:rsidRPr="00F449E0" w:rsidRDefault="00132949" w:rsidP="003F24D5">
            <w:pPr>
              <w:pStyle w:val="NoSpacing"/>
              <w:jc w:val="right"/>
              <w:rPr>
                <w:rFonts w:eastAsia="Calibri"/>
                <w:sz w:val="18"/>
                <w:szCs w:val="18"/>
              </w:rPr>
            </w:pPr>
            <w:r w:rsidRPr="00F449E0">
              <w:rPr>
                <w:sz w:val="18"/>
                <w:szCs w:val="18"/>
              </w:rPr>
              <w:t>1</w:t>
            </w:r>
            <w:r w:rsidR="00D771F5" w:rsidRPr="00F449E0">
              <w:rPr>
                <w:sz w:val="18"/>
                <w:szCs w:val="18"/>
              </w:rPr>
              <w:t>.00</w:t>
            </w:r>
          </w:p>
        </w:tc>
        <w:tc>
          <w:tcPr>
            <w:tcW w:w="939" w:type="dxa"/>
            <w:tcBorders>
              <w:top w:val="single" w:sz="4" w:space="0" w:color="auto"/>
              <w:left w:val="single" w:sz="4" w:space="0" w:color="auto"/>
              <w:bottom w:val="single" w:sz="4" w:space="0" w:color="auto"/>
              <w:right w:val="single" w:sz="4" w:space="0" w:color="auto"/>
            </w:tcBorders>
          </w:tcPr>
          <w:p w14:paraId="7771D484" w14:textId="34753C60" w:rsidR="00132949" w:rsidRPr="00F449E0" w:rsidRDefault="00132949" w:rsidP="003F24D5">
            <w:pPr>
              <w:pStyle w:val="NoSpacing"/>
              <w:jc w:val="right"/>
              <w:rPr>
                <w:sz w:val="18"/>
                <w:szCs w:val="18"/>
              </w:rPr>
            </w:pPr>
            <w:r w:rsidRPr="00F449E0">
              <w:rPr>
                <w:sz w:val="18"/>
                <w:szCs w:val="18"/>
              </w:rPr>
              <w:t>4</w:t>
            </w:r>
            <w:r w:rsidR="00F449E0">
              <w:rPr>
                <w:sz w:val="18"/>
                <w:szCs w:val="18"/>
              </w:rPr>
              <w:t>,</w:t>
            </w:r>
            <w:r w:rsidRPr="00F449E0">
              <w:rPr>
                <w:sz w:val="18"/>
                <w:szCs w:val="18"/>
              </w:rPr>
              <w:t>100.00</w:t>
            </w:r>
          </w:p>
        </w:tc>
        <w:tc>
          <w:tcPr>
            <w:tcW w:w="1253" w:type="dxa"/>
            <w:tcBorders>
              <w:top w:val="nil"/>
              <w:left w:val="single" w:sz="4" w:space="0" w:color="auto"/>
              <w:bottom w:val="single" w:sz="4" w:space="0" w:color="auto"/>
              <w:right w:val="single" w:sz="8" w:space="0" w:color="auto"/>
            </w:tcBorders>
            <w:tcMar>
              <w:top w:w="0" w:type="dxa"/>
              <w:left w:w="108" w:type="dxa"/>
              <w:bottom w:w="0" w:type="dxa"/>
              <w:right w:w="108" w:type="dxa"/>
            </w:tcMar>
            <w:hideMark/>
          </w:tcPr>
          <w:p w14:paraId="64F2BFCA" w14:textId="15B17420" w:rsidR="00132949" w:rsidRPr="00F449E0" w:rsidRDefault="00132949" w:rsidP="003F24D5">
            <w:pPr>
              <w:pStyle w:val="NoSpacing"/>
              <w:jc w:val="right"/>
              <w:rPr>
                <w:rFonts w:eastAsia="Calibri"/>
                <w:sz w:val="18"/>
                <w:szCs w:val="18"/>
              </w:rPr>
            </w:pPr>
            <w:r w:rsidRPr="00F449E0">
              <w:rPr>
                <w:sz w:val="18"/>
                <w:szCs w:val="18"/>
              </w:rPr>
              <w:t>0.</w:t>
            </w:r>
            <w:r w:rsidR="008C2FA9" w:rsidRPr="00F449E0">
              <w:rPr>
                <w:sz w:val="18"/>
                <w:szCs w:val="18"/>
              </w:rPr>
              <w:t>50</w:t>
            </w:r>
          </w:p>
        </w:tc>
        <w:tc>
          <w:tcPr>
            <w:tcW w:w="1348" w:type="dxa"/>
            <w:tcBorders>
              <w:top w:val="nil"/>
              <w:left w:val="nil"/>
              <w:bottom w:val="single" w:sz="4" w:space="0" w:color="auto"/>
              <w:right w:val="single" w:sz="8" w:space="0" w:color="auto"/>
            </w:tcBorders>
            <w:tcMar>
              <w:top w:w="0" w:type="dxa"/>
              <w:left w:w="108" w:type="dxa"/>
              <w:bottom w:w="0" w:type="dxa"/>
              <w:right w:w="108" w:type="dxa"/>
            </w:tcMar>
            <w:hideMark/>
          </w:tcPr>
          <w:p w14:paraId="4FB4A1B1" w14:textId="1099F2FD" w:rsidR="00132949" w:rsidRPr="00F449E0" w:rsidRDefault="00132949" w:rsidP="003F24D5">
            <w:pPr>
              <w:pStyle w:val="NoSpacing"/>
              <w:jc w:val="right"/>
              <w:rPr>
                <w:rFonts w:eastAsia="Calibri"/>
                <w:sz w:val="18"/>
                <w:szCs w:val="18"/>
              </w:rPr>
            </w:pPr>
            <w:r w:rsidRPr="00F449E0">
              <w:rPr>
                <w:sz w:val="18"/>
                <w:szCs w:val="18"/>
              </w:rPr>
              <w:t>2</w:t>
            </w:r>
            <w:r w:rsidR="00F449E0">
              <w:rPr>
                <w:sz w:val="18"/>
                <w:szCs w:val="18"/>
              </w:rPr>
              <w:t>,</w:t>
            </w:r>
            <w:r w:rsidRPr="00F449E0">
              <w:rPr>
                <w:sz w:val="18"/>
                <w:szCs w:val="18"/>
              </w:rPr>
              <w:t>05</w:t>
            </w:r>
            <w:r w:rsidR="008C2FA9" w:rsidRPr="00F449E0">
              <w:rPr>
                <w:sz w:val="18"/>
                <w:szCs w:val="18"/>
              </w:rPr>
              <w:t>0</w:t>
            </w:r>
            <w:r w:rsidR="00C457C5" w:rsidRPr="00F449E0">
              <w:rPr>
                <w:sz w:val="18"/>
                <w:szCs w:val="18"/>
              </w:rPr>
              <w:t>.00</w:t>
            </w:r>
          </w:p>
        </w:tc>
        <w:tc>
          <w:tcPr>
            <w:tcW w:w="1224" w:type="dxa"/>
            <w:tcBorders>
              <w:top w:val="nil"/>
              <w:left w:val="nil"/>
              <w:bottom w:val="single" w:sz="4" w:space="0" w:color="auto"/>
              <w:right w:val="single" w:sz="8" w:space="0" w:color="auto"/>
            </w:tcBorders>
          </w:tcPr>
          <w:p w14:paraId="5FABE00F" w14:textId="77777777" w:rsidR="00132949" w:rsidRPr="00F449E0" w:rsidRDefault="00132949" w:rsidP="003F24D5">
            <w:pPr>
              <w:pStyle w:val="NoSpacing"/>
              <w:jc w:val="right"/>
              <w:rPr>
                <w:sz w:val="18"/>
                <w:szCs w:val="18"/>
              </w:rPr>
            </w:pPr>
            <w:r w:rsidRPr="00F449E0">
              <w:rPr>
                <w:sz w:val="18"/>
                <w:szCs w:val="18"/>
              </w:rPr>
              <w:t>$20.88</w:t>
            </w:r>
          </w:p>
        </w:tc>
        <w:tc>
          <w:tcPr>
            <w:tcW w:w="1078" w:type="dxa"/>
            <w:tcBorders>
              <w:top w:val="nil"/>
              <w:left w:val="nil"/>
              <w:bottom w:val="single" w:sz="4" w:space="0" w:color="auto"/>
              <w:right w:val="single" w:sz="8" w:space="0" w:color="auto"/>
            </w:tcBorders>
          </w:tcPr>
          <w:p w14:paraId="5FBF9AB4" w14:textId="69231044" w:rsidR="00132949" w:rsidRPr="00F449E0" w:rsidRDefault="00132949" w:rsidP="003F24D5">
            <w:pPr>
              <w:pStyle w:val="NoSpacing"/>
              <w:jc w:val="right"/>
              <w:rPr>
                <w:sz w:val="18"/>
                <w:szCs w:val="18"/>
              </w:rPr>
            </w:pPr>
            <w:r w:rsidRPr="00F449E0">
              <w:rPr>
                <w:sz w:val="18"/>
                <w:szCs w:val="18"/>
              </w:rPr>
              <w:t>$</w:t>
            </w:r>
            <w:r w:rsidR="00C457C5" w:rsidRPr="00F449E0">
              <w:rPr>
                <w:sz w:val="18"/>
                <w:szCs w:val="18"/>
              </w:rPr>
              <w:t>4</w:t>
            </w:r>
            <w:r w:rsidR="008A5568" w:rsidRPr="00F449E0">
              <w:rPr>
                <w:sz w:val="18"/>
                <w:szCs w:val="18"/>
              </w:rPr>
              <w:t>2,</w:t>
            </w:r>
            <w:r w:rsidR="00C457C5" w:rsidRPr="00F449E0">
              <w:rPr>
                <w:sz w:val="18"/>
                <w:szCs w:val="18"/>
              </w:rPr>
              <w:t>80</w:t>
            </w:r>
            <w:r w:rsidR="008A5568" w:rsidRPr="00F449E0">
              <w:rPr>
                <w:sz w:val="18"/>
                <w:szCs w:val="18"/>
              </w:rPr>
              <w:t>4.00</w:t>
            </w:r>
          </w:p>
        </w:tc>
      </w:tr>
      <w:tr w:rsidR="00D848B0" w:rsidRPr="00F449E0" w14:paraId="0C28A935" w14:textId="77777777" w:rsidTr="00D848B0">
        <w:tc>
          <w:tcPr>
            <w:tcW w:w="18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C0B28" w14:textId="19DA8AF7" w:rsidR="00D848B0" w:rsidRPr="00F449E0" w:rsidRDefault="00D848B0" w:rsidP="00D848B0">
            <w:pPr>
              <w:pStyle w:val="NoSpacing"/>
              <w:rPr>
                <w:sz w:val="18"/>
                <w:szCs w:val="18"/>
              </w:rPr>
            </w:pPr>
            <w:r w:rsidRPr="00F449E0">
              <w:rPr>
                <w:sz w:val="18"/>
                <w:szCs w:val="18"/>
              </w:rPr>
              <w:t>Total</w:t>
            </w:r>
          </w:p>
        </w:tc>
        <w:tc>
          <w:tcPr>
            <w:tcW w:w="13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4E6F5" w14:textId="5B4D030B" w:rsidR="00D848B0" w:rsidRPr="00F449E0" w:rsidRDefault="00D848B0" w:rsidP="003F24D5">
            <w:pPr>
              <w:pStyle w:val="NoSpacing"/>
              <w:jc w:val="right"/>
              <w:rPr>
                <w:sz w:val="18"/>
                <w:szCs w:val="18"/>
              </w:rPr>
            </w:pPr>
            <w:r w:rsidRPr="00F449E0">
              <w:rPr>
                <w:sz w:val="18"/>
                <w:szCs w:val="18"/>
              </w:rPr>
              <w:t>4</w:t>
            </w:r>
            <w:r w:rsidR="00F449E0" w:rsidRPr="00F449E0">
              <w:rPr>
                <w:sz w:val="18"/>
                <w:szCs w:val="18"/>
              </w:rPr>
              <w:t>,</w:t>
            </w:r>
            <w:r w:rsidRPr="00F449E0">
              <w:rPr>
                <w:sz w:val="18"/>
                <w:szCs w:val="18"/>
              </w:rPr>
              <w:t>100.00</w:t>
            </w:r>
          </w:p>
        </w:tc>
        <w:tc>
          <w:tcPr>
            <w:tcW w:w="1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D0E49" w14:textId="68D57435" w:rsidR="00D848B0" w:rsidRPr="00F449E0" w:rsidRDefault="00D848B0" w:rsidP="003F24D5">
            <w:pPr>
              <w:pStyle w:val="NoSpacing"/>
              <w:jc w:val="right"/>
              <w:rPr>
                <w:sz w:val="18"/>
                <w:szCs w:val="18"/>
              </w:rPr>
            </w:pPr>
            <w:r w:rsidRPr="00F449E0">
              <w:rPr>
                <w:sz w:val="18"/>
                <w:szCs w:val="18"/>
              </w:rPr>
              <w:t>1.00</w:t>
            </w:r>
          </w:p>
        </w:tc>
        <w:tc>
          <w:tcPr>
            <w:tcW w:w="939" w:type="dxa"/>
            <w:tcBorders>
              <w:top w:val="single" w:sz="4" w:space="0" w:color="auto"/>
              <w:left w:val="single" w:sz="4" w:space="0" w:color="auto"/>
              <w:bottom w:val="single" w:sz="4" w:space="0" w:color="auto"/>
              <w:right w:val="single" w:sz="4" w:space="0" w:color="auto"/>
            </w:tcBorders>
          </w:tcPr>
          <w:p w14:paraId="3D59D2B9" w14:textId="347AB302" w:rsidR="00D848B0" w:rsidRPr="00F449E0" w:rsidRDefault="00D848B0" w:rsidP="003F24D5">
            <w:pPr>
              <w:pStyle w:val="NoSpacing"/>
              <w:jc w:val="right"/>
              <w:rPr>
                <w:sz w:val="18"/>
                <w:szCs w:val="18"/>
              </w:rPr>
            </w:pPr>
            <w:r w:rsidRPr="00F449E0">
              <w:rPr>
                <w:sz w:val="18"/>
                <w:szCs w:val="18"/>
              </w:rPr>
              <w:t>4</w:t>
            </w:r>
            <w:r w:rsidR="00F449E0" w:rsidRPr="00F449E0">
              <w:rPr>
                <w:sz w:val="18"/>
                <w:szCs w:val="18"/>
              </w:rPr>
              <w:t>,</w:t>
            </w:r>
            <w:r w:rsidRPr="00F449E0">
              <w:rPr>
                <w:sz w:val="18"/>
                <w:szCs w:val="18"/>
              </w:rPr>
              <w:t>100.00</w:t>
            </w:r>
          </w:p>
        </w:tc>
        <w:tc>
          <w:tcPr>
            <w:tcW w:w="1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5D2A2" w14:textId="2F35B813" w:rsidR="00D848B0" w:rsidRPr="00F449E0" w:rsidRDefault="00D848B0" w:rsidP="003F24D5">
            <w:pPr>
              <w:pStyle w:val="NoSpacing"/>
              <w:jc w:val="right"/>
              <w:rPr>
                <w:sz w:val="18"/>
                <w:szCs w:val="18"/>
              </w:rPr>
            </w:pPr>
            <w:r w:rsidRPr="00F449E0">
              <w:rPr>
                <w:sz w:val="18"/>
                <w:szCs w:val="18"/>
              </w:rPr>
              <w:t>0.</w:t>
            </w:r>
            <w:r w:rsidR="00991CC5" w:rsidRPr="00F449E0">
              <w:rPr>
                <w:sz w:val="18"/>
                <w:szCs w:val="18"/>
              </w:rPr>
              <w:t>50</w:t>
            </w:r>
          </w:p>
        </w:tc>
        <w:tc>
          <w:tcPr>
            <w:tcW w:w="1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E5902" w14:textId="623230C9" w:rsidR="00D848B0" w:rsidRPr="00F449E0" w:rsidRDefault="00D848B0" w:rsidP="003F24D5">
            <w:pPr>
              <w:pStyle w:val="NoSpacing"/>
              <w:jc w:val="right"/>
              <w:rPr>
                <w:sz w:val="18"/>
                <w:szCs w:val="18"/>
              </w:rPr>
            </w:pPr>
            <w:r w:rsidRPr="00F449E0">
              <w:rPr>
                <w:sz w:val="18"/>
                <w:szCs w:val="18"/>
              </w:rPr>
              <w:t>2</w:t>
            </w:r>
            <w:r w:rsidR="00F449E0" w:rsidRPr="00F449E0">
              <w:rPr>
                <w:sz w:val="18"/>
                <w:szCs w:val="18"/>
              </w:rPr>
              <w:t>,</w:t>
            </w:r>
            <w:r w:rsidRPr="00F449E0">
              <w:rPr>
                <w:sz w:val="18"/>
                <w:szCs w:val="18"/>
              </w:rPr>
              <w:t>05</w:t>
            </w:r>
            <w:r w:rsidR="008C2FA9" w:rsidRPr="00F449E0">
              <w:rPr>
                <w:sz w:val="18"/>
                <w:szCs w:val="18"/>
              </w:rPr>
              <w:t>0</w:t>
            </w:r>
            <w:r w:rsidRPr="00F449E0">
              <w:rPr>
                <w:sz w:val="18"/>
                <w:szCs w:val="18"/>
              </w:rPr>
              <w:t>.00</w:t>
            </w:r>
          </w:p>
        </w:tc>
        <w:tc>
          <w:tcPr>
            <w:tcW w:w="1224" w:type="dxa"/>
            <w:tcBorders>
              <w:top w:val="single" w:sz="4" w:space="0" w:color="auto"/>
              <w:left w:val="single" w:sz="4" w:space="0" w:color="auto"/>
              <w:bottom w:val="single" w:sz="4" w:space="0" w:color="auto"/>
              <w:right w:val="single" w:sz="4" w:space="0" w:color="auto"/>
            </w:tcBorders>
          </w:tcPr>
          <w:p w14:paraId="23C9787F" w14:textId="17358D57" w:rsidR="00D848B0" w:rsidRPr="00F449E0" w:rsidRDefault="00D848B0" w:rsidP="003F24D5">
            <w:pPr>
              <w:pStyle w:val="NoSpacing"/>
              <w:jc w:val="right"/>
              <w:rPr>
                <w:sz w:val="18"/>
                <w:szCs w:val="18"/>
              </w:rPr>
            </w:pPr>
            <w:r w:rsidRPr="00F449E0">
              <w:rPr>
                <w:sz w:val="18"/>
                <w:szCs w:val="18"/>
              </w:rPr>
              <w:t>$20.88</w:t>
            </w:r>
          </w:p>
        </w:tc>
        <w:tc>
          <w:tcPr>
            <w:tcW w:w="1078" w:type="dxa"/>
            <w:tcBorders>
              <w:top w:val="single" w:sz="4" w:space="0" w:color="auto"/>
              <w:left w:val="single" w:sz="4" w:space="0" w:color="auto"/>
              <w:bottom w:val="single" w:sz="4" w:space="0" w:color="auto"/>
              <w:right w:val="single" w:sz="4" w:space="0" w:color="auto"/>
            </w:tcBorders>
          </w:tcPr>
          <w:p w14:paraId="032060A7" w14:textId="282D0972" w:rsidR="00D848B0" w:rsidRPr="00F449E0" w:rsidRDefault="00D848B0" w:rsidP="003F24D5">
            <w:pPr>
              <w:pStyle w:val="NoSpacing"/>
              <w:jc w:val="right"/>
              <w:rPr>
                <w:sz w:val="18"/>
                <w:szCs w:val="18"/>
              </w:rPr>
            </w:pPr>
            <w:r w:rsidRPr="00F449E0">
              <w:rPr>
                <w:sz w:val="18"/>
                <w:szCs w:val="18"/>
              </w:rPr>
              <w:t>$</w:t>
            </w:r>
            <w:r w:rsidR="00991CC5" w:rsidRPr="00F449E0">
              <w:rPr>
                <w:sz w:val="18"/>
                <w:szCs w:val="18"/>
              </w:rPr>
              <w:t>42</w:t>
            </w:r>
            <w:r w:rsidR="00F449E0" w:rsidRPr="00F449E0">
              <w:rPr>
                <w:sz w:val="18"/>
                <w:szCs w:val="18"/>
              </w:rPr>
              <w:t>,</w:t>
            </w:r>
            <w:r w:rsidR="00991CC5" w:rsidRPr="00F449E0">
              <w:rPr>
                <w:sz w:val="18"/>
                <w:szCs w:val="18"/>
              </w:rPr>
              <w:t>804</w:t>
            </w:r>
            <w:r w:rsidRPr="00F449E0">
              <w:rPr>
                <w:sz w:val="18"/>
                <w:szCs w:val="18"/>
              </w:rPr>
              <w:t>.</w:t>
            </w:r>
            <w:r w:rsidR="00991CC5" w:rsidRPr="00F449E0">
              <w:rPr>
                <w:sz w:val="18"/>
                <w:szCs w:val="18"/>
              </w:rPr>
              <w:t>0</w:t>
            </w:r>
            <w:r w:rsidRPr="00F449E0">
              <w:rPr>
                <w:sz w:val="18"/>
                <w:szCs w:val="18"/>
              </w:rPr>
              <w:t>0</w:t>
            </w:r>
          </w:p>
        </w:tc>
      </w:tr>
    </w:tbl>
    <w:p w14:paraId="480E92DC" w14:textId="77777777" w:rsidR="00F84C89" w:rsidRDefault="00F84C89">
      <w:pPr>
        <w:pStyle w:val="BodyTextIndent"/>
        <w:ind w:left="360"/>
      </w:pPr>
    </w:p>
    <w:p w14:paraId="095DC503" w14:textId="0140D954" w:rsidR="00F84C89" w:rsidRDefault="00F84C89" w:rsidP="00DB5508">
      <w:pPr>
        <w:pStyle w:val="BodyTextIndent"/>
        <w:ind w:left="360"/>
      </w:pPr>
      <w:r>
        <w:t xml:space="preserve">The </w:t>
      </w:r>
      <w:r w:rsidR="00DB5508">
        <w:t>annual burden is calculated at the hourly rate of a</w:t>
      </w:r>
      <w:r w:rsidR="0085043E">
        <w:t xml:space="preserve"> nonprofit </w:t>
      </w:r>
      <w:r w:rsidR="00DB5508">
        <w:t xml:space="preserve">Executive Director position who would </w:t>
      </w:r>
      <w:r w:rsidR="0085043E">
        <w:t>complete the form</w:t>
      </w:r>
      <w:r>
        <w:t>.</w:t>
      </w:r>
      <w:r w:rsidR="00AB6749">
        <w:t xml:space="preserve"> This data is taken from </w:t>
      </w:r>
      <w:r w:rsidR="00A74942">
        <w:t xml:space="preserve">payscale.com at </w:t>
      </w:r>
      <w:hyperlink r:id="rId8" w:history="1">
        <w:r w:rsidR="00A74942">
          <w:rPr>
            <w:rStyle w:val="Hyperlink"/>
          </w:rPr>
          <w:t>https://www.payscale.com/research/US/Job=Executive_Director/Salary</w:t>
        </w:r>
      </w:hyperlink>
      <w:r w:rsidR="00A74942">
        <w:t xml:space="preserve">. </w:t>
      </w:r>
    </w:p>
    <w:p w14:paraId="2BE82BF6" w14:textId="77777777" w:rsidR="00DB5508" w:rsidRDefault="00DB5508" w:rsidP="00DB5508">
      <w:pPr>
        <w:pStyle w:val="BodyTextIndent"/>
        <w:ind w:left="360"/>
      </w:pPr>
    </w:p>
    <w:p w14:paraId="6D5BAFEC" w14:textId="77777777" w:rsidR="00F84C89" w:rsidRDefault="00F84C89">
      <w:pPr>
        <w:pStyle w:val="BodyTextIndent"/>
        <w:tabs>
          <w:tab w:val="left" w:pos="360"/>
        </w:tabs>
        <w:ind w:left="360" w:hanging="360"/>
      </w:pPr>
      <w:r>
        <w:t>13.</w:t>
      </w:r>
      <w:r>
        <w:tab/>
        <w:t>There is no additional cost burden to respondents.</w:t>
      </w:r>
    </w:p>
    <w:p w14:paraId="7178D489" w14:textId="77777777" w:rsidR="00F84C89" w:rsidRDefault="00F84C89">
      <w:pPr>
        <w:pStyle w:val="BodyTextIndent"/>
        <w:tabs>
          <w:tab w:val="left" w:pos="360"/>
        </w:tabs>
        <w:ind w:left="360" w:hanging="360"/>
      </w:pPr>
    </w:p>
    <w:p w14:paraId="437E89E0" w14:textId="7E7314CA" w:rsidR="00F84C89" w:rsidRDefault="00F84C89">
      <w:pPr>
        <w:pStyle w:val="BodyTextIndent"/>
        <w:tabs>
          <w:tab w:val="left" w:pos="360"/>
        </w:tabs>
        <w:ind w:left="360" w:hanging="360"/>
      </w:pPr>
      <w:r>
        <w:t>14.</w:t>
      </w:r>
      <w:r>
        <w:tab/>
      </w:r>
      <w:r w:rsidR="00FF48C6">
        <w:t>Estimated Cost</w:t>
      </w:r>
      <w:r>
        <w:t xml:space="preserve"> to the Federal Government.</w:t>
      </w:r>
    </w:p>
    <w:p w14:paraId="3F5B22FE" w14:textId="77777777" w:rsidR="00FF48C6" w:rsidRDefault="00FF48C6">
      <w:pPr>
        <w:pStyle w:val="BodyTextIndent"/>
        <w:tabs>
          <w:tab w:val="left" w:pos="360"/>
        </w:tabs>
        <w:ind w:left="360" w:hanging="360"/>
      </w:pPr>
    </w:p>
    <w:tbl>
      <w:tblPr>
        <w:tblW w:w="0" w:type="auto"/>
        <w:tblInd w:w="558" w:type="dxa"/>
        <w:tblLayout w:type="fixed"/>
        <w:tblCellMar>
          <w:left w:w="0" w:type="dxa"/>
          <w:right w:w="0" w:type="dxa"/>
        </w:tblCellMar>
        <w:tblLook w:val="04A0" w:firstRow="1" w:lastRow="0" w:firstColumn="1" w:lastColumn="0" w:noHBand="0" w:noVBand="1"/>
      </w:tblPr>
      <w:tblGrid>
        <w:gridCol w:w="1952"/>
        <w:gridCol w:w="1260"/>
        <w:gridCol w:w="1170"/>
        <w:gridCol w:w="986"/>
        <w:gridCol w:w="1266"/>
        <w:gridCol w:w="1337"/>
        <w:gridCol w:w="1159"/>
        <w:gridCol w:w="1092"/>
      </w:tblGrid>
      <w:tr w:rsidR="00D771F5" w:rsidRPr="00F449E0" w14:paraId="02F65084" w14:textId="77777777" w:rsidTr="00602688">
        <w:tc>
          <w:tcPr>
            <w:tcW w:w="1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300F9A" w14:textId="4A6E8AAB" w:rsidR="00D771F5" w:rsidRPr="00F449E0" w:rsidRDefault="00D771F5" w:rsidP="009A7BA8">
            <w:pPr>
              <w:pStyle w:val="NoSpacing"/>
              <w:rPr>
                <w:rFonts w:eastAsia="Calibri"/>
                <w:sz w:val="18"/>
                <w:szCs w:val="18"/>
              </w:rPr>
            </w:pPr>
            <w:r w:rsidRPr="00F449E0">
              <w:rPr>
                <w:sz w:val="18"/>
                <w:szCs w:val="18"/>
              </w:rPr>
              <w:t xml:space="preserve">Information </w:t>
            </w:r>
            <w:r w:rsidR="00602688">
              <w:rPr>
                <w:sz w:val="18"/>
                <w:szCs w:val="18"/>
              </w:rPr>
              <w:t>C</w:t>
            </w:r>
            <w:r w:rsidRPr="00F449E0">
              <w:rPr>
                <w:sz w:val="18"/>
                <w:szCs w:val="18"/>
              </w:rPr>
              <w:t>ollection</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D36309" w14:textId="77777777" w:rsidR="00D771F5" w:rsidRPr="00F449E0" w:rsidRDefault="00D771F5" w:rsidP="009A7BA8">
            <w:pPr>
              <w:pStyle w:val="NoSpacing"/>
              <w:rPr>
                <w:rFonts w:eastAsia="Calibri"/>
                <w:sz w:val="18"/>
                <w:szCs w:val="18"/>
              </w:rPr>
            </w:pPr>
            <w:r w:rsidRPr="00F449E0">
              <w:rPr>
                <w:sz w:val="18"/>
                <w:szCs w:val="18"/>
              </w:rPr>
              <w:t>Number of Respondents</w:t>
            </w:r>
          </w:p>
        </w:tc>
        <w:tc>
          <w:tcPr>
            <w:tcW w:w="1170"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178B0CD0" w14:textId="77777777" w:rsidR="00D771F5" w:rsidRPr="00F449E0" w:rsidRDefault="00D771F5" w:rsidP="009A7BA8">
            <w:pPr>
              <w:pStyle w:val="NoSpacing"/>
              <w:rPr>
                <w:rFonts w:eastAsia="Calibri"/>
                <w:sz w:val="18"/>
                <w:szCs w:val="18"/>
              </w:rPr>
            </w:pPr>
            <w:r w:rsidRPr="00F449E0">
              <w:rPr>
                <w:sz w:val="18"/>
                <w:szCs w:val="18"/>
              </w:rPr>
              <w:t>Frequency of Response</w:t>
            </w:r>
          </w:p>
        </w:tc>
        <w:tc>
          <w:tcPr>
            <w:tcW w:w="986" w:type="dxa"/>
            <w:tcBorders>
              <w:top w:val="single" w:sz="4" w:space="0" w:color="auto"/>
              <w:left w:val="single" w:sz="4" w:space="0" w:color="auto"/>
              <w:bottom w:val="single" w:sz="4" w:space="0" w:color="auto"/>
              <w:right w:val="single" w:sz="4" w:space="0" w:color="auto"/>
            </w:tcBorders>
          </w:tcPr>
          <w:p w14:paraId="7B8589FA" w14:textId="41217EBF" w:rsidR="00D771F5" w:rsidRPr="00F449E0" w:rsidRDefault="00D771F5" w:rsidP="009A7BA8">
            <w:pPr>
              <w:pStyle w:val="NoSpacing"/>
              <w:rPr>
                <w:sz w:val="18"/>
                <w:szCs w:val="18"/>
              </w:rPr>
            </w:pPr>
            <w:r w:rsidRPr="00F449E0">
              <w:rPr>
                <w:sz w:val="18"/>
                <w:szCs w:val="18"/>
              </w:rPr>
              <w:t>Responses Per Annum</w:t>
            </w:r>
          </w:p>
        </w:tc>
        <w:tc>
          <w:tcPr>
            <w:tcW w:w="126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4C775869" w14:textId="401B89E2" w:rsidR="00D771F5" w:rsidRPr="00F449E0" w:rsidRDefault="00D771F5" w:rsidP="009A7BA8">
            <w:pPr>
              <w:pStyle w:val="NoSpacing"/>
              <w:rPr>
                <w:rFonts w:eastAsia="Calibri"/>
                <w:sz w:val="18"/>
                <w:szCs w:val="18"/>
              </w:rPr>
            </w:pPr>
            <w:r w:rsidRPr="00F449E0">
              <w:rPr>
                <w:sz w:val="18"/>
                <w:szCs w:val="18"/>
              </w:rPr>
              <w:t>Burden Hour Per Response</w:t>
            </w:r>
          </w:p>
        </w:tc>
        <w:tc>
          <w:tcPr>
            <w:tcW w:w="1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878D9D" w14:textId="6081592D" w:rsidR="00D771F5" w:rsidRPr="00F449E0" w:rsidRDefault="00210E77" w:rsidP="009A7BA8">
            <w:pPr>
              <w:pStyle w:val="NoSpacing"/>
              <w:rPr>
                <w:rFonts w:eastAsia="Calibri"/>
                <w:sz w:val="18"/>
                <w:szCs w:val="18"/>
              </w:rPr>
            </w:pPr>
            <w:r w:rsidRPr="00F449E0">
              <w:rPr>
                <w:sz w:val="18"/>
                <w:szCs w:val="18"/>
              </w:rPr>
              <w:t>Annua</w:t>
            </w:r>
            <w:r w:rsidR="00D771F5" w:rsidRPr="00F449E0">
              <w:rPr>
                <w:sz w:val="18"/>
                <w:szCs w:val="18"/>
              </w:rPr>
              <w:t>l Burden Hours</w:t>
            </w:r>
          </w:p>
        </w:tc>
        <w:tc>
          <w:tcPr>
            <w:tcW w:w="1159" w:type="dxa"/>
            <w:tcBorders>
              <w:top w:val="single" w:sz="8" w:space="0" w:color="auto"/>
              <w:left w:val="nil"/>
              <w:bottom w:val="single" w:sz="8" w:space="0" w:color="auto"/>
              <w:right w:val="single" w:sz="8" w:space="0" w:color="auto"/>
            </w:tcBorders>
          </w:tcPr>
          <w:p w14:paraId="00506EDF" w14:textId="0CC21729" w:rsidR="00D771F5" w:rsidRPr="00F449E0" w:rsidRDefault="00210E77" w:rsidP="009A7BA8">
            <w:pPr>
              <w:pStyle w:val="NoSpacing"/>
              <w:rPr>
                <w:sz w:val="18"/>
                <w:szCs w:val="18"/>
              </w:rPr>
            </w:pPr>
            <w:r w:rsidRPr="00F449E0">
              <w:rPr>
                <w:sz w:val="18"/>
                <w:szCs w:val="18"/>
              </w:rPr>
              <w:t>Hourly Cost Per Response</w:t>
            </w:r>
          </w:p>
        </w:tc>
        <w:tc>
          <w:tcPr>
            <w:tcW w:w="1092" w:type="dxa"/>
            <w:tcBorders>
              <w:top w:val="single" w:sz="8" w:space="0" w:color="auto"/>
              <w:left w:val="nil"/>
              <w:bottom w:val="single" w:sz="8" w:space="0" w:color="auto"/>
              <w:right w:val="single" w:sz="8" w:space="0" w:color="auto"/>
            </w:tcBorders>
          </w:tcPr>
          <w:p w14:paraId="28BA0248" w14:textId="4B7200CE" w:rsidR="00D771F5" w:rsidRPr="00F449E0" w:rsidRDefault="006D63E8" w:rsidP="009A7BA8">
            <w:pPr>
              <w:pStyle w:val="NoSpacing"/>
              <w:rPr>
                <w:sz w:val="18"/>
                <w:szCs w:val="18"/>
              </w:rPr>
            </w:pPr>
            <w:r w:rsidRPr="00F449E0">
              <w:rPr>
                <w:sz w:val="18"/>
                <w:szCs w:val="18"/>
              </w:rPr>
              <w:t>Annual Cost</w:t>
            </w:r>
          </w:p>
        </w:tc>
      </w:tr>
      <w:tr w:rsidR="00D771F5" w:rsidRPr="00F449E0" w14:paraId="360463B3" w14:textId="77777777" w:rsidTr="00602688">
        <w:tc>
          <w:tcPr>
            <w:tcW w:w="1952"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2BBE1DA" w14:textId="686F70C0" w:rsidR="00900EDA" w:rsidRPr="00F449E0" w:rsidRDefault="00900EDA" w:rsidP="009A7BA8">
            <w:pPr>
              <w:pStyle w:val="NoSpacing"/>
              <w:rPr>
                <w:sz w:val="18"/>
                <w:szCs w:val="18"/>
              </w:rPr>
            </w:pPr>
            <w:r w:rsidRPr="00F449E0">
              <w:rPr>
                <w:sz w:val="18"/>
                <w:szCs w:val="18"/>
              </w:rPr>
              <w:t xml:space="preserve">HUD </w:t>
            </w:r>
            <w:r w:rsidR="00D771F5" w:rsidRPr="00F449E0">
              <w:rPr>
                <w:sz w:val="18"/>
                <w:szCs w:val="18"/>
              </w:rPr>
              <w:t xml:space="preserve">-27061 </w:t>
            </w:r>
          </w:p>
          <w:p w14:paraId="3E7B76F9" w14:textId="7FA7198D" w:rsidR="00D771F5" w:rsidRPr="00F449E0" w:rsidRDefault="00D771F5" w:rsidP="009A7BA8">
            <w:pPr>
              <w:pStyle w:val="NoSpacing"/>
              <w:rPr>
                <w:rFonts w:eastAsia="Calibri"/>
                <w:sz w:val="18"/>
                <w:szCs w:val="18"/>
              </w:rPr>
            </w:pPr>
            <w:r w:rsidRPr="00F449E0">
              <w:rPr>
                <w:sz w:val="18"/>
                <w:szCs w:val="18"/>
              </w:rPr>
              <w:t>Race and Ethnic</w:t>
            </w:r>
            <w:r w:rsidR="00900EDA" w:rsidRPr="00F449E0">
              <w:rPr>
                <w:sz w:val="18"/>
                <w:szCs w:val="18"/>
              </w:rPr>
              <w:t xml:space="preserve"> Data</w:t>
            </w:r>
            <w:r w:rsidR="003945F1" w:rsidRPr="00F449E0">
              <w:rPr>
                <w:sz w:val="18"/>
                <w:szCs w:val="18"/>
              </w:rPr>
              <w:t xml:space="preserve"> Reporting Form</w:t>
            </w:r>
          </w:p>
        </w:tc>
        <w:tc>
          <w:tcPr>
            <w:tcW w:w="1260" w:type="dxa"/>
            <w:tcBorders>
              <w:top w:val="nil"/>
              <w:left w:val="nil"/>
              <w:bottom w:val="single" w:sz="4" w:space="0" w:color="auto"/>
              <w:right w:val="single" w:sz="8" w:space="0" w:color="auto"/>
            </w:tcBorders>
            <w:tcMar>
              <w:top w:w="0" w:type="dxa"/>
              <w:left w:w="108" w:type="dxa"/>
              <w:bottom w:w="0" w:type="dxa"/>
              <w:right w:w="108" w:type="dxa"/>
            </w:tcMar>
            <w:hideMark/>
          </w:tcPr>
          <w:p w14:paraId="21900FF1" w14:textId="7C4CBB57" w:rsidR="00D771F5" w:rsidRPr="00F449E0" w:rsidRDefault="00D771F5" w:rsidP="003F24D5">
            <w:pPr>
              <w:pStyle w:val="NoSpacing"/>
              <w:jc w:val="right"/>
              <w:rPr>
                <w:rFonts w:eastAsia="Calibri"/>
                <w:sz w:val="18"/>
                <w:szCs w:val="18"/>
              </w:rPr>
            </w:pPr>
            <w:r w:rsidRPr="00F449E0">
              <w:rPr>
                <w:sz w:val="18"/>
                <w:szCs w:val="18"/>
              </w:rPr>
              <w:t>4</w:t>
            </w:r>
            <w:r w:rsidR="00F449E0" w:rsidRPr="00F449E0">
              <w:rPr>
                <w:sz w:val="18"/>
                <w:szCs w:val="18"/>
              </w:rPr>
              <w:t>,</w:t>
            </w:r>
            <w:r w:rsidRPr="00F449E0">
              <w:rPr>
                <w:sz w:val="18"/>
                <w:szCs w:val="18"/>
              </w:rPr>
              <w:t>100.00</w:t>
            </w:r>
          </w:p>
        </w:tc>
        <w:tc>
          <w:tcPr>
            <w:tcW w:w="1170" w:type="dxa"/>
            <w:tcBorders>
              <w:top w:val="nil"/>
              <w:left w:val="nil"/>
              <w:bottom w:val="single" w:sz="4" w:space="0" w:color="auto"/>
              <w:right w:val="single" w:sz="4" w:space="0" w:color="auto"/>
            </w:tcBorders>
            <w:tcMar>
              <w:top w:w="0" w:type="dxa"/>
              <w:left w:w="108" w:type="dxa"/>
              <w:bottom w:w="0" w:type="dxa"/>
              <w:right w:w="108" w:type="dxa"/>
            </w:tcMar>
            <w:hideMark/>
          </w:tcPr>
          <w:p w14:paraId="2EC06718" w14:textId="194B1749" w:rsidR="00D771F5" w:rsidRPr="00F449E0" w:rsidRDefault="00D771F5" w:rsidP="003F24D5">
            <w:pPr>
              <w:pStyle w:val="NoSpacing"/>
              <w:jc w:val="right"/>
              <w:rPr>
                <w:rFonts w:eastAsia="Calibri"/>
                <w:sz w:val="18"/>
                <w:szCs w:val="18"/>
              </w:rPr>
            </w:pPr>
            <w:r w:rsidRPr="00F449E0">
              <w:rPr>
                <w:sz w:val="18"/>
                <w:szCs w:val="18"/>
              </w:rPr>
              <w:t>1.00</w:t>
            </w:r>
          </w:p>
        </w:tc>
        <w:tc>
          <w:tcPr>
            <w:tcW w:w="986" w:type="dxa"/>
            <w:tcBorders>
              <w:top w:val="single" w:sz="4" w:space="0" w:color="auto"/>
              <w:left w:val="single" w:sz="4" w:space="0" w:color="auto"/>
              <w:bottom w:val="single" w:sz="4" w:space="0" w:color="auto"/>
              <w:right w:val="single" w:sz="4" w:space="0" w:color="auto"/>
            </w:tcBorders>
          </w:tcPr>
          <w:p w14:paraId="5D86A8A8" w14:textId="26BBEA93" w:rsidR="00D771F5" w:rsidRPr="00F449E0" w:rsidRDefault="00D771F5" w:rsidP="003F24D5">
            <w:pPr>
              <w:pStyle w:val="NoSpacing"/>
              <w:jc w:val="right"/>
              <w:rPr>
                <w:sz w:val="18"/>
                <w:szCs w:val="18"/>
              </w:rPr>
            </w:pPr>
            <w:r w:rsidRPr="00F449E0">
              <w:rPr>
                <w:sz w:val="18"/>
                <w:szCs w:val="18"/>
              </w:rPr>
              <w:t>4</w:t>
            </w:r>
            <w:r w:rsidR="00F449E0" w:rsidRPr="00F449E0">
              <w:rPr>
                <w:sz w:val="18"/>
                <w:szCs w:val="18"/>
              </w:rPr>
              <w:t>,</w:t>
            </w:r>
            <w:r w:rsidRPr="00F449E0">
              <w:rPr>
                <w:sz w:val="18"/>
                <w:szCs w:val="18"/>
              </w:rPr>
              <w:t>100.00</w:t>
            </w:r>
          </w:p>
        </w:tc>
        <w:tc>
          <w:tcPr>
            <w:tcW w:w="1266" w:type="dxa"/>
            <w:tcBorders>
              <w:top w:val="nil"/>
              <w:left w:val="single" w:sz="4" w:space="0" w:color="auto"/>
              <w:bottom w:val="single" w:sz="4" w:space="0" w:color="auto"/>
              <w:right w:val="single" w:sz="8" w:space="0" w:color="auto"/>
            </w:tcBorders>
            <w:tcMar>
              <w:top w:w="0" w:type="dxa"/>
              <w:left w:w="108" w:type="dxa"/>
              <w:bottom w:w="0" w:type="dxa"/>
              <w:right w:w="108" w:type="dxa"/>
            </w:tcMar>
            <w:hideMark/>
          </w:tcPr>
          <w:p w14:paraId="263FD5B1" w14:textId="31298C3E" w:rsidR="00D771F5" w:rsidRPr="00F449E0" w:rsidRDefault="00D771F5" w:rsidP="003F24D5">
            <w:pPr>
              <w:pStyle w:val="NoSpacing"/>
              <w:jc w:val="right"/>
              <w:rPr>
                <w:rFonts w:eastAsia="Calibri"/>
                <w:sz w:val="18"/>
                <w:szCs w:val="18"/>
              </w:rPr>
            </w:pPr>
            <w:r w:rsidRPr="00F449E0">
              <w:rPr>
                <w:sz w:val="18"/>
                <w:szCs w:val="18"/>
              </w:rPr>
              <w:t>0.</w:t>
            </w:r>
            <w:r w:rsidR="00991CC5" w:rsidRPr="00F449E0">
              <w:rPr>
                <w:sz w:val="18"/>
                <w:szCs w:val="18"/>
              </w:rPr>
              <w:t>50</w:t>
            </w:r>
          </w:p>
        </w:tc>
        <w:tc>
          <w:tcPr>
            <w:tcW w:w="1337" w:type="dxa"/>
            <w:tcBorders>
              <w:top w:val="nil"/>
              <w:left w:val="nil"/>
              <w:bottom w:val="single" w:sz="4" w:space="0" w:color="auto"/>
              <w:right w:val="single" w:sz="8" w:space="0" w:color="auto"/>
            </w:tcBorders>
            <w:tcMar>
              <w:top w:w="0" w:type="dxa"/>
              <w:left w:w="108" w:type="dxa"/>
              <w:bottom w:w="0" w:type="dxa"/>
              <w:right w:w="108" w:type="dxa"/>
            </w:tcMar>
            <w:hideMark/>
          </w:tcPr>
          <w:p w14:paraId="79F5B632" w14:textId="1222C785" w:rsidR="00D771F5" w:rsidRPr="00F449E0" w:rsidRDefault="00D771F5" w:rsidP="003F24D5">
            <w:pPr>
              <w:pStyle w:val="NoSpacing"/>
              <w:jc w:val="right"/>
              <w:rPr>
                <w:rFonts w:eastAsia="Calibri"/>
                <w:sz w:val="18"/>
                <w:szCs w:val="18"/>
              </w:rPr>
            </w:pPr>
            <w:r w:rsidRPr="00F449E0">
              <w:rPr>
                <w:sz w:val="18"/>
                <w:szCs w:val="18"/>
              </w:rPr>
              <w:t>2</w:t>
            </w:r>
            <w:r w:rsidR="00F449E0" w:rsidRPr="00F449E0">
              <w:rPr>
                <w:sz w:val="18"/>
                <w:szCs w:val="18"/>
              </w:rPr>
              <w:t>,</w:t>
            </w:r>
            <w:r w:rsidRPr="00F449E0">
              <w:rPr>
                <w:sz w:val="18"/>
                <w:szCs w:val="18"/>
              </w:rPr>
              <w:t>05</w:t>
            </w:r>
            <w:r w:rsidR="00991CC5" w:rsidRPr="00F449E0">
              <w:rPr>
                <w:sz w:val="18"/>
                <w:szCs w:val="18"/>
              </w:rPr>
              <w:t>0</w:t>
            </w:r>
            <w:r w:rsidRPr="00F449E0">
              <w:rPr>
                <w:sz w:val="18"/>
                <w:szCs w:val="18"/>
              </w:rPr>
              <w:t>.00</w:t>
            </w:r>
          </w:p>
        </w:tc>
        <w:tc>
          <w:tcPr>
            <w:tcW w:w="1159" w:type="dxa"/>
            <w:tcBorders>
              <w:top w:val="nil"/>
              <w:left w:val="nil"/>
              <w:bottom w:val="single" w:sz="4" w:space="0" w:color="auto"/>
              <w:right w:val="single" w:sz="8" w:space="0" w:color="auto"/>
            </w:tcBorders>
          </w:tcPr>
          <w:p w14:paraId="625BA6A1" w14:textId="4C753F52" w:rsidR="00D771F5" w:rsidRPr="00F449E0" w:rsidRDefault="00D771F5" w:rsidP="003F24D5">
            <w:pPr>
              <w:pStyle w:val="NoSpacing"/>
              <w:jc w:val="right"/>
              <w:rPr>
                <w:sz w:val="18"/>
                <w:szCs w:val="18"/>
              </w:rPr>
            </w:pPr>
            <w:r w:rsidRPr="00F449E0">
              <w:rPr>
                <w:sz w:val="18"/>
                <w:szCs w:val="18"/>
              </w:rPr>
              <w:t>$39.9</w:t>
            </w:r>
            <w:r w:rsidR="00EF24A4" w:rsidRPr="00F449E0">
              <w:rPr>
                <w:sz w:val="18"/>
                <w:szCs w:val="18"/>
              </w:rPr>
              <w:t>6</w:t>
            </w:r>
          </w:p>
        </w:tc>
        <w:tc>
          <w:tcPr>
            <w:tcW w:w="1092" w:type="dxa"/>
            <w:tcBorders>
              <w:top w:val="nil"/>
              <w:left w:val="nil"/>
              <w:bottom w:val="single" w:sz="4" w:space="0" w:color="auto"/>
              <w:right w:val="single" w:sz="8" w:space="0" w:color="auto"/>
            </w:tcBorders>
          </w:tcPr>
          <w:p w14:paraId="7114621A" w14:textId="75A870BF" w:rsidR="00D771F5" w:rsidRPr="00F449E0" w:rsidRDefault="00D771F5" w:rsidP="003F24D5">
            <w:pPr>
              <w:pStyle w:val="NoSpacing"/>
              <w:jc w:val="right"/>
              <w:rPr>
                <w:sz w:val="18"/>
                <w:szCs w:val="18"/>
              </w:rPr>
            </w:pPr>
            <w:r w:rsidRPr="00F449E0">
              <w:rPr>
                <w:sz w:val="18"/>
                <w:szCs w:val="18"/>
              </w:rPr>
              <w:t>$</w:t>
            </w:r>
            <w:r w:rsidR="009A4C2A" w:rsidRPr="00F449E0">
              <w:rPr>
                <w:sz w:val="18"/>
                <w:szCs w:val="18"/>
              </w:rPr>
              <w:t>8</w:t>
            </w:r>
            <w:r w:rsidR="00210E77" w:rsidRPr="00F449E0">
              <w:rPr>
                <w:sz w:val="18"/>
                <w:szCs w:val="18"/>
              </w:rPr>
              <w:t>1,</w:t>
            </w:r>
            <w:r w:rsidR="00466D60" w:rsidRPr="00F449E0">
              <w:rPr>
                <w:sz w:val="18"/>
                <w:szCs w:val="18"/>
              </w:rPr>
              <w:t>918</w:t>
            </w:r>
            <w:r w:rsidR="00210E77" w:rsidRPr="00F449E0">
              <w:rPr>
                <w:sz w:val="18"/>
                <w:szCs w:val="18"/>
              </w:rPr>
              <w:t>.00</w:t>
            </w:r>
          </w:p>
        </w:tc>
      </w:tr>
      <w:tr w:rsidR="00D848B0" w:rsidRPr="00F449E0" w14:paraId="2883C054" w14:textId="77777777" w:rsidTr="00602688">
        <w:tc>
          <w:tcPr>
            <w:tcW w:w="1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7988" w14:textId="3710EA48" w:rsidR="00D848B0" w:rsidRPr="00F449E0" w:rsidRDefault="00D848B0" w:rsidP="00D848B0">
            <w:pPr>
              <w:pStyle w:val="NoSpacing"/>
              <w:rPr>
                <w:sz w:val="18"/>
                <w:szCs w:val="18"/>
              </w:rPr>
            </w:pPr>
            <w:r w:rsidRPr="00F449E0">
              <w:rPr>
                <w:sz w:val="18"/>
                <w:szCs w:val="18"/>
              </w:rPr>
              <w:t>Total</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F58DB" w14:textId="5E6961AA" w:rsidR="00D848B0" w:rsidRPr="00F449E0" w:rsidRDefault="00D848B0" w:rsidP="003F24D5">
            <w:pPr>
              <w:pStyle w:val="NoSpacing"/>
              <w:jc w:val="right"/>
              <w:rPr>
                <w:sz w:val="18"/>
                <w:szCs w:val="18"/>
              </w:rPr>
            </w:pPr>
            <w:r w:rsidRPr="00F449E0">
              <w:rPr>
                <w:sz w:val="18"/>
                <w:szCs w:val="18"/>
              </w:rPr>
              <w:t>4</w:t>
            </w:r>
            <w:r w:rsidR="00F449E0" w:rsidRPr="00F449E0">
              <w:rPr>
                <w:sz w:val="18"/>
                <w:szCs w:val="18"/>
              </w:rPr>
              <w:t>,</w:t>
            </w:r>
            <w:r w:rsidRPr="00F449E0">
              <w:rPr>
                <w:sz w:val="18"/>
                <w:szCs w:val="18"/>
              </w:rPr>
              <w:t>100.00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0AC89" w14:textId="0BA81002" w:rsidR="00D848B0" w:rsidRPr="00F449E0" w:rsidRDefault="00D848B0" w:rsidP="003F24D5">
            <w:pPr>
              <w:pStyle w:val="NoSpacing"/>
              <w:jc w:val="right"/>
              <w:rPr>
                <w:sz w:val="18"/>
                <w:szCs w:val="18"/>
              </w:rPr>
            </w:pPr>
            <w:r w:rsidRPr="00F449E0">
              <w:rPr>
                <w:sz w:val="18"/>
                <w:szCs w:val="18"/>
              </w:rPr>
              <w:t>1.00</w:t>
            </w:r>
          </w:p>
        </w:tc>
        <w:tc>
          <w:tcPr>
            <w:tcW w:w="986" w:type="dxa"/>
            <w:tcBorders>
              <w:top w:val="single" w:sz="4" w:space="0" w:color="auto"/>
              <w:left w:val="single" w:sz="4" w:space="0" w:color="auto"/>
              <w:bottom w:val="single" w:sz="4" w:space="0" w:color="auto"/>
              <w:right w:val="single" w:sz="4" w:space="0" w:color="auto"/>
            </w:tcBorders>
          </w:tcPr>
          <w:p w14:paraId="725801F2" w14:textId="0BD4B218" w:rsidR="00D848B0" w:rsidRPr="00F449E0" w:rsidRDefault="00D848B0" w:rsidP="003F24D5">
            <w:pPr>
              <w:pStyle w:val="NoSpacing"/>
              <w:jc w:val="right"/>
              <w:rPr>
                <w:sz w:val="18"/>
                <w:szCs w:val="18"/>
              </w:rPr>
            </w:pPr>
            <w:r w:rsidRPr="00F449E0">
              <w:rPr>
                <w:sz w:val="18"/>
                <w:szCs w:val="18"/>
              </w:rPr>
              <w:t>4</w:t>
            </w:r>
            <w:r w:rsidR="00F449E0" w:rsidRPr="00F449E0">
              <w:rPr>
                <w:sz w:val="18"/>
                <w:szCs w:val="18"/>
              </w:rPr>
              <w:t>,</w:t>
            </w:r>
            <w:r w:rsidRPr="00F449E0">
              <w:rPr>
                <w:sz w:val="18"/>
                <w:szCs w:val="18"/>
              </w:rPr>
              <w:t>100.00</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F9C9F" w14:textId="5EE34DEA" w:rsidR="00D848B0" w:rsidRPr="00F449E0" w:rsidRDefault="00D848B0" w:rsidP="003F24D5">
            <w:pPr>
              <w:pStyle w:val="NoSpacing"/>
              <w:jc w:val="right"/>
              <w:rPr>
                <w:sz w:val="18"/>
                <w:szCs w:val="18"/>
              </w:rPr>
            </w:pPr>
            <w:r w:rsidRPr="00F449E0">
              <w:rPr>
                <w:sz w:val="18"/>
                <w:szCs w:val="18"/>
              </w:rPr>
              <w:t>0.</w:t>
            </w:r>
            <w:r w:rsidR="00991CC5" w:rsidRPr="00F449E0">
              <w:rPr>
                <w:sz w:val="18"/>
                <w:szCs w:val="18"/>
              </w:rPr>
              <w:t>50</w:t>
            </w:r>
          </w:p>
        </w:tc>
        <w:tc>
          <w:tcPr>
            <w:tcW w:w="1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85568" w14:textId="79C100E8" w:rsidR="00D848B0" w:rsidRPr="00F449E0" w:rsidRDefault="00D848B0" w:rsidP="003F24D5">
            <w:pPr>
              <w:pStyle w:val="NoSpacing"/>
              <w:jc w:val="right"/>
              <w:rPr>
                <w:sz w:val="18"/>
                <w:szCs w:val="18"/>
              </w:rPr>
            </w:pPr>
            <w:r w:rsidRPr="00F449E0">
              <w:rPr>
                <w:sz w:val="18"/>
                <w:szCs w:val="18"/>
              </w:rPr>
              <w:t>2</w:t>
            </w:r>
            <w:r w:rsidR="00F449E0" w:rsidRPr="00F449E0">
              <w:rPr>
                <w:sz w:val="18"/>
                <w:szCs w:val="18"/>
              </w:rPr>
              <w:t>,</w:t>
            </w:r>
            <w:r w:rsidRPr="00F449E0">
              <w:rPr>
                <w:sz w:val="18"/>
                <w:szCs w:val="18"/>
              </w:rPr>
              <w:t>05</w:t>
            </w:r>
            <w:r w:rsidR="00991CC5" w:rsidRPr="00F449E0">
              <w:rPr>
                <w:sz w:val="18"/>
                <w:szCs w:val="18"/>
              </w:rPr>
              <w:t>0</w:t>
            </w:r>
            <w:r w:rsidRPr="00F449E0">
              <w:rPr>
                <w:sz w:val="18"/>
                <w:szCs w:val="18"/>
              </w:rPr>
              <w:t>.00</w:t>
            </w:r>
          </w:p>
        </w:tc>
        <w:tc>
          <w:tcPr>
            <w:tcW w:w="1159" w:type="dxa"/>
            <w:tcBorders>
              <w:top w:val="single" w:sz="4" w:space="0" w:color="auto"/>
              <w:left w:val="single" w:sz="4" w:space="0" w:color="auto"/>
              <w:bottom w:val="single" w:sz="4" w:space="0" w:color="auto"/>
              <w:right w:val="single" w:sz="4" w:space="0" w:color="auto"/>
            </w:tcBorders>
          </w:tcPr>
          <w:p w14:paraId="6E3141DB" w14:textId="08A9D9DF" w:rsidR="00D848B0" w:rsidRPr="00F449E0" w:rsidRDefault="00D848B0" w:rsidP="003F24D5">
            <w:pPr>
              <w:pStyle w:val="NoSpacing"/>
              <w:jc w:val="right"/>
              <w:rPr>
                <w:sz w:val="18"/>
                <w:szCs w:val="18"/>
              </w:rPr>
            </w:pPr>
            <w:r w:rsidRPr="00F449E0">
              <w:rPr>
                <w:sz w:val="18"/>
                <w:szCs w:val="18"/>
              </w:rPr>
              <w:t>$</w:t>
            </w:r>
            <w:r w:rsidR="000B47DF" w:rsidRPr="00F449E0">
              <w:rPr>
                <w:sz w:val="18"/>
                <w:szCs w:val="18"/>
              </w:rPr>
              <w:t>39.9</w:t>
            </w:r>
            <w:r w:rsidR="00EF24A4" w:rsidRPr="00F449E0">
              <w:rPr>
                <w:sz w:val="18"/>
                <w:szCs w:val="18"/>
              </w:rPr>
              <w:t>6</w:t>
            </w:r>
          </w:p>
        </w:tc>
        <w:tc>
          <w:tcPr>
            <w:tcW w:w="1092" w:type="dxa"/>
            <w:tcBorders>
              <w:top w:val="single" w:sz="4" w:space="0" w:color="auto"/>
              <w:left w:val="single" w:sz="4" w:space="0" w:color="auto"/>
              <w:bottom w:val="single" w:sz="4" w:space="0" w:color="auto"/>
              <w:right w:val="single" w:sz="4" w:space="0" w:color="auto"/>
            </w:tcBorders>
          </w:tcPr>
          <w:p w14:paraId="72B86EE8" w14:textId="4F2FD71F" w:rsidR="00D848B0" w:rsidRPr="00F449E0" w:rsidRDefault="00A3682C" w:rsidP="003F24D5">
            <w:pPr>
              <w:pStyle w:val="NoSpacing"/>
              <w:jc w:val="right"/>
              <w:rPr>
                <w:sz w:val="18"/>
                <w:szCs w:val="18"/>
              </w:rPr>
            </w:pPr>
            <w:r w:rsidRPr="00F449E0">
              <w:rPr>
                <w:sz w:val="18"/>
                <w:szCs w:val="18"/>
              </w:rPr>
              <w:t>$</w:t>
            </w:r>
            <w:r w:rsidR="00210E77" w:rsidRPr="00F449E0">
              <w:rPr>
                <w:sz w:val="18"/>
                <w:szCs w:val="18"/>
              </w:rPr>
              <w:t>81,</w:t>
            </w:r>
            <w:r w:rsidR="00466D60" w:rsidRPr="00F449E0">
              <w:rPr>
                <w:sz w:val="18"/>
                <w:szCs w:val="18"/>
              </w:rPr>
              <w:t>918</w:t>
            </w:r>
            <w:r w:rsidR="00210E77" w:rsidRPr="00F449E0">
              <w:rPr>
                <w:sz w:val="18"/>
                <w:szCs w:val="18"/>
              </w:rPr>
              <w:t>.00</w:t>
            </w:r>
          </w:p>
        </w:tc>
      </w:tr>
    </w:tbl>
    <w:p w14:paraId="26449C62" w14:textId="77777777" w:rsidR="00FF48C6" w:rsidRDefault="00FF48C6">
      <w:pPr>
        <w:pStyle w:val="BodyTextIndent"/>
        <w:tabs>
          <w:tab w:val="left" w:pos="360"/>
        </w:tabs>
        <w:ind w:left="360" w:hanging="360"/>
      </w:pPr>
    </w:p>
    <w:p w14:paraId="687C24D3" w14:textId="4BD51CDD" w:rsidR="00F84C89" w:rsidRDefault="009A4C2A">
      <w:pPr>
        <w:pStyle w:val="BodyTextIndent"/>
        <w:tabs>
          <w:tab w:val="left" w:pos="360"/>
        </w:tabs>
        <w:ind w:left="360" w:hanging="360"/>
      </w:pPr>
      <w:r>
        <w:tab/>
        <w:t xml:space="preserve">The cost is </w:t>
      </w:r>
      <w:r w:rsidR="00127329">
        <w:t>calculated at the hourly rate of a GS-12</w:t>
      </w:r>
      <w:r w:rsidR="00466A8A">
        <w:t xml:space="preserve"> staff member</w:t>
      </w:r>
      <w:r w:rsidR="00C9465A">
        <w:t xml:space="preserve"> in the Washington D.C. area</w:t>
      </w:r>
      <w:r w:rsidR="00466A8A">
        <w:t xml:space="preserve"> and additional operating expenses to review the responses.  </w:t>
      </w:r>
      <w:r w:rsidR="00F2683D">
        <w:t>Data is taken from the Office of Personnel Management and the table with Washington</w:t>
      </w:r>
      <w:r w:rsidR="003C46E1">
        <w:t>-Baltimore-Arlington locality pay.</w:t>
      </w:r>
    </w:p>
    <w:p w14:paraId="032D171C" w14:textId="77777777" w:rsidR="009A4C2A" w:rsidRDefault="009A4C2A">
      <w:pPr>
        <w:pStyle w:val="BodyTextIndent"/>
        <w:tabs>
          <w:tab w:val="left" w:pos="360"/>
        </w:tabs>
        <w:ind w:left="360" w:hanging="360"/>
      </w:pPr>
    </w:p>
    <w:p w14:paraId="7D9D934E" w14:textId="45DEC15E" w:rsidR="00F84C89" w:rsidRDefault="00044C42">
      <w:pPr>
        <w:pStyle w:val="BodyTextIndent"/>
        <w:tabs>
          <w:tab w:val="left" w:pos="360"/>
        </w:tabs>
        <w:ind w:left="360" w:hanging="360"/>
      </w:pPr>
      <w:r>
        <w:t>15.</w:t>
      </w:r>
      <w:r>
        <w:tab/>
        <w:t xml:space="preserve">This is </w:t>
      </w:r>
      <w:r w:rsidR="00C457C5">
        <w:t>a reinstatement</w:t>
      </w:r>
      <w:r w:rsidR="00F449E0">
        <w:t xml:space="preserve"> </w:t>
      </w:r>
      <w:r w:rsidR="00C457C5">
        <w:t>with</w:t>
      </w:r>
      <w:r>
        <w:t xml:space="preserve"> </w:t>
      </w:r>
      <w:r w:rsidR="0022644B">
        <w:t>change,</w:t>
      </w:r>
      <w:r w:rsidR="00F84C89">
        <w:t xml:space="preserve"> of a currently approved collection.  </w:t>
      </w:r>
      <w:r w:rsidR="00F449E0" w:rsidRPr="00F449E0">
        <w:t xml:space="preserve">Information on this form has been changed.  The five racial categories section has been amended slightly.   </w:t>
      </w:r>
    </w:p>
    <w:p w14:paraId="212923AE" w14:textId="77777777" w:rsidR="00044C42" w:rsidRDefault="00044C42">
      <w:pPr>
        <w:pStyle w:val="BodyTextIndent"/>
        <w:tabs>
          <w:tab w:val="left" w:pos="360"/>
        </w:tabs>
        <w:ind w:left="360" w:hanging="360"/>
      </w:pPr>
    </w:p>
    <w:p w14:paraId="424A85EE" w14:textId="77777777" w:rsidR="00F84C89" w:rsidRDefault="00F84C89">
      <w:pPr>
        <w:pStyle w:val="BodyTextIndent"/>
        <w:tabs>
          <w:tab w:val="left" w:pos="360"/>
        </w:tabs>
        <w:ind w:left="360" w:hanging="360"/>
      </w:pPr>
      <w:r>
        <w:t>16.</w:t>
      </w:r>
      <w:r>
        <w:tab/>
        <w:t>The results of this collection of information will not be published.</w:t>
      </w:r>
    </w:p>
    <w:p w14:paraId="4000CC62" w14:textId="77777777" w:rsidR="00F84C89" w:rsidRDefault="00F84C89">
      <w:pPr>
        <w:pStyle w:val="BodyTextIndent"/>
        <w:tabs>
          <w:tab w:val="left" w:pos="360"/>
        </w:tabs>
        <w:ind w:left="360" w:hanging="360"/>
      </w:pPr>
    </w:p>
    <w:p w14:paraId="79ADAC08" w14:textId="77777777" w:rsidR="00F84C89" w:rsidRDefault="00F84C89">
      <w:pPr>
        <w:pStyle w:val="BodyTextIndent"/>
        <w:tabs>
          <w:tab w:val="left" w:pos="360"/>
        </w:tabs>
        <w:ind w:left="360" w:hanging="360"/>
      </w:pPr>
      <w:r>
        <w:lastRenderedPageBreak/>
        <w:t>17.</w:t>
      </w:r>
      <w:r>
        <w:tab/>
        <w:t>The OMB approval number and expiration date will be displayed on the form.</w:t>
      </w:r>
    </w:p>
    <w:p w14:paraId="16ADA658" w14:textId="77777777" w:rsidR="00F84C89" w:rsidRDefault="00F84C89">
      <w:pPr>
        <w:pStyle w:val="BodyTextIndent"/>
        <w:tabs>
          <w:tab w:val="left" w:pos="360"/>
        </w:tabs>
        <w:ind w:left="360" w:hanging="360"/>
      </w:pPr>
    </w:p>
    <w:p w14:paraId="1ED34621" w14:textId="7AA97DA2" w:rsidR="00F84C89" w:rsidRDefault="00F84C89">
      <w:pPr>
        <w:pStyle w:val="BodyTextIndent"/>
        <w:tabs>
          <w:tab w:val="left" w:pos="360"/>
        </w:tabs>
        <w:ind w:left="360" w:hanging="360"/>
      </w:pPr>
      <w:r>
        <w:t>18.</w:t>
      </w:r>
      <w:r>
        <w:tab/>
        <w:t>There are no exceptions to the certification statement identified in Item 19 of OMB 83-I.</w:t>
      </w:r>
    </w:p>
    <w:p w14:paraId="5345B8D2" w14:textId="77777777" w:rsidR="00C457C5" w:rsidRDefault="00C457C5">
      <w:pPr>
        <w:pStyle w:val="BodyTextIndent"/>
        <w:tabs>
          <w:tab w:val="left" w:pos="360"/>
        </w:tabs>
        <w:ind w:left="360" w:hanging="360"/>
      </w:pPr>
    </w:p>
    <w:p w14:paraId="2A361065" w14:textId="77777777" w:rsidR="00F84C89" w:rsidRDefault="00F84C89">
      <w:pPr>
        <w:pStyle w:val="BodyTextIndent"/>
        <w:tabs>
          <w:tab w:val="left" w:pos="360"/>
        </w:tabs>
        <w:ind w:left="360" w:hanging="360"/>
      </w:pPr>
    </w:p>
    <w:p w14:paraId="771FB334" w14:textId="77777777" w:rsidR="00F84C89" w:rsidRDefault="00F84C89">
      <w:pPr>
        <w:pStyle w:val="BodyTextIndent"/>
        <w:numPr>
          <w:ilvl w:val="0"/>
          <w:numId w:val="10"/>
        </w:numPr>
        <w:tabs>
          <w:tab w:val="left" w:pos="360"/>
        </w:tabs>
        <w:ind w:left="360"/>
        <w:rPr>
          <w:b/>
          <w:bCs/>
        </w:rPr>
      </w:pPr>
      <w:r>
        <w:rPr>
          <w:b/>
          <w:bCs/>
        </w:rPr>
        <w:t>Collections of Information Employing Statistical Methods</w:t>
      </w:r>
    </w:p>
    <w:p w14:paraId="162ABACB" w14:textId="77777777" w:rsidR="00F84C89" w:rsidRDefault="00F84C89">
      <w:pPr>
        <w:pStyle w:val="BodyTextIndent"/>
        <w:tabs>
          <w:tab w:val="left" w:pos="360"/>
        </w:tabs>
        <w:ind w:left="360" w:hanging="360"/>
      </w:pPr>
    </w:p>
    <w:p w14:paraId="004CBC9D" w14:textId="77777777" w:rsidR="00F84C89" w:rsidRDefault="00F84C89">
      <w:pPr>
        <w:pStyle w:val="BodyTextIndent"/>
        <w:tabs>
          <w:tab w:val="left" w:pos="360"/>
        </w:tabs>
        <w:ind w:left="360"/>
      </w:pPr>
      <w:r>
        <w:t>The collection of information will not be used for statistical purposes.</w:t>
      </w:r>
    </w:p>
    <w:p w14:paraId="1AEC95B9" w14:textId="77777777" w:rsidR="00F84C89" w:rsidRDefault="00F84C89">
      <w:pPr>
        <w:pStyle w:val="BodyTextIndent"/>
        <w:ind w:left="360"/>
      </w:pPr>
    </w:p>
    <w:p w14:paraId="0138A704" w14:textId="77777777" w:rsidR="00F84C89" w:rsidRDefault="00F84C89">
      <w:pPr>
        <w:pStyle w:val="BodyTextIndent"/>
        <w:ind w:left="360"/>
      </w:pPr>
    </w:p>
    <w:p w14:paraId="756BE6EB" w14:textId="77777777" w:rsidR="00F84C89" w:rsidRDefault="00F84C89">
      <w:pPr>
        <w:pStyle w:val="BodyTextIndent"/>
        <w:ind w:left="360"/>
      </w:pPr>
    </w:p>
    <w:p w14:paraId="4786B47E" w14:textId="77777777" w:rsidR="00F84C89" w:rsidRDefault="00F84C89">
      <w:pPr>
        <w:tabs>
          <w:tab w:val="left" w:pos="360"/>
        </w:tabs>
        <w:ind w:left="360" w:hanging="360"/>
        <w:rPr>
          <w:color w:val="000000"/>
          <w:sz w:val="24"/>
        </w:rPr>
      </w:pPr>
    </w:p>
    <w:sectPr w:rsidR="00F84C89" w:rsidSect="00856F3F">
      <w:footerReference w:type="default" r:id="rId9"/>
      <w:pgSz w:w="12240" w:h="15840"/>
      <w:pgMar w:top="480" w:right="720" w:bottom="480" w:left="600" w:header="480" w:footer="480" w:gutter="0"/>
      <w:cols w:space="480" w:equalWidth="0">
        <w:col w:w="1080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A38459" w14:textId="77777777" w:rsidR="00822A1D" w:rsidRDefault="00822A1D">
      <w:r>
        <w:separator/>
      </w:r>
    </w:p>
  </w:endnote>
  <w:endnote w:type="continuationSeparator" w:id="0">
    <w:p w14:paraId="1467714D" w14:textId="77777777" w:rsidR="00822A1D" w:rsidRDefault="00822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A1BB9" w14:textId="77777777" w:rsidR="00F84C89" w:rsidRDefault="00F84C89">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2159E" w14:textId="77777777" w:rsidR="00822A1D" w:rsidRDefault="00822A1D">
      <w:r>
        <w:separator/>
      </w:r>
    </w:p>
  </w:footnote>
  <w:footnote w:type="continuationSeparator" w:id="0">
    <w:p w14:paraId="7CBFC343" w14:textId="77777777" w:rsidR="00822A1D" w:rsidRDefault="00822A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0E55807"/>
    <w:multiLevelType w:val="hybridMultilevel"/>
    <w:tmpl w:val="2E8E63AA"/>
    <w:lvl w:ilvl="0" w:tplc="04090015">
      <w:start w:val="1"/>
      <w:numFmt w:val="upperLetter"/>
      <w:lvlText w:val="%1."/>
      <w:lvlJc w:val="left"/>
      <w:pPr>
        <w:tabs>
          <w:tab w:val="num" w:pos="720"/>
        </w:tabs>
        <w:ind w:left="720" w:hanging="360"/>
      </w:pPr>
      <w:rPr>
        <w:rFonts w:hint="default"/>
      </w:rPr>
    </w:lvl>
    <w:lvl w:ilvl="1" w:tplc="EA6CBE1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3ECD0002"/>
    <w:multiLevelType w:val="hybridMultilevel"/>
    <w:tmpl w:val="DC820756"/>
    <w:lvl w:ilvl="0" w:tplc="67280338">
      <w:start w:val="2"/>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6">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934440"/>
    <w:multiLevelType w:val="hybridMultilevel"/>
    <w:tmpl w:val="55DA27B4"/>
    <w:lvl w:ilvl="0" w:tplc="0D14FFF2">
      <w:start w:val="5"/>
      <w:numFmt w:val="decimal"/>
      <w:lvlText w:val="%1."/>
      <w:lvlJc w:val="left"/>
      <w:pPr>
        <w:tabs>
          <w:tab w:val="num" w:pos="1080"/>
        </w:tabs>
        <w:ind w:left="1080" w:hanging="360"/>
      </w:pPr>
      <w:rPr>
        <w:rFonts w:hint="default"/>
        <w:b w:val="0"/>
      </w:rPr>
    </w:lvl>
    <w:lvl w:ilvl="1" w:tplc="7EA01D0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2436798"/>
    <w:multiLevelType w:val="hybridMultilevel"/>
    <w:tmpl w:val="755CCDAA"/>
    <w:lvl w:ilvl="0" w:tplc="173488A8">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6D0D6165"/>
    <w:multiLevelType w:val="hybridMultilevel"/>
    <w:tmpl w:val="47248414"/>
    <w:lvl w:ilvl="0" w:tplc="04090001">
      <w:start w:val="1"/>
      <w:numFmt w:val="bullet"/>
      <w:lvlText w:val=""/>
      <w:lvlJc w:val="left"/>
      <w:pPr>
        <w:ind w:left="1440" w:hanging="360"/>
      </w:pPr>
      <w:rPr>
        <w:rFonts w:ascii="Symbol" w:hAnsi="Symbol" w:hint="default"/>
        <w:color w:val="00000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785526B7"/>
    <w:multiLevelType w:val="hybridMultilevel"/>
    <w:tmpl w:val="EAC88E66"/>
    <w:lvl w:ilvl="0" w:tplc="04090001">
      <w:start w:val="1"/>
      <w:numFmt w:val="bullet"/>
      <w:lvlText w:val=""/>
      <w:lvlJc w:val="left"/>
      <w:pPr>
        <w:tabs>
          <w:tab w:val="num" w:pos="1080"/>
        </w:tabs>
        <w:ind w:left="1080" w:hanging="360"/>
      </w:pPr>
      <w:rPr>
        <w:rFonts w:ascii="Symbol" w:hAnsi="Symbol" w:hint="default"/>
        <w:b w:val="0"/>
      </w:rPr>
    </w:lvl>
    <w:lvl w:ilvl="1" w:tplc="7EA01D0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3">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
  </w:num>
  <w:num w:numId="2">
    <w:abstractNumId w:val="13"/>
  </w:num>
  <w:num w:numId="3">
    <w:abstractNumId w:val="1"/>
  </w:num>
  <w:num w:numId="4">
    <w:abstractNumId w:val="12"/>
  </w:num>
  <w:num w:numId="5">
    <w:abstractNumId w:val="10"/>
  </w:num>
  <w:num w:numId="6">
    <w:abstractNumId w:val="1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6"/>
  </w:num>
  <w:num w:numId="10">
    <w:abstractNumId w:val="2"/>
  </w:num>
  <w:num w:numId="11">
    <w:abstractNumId w:val="4"/>
  </w:num>
  <w:num w:numId="12">
    <w:abstractNumId w:val="7"/>
  </w:num>
  <w:num w:numId="13">
    <w:abstractNumId w:val="8"/>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986"/>
    <w:rsid w:val="00005A7B"/>
    <w:rsid w:val="00044C42"/>
    <w:rsid w:val="000B47DF"/>
    <w:rsid w:val="000F1676"/>
    <w:rsid w:val="00127329"/>
    <w:rsid w:val="00132949"/>
    <w:rsid w:val="00210E77"/>
    <w:rsid w:val="0022644B"/>
    <w:rsid w:val="00323C1A"/>
    <w:rsid w:val="003945F1"/>
    <w:rsid w:val="003C46E1"/>
    <w:rsid w:val="003F24D5"/>
    <w:rsid w:val="004203D4"/>
    <w:rsid w:val="00466A8A"/>
    <w:rsid w:val="00466D60"/>
    <w:rsid w:val="004745A0"/>
    <w:rsid w:val="004C601A"/>
    <w:rsid w:val="00602688"/>
    <w:rsid w:val="00610750"/>
    <w:rsid w:val="006377FC"/>
    <w:rsid w:val="006D63E8"/>
    <w:rsid w:val="00720D93"/>
    <w:rsid w:val="00740AB0"/>
    <w:rsid w:val="007F31F6"/>
    <w:rsid w:val="00822A1D"/>
    <w:rsid w:val="0085043E"/>
    <w:rsid w:val="00856F3F"/>
    <w:rsid w:val="008A5568"/>
    <w:rsid w:val="008C2FA9"/>
    <w:rsid w:val="00900EDA"/>
    <w:rsid w:val="00991CC5"/>
    <w:rsid w:val="009A4C2A"/>
    <w:rsid w:val="009B3B60"/>
    <w:rsid w:val="009C7A15"/>
    <w:rsid w:val="009E3566"/>
    <w:rsid w:val="00A3682C"/>
    <w:rsid w:val="00A74942"/>
    <w:rsid w:val="00AB6749"/>
    <w:rsid w:val="00B6768B"/>
    <w:rsid w:val="00B80ED0"/>
    <w:rsid w:val="00B85A8B"/>
    <w:rsid w:val="00BE48F8"/>
    <w:rsid w:val="00C457C5"/>
    <w:rsid w:val="00C4766F"/>
    <w:rsid w:val="00C47B3C"/>
    <w:rsid w:val="00C9465A"/>
    <w:rsid w:val="00CD4986"/>
    <w:rsid w:val="00D15F0A"/>
    <w:rsid w:val="00D771F5"/>
    <w:rsid w:val="00D848B0"/>
    <w:rsid w:val="00DB5508"/>
    <w:rsid w:val="00DC69C2"/>
    <w:rsid w:val="00E404EC"/>
    <w:rsid w:val="00ED4439"/>
    <w:rsid w:val="00ED620F"/>
    <w:rsid w:val="00EF24A4"/>
    <w:rsid w:val="00F2683D"/>
    <w:rsid w:val="00F449E0"/>
    <w:rsid w:val="00F55E39"/>
    <w:rsid w:val="00F84C89"/>
    <w:rsid w:val="00F9296F"/>
    <w:rsid w:val="00FF4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4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F3F"/>
    <w:pPr>
      <w:overflowPunct w:val="0"/>
      <w:autoSpaceDE w:val="0"/>
      <w:autoSpaceDN w:val="0"/>
      <w:adjustRightInd w:val="0"/>
      <w:textAlignment w:val="baseline"/>
    </w:pPr>
  </w:style>
  <w:style w:type="paragraph" w:styleId="Heading1">
    <w:name w:val="heading 1"/>
    <w:basedOn w:val="Normal"/>
    <w:next w:val="Normal"/>
    <w:qFormat/>
    <w:rsid w:val="00856F3F"/>
    <w:pPr>
      <w:keepNext/>
      <w:overflowPunct/>
      <w:autoSpaceDE/>
      <w:autoSpaceDN/>
      <w:adjustRightInd/>
      <w:textAlignment w:val="auto"/>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56F3F"/>
    <w:pPr>
      <w:tabs>
        <w:tab w:val="center" w:pos="4320"/>
        <w:tab w:val="right" w:pos="8640"/>
      </w:tabs>
    </w:pPr>
  </w:style>
  <w:style w:type="paragraph" w:styleId="Footer">
    <w:name w:val="footer"/>
    <w:basedOn w:val="Normal"/>
    <w:semiHidden/>
    <w:rsid w:val="00856F3F"/>
    <w:pPr>
      <w:tabs>
        <w:tab w:val="center" w:pos="4320"/>
        <w:tab w:val="right" w:pos="8640"/>
      </w:tabs>
    </w:pPr>
  </w:style>
  <w:style w:type="paragraph" w:styleId="Title">
    <w:name w:val="Title"/>
    <w:basedOn w:val="Normal"/>
    <w:qFormat/>
    <w:rsid w:val="00856F3F"/>
    <w:pPr>
      <w:jc w:val="center"/>
    </w:pPr>
    <w:rPr>
      <w:rFonts w:ascii="Helvetica" w:hAnsi="Helvetica"/>
      <w:b/>
      <w:sz w:val="28"/>
    </w:rPr>
  </w:style>
  <w:style w:type="paragraph" w:styleId="BlockText">
    <w:name w:val="Block Text"/>
    <w:basedOn w:val="Normal"/>
    <w:semiHidden/>
    <w:rsid w:val="00856F3F"/>
    <w:pPr>
      <w:tabs>
        <w:tab w:val="left" w:pos="240"/>
      </w:tabs>
      <w:spacing w:after="60"/>
      <w:ind w:left="120" w:right="-120"/>
    </w:pPr>
    <w:rPr>
      <w:color w:val="000000"/>
      <w:sz w:val="22"/>
    </w:rPr>
  </w:style>
  <w:style w:type="paragraph" w:styleId="Subtitle">
    <w:name w:val="Subtitle"/>
    <w:basedOn w:val="Normal"/>
    <w:qFormat/>
    <w:rsid w:val="00856F3F"/>
    <w:pPr>
      <w:overflowPunct/>
      <w:autoSpaceDE/>
      <w:autoSpaceDN/>
      <w:adjustRightInd/>
      <w:jc w:val="center"/>
      <w:textAlignment w:val="auto"/>
    </w:pPr>
    <w:rPr>
      <w:b/>
      <w:bCs/>
      <w:sz w:val="24"/>
      <w:szCs w:val="24"/>
    </w:rPr>
  </w:style>
  <w:style w:type="paragraph" w:styleId="BodyTextIndent">
    <w:name w:val="Body Text Indent"/>
    <w:basedOn w:val="Normal"/>
    <w:semiHidden/>
    <w:rsid w:val="00856F3F"/>
    <w:pPr>
      <w:overflowPunct/>
      <w:autoSpaceDE/>
      <w:autoSpaceDN/>
      <w:adjustRightInd/>
      <w:ind w:left="1080"/>
      <w:textAlignment w:val="auto"/>
    </w:pPr>
    <w:rPr>
      <w:sz w:val="24"/>
      <w:szCs w:val="24"/>
    </w:rPr>
  </w:style>
  <w:style w:type="paragraph" w:styleId="BodyText2">
    <w:name w:val="Body Text 2"/>
    <w:basedOn w:val="Normal"/>
    <w:semiHidden/>
    <w:rsid w:val="00856F3F"/>
    <w:pPr>
      <w:overflowPunct/>
      <w:autoSpaceDE/>
      <w:autoSpaceDN/>
      <w:adjustRightInd/>
      <w:textAlignment w:val="auto"/>
    </w:pPr>
    <w:rPr>
      <w:rFonts w:ascii="Courier New" w:hAnsi="Courier New"/>
      <w:color w:val="000000"/>
    </w:rPr>
  </w:style>
  <w:style w:type="character" w:styleId="Hyperlink">
    <w:name w:val="Hyperlink"/>
    <w:basedOn w:val="DefaultParagraphFont"/>
    <w:semiHidden/>
    <w:rsid w:val="00856F3F"/>
    <w:rPr>
      <w:color w:val="0000FF"/>
      <w:u w:val="single"/>
    </w:rPr>
  </w:style>
  <w:style w:type="paragraph" w:customStyle="1" w:styleId="2AutoList1">
    <w:name w:val="2AutoList1"/>
    <w:rsid w:val="00856F3F"/>
    <w:pPr>
      <w:widowControl w:val="0"/>
      <w:tabs>
        <w:tab w:val="left" w:pos="720"/>
        <w:tab w:val="left" w:pos="1440"/>
      </w:tabs>
      <w:autoSpaceDE w:val="0"/>
      <w:autoSpaceDN w:val="0"/>
      <w:adjustRightInd w:val="0"/>
      <w:ind w:left="1440" w:hanging="720"/>
      <w:jc w:val="both"/>
    </w:pPr>
    <w:rPr>
      <w:szCs w:val="24"/>
    </w:rPr>
  </w:style>
  <w:style w:type="paragraph" w:customStyle="1" w:styleId="1AutoList1">
    <w:name w:val="1AutoList1"/>
    <w:rsid w:val="00856F3F"/>
    <w:pPr>
      <w:widowControl w:val="0"/>
      <w:tabs>
        <w:tab w:val="left" w:pos="720"/>
      </w:tabs>
      <w:autoSpaceDE w:val="0"/>
      <w:autoSpaceDN w:val="0"/>
      <w:adjustRightInd w:val="0"/>
      <w:ind w:left="720" w:hanging="720"/>
      <w:jc w:val="both"/>
    </w:pPr>
    <w:rPr>
      <w:szCs w:val="24"/>
    </w:rPr>
  </w:style>
  <w:style w:type="paragraph" w:styleId="NoSpacing">
    <w:name w:val="No Spacing"/>
    <w:uiPriority w:val="1"/>
    <w:qFormat/>
    <w:rsid w:val="00132949"/>
    <w:pPr>
      <w:overflowPunct w:val="0"/>
      <w:autoSpaceDE w:val="0"/>
      <w:autoSpaceDN w:val="0"/>
      <w:adjustRightInd w:val="0"/>
      <w:textAlignment w:val="baseline"/>
    </w:pPr>
  </w:style>
  <w:style w:type="character" w:styleId="CommentReference">
    <w:name w:val="annotation reference"/>
    <w:rsid w:val="00132949"/>
    <w:rPr>
      <w:sz w:val="16"/>
      <w:szCs w:val="16"/>
    </w:rPr>
  </w:style>
  <w:style w:type="paragraph" w:styleId="CommentText">
    <w:name w:val="annotation text"/>
    <w:basedOn w:val="Normal"/>
    <w:link w:val="CommentTextChar"/>
    <w:rsid w:val="00132949"/>
  </w:style>
  <w:style w:type="character" w:customStyle="1" w:styleId="CommentTextChar">
    <w:name w:val="Comment Text Char"/>
    <w:basedOn w:val="DefaultParagraphFont"/>
    <w:link w:val="CommentText"/>
    <w:rsid w:val="00132949"/>
  </w:style>
  <w:style w:type="paragraph" w:styleId="BalloonText">
    <w:name w:val="Balloon Text"/>
    <w:basedOn w:val="Normal"/>
    <w:link w:val="BalloonTextChar"/>
    <w:uiPriority w:val="99"/>
    <w:semiHidden/>
    <w:unhideWhenUsed/>
    <w:rsid w:val="001329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94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F3F"/>
    <w:pPr>
      <w:overflowPunct w:val="0"/>
      <w:autoSpaceDE w:val="0"/>
      <w:autoSpaceDN w:val="0"/>
      <w:adjustRightInd w:val="0"/>
      <w:textAlignment w:val="baseline"/>
    </w:pPr>
  </w:style>
  <w:style w:type="paragraph" w:styleId="Heading1">
    <w:name w:val="heading 1"/>
    <w:basedOn w:val="Normal"/>
    <w:next w:val="Normal"/>
    <w:qFormat/>
    <w:rsid w:val="00856F3F"/>
    <w:pPr>
      <w:keepNext/>
      <w:overflowPunct/>
      <w:autoSpaceDE/>
      <w:autoSpaceDN/>
      <w:adjustRightInd/>
      <w:textAlignment w:val="auto"/>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56F3F"/>
    <w:pPr>
      <w:tabs>
        <w:tab w:val="center" w:pos="4320"/>
        <w:tab w:val="right" w:pos="8640"/>
      </w:tabs>
    </w:pPr>
  </w:style>
  <w:style w:type="paragraph" w:styleId="Footer">
    <w:name w:val="footer"/>
    <w:basedOn w:val="Normal"/>
    <w:semiHidden/>
    <w:rsid w:val="00856F3F"/>
    <w:pPr>
      <w:tabs>
        <w:tab w:val="center" w:pos="4320"/>
        <w:tab w:val="right" w:pos="8640"/>
      </w:tabs>
    </w:pPr>
  </w:style>
  <w:style w:type="paragraph" w:styleId="Title">
    <w:name w:val="Title"/>
    <w:basedOn w:val="Normal"/>
    <w:qFormat/>
    <w:rsid w:val="00856F3F"/>
    <w:pPr>
      <w:jc w:val="center"/>
    </w:pPr>
    <w:rPr>
      <w:rFonts w:ascii="Helvetica" w:hAnsi="Helvetica"/>
      <w:b/>
      <w:sz w:val="28"/>
    </w:rPr>
  </w:style>
  <w:style w:type="paragraph" w:styleId="BlockText">
    <w:name w:val="Block Text"/>
    <w:basedOn w:val="Normal"/>
    <w:semiHidden/>
    <w:rsid w:val="00856F3F"/>
    <w:pPr>
      <w:tabs>
        <w:tab w:val="left" w:pos="240"/>
      </w:tabs>
      <w:spacing w:after="60"/>
      <w:ind w:left="120" w:right="-120"/>
    </w:pPr>
    <w:rPr>
      <w:color w:val="000000"/>
      <w:sz w:val="22"/>
    </w:rPr>
  </w:style>
  <w:style w:type="paragraph" w:styleId="Subtitle">
    <w:name w:val="Subtitle"/>
    <w:basedOn w:val="Normal"/>
    <w:qFormat/>
    <w:rsid w:val="00856F3F"/>
    <w:pPr>
      <w:overflowPunct/>
      <w:autoSpaceDE/>
      <w:autoSpaceDN/>
      <w:adjustRightInd/>
      <w:jc w:val="center"/>
      <w:textAlignment w:val="auto"/>
    </w:pPr>
    <w:rPr>
      <w:b/>
      <w:bCs/>
      <w:sz w:val="24"/>
      <w:szCs w:val="24"/>
    </w:rPr>
  </w:style>
  <w:style w:type="paragraph" w:styleId="BodyTextIndent">
    <w:name w:val="Body Text Indent"/>
    <w:basedOn w:val="Normal"/>
    <w:semiHidden/>
    <w:rsid w:val="00856F3F"/>
    <w:pPr>
      <w:overflowPunct/>
      <w:autoSpaceDE/>
      <w:autoSpaceDN/>
      <w:adjustRightInd/>
      <w:ind w:left="1080"/>
      <w:textAlignment w:val="auto"/>
    </w:pPr>
    <w:rPr>
      <w:sz w:val="24"/>
      <w:szCs w:val="24"/>
    </w:rPr>
  </w:style>
  <w:style w:type="paragraph" w:styleId="BodyText2">
    <w:name w:val="Body Text 2"/>
    <w:basedOn w:val="Normal"/>
    <w:semiHidden/>
    <w:rsid w:val="00856F3F"/>
    <w:pPr>
      <w:overflowPunct/>
      <w:autoSpaceDE/>
      <w:autoSpaceDN/>
      <w:adjustRightInd/>
      <w:textAlignment w:val="auto"/>
    </w:pPr>
    <w:rPr>
      <w:rFonts w:ascii="Courier New" w:hAnsi="Courier New"/>
      <w:color w:val="000000"/>
    </w:rPr>
  </w:style>
  <w:style w:type="character" w:styleId="Hyperlink">
    <w:name w:val="Hyperlink"/>
    <w:basedOn w:val="DefaultParagraphFont"/>
    <w:semiHidden/>
    <w:rsid w:val="00856F3F"/>
    <w:rPr>
      <w:color w:val="0000FF"/>
      <w:u w:val="single"/>
    </w:rPr>
  </w:style>
  <w:style w:type="paragraph" w:customStyle="1" w:styleId="2AutoList1">
    <w:name w:val="2AutoList1"/>
    <w:rsid w:val="00856F3F"/>
    <w:pPr>
      <w:widowControl w:val="0"/>
      <w:tabs>
        <w:tab w:val="left" w:pos="720"/>
        <w:tab w:val="left" w:pos="1440"/>
      </w:tabs>
      <w:autoSpaceDE w:val="0"/>
      <w:autoSpaceDN w:val="0"/>
      <w:adjustRightInd w:val="0"/>
      <w:ind w:left="1440" w:hanging="720"/>
      <w:jc w:val="both"/>
    </w:pPr>
    <w:rPr>
      <w:szCs w:val="24"/>
    </w:rPr>
  </w:style>
  <w:style w:type="paragraph" w:customStyle="1" w:styleId="1AutoList1">
    <w:name w:val="1AutoList1"/>
    <w:rsid w:val="00856F3F"/>
    <w:pPr>
      <w:widowControl w:val="0"/>
      <w:tabs>
        <w:tab w:val="left" w:pos="720"/>
      </w:tabs>
      <w:autoSpaceDE w:val="0"/>
      <w:autoSpaceDN w:val="0"/>
      <w:adjustRightInd w:val="0"/>
      <w:ind w:left="720" w:hanging="720"/>
      <w:jc w:val="both"/>
    </w:pPr>
    <w:rPr>
      <w:szCs w:val="24"/>
    </w:rPr>
  </w:style>
  <w:style w:type="paragraph" w:styleId="NoSpacing">
    <w:name w:val="No Spacing"/>
    <w:uiPriority w:val="1"/>
    <w:qFormat/>
    <w:rsid w:val="00132949"/>
    <w:pPr>
      <w:overflowPunct w:val="0"/>
      <w:autoSpaceDE w:val="0"/>
      <w:autoSpaceDN w:val="0"/>
      <w:adjustRightInd w:val="0"/>
      <w:textAlignment w:val="baseline"/>
    </w:pPr>
  </w:style>
  <w:style w:type="character" w:styleId="CommentReference">
    <w:name w:val="annotation reference"/>
    <w:rsid w:val="00132949"/>
    <w:rPr>
      <w:sz w:val="16"/>
      <w:szCs w:val="16"/>
    </w:rPr>
  </w:style>
  <w:style w:type="paragraph" w:styleId="CommentText">
    <w:name w:val="annotation text"/>
    <w:basedOn w:val="Normal"/>
    <w:link w:val="CommentTextChar"/>
    <w:rsid w:val="00132949"/>
  </w:style>
  <w:style w:type="character" w:customStyle="1" w:styleId="CommentTextChar">
    <w:name w:val="Comment Text Char"/>
    <w:basedOn w:val="DefaultParagraphFont"/>
    <w:link w:val="CommentText"/>
    <w:rsid w:val="00132949"/>
  </w:style>
  <w:style w:type="paragraph" w:styleId="BalloonText">
    <w:name w:val="Balloon Text"/>
    <w:basedOn w:val="Normal"/>
    <w:link w:val="BalloonTextChar"/>
    <w:uiPriority w:val="99"/>
    <w:semiHidden/>
    <w:unhideWhenUsed/>
    <w:rsid w:val="001329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9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yscale.com/research/US/Job=Executive_Director/Salary"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6651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SYSTEM</cp:lastModifiedBy>
  <cp:revision>2</cp:revision>
  <cp:lastPrinted>2019-04-17T13:20:00Z</cp:lastPrinted>
  <dcterms:created xsi:type="dcterms:W3CDTF">2019-04-30T15:34:00Z</dcterms:created>
  <dcterms:modified xsi:type="dcterms:W3CDTF">2019-04-30T15:34:00Z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