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3EB8E" w14:textId="77777777" w:rsidR="009E118C" w:rsidRDefault="009E118C" w:rsidP="00D37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contextualSpacing/>
        <w:jc w:val="center"/>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14:paraId="624FEDA3" w14:textId="77777777" w:rsidR="00A71931" w:rsidRDefault="00C47C35" w:rsidP="00D371B4">
      <w:pPr>
        <w:pStyle w:val="Heading1"/>
        <w:spacing w:line="240" w:lineRule="auto"/>
        <w:contextualSpacing/>
        <w:jc w:val="center"/>
        <w:rPr>
          <w:rFonts w:ascii="Helvetica" w:hAnsi="Helvetica" w:cs="Helvetica"/>
          <w:color w:val="auto"/>
        </w:rPr>
      </w:pPr>
      <w:r w:rsidRPr="00A71931">
        <w:rPr>
          <w:rFonts w:ascii="Helvetica" w:hAnsi="Helvetica" w:cs="Helvetica"/>
          <w:color w:val="auto"/>
        </w:rPr>
        <w:t xml:space="preserve">FHA-Insured Mortgage </w:t>
      </w:r>
      <w:r w:rsidR="007E3558" w:rsidRPr="00A71931">
        <w:rPr>
          <w:rFonts w:ascii="Helvetica" w:hAnsi="Helvetica" w:cs="Helvetica"/>
          <w:color w:val="auto"/>
        </w:rPr>
        <w:t xml:space="preserve">Loan Servicing Involving the </w:t>
      </w:r>
    </w:p>
    <w:p w14:paraId="7F10A596" w14:textId="50F857DF" w:rsidR="009E118C" w:rsidRPr="00A71931" w:rsidRDefault="007E3558" w:rsidP="00D371B4">
      <w:pPr>
        <w:pStyle w:val="Heading1"/>
        <w:spacing w:line="240" w:lineRule="auto"/>
        <w:contextualSpacing/>
        <w:jc w:val="center"/>
        <w:rPr>
          <w:rFonts w:ascii="Helvetica" w:hAnsi="Helvetica" w:cs="Helvetica"/>
          <w:color w:val="auto"/>
        </w:rPr>
      </w:pPr>
      <w:r w:rsidRPr="00A71931">
        <w:rPr>
          <w:rFonts w:ascii="Helvetica" w:hAnsi="Helvetica" w:cs="Helvetica"/>
          <w:color w:val="auto"/>
        </w:rPr>
        <w:t>Loss Mitigation Programs</w:t>
      </w:r>
    </w:p>
    <w:p w14:paraId="3CAD6720" w14:textId="1A526A38" w:rsidR="009E118C" w:rsidRDefault="0050120C" w:rsidP="00D371B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contextualSpacing/>
        <w:jc w:val="center"/>
        <w:rPr>
          <w:rFonts w:ascii="Helvetica" w:hAnsi="Helvetica" w:cs="Helvetica"/>
          <w:b/>
          <w:sz w:val="24"/>
        </w:rPr>
      </w:pPr>
      <w:r w:rsidRPr="00A71931">
        <w:rPr>
          <w:rFonts w:ascii="Helvetica" w:hAnsi="Helvetica" w:cs="Helvetica"/>
          <w:b/>
          <w:sz w:val="24"/>
        </w:rPr>
        <w:t>OMB Control Number 2502-</w:t>
      </w:r>
      <w:r w:rsidR="00D93FC0" w:rsidRPr="00A71931">
        <w:rPr>
          <w:rFonts w:ascii="Helvetica" w:hAnsi="Helvetica" w:cs="Helvetica"/>
          <w:b/>
          <w:sz w:val="24"/>
        </w:rPr>
        <w:t>05</w:t>
      </w:r>
      <w:r w:rsidR="007E3558" w:rsidRPr="00A71931">
        <w:rPr>
          <w:rFonts w:ascii="Helvetica" w:hAnsi="Helvetica" w:cs="Helvetica"/>
          <w:b/>
          <w:sz w:val="24"/>
        </w:rPr>
        <w:t>89</w:t>
      </w:r>
    </w:p>
    <w:p w14:paraId="66C1A2CF" w14:textId="77777777" w:rsidR="00505419" w:rsidRPr="00A71931" w:rsidRDefault="00505419" w:rsidP="00D371B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contextualSpacing/>
        <w:jc w:val="center"/>
        <w:rPr>
          <w:rFonts w:ascii="Helvetica" w:hAnsi="Helvetica" w:cs="Helvetica"/>
          <w:b/>
          <w:sz w:val="24"/>
        </w:rPr>
      </w:pPr>
    </w:p>
    <w:p w14:paraId="635A055F" w14:textId="54A3E834" w:rsidR="009E118C" w:rsidRPr="00A71931" w:rsidRDefault="00126A71" w:rsidP="000B50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contextualSpacing/>
        <w:jc w:val="center"/>
        <w:rPr>
          <w:rFonts w:ascii="Helvetica" w:hAnsi="Helvetica" w:cs="Helvetica"/>
          <w:b/>
          <w:sz w:val="24"/>
        </w:rPr>
      </w:pPr>
      <w:r w:rsidRPr="00A71931">
        <w:rPr>
          <w:rFonts w:ascii="Helvetica" w:hAnsi="Helvetica" w:cs="Helvetica"/>
          <w:b/>
          <w:sz w:val="24"/>
        </w:rPr>
        <w:t>HUD-90035, HUD-90041, HUD-90045, HUD-90051, HUD-90052,</w:t>
      </w:r>
      <w:r w:rsidR="00000E97" w:rsidRPr="00A71931">
        <w:rPr>
          <w:rFonts w:ascii="Helvetica" w:hAnsi="Helvetica" w:cs="Helvetica"/>
          <w:b/>
          <w:sz w:val="24"/>
        </w:rPr>
        <w:t xml:space="preserve"> </w:t>
      </w:r>
      <w:r w:rsidR="00B23588" w:rsidRPr="00A71931">
        <w:rPr>
          <w:rFonts w:ascii="Helvetica" w:hAnsi="Helvetica" w:cs="Helvetica"/>
          <w:b/>
          <w:sz w:val="24"/>
        </w:rPr>
        <w:t>HUD-27011</w:t>
      </w:r>
    </w:p>
    <w:p w14:paraId="11159161" w14:textId="77777777" w:rsidR="00D371B4" w:rsidRPr="00D371B4" w:rsidRDefault="00D371B4" w:rsidP="00D371B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cs="Times New Roman"/>
          <w:b/>
          <w:sz w:val="24"/>
        </w:rPr>
      </w:pPr>
    </w:p>
    <w:p w14:paraId="0F8D0A0C" w14:textId="77777777" w:rsidR="009E118C" w:rsidRPr="006E12AC"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5E26C8">
        <w:rPr>
          <w:rFonts w:ascii="Helvetica" w:hAnsi="Helvetica"/>
          <w:b/>
          <w:sz w:val="24"/>
        </w:rPr>
        <w:t xml:space="preserve">A. </w:t>
      </w:r>
      <w:r w:rsidRPr="005E26C8">
        <w:rPr>
          <w:rFonts w:ascii="Helvetica" w:hAnsi="Helvetica"/>
          <w:b/>
          <w:sz w:val="24"/>
        </w:rPr>
        <w:tab/>
      </w:r>
      <w:r w:rsidRPr="006E12AC">
        <w:rPr>
          <w:rFonts w:ascii="Helvetica" w:hAnsi="Helvetica"/>
          <w:b/>
          <w:sz w:val="24"/>
        </w:rPr>
        <w:t>Justification</w:t>
      </w:r>
    </w:p>
    <w:p w14:paraId="2AC12101" w14:textId="363EA26C" w:rsidR="00E5519D" w:rsidRPr="00891527" w:rsidRDefault="000F59E3" w:rsidP="0089152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378D33F" w14:textId="2083D519" w:rsidR="003B5AED" w:rsidRPr="00A210BC" w:rsidRDefault="003B5AED" w:rsidP="003B5AED">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ab/>
        <w:t xml:space="preserve">Section 203 of </w:t>
      </w:r>
      <w:r>
        <w:rPr>
          <w:rFonts w:ascii="Times New Roman" w:hAnsi="Times New Roman" w:cs="Times New Roman"/>
          <w:sz w:val="24"/>
        </w:rPr>
        <w:t>t</w:t>
      </w:r>
      <w:r w:rsidRPr="00A210BC">
        <w:rPr>
          <w:rFonts w:ascii="Times New Roman" w:hAnsi="Times New Roman" w:cs="Times New Roman"/>
          <w:sz w:val="24"/>
        </w:rPr>
        <w:t>he National Housing Act (12 U.S.C.</w:t>
      </w:r>
      <w:r w:rsidRPr="00563B0F">
        <w:rPr>
          <w:rFonts w:ascii="Times New Roman" w:hAnsi="Times New Roman" w:cs="Times New Roman"/>
          <w:sz w:val="24"/>
        </w:rPr>
        <w:t xml:space="preserve"> </w:t>
      </w:r>
      <w:r w:rsidRPr="00A210BC">
        <w:rPr>
          <w:rFonts w:ascii="Times New Roman" w:hAnsi="Times New Roman" w:cs="Times New Roman"/>
          <w:sz w:val="24"/>
        </w:rPr>
        <w:t>§</w:t>
      </w:r>
      <w:r>
        <w:rPr>
          <w:rFonts w:ascii="Times New Roman" w:hAnsi="Times New Roman" w:cs="Times New Roman"/>
          <w:sz w:val="24"/>
        </w:rPr>
        <w:t xml:space="preserve"> 1709)</w:t>
      </w:r>
      <w:r w:rsidRPr="00A210BC">
        <w:rPr>
          <w:rFonts w:ascii="Times New Roman" w:hAnsi="Times New Roman" w:cs="Times New Roman"/>
          <w:sz w:val="24"/>
        </w:rPr>
        <w:t xml:space="preserve"> authorizes the Secretary of Housing and Urban Development to insure financial institutions against losses </w:t>
      </w:r>
      <w:r>
        <w:rPr>
          <w:rFonts w:ascii="Times New Roman" w:hAnsi="Times New Roman" w:cs="Times New Roman"/>
          <w:sz w:val="24"/>
        </w:rPr>
        <w:t>when</w:t>
      </w:r>
      <w:r w:rsidRPr="00A210BC">
        <w:rPr>
          <w:rFonts w:ascii="Times New Roman" w:hAnsi="Times New Roman" w:cs="Times New Roman"/>
          <w:sz w:val="24"/>
        </w:rPr>
        <w:t xml:space="preserve"> </w:t>
      </w:r>
      <w:r w:rsidR="00FD64FA">
        <w:rPr>
          <w:rFonts w:ascii="Times New Roman" w:hAnsi="Times New Roman" w:cs="Times New Roman"/>
          <w:sz w:val="24"/>
        </w:rPr>
        <w:t>mortgagors</w:t>
      </w:r>
      <w:r>
        <w:rPr>
          <w:rFonts w:ascii="Times New Roman" w:hAnsi="Times New Roman" w:cs="Times New Roman"/>
          <w:sz w:val="24"/>
        </w:rPr>
        <w:t xml:space="preserve"> default</w:t>
      </w:r>
      <w:r w:rsidRPr="00A210BC">
        <w:rPr>
          <w:rFonts w:ascii="Times New Roman" w:hAnsi="Times New Roman" w:cs="Times New Roman"/>
          <w:sz w:val="24"/>
        </w:rPr>
        <w:t xml:space="preserve"> on single-family mortgages.  </w:t>
      </w:r>
      <w:r>
        <w:rPr>
          <w:rFonts w:ascii="Times New Roman" w:hAnsi="Times New Roman" w:cs="Times New Roman"/>
          <w:sz w:val="24"/>
        </w:rPr>
        <w:t>HUD</w:t>
      </w:r>
      <w:r w:rsidR="00923187">
        <w:rPr>
          <w:rFonts w:ascii="Times New Roman" w:hAnsi="Times New Roman" w:cs="Times New Roman"/>
          <w:sz w:val="24"/>
        </w:rPr>
        <w:t xml:space="preserve"> </w:t>
      </w:r>
      <w:r w:rsidR="00160F5D">
        <w:rPr>
          <w:rFonts w:ascii="Times New Roman" w:hAnsi="Times New Roman" w:cs="Times New Roman"/>
          <w:sz w:val="24"/>
        </w:rPr>
        <w:t>can</w:t>
      </w:r>
      <w:r>
        <w:rPr>
          <w:rFonts w:ascii="Times New Roman" w:hAnsi="Times New Roman" w:cs="Times New Roman"/>
          <w:sz w:val="24"/>
        </w:rPr>
        <w:t xml:space="preserve"> pay claims for any costs incurred by a mortgagee for loss mitigation activities pursuant </w:t>
      </w:r>
      <w:r w:rsidR="00C47C35">
        <w:rPr>
          <w:rFonts w:ascii="Times New Roman" w:hAnsi="Times New Roman" w:cs="Times New Roman"/>
          <w:sz w:val="24"/>
        </w:rPr>
        <w:t>to the National Housing Act (P.L. 479, 48 Stat., 1246, 12 U.S.C., 1701 et seq.), Sec</w:t>
      </w:r>
      <w:r w:rsidR="00AF23EF">
        <w:rPr>
          <w:rFonts w:ascii="Times New Roman" w:hAnsi="Times New Roman" w:cs="Times New Roman"/>
          <w:sz w:val="24"/>
        </w:rPr>
        <w:t>tions</w:t>
      </w:r>
      <w:r w:rsidR="00C47C35">
        <w:rPr>
          <w:rFonts w:ascii="Times New Roman" w:hAnsi="Times New Roman" w:cs="Times New Roman"/>
          <w:sz w:val="24"/>
        </w:rPr>
        <w:t xml:space="preserve"> </w:t>
      </w:r>
      <w:r w:rsidR="006B5874">
        <w:rPr>
          <w:rFonts w:ascii="Times New Roman" w:hAnsi="Times New Roman" w:cs="Times New Roman"/>
          <w:sz w:val="24"/>
        </w:rPr>
        <w:t xml:space="preserve">204(a)(2) and </w:t>
      </w:r>
      <w:r w:rsidR="00C47C35">
        <w:rPr>
          <w:rFonts w:ascii="Times New Roman" w:hAnsi="Times New Roman" w:cs="Times New Roman"/>
          <w:sz w:val="24"/>
        </w:rPr>
        <w:t>230 (12 U.S.C.</w:t>
      </w:r>
      <w:r w:rsidR="002F6FB3">
        <w:rPr>
          <w:rFonts w:ascii="Times New Roman" w:hAnsi="Times New Roman" w:cs="Times New Roman"/>
          <w:sz w:val="24"/>
        </w:rPr>
        <w:t>,</w:t>
      </w:r>
      <w:r w:rsidR="006B5874">
        <w:rPr>
          <w:rFonts w:ascii="Times New Roman" w:hAnsi="Times New Roman" w:cs="Times New Roman"/>
          <w:sz w:val="24"/>
        </w:rPr>
        <w:t xml:space="preserve"> §§ 1710(a)(2) and</w:t>
      </w:r>
      <w:r w:rsidR="00C47C35">
        <w:rPr>
          <w:rFonts w:ascii="Times New Roman" w:hAnsi="Times New Roman" w:cs="Times New Roman"/>
          <w:sz w:val="24"/>
        </w:rPr>
        <w:t xml:space="preserve"> 1715u). </w:t>
      </w:r>
      <w:r w:rsidRPr="00A210BC">
        <w:rPr>
          <w:rFonts w:ascii="Times New Roman" w:hAnsi="Times New Roman" w:cs="Times New Roman"/>
          <w:sz w:val="24"/>
        </w:rPr>
        <w:t xml:space="preserve">The </w:t>
      </w:r>
      <w:r w:rsidR="006B5874">
        <w:rPr>
          <w:rFonts w:ascii="Times New Roman" w:hAnsi="Times New Roman" w:cs="Times New Roman"/>
          <w:sz w:val="24"/>
        </w:rPr>
        <w:t>l</w:t>
      </w:r>
      <w:r w:rsidR="00160F5D">
        <w:rPr>
          <w:rFonts w:ascii="Times New Roman" w:hAnsi="Times New Roman" w:cs="Times New Roman"/>
          <w:sz w:val="24"/>
        </w:rPr>
        <w:t xml:space="preserve">oss mitigation </w:t>
      </w:r>
      <w:r w:rsidRPr="00A210BC">
        <w:rPr>
          <w:rFonts w:ascii="Times New Roman" w:hAnsi="Times New Roman" w:cs="Times New Roman"/>
          <w:sz w:val="24"/>
        </w:rPr>
        <w:t xml:space="preserve">activities and requirements for this </w:t>
      </w:r>
      <w:r>
        <w:rPr>
          <w:rFonts w:ascii="Times New Roman" w:hAnsi="Times New Roman" w:cs="Times New Roman"/>
          <w:sz w:val="24"/>
        </w:rPr>
        <w:t>Paperwork Reduction Act (</w:t>
      </w:r>
      <w:r w:rsidRPr="00A210BC">
        <w:rPr>
          <w:rFonts w:ascii="Times New Roman" w:hAnsi="Times New Roman" w:cs="Times New Roman"/>
          <w:sz w:val="24"/>
        </w:rPr>
        <w:t>PRA</w:t>
      </w:r>
      <w:r>
        <w:rPr>
          <w:rFonts w:ascii="Times New Roman" w:hAnsi="Times New Roman" w:cs="Times New Roman"/>
          <w:sz w:val="24"/>
        </w:rPr>
        <w:t>)</w:t>
      </w:r>
      <w:r w:rsidRPr="00A210BC">
        <w:rPr>
          <w:rFonts w:ascii="Times New Roman" w:hAnsi="Times New Roman" w:cs="Times New Roman"/>
          <w:sz w:val="24"/>
        </w:rPr>
        <w:t xml:space="preserve"> are set forth in Title 24 of the Code of Federal Regulations (CFR) in numerous locations of the CFR, specifically</w:t>
      </w:r>
      <w:r w:rsidR="00123363">
        <w:rPr>
          <w:rFonts w:ascii="Times New Roman" w:hAnsi="Times New Roman" w:cs="Times New Roman"/>
          <w:sz w:val="24"/>
        </w:rPr>
        <w:t>:</w:t>
      </w:r>
      <w:r w:rsidR="009D67F6">
        <w:rPr>
          <w:rFonts w:ascii="Times New Roman" w:hAnsi="Times New Roman" w:cs="Times New Roman"/>
          <w:sz w:val="24"/>
        </w:rPr>
        <w:t xml:space="preserve"> Loss Mitigation Program in</w:t>
      </w:r>
      <w:r w:rsidRPr="00A210BC">
        <w:rPr>
          <w:rFonts w:ascii="Times New Roman" w:hAnsi="Times New Roman" w:cs="Times New Roman"/>
          <w:sz w:val="24"/>
        </w:rPr>
        <w:t xml:space="preserve"> 24 CFR §</w:t>
      </w:r>
      <w:r w:rsidR="007E448D">
        <w:rPr>
          <w:rFonts w:ascii="Times New Roman" w:hAnsi="Times New Roman" w:cs="Times New Roman"/>
          <w:sz w:val="24"/>
        </w:rPr>
        <w:t xml:space="preserve"> </w:t>
      </w:r>
      <w:r w:rsidR="009D67F6">
        <w:rPr>
          <w:rFonts w:ascii="Times New Roman" w:hAnsi="Times New Roman" w:cs="Times New Roman"/>
          <w:sz w:val="24"/>
        </w:rPr>
        <w:t>203.5</w:t>
      </w:r>
      <w:r w:rsidR="003E0474">
        <w:rPr>
          <w:rFonts w:ascii="Times New Roman" w:hAnsi="Times New Roman" w:cs="Times New Roman"/>
          <w:sz w:val="24"/>
        </w:rPr>
        <w:t>01</w:t>
      </w:r>
      <w:r w:rsidR="009D67F6">
        <w:rPr>
          <w:rFonts w:ascii="Times New Roman" w:hAnsi="Times New Roman" w:cs="Times New Roman"/>
          <w:sz w:val="24"/>
        </w:rPr>
        <w:t>,</w:t>
      </w:r>
      <w:r w:rsidR="0068220B">
        <w:rPr>
          <w:rFonts w:ascii="Times New Roman" w:hAnsi="Times New Roman" w:cs="Times New Roman"/>
          <w:sz w:val="24"/>
        </w:rPr>
        <w:t xml:space="preserve"> </w:t>
      </w:r>
      <w:r w:rsidR="009D67F6">
        <w:rPr>
          <w:rFonts w:ascii="Times New Roman" w:hAnsi="Times New Roman" w:cs="Times New Roman"/>
          <w:sz w:val="24"/>
        </w:rPr>
        <w:t xml:space="preserve">Evaluation in </w:t>
      </w:r>
      <w:r w:rsidR="00B46882">
        <w:rPr>
          <w:rFonts w:ascii="Times New Roman" w:hAnsi="Times New Roman" w:cs="Times New Roman"/>
          <w:sz w:val="24"/>
        </w:rPr>
        <w:t>24 CFR</w:t>
      </w:r>
      <w:r w:rsidR="001B2378">
        <w:rPr>
          <w:rFonts w:ascii="Times New Roman" w:hAnsi="Times New Roman" w:cs="Times New Roman"/>
          <w:sz w:val="24"/>
        </w:rPr>
        <w:t xml:space="preserve"> </w:t>
      </w:r>
      <w:r w:rsidRPr="00A210BC">
        <w:rPr>
          <w:rFonts w:ascii="Times New Roman" w:hAnsi="Times New Roman" w:cs="Times New Roman"/>
          <w:sz w:val="24"/>
        </w:rPr>
        <w:t>§ 203.</w:t>
      </w:r>
      <w:r w:rsidR="0068220B">
        <w:rPr>
          <w:rFonts w:ascii="Times New Roman" w:hAnsi="Times New Roman" w:cs="Times New Roman"/>
          <w:sz w:val="24"/>
        </w:rPr>
        <w:t>60</w:t>
      </w:r>
      <w:r w:rsidRPr="00A210BC">
        <w:rPr>
          <w:rFonts w:ascii="Times New Roman" w:hAnsi="Times New Roman" w:cs="Times New Roman"/>
          <w:sz w:val="24"/>
        </w:rPr>
        <w:t xml:space="preserve">5, </w:t>
      </w:r>
      <w:r w:rsidR="0068220B">
        <w:rPr>
          <w:rFonts w:ascii="Times New Roman" w:hAnsi="Times New Roman" w:cs="Times New Roman"/>
          <w:sz w:val="24"/>
        </w:rPr>
        <w:t xml:space="preserve">Record Retention in </w:t>
      </w:r>
      <w:r w:rsidR="001B2378">
        <w:rPr>
          <w:rFonts w:ascii="Times New Roman" w:hAnsi="Times New Roman" w:cs="Times New Roman"/>
          <w:sz w:val="24"/>
        </w:rPr>
        <w:t xml:space="preserve">24 CFR </w:t>
      </w:r>
      <w:r w:rsidR="0068220B">
        <w:rPr>
          <w:rFonts w:ascii="Times New Roman" w:hAnsi="Times New Roman" w:cs="Times New Roman"/>
          <w:sz w:val="24"/>
        </w:rPr>
        <w:t>§</w:t>
      </w:r>
      <w:r w:rsidR="006B5874">
        <w:rPr>
          <w:rFonts w:ascii="Times New Roman" w:hAnsi="Times New Roman" w:cs="Times New Roman"/>
          <w:sz w:val="24"/>
        </w:rPr>
        <w:t>§</w:t>
      </w:r>
      <w:r w:rsidR="00D83DDC">
        <w:rPr>
          <w:rFonts w:ascii="Times New Roman" w:hAnsi="Times New Roman" w:cs="Times New Roman"/>
          <w:sz w:val="24"/>
        </w:rPr>
        <w:t xml:space="preserve"> </w:t>
      </w:r>
      <w:r>
        <w:rPr>
          <w:rFonts w:ascii="Times New Roman" w:hAnsi="Times New Roman" w:cs="Times New Roman"/>
          <w:sz w:val="24"/>
        </w:rPr>
        <w:t>203.3</w:t>
      </w:r>
      <w:r w:rsidR="0068220B">
        <w:rPr>
          <w:rFonts w:ascii="Times New Roman" w:hAnsi="Times New Roman" w:cs="Times New Roman"/>
          <w:sz w:val="24"/>
        </w:rPr>
        <w:t>65</w:t>
      </w:r>
      <w:r w:rsidR="006B5874">
        <w:rPr>
          <w:rFonts w:ascii="Times New Roman" w:hAnsi="Times New Roman" w:cs="Times New Roman"/>
          <w:sz w:val="24"/>
        </w:rPr>
        <w:t xml:space="preserve"> and 203.605</w:t>
      </w:r>
      <w:r>
        <w:rPr>
          <w:rFonts w:ascii="Times New Roman" w:hAnsi="Times New Roman" w:cs="Times New Roman"/>
          <w:sz w:val="24"/>
        </w:rPr>
        <w:t>,</w:t>
      </w:r>
      <w:r w:rsidR="00993EFE">
        <w:rPr>
          <w:rFonts w:ascii="Times New Roman" w:hAnsi="Times New Roman" w:cs="Times New Roman"/>
          <w:sz w:val="24"/>
        </w:rPr>
        <w:t xml:space="preserve"> </w:t>
      </w:r>
      <w:r w:rsidR="003B20AD">
        <w:rPr>
          <w:rFonts w:ascii="Times New Roman" w:hAnsi="Times New Roman" w:cs="Times New Roman"/>
          <w:sz w:val="24"/>
        </w:rPr>
        <w:t>Unemployment Special For</w:t>
      </w:r>
      <w:r w:rsidR="007A38A9">
        <w:rPr>
          <w:rFonts w:ascii="Times New Roman" w:hAnsi="Times New Roman" w:cs="Times New Roman"/>
          <w:sz w:val="24"/>
        </w:rPr>
        <w:t>bearance</w:t>
      </w:r>
      <w:r w:rsidR="001B2378">
        <w:rPr>
          <w:rFonts w:ascii="Times New Roman" w:hAnsi="Times New Roman" w:cs="Times New Roman"/>
          <w:sz w:val="24"/>
        </w:rPr>
        <w:t xml:space="preserve"> 24 CFR </w:t>
      </w:r>
      <w:r w:rsidR="00372F1C">
        <w:rPr>
          <w:rFonts w:ascii="Times New Roman" w:hAnsi="Times New Roman" w:cs="Times New Roman"/>
          <w:sz w:val="24"/>
        </w:rPr>
        <w:t>§§</w:t>
      </w:r>
      <w:r w:rsidR="000C3E71">
        <w:rPr>
          <w:rFonts w:ascii="Times New Roman" w:hAnsi="Times New Roman" w:cs="Times New Roman"/>
          <w:sz w:val="24"/>
        </w:rPr>
        <w:t xml:space="preserve"> </w:t>
      </w:r>
      <w:r w:rsidRPr="00A210BC">
        <w:rPr>
          <w:rFonts w:ascii="Times New Roman" w:hAnsi="Times New Roman" w:cs="Times New Roman"/>
          <w:sz w:val="24"/>
        </w:rPr>
        <w:t>203.</w:t>
      </w:r>
      <w:r w:rsidR="008F1EA0">
        <w:rPr>
          <w:rFonts w:ascii="Times New Roman" w:hAnsi="Times New Roman" w:cs="Times New Roman"/>
          <w:sz w:val="24"/>
        </w:rPr>
        <w:t>471</w:t>
      </w:r>
      <w:r w:rsidR="005911C6">
        <w:rPr>
          <w:rFonts w:ascii="Times New Roman" w:hAnsi="Times New Roman" w:cs="Times New Roman"/>
          <w:sz w:val="24"/>
        </w:rPr>
        <w:t xml:space="preserve"> and </w:t>
      </w:r>
      <w:r w:rsidRPr="00A210BC">
        <w:rPr>
          <w:rFonts w:ascii="Times New Roman" w:hAnsi="Times New Roman" w:cs="Times New Roman"/>
          <w:sz w:val="24"/>
        </w:rPr>
        <w:t xml:space="preserve"> 203.</w:t>
      </w:r>
      <w:r w:rsidR="005911C6">
        <w:rPr>
          <w:rFonts w:ascii="Times New Roman" w:hAnsi="Times New Roman" w:cs="Times New Roman"/>
          <w:sz w:val="24"/>
        </w:rPr>
        <w:t>614</w:t>
      </w:r>
      <w:r w:rsidR="00993EFE">
        <w:rPr>
          <w:rFonts w:ascii="Times New Roman" w:hAnsi="Times New Roman" w:cs="Times New Roman"/>
          <w:sz w:val="24"/>
        </w:rPr>
        <w:t>,</w:t>
      </w:r>
      <w:r w:rsidRPr="00A210BC">
        <w:rPr>
          <w:rFonts w:ascii="Times New Roman" w:hAnsi="Times New Roman" w:cs="Times New Roman"/>
          <w:sz w:val="24"/>
        </w:rPr>
        <w:t xml:space="preserve"> </w:t>
      </w:r>
      <w:r w:rsidR="00CE5C6D" w:rsidRPr="006E12AC">
        <w:rPr>
          <w:rFonts w:ascii="Times New Roman" w:hAnsi="Times New Roman" w:cs="Times New Roman"/>
          <w:sz w:val="24"/>
          <w:szCs w:val="24"/>
        </w:rPr>
        <w:t>Federal Housing Administration</w:t>
      </w:r>
      <w:r w:rsidR="00CE5C6D">
        <w:rPr>
          <w:rFonts w:ascii="Times New Roman" w:hAnsi="Times New Roman" w:cs="Times New Roman"/>
          <w:sz w:val="24"/>
          <w:szCs w:val="24"/>
        </w:rPr>
        <w:t xml:space="preserve"> </w:t>
      </w:r>
      <w:r w:rsidR="00CE5C6D" w:rsidRPr="006E12AC">
        <w:rPr>
          <w:rFonts w:ascii="Times New Roman" w:hAnsi="Times New Roman" w:cs="Times New Roman"/>
          <w:sz w:val="24"/>
          <w:szCs w:val="24"/>
        </w:rPr>
        <w:t>(FHA)</w:t>
      </w:r>
      <w:r w:rsidR="00CE5C6D">
        <w:rPr>
          <w:rFonts w:ascii="Times New Roman" w:hAnsi="Times New Roman" w:cs="Times New Roman"/>
          <w:sz w:val="24"/>
          <w:szCs w:val="24"/>
        </w:rPr>
        <w:t xml:space="preserve"> </w:t>
      </w:r>
      <w:r w:rsidR="001A68C7" w:rsidRPr="001A68C7">
        <w:rPr>
          <w:rFonts w:ascii="Times New Roman" w:hAnsi="Times New Roman" w:cs="Times New Roman"/>
          <w:sz w:val="24"/>
        </w:rPr>
        <w:t>-</w:t>
      </w:r>
      <w:r w:rsidR="00CE5C6D">
        <w:rPr>
          <w:rFonts w:ascii="Times New Roman" w:hAnsi="Times New Roman" w:cs="Times New Roman"/>
          <w:sz w:val="24"/>
        </w:rPr>
        <w:t xml:space="preserve"> </w:t>
      </w:r>
      <w:r w:rsidR="001A68C7" w:rsidRPr="001A68C7">
        <w:rPr>
          <w:rFonts w:ascii="Times New Roman" w:hAnsi="Times New Roman" w:cs="Times New Roman"/>
          <w:sz w:val="24"/>
        </w:rPr>
        <w:t>Home Affordable Modification Program</w:t>
      </w:r>
      <w:r w:rsidR="00075D89">
        <w:rPr>
          <w:rFonts w:ascii="Times New Roman" w:hAnsi="Times New Roman" w:cs="Times New Roman"/>
          <w:sz w:val="24"/>
        </w:rPr>
        <w:t xml:space="preserve"> Loan Modification and </w:t>
      </w:r>
      <w:r w:rsidR="00650C0E">
        <w:rPr>
          <w:rFonts w:ascii="Times New Roman" w:hAnsi="Times New Roman" w:cs="Times New Roman"/>
          <w:sz w:val="24"/>
        </w:rPr>
        <w:t xml:space="preserve">Partial Claim in </w:t>
      </w:r>
      <w:r w:rsidR="00E2116F">
        <w:rPr>
          <w:rFonts w:ascii="Times New Roman" w:hAnsi="Times New Roman" w:cs="Times New Roman"/>
          <w:sz w:val="24"/>
        </w:rPr>
        <w:t>24 CFR</w:t>
      </w:r>
      <w:r w:rsidR="008550BB">
        <w:rPr>
          <w:rFonts w:ascii="Times New Roman" w:hAnsi="Times New Roman" w:cs="Times New Roman"/>
          <w:sz w:val="24"/>
        </w:rPr>
        <w:t xml:space="preserve"> </w:t>
      </w:r>
      <w:r w:rsidR="00B41339">
        <w:rPr>
          <w:rFonts w:ascii="Times New Roman" w:hAnsi="Times New Roman" w:cs="Times New Roman"/>
          <w:sz w:val="24"/>
        </w:rPr>
        <w:t>§</w:t>
      </w:r>
      <w:r w:rsidR="00016C7B">
        <w:rPr>
          <w:rFonts w:ascii="Times New Roman" w:hAnsi="Times New Roman" w:cs="Times New Roman"/>
          <w:sz w:val="24"/>
        </w:rPr>
        <w:t xml:space="preserve">§ </w:t>
      </w:r>
      <w:r w:rsidRPr="00A210BC">
        <w:rPr>
          <w:rFonts w:ascii="Times New Roman" w:hAnsi="Times New Roman" w:cs="Times New Roman"/>
          <w:sz w:val="24"/>
        </w:rPr>
        <w:t>203.3</w:t>
      </w:r>
      <w:r w:rsidR="00016C7B">
        <w:rPr>
          <w:rFonts w:ascii="Times New Roman" w:hAnsi="Times New Roman" w:cs="Times New Roman"/>
          <w:sz w:val="24"/>
        </w:rPr>
        <w:t>42</w:t>
      </w:r>
      <w:r w:rsidRPr="00A210BC">
        <w:rPr>
          <w:rFonts w:ascii="Times New Roman" w:hAnsi="Times New Roman" w:cs="Times New Roman"/>
          <w:sz w:val="24"/>
        </w:rPr>
        <w:t>, 203.37</w:t>
      </w:r>
      <w:r w:rsidR="00993EFE">
        <w:rPr>
          <w:rFonts w:ascii="Times New Roman" w:hAnsi="Times New Roman" w:cs="Times New Roman"/>
          <w:sz w:val="24"/>
        </w:rPr>
        <w:t>1</w:t>
      </w:r>
      <w:r w:rsidRPr="00A210BC">
        <w:rPr>
          <w:rFonts w:ascii="Times New Roman" w:hAnsi="Times New Roman" w:cs="Times New Roman"/>
          <w:sz w:val="24"/>
        </w:rPr>
        <w:t>, 203.4</w:t>
      </w:r>
      <w:r w:rsidR="00993EFE">
        <w:rPr>
          <w:rFonts w:ascii="Times New Roman" w:hAnsi="Times New Roman" w:cs="Times New Roman"/>
          <w:sz w:val="24"/>
        </w:rPr>
        <w:t>14</w:t>
      </w:r>
      <w:r w:rsidR="00A24F56">
        <w:rPr>
          <w:rFonts w:ascii="Times New Roman" w:hAnsi="Times New Roman" w:cs="Times New Roman"/>
          <w:sz w:val="24"/>
        </w:rPr>
        <w:t xml:space="preserve"> and</w:t>
      </w:r>
      <w:r w:rsidRPr="00A210BC">
        <w:rPr>
          <w:rFonts w:ascii="Times New Roman" w:hAnsi="Times New Roman" w:cs="Times New Roman"/>
          <w:sz w:val="24"/>
        </w:rPr>
        <w:t xml:space="preserve"> 203.</w:t>
      </w:r>
      <w:r w:rsidR="00A24F56">
        <w:rPr>
          <w:rFonts w:ascii="Times New Roman" w:hAnsi="Times New Roman" w:cs="Times New Roman"/>
          <w:sz w:val="24"/>
        </w:rPr>
        <w:t>616</w:t>
      </w:r>
      <w:r w:rsidRPr="00A210BC">
        <w:rPr>
          <w:rFonts w:ascii="Times New Roman" w:hAnsi="Times New Roman" w:cs="Times New Roman"/>
          <w:sz w:val="24"/>
        </w:rPr>
        <w:t xml:space="preserve">, </w:t>
      </w:r>
      <w:r w:rsidR="00CC5AC9">
        <w:rPr>
          <w:rFonts w:ascii="Times New Roman" w:hAnsi="Times New Roman" w:cs="Times New Roman"/>
          <w:sz w:val="24"/>
        </w:rPr>
        <w:t xml:space="preserve">Pre-Foreclosure Sale in </w:t>
      </w:r>
      <w:r w:rsidR="008550BB">
        <w:rPr>
          <w:rFonts w:ascii="Times New Roman" w:hAnsi="Times New Roman" w:cs="Times New Roman"/>
          <w:sz w:val="24"/>
        </w:rPr>
        <w:t>24 CFR §§</w:t>
      </w:r>
      <w:r w:rsidR="009A25E4">
        <w:rPr>
          <w:rFonts w:ascii="Times New Roman" w:hAnsi="Times New Roman" w:cs="Times New Roman"/>
          <w:sz w:val="24"/>
        </w:rPr>
        <w:t xml:space="preserve"> </w:t>
      </w:r>
      <w:r w:rsidRPr="00A210BC">
        <w:rPr>
          <w:rFonts w:ascii="Times New Roman" w:hAnsi="Times New Roman" w:cs="Times New Roman"/>
          <w:sz w:val="24"/>
        </w:rPr>
        <w:t>203.</w:t>
      </w:r>
      <w:r w:rsidR="00EE28DF">
        <w:rPr>
          <w:rFonts w:ascii="Times New Roman" w:hAnsi="Times New Roman" w:cs="Times New Roman"/>
          <w:sz w:val="24"/>
        </w:rPr>
        <w:t>3</w:t>
      </w:r>
      <w:r w:rsidRPr="00A210BC">
        <w:rPr>
          <w:rFonts w:ascii="Times New Roman" w:hAnsi="Times New Roman" w:cs="Times New Roman"/>
          <w:sz w:val="24"/>
        </w:rPr>
        <w:t>5</w:t>
      </w:r>
      <w:r w:rsidR="008D099F">
        <w:rPr>
          <w:rFonts w:ascii="Times New Roman" w:hAnsi="Times New Roman" w:cs="Times New Roman"/>
          <w:sz w:val="24"/>
        </w:rPr>
        <w:t>6</w:t>
      </w:r>
      <w:r w:rsidRPr="00A210BC">
        <w:rPr>
          <w:rFonts w:ascii="Times New Roman" w:hAnsi="Times New Roman" w:cs="Times New Roman"/>
          <w:sz w:val="24"/>
        </w:rPr>
        <w:t>, 203.</w:t>
      </w:r>
      <w:r w:rsidR="008D099F">
        <w:rPr>
          <w:rFonts w:ascii="Times New Roman" w:hAnsi="Times New Roman" w:cs="Times New Roman"/>
          <w:sz w:val="24"/>
        </w:rPr>
        <w:t>370</w:t>
      </w:r>
      <w:r w:rsidR="00E5326E">
        <w:rPr>
          <w:rFonts w:ascii="Times New Roman" w:hAnsi="Times New Roman" w:cs="Times New Roman"/>
          <w:sz w:val="24"/>
        </w:rPr>
        <w:t xml:space="preserve">, </w:t>
      </w:r>
      <w:r w:rsidR="008D099F">
        <w:rPr>
          <w:rFonts w:ascii="Times New Roman" w:hAnsi="Times New Roman" w:cs="Times New Roman"/>
          <w:sz w:val="24"/>
        </w:rPr>
        <w:t>203.401</w:t>
      </w:r>
      <w:r>
        <w:rPr>
          <w:rFonts w:ascii="Times New Roman" w:hAnsi="Times New Roman" w:cs="Times New Roman"/>
          <w:sz w:val="24"/>
        </w:rPr>
        <w:t>,</w:t>
      </w:r>
      <w:r w:rsidR="00E5326E">
        <w:rPr>
          <w:rFonts w:ascii="Times New Roman" w:hAnsi="Times New Roman" w:cs="Times New Roman"/>
          <w:sz w:val="24"/>
        </w:rPr>
        <w:t xml:space="preserve"> 203.402 and 203.43, D</w:t>
      </w:r>
      <w:r w:rsidR="008778CD">
        <w:rPr>
          <w:rFonts w:ascii="Times New Roman" w:hAnsi="Times New Roman" w:cs="Times New Roman"/>
          <w:sz w:val="24"/>
        </w:rPr>
        <w:t>eed-in Lieu of Foreclosure in 24 CFR</w:t>
      </w:r>
      <w:r w:rsidR="009A25E4">
        <w:rPr>
          <w:rFonts w:ascii="Times New Roman" w:hAnsi="Times New Roman" w:cs="Times New Roman"/>
          <w:sz w:val="24"/>
        </w:rPr>
        <w:t xml:space="preserve"> </w:t>
      </w:r>
      <w:r w:rsidR="00873BDC">
        <w:rPr>
          <w:rFonts w:ascii="Times New Roman" w:hAnsi="Times New Roman" w:cs="Times New Roman"/>
          <w:sz w:val="24"/>
        </w:rPr>
        <w:t>§</w:t>
      </w:r>
      <w:r w:rsidR="00E5326E">
        <w:rPr>
          <w:rFonts w:ascii="Times New Roman" w:hAnsi="Times New Roman" w:cs="Times New Roman"/>
          <w:sz w:val="24"/>
        </w:rPr>
        <w:t xml:space="preserve">§ </w:t>
      </w:r>
      <w:r>
        <w:rPr>
          <w:rFonts w:ascii="Times New Roman" w:hAnsi="Times New Roman" w:cs="Times New Roman"/>
          <w:sz w:val="24"/>
        </w:rPr>
        <w:t>203.</w:t>
      </w:r>
      <w:r w:rsidR="005256CC">
        <w:rPr>
          <w:rFonts w:ascii="Times New Roman" w:hAnsi="Times New Roman" w:cs="Times New Roman"/>
          <w:sz w:val="24"/>
        </w:rPr>
        <w:t>357</w:t>
      </w:r>
      <w:r w:rsidR="00E5326E">
        <w:rPr>
          <w:rFonts w:ascii="Times New Roman" w:hAnsi="Times New Roman" w:cs="Times New Roman"/>
          <w:sz w:val="24"/>
        </w:rPr>
        <w:t>, 203.401, 203.402 and 203.4</w:t>
      </w:r>
      <w:r w:rsidR="008D3432">
        <w:rPr>
          <w:rFonts w:ascii="Times New Roman" w:hAnsi="Times New Roman" w:cs="Times New Roman"/>
          <w:sz w:val="24"/>
        </w:rPr>
        <w:t>0</w:t>
      </w:r>
      <w:r w:rsidR="00E5326E">
        <w:rPr>
          <w:rFonts w:ascii="Times New Roman" w:hAnsi="Times New Roman" w:cs="Times New Roman"/>
          <w:sz w:val="24"/>
        </w:rPr>
        <w:t>3</w:t>
      </w:r>
      <w:r>
        <w:rPr>
          <w:rFonts w:ascii="Times New Roman" w:hAnsi="Times New Roman" w:cs="Times New Roman"/>
          <w:sz w:val="24"/>
        </w:rPr>
        <w:t xml:space="preserve"> and</w:t>
      </w:r>
      <w:r w:rsidRPr="00A210BC">
        <w:rPr>
          <w:rFonts w:ascii="Times New Roman" w:hAnsi="Times New Roman" w:cs="Times New Roman"/>
          <w:sz w:val="24"/>
        </w:rPr>
        <w:t xml:space="preserve"> </w:t>
      </w:r>
      <w:r w:rsidR="005256CC">
        <w:rPr>
          <w:rFonts w:ascii="Times New Roman" w:hAnsi="Times New Roman" w:cs="Times New Roman"/>
          <w:sz w:val="24"/>
        </w:rPr>
        <w:t xml:space="preserve">Tier Ranking in 24 CFR </w:t>
      </w:r>
      <w:r w:rsidR="00873BDC">
        <w:rPr>
          <w:rFonts w:ascii="Times New Roman" w:hAnsi="Times New Roman" w:cs="Times New Roman"/>
          <w:sz w:val="24"/>
        </w:rPr>
        <w:t>§</w:t>
      </w:r>
      <w:r w:rsidR="00C81590">
        <w:rPr>
          <w:rFonts w:ascii="Times New Roman" w:hAnsi="Times New Roman" w:cs="Times New Roman"/>
          <w:sz w:val="24"/>
        </w:rPr>
        <w:t xml:space="preserve"> </w:t>
      </w:r>
      <w:r w:rsidRPr="00A210BC">
        <w:rPr>
          <w:rFonts w:ascii="Times New Roman" w:hAnsi="Times New Roman" w:cs="Times New Roman"/>
          <w:sz w:val="24"/>
        </w:rPr>
        <w:t>203.6</w:t>
      </w:r>
      <w:r w:rsidR="00C81590">
        <w:rPr>
          <w:rFonts w:ascii="Times New Roman" w:hAnsi="Times New Roman" w:cs="Times New Roman"/>
          <w:sz w:val="24"/>
        </w:rPr>
        <w:t>05</w:t>
      </w:r>
      <w:r w:rsidRPr="00A210BC">
        <w:rPr>
          <w:rFonts w:ascii="Times New Roman" w:hAnsi="Times New Roman" w:cs="Times New Roman"/>
          <w:sz w:val="24"/>
        </w:rPr>
        <w:t xml:space="preserve">.  </w:t>
      </w:r>
    </w:p>
    <w:p w14:paraId="30C71D7E" w14:textId="1A4B00B7" w:rsidR="00ED1918" w:rsidRPr="006E12AC" w:rsidRDefault="00404227" w:rsidP="000F59E3">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The program guidance is described in FHA</w:t>
      </w:r>
      <w:r w:rsidR="00CE5C6D">
        <w:rPr>
          <w:rFonts w:ascii="Times New Roman" w:hAnsi="Times New Roman" w:cs="Times New Roman"/>
          <w:sz w:val="24"/>
          <w:szCs w:val="24"/>
        </w:rPr>
        <w:t>’s</w:t>
      </w:r>
      <w:r w:rsidRPr="006E12AC">
        <w:rPr>
          <w:rFonts w:ascii="Times New Roman" w:hAnsi="Times New Roman" w:cs="Times New Roman"/>
          <w:sz w:val="24"/>
          <w:szCs w:val="24"/>
        </w:rPr>
        <w:t xml:space="preserve"> Single Family Housing Policy Handbook 4000.1 (Handbook 4000.1), Section I</w:t>
      </w:r>
      <w:r w:rsidR="00EF45F2">
        <w:rPr>
          <w:rFonts w:ascii="Times New Roman" w:hAnsi="Times New Roman" w:cs="Times New Roman"/>
          <w:sz w:val="24"/>
          <w:szCs w:val="24"/>
        </w:rPr>
        <w:t>II</w:t>
      </w:r>
      <w:r w:rsidRPr="006E12AC">
        <w:rPr>
          <w:rFonts w:ascii="Times New Roman" w:hAnsi="Times New Roman" w:cs="Times New Roman"/>
          <w:sz w:val="24"/>
          <w:szCs w:val="24"/>
        </w:rPr>
        <w:t>.</w:t>
      </w:r>
      <w:r w:rsidR="00EF45F2">
        <w:rPr>
          <w:rFonts w:ascii="Times New Roman" w:hAnsi="Times New Roman" w:cs="Times New Roman"/>
          <w:sz w:val="24"/>
          <w:szCs w:val="24"/>
        </w:rPr>
        <w:t>A</w:t>
      </w:r>
      <w:r w:rsidRPr="006E12AC">
        <w:rPr>
          <w:rFonts w:ascii="Times New Roman" w:hAnsi="Times New Roman" w:cs="Times New Roman"/>
          <w:sz w:val="24"/>
          <w:szCs w:val="24"/>
        </w:rPr>
        <w:t xml:space="preserve">.2. </w:t>
      </w:r>
    </w:p>
    <w:p w14:paraId="61C327EA" w14:textId="77777777" w:rsidR="00ED1918" w:rsidRPr="006E12AC" w:rsidRDefault="00ED1918" w:rsidP="00ED1918">
      <w:pPr>
        <w:pStyle w:val="ListParagraph"/>
        <w:ind w:left="360"/>
        <w:rPr>
          <w:rFonts w:ascii="Times New Roman" w:hAnsi="Times New Roman" w:cs="Times New Roman"/>
          <w:sz w:val="24"/>
          <w:szCs w:val="24"/>
        </w:rPr>
      </w:pPr>
    </w:p>
    <w:p w14:paraId="240DEB89" w14:textId="29310AEF" w:rsidR="00EF45F2" w:rsidRPr="00891527" w:rsidRDefault="000F59E3" w:rsidP="0089152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Indicate how, by whom, and for what purpose the information is to be used. Except for a new collection, indicate the actual use the agency has made of the information received from the current collection. </w:t>
      </w:r>
    </w:p>
    <w:p w14:paraId="5DCBFF72" w14:textId="77777777" w:rsidR="008C41D7" w:rsidRDefault="008C41D7" w:rsidP="008C41D7">
      <w:pPr>
        <w:pStyle w:val="ListParagraph"/>
        <w:ind w:left="360"/>
        <w:rPr>
          <w:rFonts w:ascii="Times New Roman" w:hAnsi="Times New Roman" w:cs="Times New Roman"/>
          <w:sz w:val="24"/>
          <w:szCs w:val="24"/>
          <w:highlight w:val="yellow"/>
        </w:rPr>
      </w:pPr>
    </w:p>
    <w:p w14:paraId="38CB6B90" w14:textId="677020FF" w:rsidR="00F97FE8" w:rsidRPr="008C41D7" w:rsidRDefault="00F97FE8" w:rsidP="00F97FE8">
      <w:pPr>
        <w:pStyle w:val="ListParagraph"/>
        <w:ind w:left="360"/>
        <w:rPr>
          <w:rFonts w:ascii="Times New Roman" w:hAnsi="Times New Roman" w:cs="Times New Roman"/>
          <w:sz w:val="24"/>
          <w:szCs w:val="24"/>
        </w:rPr>
      </w:pPr>
      <w:r w:rsidRPr="000855B2">
        <w:rPr>
          <w:rFonts w:ascii="Times New Roman" w:hAnsi="Times New Roman" w:cs="Times New Roman"/>
          <w:sz w:val="24"/>
          <w:szCs w:val="24"/>
        </w:rPr>
        <w:t xml:space="preserve">This is an extension of a currently approved collection. The information collection and the estimates of the burden hours, responses and respondents decreased slightly. The forms in this collection of information </w:t>
      </w:r>
      <w:r w:rsidR="00CE5C6D">
        <w:rPr>
          <w:rFonts w:ascii="Times New Roman" w:hAnsi="Times New Roman" w:cs="Times New Roman"/>
          <w:sz w:val="24"/>
          <w:szCs w:val="24"/>
        </w:rPr>
        <w:t xml:space="preserve">do not have </w:t>
      </w:r>
      <w:r w:rsidR="00E663AC">
        <w:rPr>
          <w:rFonts w:ascii="Times New Roman" w:hAnsi="Times New Roman" w:cs="Times New Roman"/>
          <w:sz w:val="24"/>
          <w:szCs w:val="24"/>
        </w:rPr>
        <w:t xml:space="preserve">substantive </w:t>
      </w:r>
      <w:r w:rsidRPr="000855B2">
        <w:rPr>
          <w:rFonts w:ascii="Times New Roman" w:hAnsi="Times New Roman" w:cs="Times New Roman"/>
          <w:sz w:val="24"/>
          <w:szCs w:val="24"/>
        </w:rPr>
        <w:t>change</w:t>
      </w:r>
      <w:r w:rsidR="00CE5C6D">
        <w:rPr>
          <w:rFonts w:ascii="Times New Roman" w:hAnsi="Times New Roman" w:cs="Times New Roman"/>
          <w:sz w:val="24"/>
          <w:szCs w:val="24"/>
        </w:rPr>
        <w:t xml:space="preserve">s to the language contained in </w:t>
      </w:r>
      <w:r w:rsidR="00E5326E">
        <w:rPr>
          <w:rFonts w:ascii="Times New Roman" w:hAnsi="Times New Roman" w:cs="Times New Roman"/>
          <w:sz w:val="24"/>
          <w:szCs w:val="24"/>
        </w:rPr>
        <w:t xml:space="preserve">the </w:t>
      </w:r>
      <w:r w:rsidR="00CE5C6D">
        <w:rPr>
          <w:rFonts w:ascii="Times New Roman" w:hAnsi="Times New Roman" w:cs="Times New Roman"/>
          <w:sz w:val="24"/>
          <w:szCs w:val="24"/>
        </w:rPr>
        <w:t>forms</w:t>
      </w:r>
      <w:r w:rsidR="000B5025">
        <w:rPr>
          <w:rFonts w:ascii="Times New Roman" w:hAnsi="Times New Roman" w:cs="Times New Roman"/>
          <w:sz w:val="24"/>
          <w:szCs w:val="24"/>
        </w:rPr>
        <w:t>; however non-substantive edits are made to the forms to reflect all elements of the PRA burden statement</w:t>
      </w:r>
      <w:r w:rsidR="00CE5C6D">
        <w:rPr>
          <w:rFonts w:ascii="Times New Roman" w:hAnsi="Times New Roman" w:cs="Times New Roman"/>
          <w:sz w:val="24"/>
          <w:szCs w:val="24"/>
        </w:rPr>
        <w:t>.</w:t>
      </w:r>
      <w:r w:rsidRPr="008C41D7">
        <w:rPr>
          <w:rFonts w:ascii="Times New Roman" w:hAnsi="Times New Roman" w:cs="Times New Roman"/>
          <w:sz w:val="24"/>
          <w:szCs w:val="24"/>
        </w:rPr>
        <w:t xml:space="preserve">  </w:t>
      </w:r>
      <w:bookmarkStart w:id="1" w:name="_Hlk6477896"/>
      <w:r w:rsidR="000B5025">
        <w:rPr>
          <w:rFonts w:ascii="Times New Roman" w:hAnsi="Times New Roman" w:cs="Times New Roman"/>
          <w:sz w:val="24"/>
          <w:szCs w:val="24"/>
        </w:rPr>
        <w:t>F</w:t>
      </w:r>
      <w:r w:rsidR="00844E33">
        <w:rPr>
          <w:rFonts w:ascii="Times New Roman" w:hAnsi="Times New Roman" w:cs="Times New Roman"/>
          <w:sz w:val="24"/>
          <w:szCs w:val="24"/>
        </w:rPr>
        <w:t>o</w:t>
      </w:r>
      <w:r w:rsidR="008359D8">
        <w:rPr>
          <w:rFonts w:ascii="Times New Roman" w:hAnsi="Times New Roman" w:cs="Times New Roman"/>
          <w:sz w:val="24"/>
          <w:szCs w:val="24"/>
        </w:rPr>
        <w:t xml:space="preserve">rm HUD-27011, </w:t>
      </w:r>
      <w:r w:rsidR="00802D85" w:rsidRPr="000B5025">
        <w:rPr>
          <w:rFonts w:ascii="Times New Roman" w:hAnsi="Times New Roman" w:cs="Times New Roman"/>
          <w:i/>
          <w:sz w:val="24"/>
          <w:szCs w:val="24"/>
        </w:rPr>
        <w:t xml:space="preserve">Single Family Application for Insurance </w:t>
      </w:r>
      <w:r w:rsidR="00802D85" w:rsidRPr="000B5025">
        <w:rPr>
          <w:rFonts w:ascii="Times New Roman" w:hAnsi="Times New Roman" w:cs="Times New Roman"/>
          <w:i/>
          <w:sz w:val="24"/>
          <w:szCs w:val="24"/>
        </w:rPr>
        <w:lastRenderedPageBreak/>
        <w:t>Benefits</w:t>
      </w:r>
      <w:r w:rsidR="002A4E67">
        <w:rPr>
          <w:rFonts w:ascii="Times New Roman" w:hAnsi="Times New Roman" w:cs="Times New Roman"/>
          <w:sz w:val="24"/>
          <w:szCs w:val="24"/>
        </w:rPr>
        <w:t xml:space="preserve">, </w:t>
      </w:r>
      <w:r w:rsidR="00E25639">
        <w:rPr>
          <w:rFonts w:ascii="Times New Roman" w:hAnsi="Times New Roman" w:cs="Times New Roman"/>
          <w:sz w:val="24"/>
          <w:szCs w:val="24"/>
        </w:rPr>
        <w:t xml:space="preserve">also </w:t>
      </w:r>
      <w:r w:rsidR="002A4E67">
        <w:rPr>
          <w:rFonts w:ascii="Times New Roman" w:hAnsi="Times New Roman" w:cs="Times New Roman"/>
          <w:sz w:val="24"/>
          <w:szCs w:val="24"/>
        </w:rPr>
        <w:t xml:space="preserve">has non-substantive </w:t>
      </w:r>
      <w:r w:rsidR="00B91DF5">
        <w:rPr>
          <w:rFonts w:ascii="Times New Roman" w:hAnsi="Times New Roman" w:cs="Times New Roman"/>
          <w:sz w:val="24"/>
          <w:szCs w:val="24"/>
        </w:rPr>
        <w:t>e</w:t>
      </w:r>
      <w:r w:rsidR="000B5025">
        <w:rPr>
          <w:rFonts w:ascii="Times New Roman" w:hAnsi="Times New Roman" w:cs="Times New Roman"/>
          <w:sz w:val="24"/>
          <w:szCs w:val="24"/>
        </w:rPr>
        <w:t>dit</w:t>
      </w:r>
      <w:r w:rsidR="00B91DF5">
        <w:rPr>
          <w:rFonts w:ascii="Times New Roman" w:hAnsi="Times New Roman" w:cs="Times New Roman"/>
          <w:sz w:val="24"/>
          <w:szCs w:val="24"/>
        </w:rPr>
        <w:t xml:space="preserve">s to the certification and </w:t>
      </w:r>
      <w:r w:rsidR="00DE50E3">
        <w:rPr>
          <w:rFonts w:ascii="Times New Roman" w:hAnsi="Times New Roman" w:cs="Times New Roman"/>
          <w:sz w:val="24"/>
          <w:szCs w:val="24"/>
        </w:rPr>
        <w:t xml:space="preserve">false claims </w:t>
      </w:r>
      <w:r w:rsidR="00B91DF5">
        <w:rPr>
          <w:rFonts w:ascii="Times New Roman" w:hAnsi="Times New Roman" w:cs="Times New Roman"/>
          <w:sz w:val="24"/>
          <w:szCs w:val="24"/>
        </w:rPr>
        <w:t>warning statement</w:t>
      </w:r>
      <w:r w:rsidR="00DE50E3">
        <w:rPr>
          <w:rFonts w:ascii="Times New Roman" w:hAnsi="Times New Roman" w:cs="Times New Roman"/>
          <w:sz w:val="24"/>
          <w:szCs w:val="24"/>
        </w:rPr>
        <w:t>.</w:t>
      </w:r>
    </w:p>
    <w:bookmarkEnd w:id="1"/>
    <w:p w14:paraId="4E3B686E" w14:textId="5600A2EA" w:rsidR="00CE5C6D" w:rsidRPr="00CE5C6D" w:rsidRDefault="00CE5C6D" w:rsidP="00891527">
      <w:pPr>
        <w:pStyle w:val="Heading2"/>
        <w:spacing w:after="200"/>
        <w:ind w:left="360" w:right="0"/>
        <w:rPr>
          <w:rFonts w:ascii="Times New Roman" w:hAnsi="Times New Roman"/>
          <w:color w:val="auto"/>
          <w:sz w:val="24"/>
          <w:u w:val="single"/>
        </w:rPr>
      </w:pPr>
      <w:r w:rsidRPr="00CE5C6D">
        <w:rPr>
          <w:rFonts w:ascii="Times New Roman" w:hAnsi="Times New Roman"/>
          <w:color w:val="auto"/>
          <w:sz w:val="24"/>
          <w:u w:val="single"/>
        </w:rPr>
        <w:t>FHA Non-Performing Loan Management Overview</w:t>
      </w:r>
    </w:p>
    <w:p w14:paraId="060E710C" w14:textId="03EBF570" w:rsidR="00EF45F2" w:rsidRPr="00891527" w:rsidRDefault="00EF45F2" w:rsidP="00891527">
      <w:pPr>
        <w:pStyle w:val="Heading2"/>
        <w:spacing w:after="200"/>
        <w:ind w:left="360" w:right="0"/>
        <w:rPr>
          <w:rFonts w:ascii="Times New Roman" w:hAnsi="Times New Roman"/>
          <w:b w:val="0"/>
          <w:color w:val="auto"/>
          <w:sz w:val="24"/>
        </w:rPr>
      </w:pPr>
      <w:r w:rsidRPr="005B2078">
        <w:rPr>
          <w:rFonts w:ascii="Times New Roman" w:hAnsi="Times New Roman"/>
          <w:b w:val="0"/>
          <w:color w:val="auto"/>
          <w:sz w:val="24"/>
        </w:rPr>
        <w:t xml:space="preserve">The purpose of all collection efforts for non-performing mortgage loans is to </w:t>
      </w:r>
      <w:r w:rsidR="00D76374">
        <w:rPr>
          <w:rFonts w:ascii="Times New Roman" w:hAnsi="Times New Roman"/>
          <w:b w:val="0"/>
          <w:color w:val="auto"/>
          <w:sz w:val="24"/>
        </w:rPr>
        <w:t xml:space="preserve">help </w:t>
      </w:r>
      <w:r w:rsidRPr="005B2078">
        <w:rPr>
          <w:rFonts w:ascii="Times New Roman" w:hAnsi="Times New Roman"/>
          <w:b w:val="0"/>
          <w:color w:val="auto"/>
          <w:sz w:val="24"/>
        </w:rPr>
        <w:t xml:space="preserve">bring a delinquent mortgage loan current in as short a time as possible, to </w:t>
      </w:r>
      <w:r w:rsidR="006361E1">
        <w:rPr>
          <w:rFonts w:ascii="Times New Roman" w:hAnsi="Times New Roman"/>
          <w:b w:val="0"/>
          <w:color w:val="auto"/>
          <w:sz w:val="24"/>
        </w:rPr>
        <w:t>identify an alternative to</w:t>
      </w:r>
      <w:r w:rsidRPr="005B2078">
        <w:rPr>
          <w:rFonts w:ascii="Times New Roman" w:hAnsi="Times New Roman"/>
          <w:b w:val="0"/>
          <w:color w:val="auto"/>
          <w:sz w:val="24"/>
        </w:rPr>
        <w:t xml:space="preserve"> foreclosure to the extent possible, and to minimize losses.  Mortgagees will determine the most effective forms of contact with specific </w:t>
      </w:r>
      <w:r w:rsidR="00FD64FA">
        <w:rPr>
          <w:rFonts w:ascii="Times New Roman" w:hAnsi="Times New Roman"/>
          <w:b w:val="0"/>
          <w:color w:val="auto"/>
          <w:sz w:val="24"/>
        </w:rPr>
        <w:t>mortgagor</w:t>
      </w:r>
      <w:r w:rsidRPr="005B2078">
        <w:rPr>
          <w:rFonts w:ascii="Times New Roman" w:hAnsi="Times New Roman"/>
          <w:b w:val="0"/>
          <w:color w:val="auto"/>
          <w:sz w:val="24"/>
        </w:rPr>
        <w:t xml:space="preserve">s during the various stages of delinquency and default.  </w:t>
      </w:r>
      <w:r w:rsidR="00606FE7" w:rsidRPr="005B2078">
        <w:rPr>
          <w:rFonts w:ascii="Times New Roman" w:hAnsi="Times New Roman"/>
          <w:b w:val="0"/>
          <w:color w:val="auto"/>
          <w:sz w:val="24"/>
        </w:rPr>
        <w:t xml:space="preserve">A </w:t>
      </w:r>
      <w:r w:rsidR="00606FE7">
        <w:rPr>
          <w:rFonts w:ascii="Times New Roman" w:hAnsi="Times New Roman"/>
          <w:b w:val="0"/>
          <w:color w:val="auto"/>
          <w:sz w:val="24"/>
        </w:rPr>
        <w:t>successful</w:t>
      </w:r>
      <w:r w:rsidRPr="005B2078">
        <w:rPr>
          <w:rFonts w:ascii="Times New Roman" w:hAnsi="Times New Roman"/>
          <w:b w:val="0"/>
          <w:color w:val="auto"/>
          <w:sz w:val="24"/>
        </w:rPr>
        <w:t xml:space="preserve"> servicing strategy treats each delinquent </w:t>
      </w:r>
      <w:r w:rsidR="00FD64FA">
        <w:rPr>
          <w:rFonts w:ascii="Times New Roman" w:hAnsi="Times New Roman"/>
          <w:b w:val="0"/>
          <w:color w:val="auto"/>
          <w:sz w:val="24"/>
        </w:rPr>
        <w:t>mortgagor</w:t>
      </w:r>
      <w:r w:rsidRPr="005B2078">
        <w:rPr>
          <w:rFonts w:ascii="Times New Roman" w:hAnsi="Times New Roman"/>
          <w:b w:val="0"/>
          <w:color w:val="auto"/>
          <w:sz w:val="24"/>
        </w:rPr>
        <w:t xml:space="preserve"> individually; and, based on the</w:t>
      </w:r>
      <w:r w:rsidR="00D371B4">
        <w:rPr>
          <w:rFonts w:ascii="Times New Roman" w:hAnsi="Times New Roman"/>
          <w:b w:val="0"/>
          <w:color w:val="auto"/>
          <w:sz w:val="24"/>
        </w:rPr>
        <w:t xml:space="preserve"> </w:t>
      </w:r>
      <w:r w:rsidRPr="005B2078">
        <w:rPr>
          <w:rFonts w:ascii="Times New Roman" w:hAnsi="Times New Roman"/>
          <w:b w:val="0"/>
          <w:color w:val="auto"/>
          <w:sz w:val="24"/>
        </w:rPr>
        <w:t xml:space="preserve">circumstances involved, tailors a foreclosure </w:t>
      </w:r>
      <w:r w:rsidR="006361E1">
        <w:rPr>
          <w:rFonts w:ascii="Times New Roman" w:hAnsi="Times New Roman"/>
          <w:b w:val="0"/>
          <w:color w:val="auto"/>
          <w:sz w:val="24"/>
        </w:rPr>
        <w:t>alternative</w:t>
      </w:r>
      <w:r w:rsidRPr="005B2078">
        <w:rPr>
          <w:rFonts w:ascii="Times New Roman" w:hAnsi="Times New Roman"/>
          <w:b w:val="0"/>
          <w:color w:val="auto"/>
          <w:sz w:val="24"/>
        </w:rPr>
        <w:t xml:space="preserve"> workout plan that will be successful in curing the delinquency and preventing a foreclosure.</w:t>
      </w:r>
    </w:p>
    <w:p w14:paraId="7313941A" w14:textId="368F43D4" w:rsidR="00EF45F2" w:rsidRPr="005B2078" w:rsidRDefault="00EF45F2" w:rsidP="00891527">
      <w:pPr>
        <w:pStyle w:val="HTMLPreformatted"/>
        <w:tabs>
          <w:tab w:val="clear" w:pos="916"/>
          <w:tab w:val="left" w:pos="720"/>
        </w:tabs>
        <w:spacing w:after="200"/>
        <w:ind w:left="360"/>
        <w:rPr>
          <w:rFonts w:ascii="Times New Roman" w:hAnsi="Times New Roman" w:cs="Times New Roman"/>
          <w:bCs/>
          <w:sz w:val="24"/>
        </w:rPr>
      </w:pPr>
      <w:r w:rsidRPr="005B2078">
        <w:rPr>
          <w:rFonts w:ascii="Times New Roman" w:hAnsi="Times New Roman" w:cs="Times New Roman"/>
          <w:bCs/>
          <w:sz w:val="24"/>
        </w:rPr>
        <w:t>Early stage defaults are loans that are less than three monthly payments in arrears and will be covered as Delinquency, Default and Foreclosure in a forthcoming information collection request.  FHA considers a loan that is due for three or more payments to be seriously delinquent.  The great majority of FHA</w:t>
      </w:r>
      <w:r w:rsidR="00FD64FA">
        <w:rPr>
          <w:rFonts w:ascii="Times New Roman" w:hAnsi="Times New Roman" w:cs="Times New Roman"/>
          <w:bCs/>
          <w:sz w:val="24"/>
        </w:rPr>
        <w:t>-</w:t>
      </w:r>
      <w:r w:rsidRPr="005B2078">
        <w:rPr>
          <w:rFonts w:ascii="Times New Roman" w:hAnsi="Times New Roman" w:cs="Times New Roman"/>
          <w:bCs/>
          <w:sz w:val="24"/>
        </w:rPr>
        <w:t>insured loan delinquencies are resolved during the early default stage either through a self</w:t>
      </w:r>
      <w:r w:rsidR="00FD64FA">
        <w:rPr>
          <w:rFonts w:ascii="Times New Roman" w:hAnsi="Times New Roman" w:cs="Times New Roman"/>
          <w:bCs/>
          <w:sz w:val="24"/>
        </w:rPr>
        <w:t>-</w:t>
      </w:r>
      <w:r w:rsidRPr="005B2078">
        <w:rPr>
          <w:rFonts w:ascii="Times New Roman" w:hAnsi="Times New Roman" w:cs="Times New Roman"/>
          <w:bCs/>
          <w:sz w:val="24"/>
        </w:rPr>
        <w:t xml:space="preserve">cure by the </w:t>
      </w:r>
      <w:r w:rsidR="00FD64FA">
        <w:rPr>
          <w:rFonts w:ascii="Times New Roman" w:hAnsi="Times New Roman" w:cs="Times New Roman"/>
          <w:bCs/>
          <w:sz w:val="24"/>
        </w:rPr>
        <w:t>mortgagor</w:t>
      </w:r>
      <w:r w:rsidRPr="005B2078">
        <w:rPr>
          <w:rFonts w:ascii="Times New Roman" w:hAnsi="Times New Roman" w:cs="Times New Roman"/>
          <w:bCs/>
          <w:sz w:val="24"/>
        </w:rPr>
        <w:t xml:space="preserve"> or through an informal payment plan initiated by the mortgagee. This PRA submission covers foreclosure alternatives that are available for </w:t>
      </w:r>
      <w:r w:rsidR="00AD11B4">
        <w:rPr>
          <w:rFonts w:ascii="Times New Roman" w:hAnsi="Times New Roman" w:cs="Times New Roman"/>
          <w:bCs/>
          <w:sz w:val="24"/>
        </w:rPr>
        <w:t xml:space="preserve">FHA-insured </w:t>
      </w:r>
      <w:r w:rsidRPr="005B2078">
        <w:rPr>
          <w:rFonts w:ascii="Times New Roman" w:hAnsi="Times New Roman" w:cs="Times New Roman"/>
          <w:bCs/>
          <w:sz w:val="24"/>
        </w:rPr>
        <w:t xml:space="preserve">mortgages that are seriously delinquent and for which FHA has authorized use of </w:t>
      </w:r>
      <w:r w:rsidR="00AD11B4">
        <w:rPr>
          <w:rFonts w:ascii="Times New Roman" w:hAnsi="Times New Roman" w:cs="Times New Roman"/>
          <w:bCs/>
          <w:sz w:val="24"/>
        </w:rPr>
        <w:t xml:space="preserve">the </w:t>
      </w:r>
      <w:r w:rsidRPr="005B2078">
        <w:rPr>
          <w:rFonts w:ascii="Times New Roman" w:hAnsi="Times New Roman" w:cs="Times New Roman"/>
          <w:bCs/>
          <w:sz w:val="24"/>
        </w:rPr>
        <w:t xml:space="preserve">loss mitigation </w:t>
      </w:r>
      <w:r w:rsidR="00AD11B4">
        <w:rPr>
          <w:rFonts w:ascii="Times New Roman" w:hAnsi="Times New Roman" w:cs="Times New Roman"/>
          <w:bCs/>
          <w:sz w:val="24"/>
        </w:rPr>
        <w:t xml:space="preserve">program </w:t>
      </w:r>
      <w:r w:rsidRPr="005B2078">
        <w:rPr>
          <w:rFonts w:ascii="Times New Roman" w:hAnsi="Times New Roman" w:cs="Times New Roman"/>
          <w:bCs/>
          <w:sz w:val="24"/>
        </w:rPr>
        <w:t xml:space="preserve">tools and incentives.  </w:t>
      </w:r>
    </w:p>
    <w:p w14:paraId="29803E5E" w14:textId="265B318E" w:rsidR="00EF45F2" w:rsidRPr="00752827" w:rsidRDefault="00CE5C6D" w:rsidP="00891527">
      <w:pPr>
        <w:pStyle w:val="HTMLPreformatted"/>
        <w:tabs>
          <w:tab w:val="left" w:pos="1062"/>
        </w:tabs>
        <w:spacing w:after="200"/>
        <w:ind w:left="360"/>
        <w:rPr>
          <w:rFonts w:ascii="Times New Roman" w:hAnsi="Times New Roman" w:cs="Times New Roman"/>
          <w:bCs/>
          <w:color w:val="FF0000"/>
          <w:sz w:val="24"/>
        </w:rPr>
      </w:pPr>
      <w:r>
        <w:rPr>
          <w:rFonts w:ascii="Times New Roman" w:hAnsi="Times New Roman" w:cs="Times New Roman"/>
          <w:b/>
          <w:bCs/>
          <w:sz w:val="24"/>
          <w:u w:val="single"/>
        </w:rPr>
        <w:t xml:space="preserve">FHA </w:t>
      </w:r>
      <w:r w:rsidR="00EF45F2" w:rsidRPr="005B2078">
        <w:rPr>
          <w:rFonts w:ascii="Times New Roman" w:hAnsi="Times New Roman" w:cs="Times New Roman"/>
          <w:b/>
          <w:bCs/>
          <w:sz w:val="24"/>
          <w:u w:val="single"/>
        </w:rPr>
        <w:t>Loss Mitigation Program Overview and General Requirements</w:t>
      </w:r>
      <w:r w:rsidR="00752827">
        <w:rPr>
          <w:rFonts w:ascii="Times New Roman" w:hAnsi="Times New Roman" w:cs="Times New Roman"/>
          <w:b/>
          <w:bCs/>
          <w:sz w:val="24"/>
          <w:u w:val="single"/>
        </w:rPr>
        <w:t xml:space="preserve"> </w:t>
      </w:r>
      <w:bookmarkStart w:id="2" w:name="_Hlk254518"/>
    </w:p>
    <w:bookmarkEnd w:id="2"/>
    <w:p w14:paraId="77EC6817" w14:textId="1C06E385" w:rsidR="00EF45F2" w:rsidRDefault="00EF45F2" w:rsidP="008B7A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360"/>
        <w:rPr>
          <w:rFonts w:ascii="Times New Roman" w:hAnsi="Times New Roman" w:cs="Times New Roman"/>
          <w:bCs/>
          <w:sz w:val="24"/>
        </w:rPr>
      </w:pPr>
      <w:r w:rsidRPr="005B2078">
        <w:rPr>
          <w:rFonts w:ascii="Times New Roman" w:hAnsi="Times New Roman" w:cs="Times New Roman"/>
          <w:bCs/>
          <w:sz w:val="24"/>
        </w:rPr>
        <w:t xml:space="preserve">The </w:t>
      </w:r>
      <w:r w:rsidRPr="005B2078">
        <w:rPr>
          <w:rFonts w:ascii="Times New Roman" w:hAnsi="Times New Roman" w:cs="Times New Roman"/>
          <w:b/>
          <w:sz w:val="24"/>
        </w:rPr>
        <w:t>Loss Mitigation</w:t>
      </w:r>
      <w:r w:rsidRPr="005B2078">
        <w:rPr>
          <w:rFonts w:ascii="Times New Roman" w:hAnsi="Times New Roman" w:cs="Times New Roman"/>
          <w:bCs/>
          <w:sz w:val="24"/>
        </w:rPr>
        <w:t xml:space="preserve"> program/options </w:t>
      </w:r>
      <w:r w:rsidR="008B7A25" w:rsidRPr="005B2078">
        <w:rPr>
          <w:rFonts w:ascii="Times New Roman" w:hAnsi="Times New Roman" w:cs="Times New Roman"/>
          <w:bCs/>
          <w:sz w:val="24"/>
        </w:rPr>
        <w:t xml:space="preserve">(24 CFR </w:t>
      </w:r>
      <w:r w:rsidR="008B7A25" w:rsidRPr="005B2078">
        <w:rPr>
          <w:rFonts w:ascii="Times New Roman" w:hAnsi="Times New Roman" w:cs="Times New Roman"/>
          <w:sz w:val="24"/>
        </w:rPr>
        <w:t xml:space="preserve">§ </w:t>
      </w:r>
      <w:r w:rsidR="008B7A25" w:rsidRPr="005B2078">
        <w:rPr>
          <w:rFonts w:ascii="Times New Roman" w:hAnsi="Times New Roman" w:cs="Times New Roman"/>
          <w:bCs/>
          <w:sz w:val="24"/>
        </w:rPr>
        <w:t>203.501)</w:t>
      </w:r>
      <w:r w:rsidR="008B7A25">
        <w:rPr>
          <w:rFonts w:ascii="Times New Roman" w:hAnsi="Times New Roman" w:cs="Times New Roman"/>
          <w:bCs/>
          <w:sz w:val="24"/>
        </w:rPr>
        <w:t xml:space="preserve"> </w:t>
      </w:r>
      <w:r w:rsidRPr="005B2078">
        <w:rPr>
          <w:rFonts w:ascii="Times New Roman" w:hAnsi="Times New Roman" w:cs="Times New Roman"/>
          <w:sz w:val="24"/>
        </w:rPr>
        <w:t xml:space="preserve">as covered in this current PRA, </w:t>
      </w:r>
      <w:r w:rsidRPr="005B2078">
        <w:rPr>
          <w:rFonts w:ascii="Times New Roman" w:hAnsi="Times New Roman" w:cs="Times New Roman"/>
          <w:bCs/>
          <w:sz w:val="24"/>
        </w:rPr>
        <w:t xml:space="preserve">includes strategies or options to be used by mortgagees, as they deem appropriate, based on an individual assessment of each </w:t>
      </w:r>
      <w:r w:rsidR="00FD64FA">
        <w:rPr>
          <w:rFonts w:ascii="Times New Roman" w:hAnsi="Times New Roman" w:cs="Times New Roman"/>
          <w:bCs/>
          <w:sz w:val="24"/>
        </w:rPr>
        <w:t>mortgagor</w:t>
      </w:r>
      <w:r w:rsidRPr="005B2078">
        <w:rPr>
          <w:rFonts w:ascii="Times New Roman" w:hAnsi="Times New Roman" w:cs="Times New Roman"/>
          <w:bCs/>
          <w:sz w:val="24"/>
        </w:rPr>
        <w:t xml:space="preserve">’s financial circumstances and the status of the loan.  </w:t>
      </w:r>
      <w:r w:rsidR="008B7A25">
        <w:rPr>
          <w:rFonts w:ascii="Times New Roman" w:hAnsi="Times New Roman" w:cs="Times New Roman"/>
          <w:bCs/>
          <w:sz w:val="24"/>
        </w:rPr>
        <w:t>H</w:t>
      </w:r>
      <w:r w:rsidRPr="005B2078">
        <w:rPr>
          <w:rFonts w:ascii="Times New Roman" w:hAnsi="Times New Roman" w:cs="Times New Roman"/>
          <w:bCs/>
          <w:sz w:val="24"/>
        </w:rPr>
        <w:t xml:space="preserve">ome retention options promote reinstatement of the mortgage, allowing the </w:t>
      </w:r>
      <w:r w:rsidR="00FD64FA">
        <w:rPr>
          <w:rFonts w:ascii="Times New Roman" w:hAnsi="Times New Roman" w:cs="Times New Roman"/>
          <w:bCs/>
          <w:sz w:val="24"/>
        </w:rPr>
        <w:t>mortgagor</w:t>
      </w:r>
      <w:r w:rsidRPr="005B2078">
        <w:rPr>
          <w:rFonts w:ascii="Times New Roman" w:hAnsi="Times New Roman" w:cs="Times New Roman"/>
          <w:bCs/>
          <w:sz w:val="24"/>
        </w:rPr>
        <w:t xml:space="preserve"> to retain home ownership, while </w:t>
      </w:r>
      <w:r w:rsidR="008B7A25">
        <w:rPr>
          <w:rFonts w:ascii="Times New Roman" w:hAnsi="Times New Roman" w:cs="Times New Roman"/>
          <w:bCs/>
          <w:sz w:val="24"/>
        </w:rPr>
        <w:t>D</w:t>
      </w:r>
      <w:r w:rsidRPr="005B2078">
        <w:rPr>
          <w:rFonts w:ascii="Times New Roman" w:hAnsi="Times New Roman" w:cs="Times New Roman"/>
          <w:bCs/>
          <w:sz w:val="24"/>
        </w:rPr>
        <w:t xml:space="preserve">isposition options assist </w:t>
      </w:r>
      <w:r w:rsidR="00FD64FA">
        <w:rPr>
          <w:rFonts w:ascii="Times New Roman" w:hAnsi="Times New Roman" w:cs="Times New Roman"/>
          <w:bCs/>
          <w:sz w:val="24"/>
        </w:rPr>
        <w:t>mortgagor</w:t>
      </w:r>
      <w:r w:rsidR="008B7A25">
        <w:rPr>
          <w:rFonts w:ascii="Times New Roman" w:hAnsi="Times New Roman" w:cs="Times New Roman"/>
          <w:bCs/>
          <w:sz w:val="24"/>
        </w:rPr>
        <w:t>s</w:t>
      </w:r>
      <w:r w:rsidRPr="005B2078">
        <w:rPr>
          <w:rFonts w:ascii="Times New Roman" w:hAnsi="Times New Roman" w:cs="Times New Roman"/>
          <w:bCs/>
          <w:sz w:val="24"/>
        </w:rPr>
        <w:t xml:space="preserve"> who cannot recover from a default </w:t>
      </w:r>
      <w:r w:rsidR="006361E1">
        <w:rPr>
          <w:rFonts w:ascii="Times New Roman" w:hAnsi="Times New Roman" w:cs="Times New Roman"/>
          <w:bCs/>
          <w:sz w:val="24"/>
        </w:rPr>
        <w:t xml:space="preserve">with an alternative </w:t>
      </w:r>
      <w:r w:rsidRPr="005B2078">
        <w:rPr>
          <w:rFonts w:ascii="Times New Roman" w:hAnsi="Times New Roman" w:cs="Times New Roman"/>
          <w:bCs/>
          <w:sz w:val="24"/>
        </w:rPr>
        <w:t xml:space="preserve">to </w:t>
      </w:r>
      <w:r w:rsidR="006361E1">
        <w:rPr>
          <w:rFonts w:ascii="Times New Roman" w:hAnsi="Times New Roman" w:cs="Times New Roman"/>
          <w:bCs/>
          <w:sz w:val="24"/>
        </w:rPr>
        <w:t>foreclosure</w:t>
      </w:r>
      <w:r w:rsidRPr="005B2078">
        <w:rPr>
          <w:rFonts w:ascii="Times New Roman" w:hAnsi="Times New Roman" w:cs="Times New Roman"/>
          <w:bCs/>
          <w:sz w:val="24"/>
        </w:rPr>
        <w:t xml:space="preserve">.  Key requirements of HUD’s loss mitigation policy include an evaluation of each </w:t>
      </w:r>
      <w:r w:rsidR="00FD64FA">
        <w:rPr>
          <w:rFonts w:ascii="Times New Roman" w:hAnsi="Times New Roman" w:cs="Times New Roman"/>
          <w:bCs/>
          <w:sz w:val="24"/>
        </w:rPr>
        <w:t>mortgagor</w:t>
      </w:r>
      <w:r w:rsidRPr="005B2078">
        <w:rPr>
          <w:rFonts w:ascii="Times New Roman" w:hAnsi="Times New Roman" w:cs="Times New Roman"/>
          <w:bCs/>
          <w:sz w:val="24"/>
        </w:rPr>
        <w:t>’s financial condition no later than the 90</w:t>
      </w:r>
      <w:r w:rsidRPr="005B2078">
        <w:rPr>
          <w:rFonts w:ascii="Times New Roman" w:hAnsi="Times New Roman" w:cs="Times New Roman"/>
          <w:bCs/>
          <w:sz w:val="24"/>
          <w:vertAlign w:val="superscript"/>
        </w:rPr>
        <w:t>th</w:t>
      </w:r>
      <w:r w:rsidRPr="005B2078">
        <w:rPr>
          <w:rFonts w:ascii="Times New Roman" w:hAnsi="Times New Roman" w:cs="Times New Roman"/>
          <w:bCs/>
          <w:sz w:val="24"/>
        </w:rPr>
        <w:t xml:space="preserve"> day of delinquency</w:t>
      </w:r>
      <w:r w:rsidR="006361E1">
        <w:rPr>
          <w:rFonts w:ascii="Times New Roman" w:hAnsi="Times New Roman" w:cs="Times New Roman"/>
          <w:bCs/>
          <w:sz w:val="24"/>
        </w:rPr>
        <w:t>, occurring before four monthly mortgage payments are due and have become unpaid; an established waterfall priority order for use of the loss mitigation actions;</w:t>
      </w:r>
      <w:r w:rsidRPr="005B2078">
        <w:rPr>
          <w:rFonts w:ascii="Times New Roman" w:hAnsi="Times New Roman" w:cs="Times New Roman"/>
          <w:bCs/>
          <w:sz w:val="24"/>
        </w:rPr>
        <w:t xml:space="preserve"> file documentation</w:t>
      </w:r>
      <w:r w:rsidR="007D4297">
        <w:rPr>
          <w:rFonts w:ascii="Times New Roman" w:hAnsi="Times New Roman" w:cs="Times New Roman"/>
          <w:bCs/>
          <w:sz w:val="24"/>
        </w:rPr>
        <w:t>/record retention</w:t>
      </w:r>
      <w:r w:rsidRPr="005B2078">
        <w:rPr>
          <w:rFonts w:ascii="Times New Roman" w:hAnsi="Times New Roman" w:cs="Times New Roman"/>
          <w:bCs/>
          <w:sz w:val="24"/>
        </w:rPr>
        <w:t xml:space="preserve"> to support use or non-use of </w:t>
      </w:r>
      <w:r w:rsidR="00932F5A">
        <w:rPr>
          <w:rFonts w:ascii="Times New Roman" w:hAnsi="Times New Roman" w:cs="Times New Roman"/>
          <w:bCs/>
          <w:sz w:val="24"/>
        </w:rPr>
        <w:t xml:space="preserve">these </w:t>
      </w:r>
      <w:r w:rsidRPr="005B2078">
        <w:rPr>
          <w:rFonts w:ascii="Times New Roman" w:hAnsi="Times New Roman" w:cs="Times New Roman"/>
          <w:bCs/>
          <w:sz w:val="24"/>
        </w:rPr>
        <w:t>loss mitigation actions</w:t>
      </w:r>
      <w:r w:rsidR="008C2068">
        <w:rPr>
          <w:rFonts w:ascii="Times New Roman" w:hAnsi="Times New Roman" w:cs="Times New Roman"/>
          <w:bCs/>
          <w:sz w:val="24"/>
        </w:rPr>
        <w:t xml:space="preserve">; reporting and </w:t>
      </w:r>
      <w:r w:rsidR="00932F5A">
        <w:rPr>
          <w:rFonts w:ascii="Times New Roman" w:hAnsi="Times New Roman" w:cs="Times New Roman"/>
          <w:bCs/>
          <w:sz w:val="24"/>
        </w:rPr>
        <w:t xml:space="preserve">assessment of mortgagee’s </w:t>
      </w:r>
      <w:r w:rsidRPr="005B2078">
        <w:rPr>
          <w:rFonts w:ascii="Times New Roman" w:hAnsi="Times New Roman" w:cs="Times New Roman"/>
          <w:bCs/>
          <w:sz w:val="24"/>
        </w:rPr>
        <w:t xml:space="preserve">loss mitigation </w:t>
      </w:r>
      <w:r w:rsidR="00932F5A">
        <w:rPr>
          <w:rFonts w:ascii="Times New Roman" w:hAnsi="Times New Roman" w:cs="Times New Roman"/>
          <w:bCs/>
          <w:sz w:val="24"/>
        </w:rPr>
        <w:t>performance</w:t>
      </w:r>
      <w:r w:rsidRPr="005B2078">
        <w:rPr>
          <w:rFonts w:ascii="Times New Roman" w:hAnsi="Times New Roman" w:cs="Times New Roman"/>
          <w:bCs/>
          <w:sz w:val="24"/>
        </w:rPr>
        <w:t xml:space="preserve">.  </w:t>
      </w:r>
    </w:p>
    <w:p w14:paraId="059A5004" w14:textId="6517A12F" w:rsidR="00D371B4" w:rsidRPr="00F97FE8" w:rsidRDefault="004B66EC" w:rsidP="004B66EC">
      <w:pPr>
        <w:pStyle w:val="HTMLPreformatted"/>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sidRPr="00F97FE8">
        <w:rPr>
          <w:rFonts w:ascii="Times New Roman" w:hAnsi="Times New Roman" w:cs="Times New Roman"/>
          <w:b/>
          <w:bCs/>
          <w:sz w:val="24"/>
          <w:u w:val="single"/>
        </w:rPr>
        <w:t xml:space="preserve">Evaluation </w:t>
      </w:r>
      <w:r w:rsidR="00752827" w:rsidRPr="00F97FE8">
        <w:rPr>
          <w:rFonts w:ascii="Times New Roman" w:hAnsi="Times New Roman" w:cs="Times New Roman"/>
          <w:b/>
          <w:bCs/>
          <w:sz w:val="24"/>
          <w:u w:val="single"/>
        </w:rPr>
        <w:t xml:space="preserve"> </w:t>
      </w:r>
    </w:p>
    <w:p w14:paraId="568F81E8" w14:textId="77777777" w:rsidR="00F97FE8" w:rsidRPr="00F97FE8" w:rsidRDefault="00F97FE8" w:rsidP="00F97F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14:paraId="550FD9C4" w14:textId="1B5819EB" w:rsidR="00A02C4F" w:rsidRDefault="004B66EC" w:rsidP="00A02C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720"/>
        <w:rPr>
          <w:rFonts w:ascii="Times New Roman" w:hAnsi="Times New Roman" w:cs="Times New Roman"/>
          <w:sz w:val="24"/>
        </w:rPr>
      </w:pPr>
      <w:r w:rsidRPr="005B2078">
        <w:rPr>
          <w:rFonts w:ascii="Times New Roman" w:hAnsi="Times New Roman" w:cs="Times New Roman"/>
          <w:sz w:val="24"/>
        </w:rPr>
        <w:t xml:space="preserve">As a part of HUD’s Loss Mitigation evaluation </w:t>
      </w:r>
      <w:r w:rsidR="00420184" w:rsidRPr="005B2078">
        <w:rPr>
          <w:rFonts w:ascii="Times New Roman" w:hAnsi="Times New Roman" w:cs="Times New Roman"/>
          <w:sz w:val="24"/>
        </w:rPr>
        <w:t>(24 CFR § 203.605)</w:t>
      </w:r>
      <w:r w:rsidR="00420184">
        <w:rPr>
          <w:rFonts w:ascii="Times New Roman" w:hAnsi="Times New Roman" w:cs="Times New Roman"/>
          <w:sz w:val="24"/>
        </w:rPr>
        <w:t xml:space="preserve"> </w:t>
      </w:r>
      <w:r w:rsidRPr="005B2078">
        <w:rPr>
          <w:rFonts w:ascii="Times New Roman" w:hAnsi="Times New Roman" w:cs="Times New Roman"/>
          <w:sz w:val="24"/>
        </w:rPr>
        <w:t xml:space="preserve">process, mortgagees must regularly review their portfolio to identify loans that are overdue for three full monthly installments and are therefore considered seriously delinquent.  Mortgagees must evaluate seriously delinquent loans to determine which loss mitigation technique(s), if any, are appropriate as referenced in </w:t>
      </w:r>
      <w:r w:rsidRPr="00420184">
        <w:rPr>
          <w:rFonts w:ascii="Times New Roman" w:hAnsi="Times New Roman" w:cs="Times New Roman"/>
          <w:bCs/>
          <w:sz w:val="24"/>
        </w:rPr>
        <w:t>l</w:t>
      </w:r>
      <w:r w:rsidRPr="00420184">
        <w:rPr>
          <w:rFonts w:ascii="Times New Roman" w:hAnsi="Times New Roman" w:cs="Times New Roman"/>
          <w:sz w:val="24"/>
        </w:rPr>
        <w:t>oss mitigation evaluation</w:t>
      </w:r>
      <w:r w:rsidRPr="005B2078">
        <w:rPr>
          <w:rFonts w:ascii="Times New Roman" w:hAnsi="Times New Roman" w:cs="Times New Roman"/>
          <w:sz w:val="24"/>
        </w:rPr>
        <w:t xml:space="preserve"> and must take those appropriate actions, which can reasonably be expected to generate the smallest financial loss to HUD.</w:t>
      </w:r>
      <w:r w:rsidRPr="005B2078">
        <w:rPr>
          <w:sz w:val="24"/>
        </w:rPr>
        <w:t xml:space="preserve"> </w:t>
      </w:r>
      <w:r w:rsidRPr="005B2078">
        <w:rPr>
          <w:rFonts w:ascii="Times New Roman" w:hAnsi="Times New Roman" w:cs="Times New Roman"/>
          <w:sz w:val="24"/>
        </w:rPr>
        <w:t xml:space="preserve">This evaluation must be performed no later than when </w:t>
      </w:r>
      <w:r w:rsidR="00932F5A">
        <w:rPr>
          <w:rFonts w:ascii="Times New Roman" w:hAnsi="Times New Roman" w:cs="Times New Roman"/>
          <w:sz w:val="24"/>
        </w:rPr>
        <w:t>four</w:t>
      </w:r>
      <w:r w:rsidRPr="005B2078">
        <w:rPr>
          <w:rFonts w:ascii="Times New Roman" w:hAnsi="Times New Roman" w:cs="Times New Roman"/>
          <w:sz w:val="24"/>
        </w:rPr>
        <w:t xml:space="preserve"> monthly </w:t>
      </w:r>
      <w:r w:rsidR="00D9431C">
        <w:rPr>
          <w:rFonts w:ascii="Times New Roman" w:hAnsi="Times New Roman" w:cs="Times New Roman"/>
          <w:sz w:val="24"/>
        </w:rPr>
        <w:t xml:space="preserve">mortgage </w:t>
      </w:r>
      <w:r w:rsidRPr="005B2078">
        <w:rPr>
          <w:rFonts w:ascii="Times New Roman" w:hAnsi="Times New Roman" w:cs="Times New Roman"/>
          <w:sz w:val="24"/>
        </w:rPr>
        <w:t xml:space="preserve">payments are due and </w:t>
      </w:r>
      <w:r w:rsidR="00920B2C">
        <w:rPr>
          <w:rFonts w:ascii="Times New Roman" w:hAnsi="Times New Roman" w:cs="Times New Roman"/>
          <w:sz w:val="24"/>
        </w:rPr>
        <w:t xml:space="preserve">have become </w:t>
      </w:r>
      <w:r w:rsidRPr="005B2078">
        <w:rPr>
          <w:rFonts w:ascii="Times New Roman" w:hAnsi="Times New Roman" w:cs="Times New Roman"/>
          <w:sz w:val="24"/>
        </w:rPr>
        <w:t>unpaid</w:t>
      </w:r>
      <w:r w:rsidR="00920B2C">
        <w:rPr>
          <w:rFonts w:ascii="Times New Roman" w:hAnsi="Times New Roman" w:cs="Times New Roman"/>
          <w:sz w:val="24"/>
        </w:rPr>
        <w:t>;</w:t>
      </w:r>
      <w:r w:rsidR="00420184">
        <w:rPr>
          <w:rFonts w:ascii="Times New Roman" w:hAnsi="Times New Roman" w:cs="Times New Roman"/>
          <w:sz w:val="24"/>
        </w:rPr>
        <w:t xml:space="preserve"> a</w:t>
      </w:r>
      <w:r w:rsidRPr="005B2078">
        <w:rPr>
          <w:rFonts w:ascii="Times New Roman" w:hAnsi="Times New Roman" w:cs="Times New Roman"/>
          <w:sz w:val="24"/>
        </w:rPr>
        <w:t xml:space="preserve">nd must be performed monthly thereafter while the account is in default and foreclosure avoidance and loss mitigation </w:t>
      </w:r>
      <w:r w:rsidRPr="005B2078">
        <w:rPr>
          <w:rFonts w:ascii="Times New Roman" w:hAnsi="Times New Roman" w:cs="Times New Roman"/>
          <w:sz w:val="24"/>
        </w:rPr>
        <w:lastRenderedPageBreak/>
        <w:t>options remain under consideration.</w:t>
      </w:r>
      <w:r w:rsidRPr="005B2078">
        <w:rPr>
          <w:rFonts w:ascii="Times New Roman" w:hAnsi="Times New Roman" w:cs="Times New Roman"/>
          <w:bCs/>
          <w:sz w:val="24"/>
        </w:rPr>
        <w:t xml:space="preserve"> </w:t>
      </w:r>
      <w:r w:rsidRPr="005B2078">
        <w:rPr>
          <w:rFonts w:ascii="Times New Roman" w:hAnsi="Times New Roman" w:cs="Times New Roman"/>
          <w:sz w:val="24"/>
        </w:rPr>
        <w:t>The evaluation must include an assessment of the following factors as applicable depending upon the loss mitigation option to be utilized:</w:t>
      </w:r>
    </w:p>
    <w:p w14:paraId="227022F0" w14:textId="77777777" w:rsidR="00A02C4F" w:rsidRDefault="00A02C4F" w:rsidP="00A02C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720"/>
        <w:rPr>
          <w:rFonts w:ascii="Times New Roman" w:hAnsi="Times New Roman"/>
          <w:b/>
          <w:sz w:val="24"/>
          <w:szCs w:val="24"/>
        </w:rPr>
      </w:pPr>
    </w:p>
    <w:p w14:paraId="6CE9DED4" w14:textId="77777777" w:rsidR="00A02C4F" w:rsidRPr="00A02C4F" w:rsidRDefault="00FD64FA" w:rsidP="00CE5C6D">
      <w:pPr>
        <w:pStyle w:val="HTMLPreformatted"/>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bCs/>
          <w:sz w:val="24"/>
        </w:rPr>
      </w:pPr>
      <w:r w:rsidRPr="00A02C4F">
        <w:rPr>
          <w:rFonts w:ascii="Times New Roman" w:hAnsi="Times New Roman"/>
          <w:sz w:val="24"/>
          <w:szCs w:val="24"/>
        </w:rPr>
        <w:t>Mortgagor</w:t>
      </w:r>
      <w:r w:rsidR="004B66EC" w:rsidRPr="00A02C4F">
        <w:rPr>
          <w:rFonts w:ascii="Times New Roman" w:hAnsi="Times New Roman"/>
          <w:sz w:val="24"/>
          <w:szCs w:val="24"/>
        </w:rPr>
        <w:t>’s income, expenses</w:t>
      </w:r>
      <w:r w:rsidR="00A71931" w:rsidRPr="00A02C4F">
        <w:rPr>
          <w:rFonts w:ascii="Times New Roman" w:hAnsi="Times New Roman"/>
          <w:sz w:val="24"/>
          <w:szCs w:val="24"/>
        </w:rPr>
        <w:t>, hardship</w:t>
      </w:r>
      <w:r w:rsidR="004B66EC" w:rsidRPr="00A02C4F">
        <w:rPr>
          <w:rFonts w:ascii="Times New Roman" w:hAnsi="Times New Roman"/>
          <w:sz w:val="24"/>
          <w:szCs w:val="24"/>
        </w:rPr>
        <w:t xml:space="preserve"> and financial assets</w:t>
      </w:r>
    </w:p>
    <w:p w14:paraId="6E3A6B72" w14:textId="77777777" w:rsidR="00A02C4F" w:rsidRPr="00A02C4F" w:rsidRDefault="004B66EC" w:rsidP="00CE5C6D">
      <w:pPr>
        <w:pStyle w:val="HTMLPreformatted"/>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bCs/>
          <w:sz w:val="24"/>
        </w:rPr>
      </w:pPr>
      <w:r w:rsidRPr="00A02C4F">
        <w:rPr>
          <w:rFonts w:ascii="Times New Roman" w:hAnsi="Times New Roman"/>
          <w:sz w:val="24"/>
          <w:szCs w:val="24"/>
        </w:rPr>
        <w:t>Occupancy of the property</w:t>
      </w:r>
    </w:p>
    <w:p w14:paraId="75BC71C6" w14:textId="3FF67D87" w:rsidR="004B66EC" w:rsidRPr="00A02C4F" w:rsidRDefault="004B66EC" w:rsidP="00CE5C6D">
      <w:pPr>
        <w:pStyle w:val="HTMLPreformatted"/>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bCs/>
          <w:sz w:val="24"/>
        </w:rPr>
      </w:pPr>
      <w:r w:rsidRPr="00A02C4F">
        <w:rPr>
          <w:rFonts w:ascii="Times New Roman" w:hAnsi="Times New Roman"/>
          <w:sz w:val="24"/>
          <w:szCs w:val="24"/>
        </w:rPr>
        <w:t xml:space="preserve">Search of HUD’s </w:t>
      </w:r>
      <w:bookmarkStart w:id="3" w:name="_Hlk879019"/>
      <w:r w:rsidRPr="00A02C4F">
        <w:rPr>
          <w:rFonts w:ascii="Times New Roman" w:hAnsi="Times New Roman"/>
          <w:sz w:val="24"/>
          <w:szCs w:val="24"/>
        </w:rPr>
        <w:t>Credit Alert Interactive R</w:t>
      </w:r>
      <w:r w:rsidR="00420184" w:rsidRPr="00A02C4F">
        <w:rPr>
          <w:rFonts w:ascii="Times New Roman" w:hAnsi="Times New Roman"/>
          <w:sz w:val="24"/>
          <w:szCs w:val="24"/>
        </w:rPr>
        <w:t>eporting</w:t>
      </w:r>
      <w:r w:rsidRPr="00A02C4F">
        <w:rPr>
          <w:rFonts w:ascii="Times New Roman" w:hAnsi="Times New Roman"/>
          <w:sz w:val="24"/>
          <w:szCs w:val="24"/>
        </w:rPr>
        <w:t xml:space="preserve"> System (CAIVRS), </w:t>
      </w:r>
      <w:bookmarkEnd w:id="3"/>
      <w:r w:rsidRPr="00A02C4F">
        <w:rPr>
          <w:rFonts w:ascii="Times New Roman" w:hAnsi="Times New Roman"/>
          <w:sz w:val="24"/>
          <w:szCs w:val="24"/>
        </w:rPr>
        <w:t>for existing federal debts</w:t>
      </w:r>
    </w:p>
    <w:p w14:paraId="5965B53C" w14:textId="77777777" w:rsidR="004B66EC" w:rsidRPr="00420184" w:rsidRDefault="004B66EC" w:rsidP="00CE5C6D">
      <w:pPr>
        <w:pStyle w:val="Heading1"/>
        <w:keepLines w:val="0"/>
        <w:numPr>
          <w:ilvl w:val="0"/>
          <w:numId w:val="34"/>
        </w:numPr>
        <w:tabs>
          <w:tab w:val="left" w:pos="1350"/>
        </w:tabs>
        <w:overflowPunct w:val="0"/>
        <w:autoSpaceDE w:val="0"/>
        <w:autoSpaceDN w:val="0"/>
        <w:adjustRightInd w:val="0"/>
        <w:spacing w:before="0" w:line="240" w:lineRule="auto"/>
        <w:textAlignment w:val="baseline"/>
        <w:rPr>
          <w:rFonts w:ascii="Times New Roman" w:hAnsi="Times New Roman"/>
          <w:b w:val="0"/>
          <w:color w:val="auto"/>
          <w:sz w:val="24"/>
          <w:szCs w:val="24"/>
        </w:rPr>
      </w:pPr>
      <w:r w:rsidRPr="00420184">
        <w:rPr>
          <w:rFonts w:ascii="Times New Roman" w:hAnsi="Times New Roman"/>
          <w:b w:val="0"/>
          <w:color w:val="auto"/>
          <w:sz w:val="24"/>
          <w:szCs w:val="24"/>
        </w:rPr>
        <w:t>Length of delinquency</w:t>
      </w:r>
    </w:p>
    <w:p w14:paraId="2DE6A5D3" w14:textId="77777777" w:rsidR="004B66EC" w:rsidRPr="00420184" w:rsidRDefault="004B66EC" w:rsidP="00CE5C6D">
      <w:pPr>
        <w:pStyle w:val="Heading1"/>
        <w:keepLines w:val="0"/>
        <w:numPr>
          <w:ilvl w:val="0"/>
          <w:numId w:val="34"/>
        </w:numPr>
        <w:tabs>
          <w:tab w:val="left" w:pos="1350"/>
        </w:tabs>
        <w:overflowPunct w:val="0"/>
        <w:autoSpaceDE w:val="0"/>
        <w:autoSpaceDN w:val="0"/>
        <w:adjustRightInd w:val="0"/>
        <w:spacing w:before="0" w:line="240" w:lineRule="auto"/>
        <w:textAlignment w:val="baseline"/>
        <w:rPr>
          <w:rFonts w:ascii="Times New Roman" w:hAnsi="Times New Roman"/>
          <w:b w:val="0"/>
          <w:color w:val="auto"/>
          <w:sz w:val="24"/>
          <w:szCs w:val="24"/>
        </w:rPr>
      </w:pPr>
      <w:r w:rsidRPr="00420184">
        <w:rPr>
          <w:rFonts w:ascii="Times New Roman" w:hAnsi="Times New Roman"/>
          <w:b w:val="0"/>
          <w:color w:val="auto"/>
          <w:sz w:val="24"/>
          <w:szCs w:val="24"/>
        </w:rPr>
        <w:t>Property condition</w:t>
      </w:r>
    </w:p>
    <w:p w14:paraId="04746021" w14:textId="77777777" w:rsidR="004B66EC" w:rsidRPr="00420184" w:rsidRDefault="004B66EC" w:rsidP="00CE5C6D">
      <w:pPr>
        <w:pStyle w:val="Heading1"/>
        <w:keepLines w:val="0"/>
        <w:numPr>
          <w:ilvl w:val="0"/>
          <w:numId w:val="34"/>
        </w:numPr>
        <w:tabs>
          <w:tab w:val="left" w:pos="1350"/>
        </w:tabs>
        <w:overflowPunct w:val="0"/>
        <w:autoSpaceDE w:val="0"/>
        <w:autoSpaceDN w:val="0"/>
        <w:adjustRightInd w:val="0"/>
        <w:spacing w:before="0" w:line="240" w:lineRule="auto"/>
        <w:textAlignment w:val="baseline"/>
        <w:rPr>
          <w:rFonts w:ascii="Times New Roman" w:hAnsi="Times New Roman"/>
          <w:b w:val="0"/>
          <w:bCs w:val="0"/>
          <w:color w:val="auto"/>
          <w:sz w:val="24"/>
          <w:szCs w:val="24"/>
        </w:rPr>
      </w:pPr>
      <w:r w:rsidRPr="00420184">
        <w:rPr>
          <w:rFonts w:ascii="Times New Roman" w:hAnsi="Times New Roman"/>
          <w:b w:val="0"/>
          <w:bCs w:val="0"/>
          <w:color w:val="auto"/>
          <w:sz w:val="24"/>
          <w:szCs w:val="24"/>
        </w:rPr>
        <w:t>Title search to establish first lien status</w:t>
      </w:r>
    </w:p>
    <w:p w14:paraId="423312AD" w14:textId="0AD7211B" w:rsidR="00D371B4" w:rsidRPr="00A02C4F" w:rsidRDefault="004B66EC" w:rsidP="00CE5C6D">
      <w:pPr>
        <w:pStyle w:val="Heading1"/>
        <w:keepLines w:val="0"/>
        <w:numPr>
          <w:ilvl w:val="0"/>
          <w:numId w:val="34"/>
        </w:numPr>
        <w:tabs>
          <w:tab w:val="left" w:pos="1350"/>
        </w:tabs>
        <w:overflowPunct w:val="0"/>
        <w:autoSpaceDE w:val="0"/>
        <w:autoSpaceDN w:val="0"/>
        <w:adjustRightInd w:val="0"/>
        <w:spacing w:before="0" w:line="240" w:lineRule="auto"/>
        <w:textAlignment w:val="baseline"/>
        <w:rPr>
          <w:rFonts w:ascii="Times New Roman" w:hAnsi="Times New Roman"/>
          <w:b w:val="0"/>
          <w:color w:val="auto"/>
          <w:sz w:val="24"/>
          <w:szCs w:val="24"/>
        </w:rPr>
      </w:pPr>
      <w:r w:rsidRPr="00420184">
        <w:rPr>
          <w:rFonts w:ascii="Times New Roman" w:hAnsi="Times New Roman"/>
          <w:b w:val="0"/>
          <w:color w:val="auto"/>
          <w:sz w:val="24"/>
          <w:szCs w:val="24"/>
        </w:rPr>
        <w:t>Property value as determined by a Broker Price Opinion (BPO) or appraisal</w:t>
      </w:r>
    </w:p>
    <w:p w14:paraId="19BDB279" w14:textId="2864169D" w:rsidR="004B66EC" w:rsidRPr="00FD64FA" w:rsidRDefault="00FD64FA" w:rsidP="00CE5C6D">
      <w:pPr>
        <w:numPr>
          <w:ilvl w:val="0"/>
          <w:numId w:val="34"/>
        </w:numPr>
        <w:tabs>
          <w:tab w:val="left" w:pos="1350"/>
        </w:tab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Mortgagor</w:t>
      </w:r>
      <w:r w:rsidR="004B66EC" w:rsidRPr="00FD64FA">
        <w:rPr>
          <w:rFonts w:ascii="Times New Roman" w:hAnsi="Times New Roman" w:cs="Times New Roman"/>
          <w:sz w:val="24"/>
          <w:szCs w:val="24"/>
        </w:rPr>
        <w:t>’s commitment to retain homeownership</w:t>
      </w:r>
    </w:p>
    <w:p w14:paraId="524F7B59" w14:textId="5D3185D4" w:rsidR="004B66EC" w:rsidRPr="00FD64FA" w:rsidRDefault="004B66EC" w:rsidP="00CE5C6D">
      <w:pPr>
        <w:numPr>
          <w:ilvl w:val="0"/>
          <w:numId w:val="34"/>
        </w:numPr>
        <w:tabs>
          <w:tab w:val="left" w:pos="135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FD64FA">
        <w:rPr>
          <w:rFonts w:ascii="Times New Roman" w:hAnsi="Times New Roman" w:cs="Times New Roman"/>
          <w:sz w:val="24"/>
          <w:szCs w:val="24"/>
        </w:rPr>
        <w:t xml:space="preserve">Cause of default and potential of the </w:t>
      </w:r>
      <w:r w:rsidR="00FD64FA">
        <w:rPr>
          <w:rFonts w:ascii="Times New Roman" w:hAnsi="Times New Roman" w:cs="Times New Roman"/>
          <w:sz w:val="24"/>
          <w:szCs w:val="24"/>
        </w:rPr>
        <w:t>mortgagor</w:t>
      </w:r>
      <w:r w:rsidRPr="00FD64FA">
        <w:rPr>
          <w:rFonts w:ascii="Times New Roman" w:hAnsi="Times New Roman" w:cs="Times New Roman"/>
          <w:sz w:val="24"/>
          <w:szCs w:val="24"/>
        </w:rPr>
        <w:t xml:space="preserve"> to overcome the cause of default</w:t>
      </w:r>
    </w:p>
    <w:p w14:paraId="4E3BE23E" w14:textId="77777777" w:rsidR="004B66EC" w:rsidRPr="005B2078" w:rsidRDefault="004B66EC" w:rsidP="00CE5C6D">
      <w:pPr>
        <w:pStyle w:val="BodyTextIndent"/>
        <w:tabs>
          <w:tab w:val="clear" w:pos="360"/>
          <w:tab w:val="num" w:pos="1080"/>
        </w:tabs>
        <w:ind w:left="0"/>
        <w:rPr>
          <w:color w:val="auto"/>
        </w:rPr>
      </w:pPr>
    </w:p>
    <w:p w14:paraId="65CD38A7" w14:textId="77777777" w:rsidR="002D13CE" w:rsidRDefault="004B66EC" w:rsidP="00A576C8">
      <w:pPr>
        <w:pStyle w:val="BodyTextIndent3"/>
        <w:tabs>
          <w:tab w:val="left" w:pos="360"/>
          <w:tab w:val="num" w:pos="720"/>
        </w:tabs>
        <w:ind w:left="720"/>
        <w:rPr>
          <w:sz w:val="24"/>
          <w:szCs w:val="24"/>
        </w:rPr>
      </w:pPr>
      <w:r w:rsidRPr="00920B2C">
        <w:rPr>
          <w:sz w:val="24"/>
          <w:szCs w:val="24"/>
        </w:rPr>
        <w:t xml:space="preserve">In connection with this evaluation the mortgagee must obtain financial information from the delinquent </w:t>
      </w:r>
      <w:r w:rsidR="00FD64FA" w:rsidRPr="00920B2C">
        <w:rPr>
          <w:sz w:val="24"/>
          <w:szCs w:val="24"/>
        </w:rPr>
        <w:t>mortgagor</w:t>
      </w:r>
      <w:r w:rsidRPr="00920B2C">
        <w:rPr>
          <w:sz w:val="24"/>
          <w:szCs w:val="24"/>
        </w:rPr>
        <w:t xml:space="preserve"> and must use that information to assess the </w:t>
      </w:r>
      <w:r w:rsidR="00FD64FA" w:rsidRPr="00920B2C">
        <w:rPr>
          <w:sz w:val="24"/>
          <w:szCs w:val="24"/>
        </w:rPr>
        <w:t>mortgagor</w:t>
      </w:r>
      <w:r w:rsidRPr="00920B2C">
        <w:rPr>
          <w:sz w:val="24"/>
          <w:szCs w:val="24"/>
        </w:rPr>
        <w:t xml:space="preserve">’s assets, income, expenses and the amount of surplus income the </w:t>
      </w:r>
      <w:r w:rsidR="00FD64FA" w:rsidRPr="00920B2C">
        <w:rPr>
          <w:sz w:val="24"/>
          <w:szCs w:val="24"/>
        </w:rPr>
        <w:t>mortgagor</w:t>
      </w:r>
      <w:r w:rsidRPr="00920B2C">
        <w:rPr>
          <w:sz w:val="24"/>
          <w:szCs w:val="24"/>
        </w:rPr>
        <w:t xml:space="preserve"> has available to reinstate the delinquency over time. The formula for calculation of surplus income is included in HUD Handbook 4000.1.  The mortgagee may, at its discretion, obtain this information in writing, via phone, during a personal interview or through the efforts of a HUD approved housing counselor who is providing counseling services to the </w:t>
      </w:r>
      <w:r w:rsidR="00FD64FA" w:rsidRPr="00920B2C">
        <w:rPr>
          <w:sz w:val="24"/>
          <w:szCs w:val="24"/>
        </w:rPr>
        <w:t>mortgagor</w:t>
      </w:r>
      <w:r w:rsidRPr="00920B2C">
        <w:rPr>
          <w:sz w:val="24"/>
          <w:szCs w:val="24"/>
        </w:rPr>
        <w:t xml:space="preserve">.  </w:t>
      </w:r>
      <w:r w:rsidR="00F9500F" w:rsidRPr="00920B2C">
        <w:rPr>
          <w:sz w:val="24"/>
          <w:szCs w:val="24"/>
        </w:rPr>
        <w:t>However,</w:t>
      </w:r>
      <w:r w:rsidRPr="00920B2C">
        <w:rPr>
          <w:sz w:val="24"/>
          <w:szCs w:val="24"/>
        </w:rPr>
        <w:t xml:space="preserve"> the financial information is collected, the mortgagee must independently verify the accuracy of the information by obtaining a current credit report and other means that the mortgagee may elect to use.  </w:t>
      </w:r>
    </w:p>
    <w:p w14:paraId="536CF8ED" w14:textId="77777777" w:rsidR="002D13CE" w:rsidRDefault="002D13CE" w:rsidP="00A576C8">
      <w:pPr>
        <w:pStyle w:val="BodyTextIndent3"/>
        <w:tabs>
          <w:tab w:val="left" w:pos="360"/>
          <w:tab w:val="num" w:pos="720"/>
        </w:tabs>
        <w:ind w:left="720"/>
        <w:rPr>
          <w:sz w:val="24"/>
          <w:szCs w:val="24"/>
        </w:rPr>
      </w:pPr>
    </w:p>
    <w:p w14:paraId="55C39BB1" w14:textId="7D6D54C6" w:rsidR="00A576C8" w:rsidRDefault="005C47B3" w:rsidP="00A576C8">
      <w:pPr>
        <w:pStyle w:val="BodyTextIndent3"/>
        <w:tabs>
          <w:tab w:val="left" w:pos="360"/>
          <w:tab w:val="num" w:pos="720"/>
        </w:tabs>
        <w:ind w:left="720"/>
        <w:rPr>
          <w:sz w:val="24"/>
        </w:rPr>
      </w:pPr>
      <w:r w:rsidRPr="00920B2C">
        <w:rPr>
          <w:sz w:val="24"/>
          <w:szCs w:val="24"/>
        </w:rPr>
        <w:t>Evaluation is listed under each of the Loss Mitigation Options</w:t>
      </w:r>
      <w:r w:rsidR="00AE7898">
        <w:rPr>
          <w:sz w:val="24"/>
          <w:szCs w:val="24"/>
        </w:rPr>
        <w:t xml:space="preserve"> </w:t>
      </w:r>
      <w:r w:rsidR="00A576C8" w:rsidRPr="00920B2C">
        <w:rPr>
          <w:sz w:val="24"/>
          <w:szCs w:val="24"/>
        </w:rPr>
        <w:t xml:space="preserve">to reflect the </w:t>
      </w:r>
      <w:r w:rsidRPr="00920B2C">
        <w:rPr>
          <w:sz w:val="24"/>
          <w:szCs w:val="24"/>
        </w:rPr>
        <w:t xml:space="preserve">estimates of the hour burden </w:t>
      </w:r>
      <w:r w:rsidR="00C415CD">
        <w:rPr>
          <w:sz w:val="24"/>
          <w:szCs w:val="24"/>
        </w:rPr>
        <w:t>ascribed to each option in</w:t>
      </w:r>
      <w:r w:rsidRPr="00920B2C">
        <w:rPr>
          <w:sz w:val="24"/>
          <w:szCs w:val="24"/>
        </w:rPr>
        <w:t xml:space="preserve"> th</w:t>
      </w:r>
      <w:r w:rsidR="00C61778">
        <w:rPr>
          <w:sz w:val="24"/>
          <w:szCs w:val="24"/>
        </w:rPr>
        <w:t>is</w:t>
      </w:r>
      <w:r w:rsidRPr="00920B2C">
        <w:rPr>
          <w:sz w:val="24"/>
          <w:szCs w:val="24"/>
        </w:rPr>
        <w:t xml:space="preserve"> collection of information</w:t>
      </w:r>
      <w:r w:rsidR="00A576C8" w:rsidRPr="005B2078">
        <w:rPr>
          <w:sz w:val="24"/>
        </w:rPr>
        <w:t>.</w:t>
      </w:r>
    </w:p>
    <w:p w14:paraId="7DB537EF" w14:textId="77777777" w:rsidR="004B66EC" w:rsidRPr="005B2078" w:rsidRDefault="004B66EC" w:rsidP="004B66EC">
      <w:pPr>
        <w:pStyle w:val="BodyTextIndent"/>
        <w:tabs>
          <w:tab w:val="clear" w:pos="360"/>
          <w:tab w:val="num" w:pos="1080"/>
        </w:tabs>
        <w:ind w:left="1080"/>
        <w:rPr>
          <w:color w:val="auto"/>
        </w:rPr>
      </w:pPr>
    </w:p>
    <w:p w14:paraId="69871210" w14:textId="4C36C6D6" w:rsidR="004B66EC" w:rsidRPr="00410FF4" w:rsidRDefault="004B66EC" w:rsidP="004B66EC">
      <w:pPr>
        <w:pStyle w:val="BodyTextIndent"/>
        <w:numPr>
          <w:ilvl w:val="2"/>
          <w:numId w:val="23"/>
        </w:numPr>
        <w:tabs>
          <w:tab w:val="clear" w:pos="360"/>
        </w:tabs>
        <w:rPr>
          <w:color w:val="auto"/>
          <w:u w:val="single"/>
        </w:rPr>
      </w:pPr>
      <w:r w:rsidRPr="00410FF4">
        <w:rPr>
          <w:b/>
          <w:color w:val="auto"/>
          <w:u w:val="single"/>
        </w:rPr>
        <w:t>File Documentation</w:t>
      </w:r>
      <w:r w:rsidR="00A576C8" w:rsidRPr="00410FF4">
        <w:rPr>
          <w:b/>
          <w:color w:val="auto"/>
          <w:u w:val="single"/>
        </w:rPr>
        <w:t>/Record Retention</w:t>
      </w:r>
      <w:r w:rsidR="00752827">
        <w:rPr>
          <w:b/>
          <w:color w:val="auto"/>
          <w:u w:val="single"/>
        </w:rPr>
        <w:t xml:space="preserve"> </w:t>
      </w:r>
    </w:p>
    <w:p w14:paraId="7DCCE42C" w14:textId="77777777" w:rsidR="004B66EC" w:rsidRPr="005B2078" w:rsidRDefault="004B66EC" w:rsidP="004B66EC">
      <w:pPr>
        <w:pStyle w:val="BodyTextIndent3"/>
        <w:tabs>
          <w:tab w:val="left" w:pos="360"/>
          <w:tab w:val="num" w:pos="720"/>
        </w:tabs>
        <w:ind w:left="0"/>
      </w:pPr>
    </w:p>
    <w:p w14:paraId="07038CE5" w14:textId="77777777" w:rsidR="00AE7898" w:rsidRDefault="004B66EC" w:rsidP="005C47B3">
      <w:pPr>
        <w:pStyle w:val="BodyTextIndent3"/>
        <w:tabs>
          <w:tab w:val="left" w:pos="360"/>
          <w:tab w:val="num" w:pos="720"/>
        </w:tabs>
        <w:ind w:left="720"/>
        <w:rPr>
          <w:sz w:val="24"/>
          <w:szCs w:val="24"/>
        </w:rPr>
      </w:pPr>
      <w:r w:rsidRPr="00920B2C">
        <w:rPr>
          <w:sz w:val="24"/>
          <w:szCs w:val="24"/>
        </w:rPr>
        <w:t xml:space="preserve">Section 24 CFR § 203.605 requires that the mortgagee maintain documentation of loss mitigation evaluations, including but not limited to attempts to contact </w:t>
      </w:r>
      <w:r w:rsidR="00FD64FA" w:rsidRPr="00920B2C">
        <w:rPr>
          <w:sz w:val="24"/>
          <w:szCs w:val="24"/>
        </w:rPr>
        <w:t>mortgagor</w:t>
      </w:r>
      <w:r w:rsidRPr="00920B2C">
        <w:rPr>
          <w:sz w:val="24"/>
          <w:szCs w:val="24"/>
        </w:rPr>
        <w:t xml:space="preserve">s, communications with </w:t>
      </w:r>
      <w:r w:rsidR="00FD64FA" w:rsidRPr="00920B2C">
        <w:rPr>
          <w:sz w:val="24"/>
          <w:szCs w:val="24"/>
        </w:rPr>
        <w:t>mortgagor</w:t>
      </w:r>
      <w:r w:rsidRPr="00920B2C">
        <w:rPr>
          <w:sz w:val="24"/>
          <w:szCs w:val="24"/>
        </w:rPr>
        <w:t xml:space="preserve">s, financial data used in the analysis of surplus income, evidence that a loss mitigation evaluation was performed within the appropriate time requirements, and as necessary that required monthly reviews of the </w:t>
      </w:r>
      <w:r w:rsidR="00F9500F" w:rsidRPr="00920B2C">
        <w:rPr>
          <w:sz w:val="24"/>
          <w:szCs w:val="24"/>
        </w:rPr>
        <w:t>mortgagor’s</w:t>
      </w:r>
      <w:r w:rsidRPr="00920B2C">
        <w:rPr>
          <w:sz w:val="24"/>
          <w:szCs w:val="24"/>
        </w:rPr>
        <w:t xml:space="preserve"> status were performed. This documentation shall be maintained in the claim file. Claim files shall be maintained for a</w:t>
      </w:r>
      <w:r w:rsidR="00116CA0">
        <w:rPr>
          <w:sz w:val="24"/>
          <w:szCs w:val="24"/>
        </w:rPr>
        <w:t>t least a</w:t>
      </w:r>
      <w:r w:rsidRPr="00920B2C">
        <w:rPr>
          <w:sz w:val="24"/>
          <w:szCs w:val="24"/>
        </w:rPr>
        <w:t xml:space="preserve"> three-year period after the claim has been paid pursuant to Section 24 CFR § 203.365(c) and hard copies of identified claim files must be provided to the Secretary within 24 hours of a request.  </w:t>
      </w:r>
    </w:p>
    <w:p w14:paraId="083D25B6" w14:textId="77777777" w:rsidR="00AE7898" w:rsidRDefault="00AE7898" w:rsidP="005C47B3">
      <w:pPr>
        <w:pStyle w:val="BodyTextIndent3"/>
        <w:tabs>
          <w:tab w:val="left" w:pos="360"/>
          <w:tab w:val="num" w:pos="720"/>
        </w:tabs>
        <w:ind w:left="720"/>
        <w:rPr>
          <w:sz w:val="24"/>
          <w:szCs w:val="24"/>
        </w:rPr>
      </w:pPr>
    </w:p>
    <w:p w14:paraId="385A6F8F" w14:textId="53AECA8D" w:rsidR="004B66EC" w:rsidRDefault="004B66EC" w:rsidP="005C47B3">
      <w:pPr>
        <w:pStyle w:val="BodyTextIndent3"/>
        <w:tabs>
          <w:tab w:val="left" w:pos="360"/>
          <w:tab w:val="num" w:pos="720"/>
        </w:tabs>
        <w:ind w:left="720"/>
        <w:rPr>
          <w:sz w:val="24"/>
          <w:szCs w:val="24"/>
        </w:rPr>
      </w:pPr>
      <w:r w:rsidRPr="00920B2C">
        <w:rPr>
          <w:sz w:val="24"/>
          <w:szCs w:val="24"/>
        </w:rPr>
        <w:t>Record retention hours are</w:t>
      </w:r>
      <w:r w:rsidR="00AE7898" w:rsidRPr="00920B2C">
        <w:rPr>
          <w:sz w:val="24"/>
          <w:szCs w:val="24"/>
        </w:rPr>
        <w:t xml:space="preserve"> listed under each of the Loss Mitigation Options </w:t>
      </w:r>
      <w:r w:rsidR="00C61778">
        <w:rPr>
          <w:sz w:val="24"/>
          <w:szCs w:val="24"/>
        </w:rPr>
        <w:t xml:space="preserve">to </w:t>
      </w:r>
      <w:r w:rsidR="00AE7898" w:rsidRPr="00920B2C">
        <w:rPr>
          <w:sz w:val="24"/>
          <w:szCs w:val="24"/>
        </w:rPr>
        <w:t>reflect</w:t>
      </w:r>
      <w:r w:rsidRPr="00920B2C">
        <w:rPr>
          <w:sz w:val="24"/>
          <w:szCs w:val="24"/>
        </w:rPr>
        <w:t xml:space="preserve"> the </w:t>
      </w:r>
      <w:r w:rsidR="005C47B3" w:rsidRPr="00920B2C">
        <w:rPr>
          <w:sz w:val="24"/>
          <w:szCs w:val="24"/>
        </w:rPr>
        <w:t xml:space="preserve">estimates of the hour burden </w:t>
      </w:r>
      <w:r w:rsidR="00C415CD">
        <w:rPr>
          <w:sz w:val="24"/>
          <w:szCs w:val="24"/>
        </w:rPr>
        <w:t>ascribed to each option in</w:t>
      </w:r>
      <w:r w:rsidR="005C47B3" w:rsidRPr="00920B2C">
        <w:rPr>
          <w:sz w:val="24"/>
          <w:szCs w:val="24"/>
        </w:rPr>
        <w:t xml:space="preserve"> th</w:t>
      </w:r>
      <w:r w:rsidR="00C61778">
        <w:rPr>
          <w:sz w:val="24"/>
          <w:szCs w:val="24"/>
        </w:rPr>
        <w:t>is</w:t>
      </w:r>
      <w:r w:rsidR="005C47B3" w:rsidRPr="00920B2C">
        <w:rPr>
          <w:sz w:val="24"/>
          <w:szCs w:val="24"/>
        </w:rPr>
        <w:t xml:space="preserve"> collection of information</w:t>
      </w:r>
      <w:r w:rsidRPr="00920B2C">
        <w:rPr>
          <w:sz w:val="24"/>
          <w:szCs w:val="24"/>
        </w:rPr>
        <w:t>.</w:t>
      </w:r>
    </w:p>
    <w:p w14:paraId="739D5CFC" w14:textId="7705209C" w:rsidR="008D3432" w:rsidRDefault="008D3432" w:rsidP="005C47B3">
      <w:pPr>
        <w:pStyle w:val="BodyTextIndent3"/>
        <w:tabs>
          <w:tab w:val="left" w:pos="360"/>
          <w:tab w:val="num" w:pos="720"/>
        </w:tabs>
        <w:ind w:left="720"/>
        <w:rPr>
          <w:sz w:val="24"/>
          <w:szCs w:val="24"/>
        </w:rPr>
      </w:pPr>
    </w:p>
    <w:p w14:paraId="1AC104A0" w14:textId="79DB1CA7" w:rsidR="008D3432" w:rsidRDefault="008D3432" w:rsidP="005C47B3">
      <w:pPr>
        <w:pStyle w:val="BodyTextIndent3"/>
        <w:tabs>
          <w:tab w:val="left" w:pos="360"/>
          <w:tab w:val="num" w:pos="720"/>
        </w:tabs>
        <w:ind w:left="720"/>
        <w:rPr>
          <w:sz w:val="24"/>
          <w:szCs w:val="24"/>
        </w:rPr>
      </w:pPr>
    </w:p>
    <w:p w14:paraId="65E72B27" w14:textId="77777777" w:rsidR="008D3432" w:rsidRPr="00920B2C" w:rsidRDefault="008D3432" w:rsidP="005C47B3">
      <w:pPr>
        <w:pStyle w:val="BodyTextIndent3"/>
        <w:tabs>
          <w:tab w:val="left" w:pos="360"/>
          <w:tab w:val="num" w:pos="720"/>
        </w:tabs>
        <w:ind w:left="720"/>
        <w:rPr>
          <w:sz w:val="24"/>
          <w:szCs w:val="24"/>
        </w:rPr>
      </w:pPr>
    </w:p>
    <w:p w14:paraId="0076994B" w14:textId="77777777" w:rsidR="004B66EC" w:rsidRPr="00920B2C" w:rsidRDefault="004B66EC" w:rsidP="004B66EC">
      <w:pPr>
        <w:pStyle w:val="BodyTextIndent3"/>
        <w:tabs>
          <w:tab w:val="left" w:pos="360"/>
          <w:tab w:val="num" w:pos="720"/>
        </w:tabs>
        <w:ind w:left="720"/>
        <w:rPr>
          <w:sz w:val="24"/>
          <w:szCs w:val="24"/>
        </w:rPr>
      </w:pPr>
    </w:p>
    <w:p w14:paraId="60E38BA4" w14:textId="07A36BC7" w:rsidR="004B66EC" w:rsidRPr="00920B2C" w:rsidRDefault="004B66EC" w:rsidP="004B66EC">
      <w:pPr>
        <w:pStyle w:val="BodyTextIndent3"/>
        <w:numPr>
          <w:ilvl w:val="2"/>
          <w:numId w:val="24"/>
        </w:numPr>
        <w:tabs>
          <w:tab w:val="left" w:pos="360"/>
        </w:tabs>
        <w:rPr>
          <w:sz w:val="24"/>
          <w:szCs w:val="24"/>
          <w:u w:val="single"/>
        </w:rPr>
      </w:pPr>
      <w:r w:rsidRPr="00920B2C">
        <w:rPr>
          <w:b/>
          <w:sz w:val="24"/>
          <w:szCs w:val="24"/>
          <w:u w:val="single"/>
        </w:rPr>
        <w:t>Reporting</w:t>
      </w:r>
      <w:r w:rsidR="00116CA0">
        <w:rPr>
          <w:b/>
          <w:sz w:val="24"/>
          <w:szCs w:val="24"/>
          <w:u w:val="single"/>
        </w:rPr>
        <w:t xml:space="preserve"> </w:t>
      </w:r>
    </w:p>
    <w:p w14:paraId="053CC921" w14:textId="77777777" w:rsidR="004446C0" w:rsidRPr="00920B2C" w:rsidRDefault="004446C0" w:rsidP="004B66EC">
      <w:pPr>
        <w:pStyle w:val="BodyTextIndent3"/>
        <w:tabs>
          <w:tab w:val="left" w:pos="360"/>
          <w:tab w:val="num" w:pos="1080"/>
        </w:tabs>
        <w:ind w:left="1080" w:hanging="360"/>
        <w:rPr>
          <w:b/>
          <w:sz w:val="24"/>
          <w:szCs w:val="24"/>
          <w:u w:val="single"/>
        </w:rPr>
      </w:pPr>
    </w:p>
    <w:p w14:paraId="79F68639" w14:textId="77777777" w:rsidR="008D3432" w:rsidRDefault="004B66EC" w:rsidP="00932F5A">
      <w:pPr>
        <w:pStyle w:val="BodyTextIndent3"/>
        <w:tabs>
          <w:tab w:val="left" w:pos="360"/>
          <w:tab w:val="num" w:pos="720"/>
        </w:tabs>
        <w:ind w:left="720"/>
        <w:rPr>
          <w:sz w:val="24"/>
          <w:szCs w:val="24"/>
        </w:rPr>
      </w:pPr>
      <w:r w:rsidRPr="00920B2C">
        <w:rPr>
          <w:sz w:val="24"/>
          <w:szCs w:val="24"/>
        </w:rPr>
        <w:t xml:space="preserve">Mortgagees are required to report the current status of all delinquent loans monthly through HUD’s Single Family Default Monitoring System.  Mortgagees must also notify HUD of any changes in status as a result of consideration, initiation or failure of a loss mitigation option.  The </w:t>
      </w:r>
      <w:r w:rsidR="00AA2541">
        <w:rPr>
          <w:sz w:val="24"/>
          <w:szCs w:val="24"/>
        </w:rPr>
        <w:t xml:space="preserve">public burden </w:t>
      </w:r>
      <w:r w:rsidR="008E1694" w:rsidRPr="00920B2C">
        <w:rPr>
          <w:sz w:val="24"/>
          <w:szCs w:val="24"/>
        </w:rPr>
        <w:t>hour</w:t>
      </w:r>
      <w:r w:rsidR="00AA2541">
        <w:rPr>
          <w:sz w:val="24"/>
          <w:szCs w:val="24"/>
        </w:rPr>
        <w:t>s</w:t>
      </w:r>
      <w:r w:rsidR="008E1694" w:rsidRPr="00920B2C">
        <w:rPr>
          <w:sz w:val="24"/>
          <w:szCs w:val="24"/>
        </w:rPr>
        <w:t xml:space="preserve"> of the</w:t>
      </w:r>
      <w:r w:rsidR="00AA2541">
        <w:rPr>
          <w:sz w:val="24"/>
          <w:szCs w:val="24"/>
        </w:rPr>
        <w:t>se</w:t>
      </w:r>
      <w:r w:rsidR="008E1694" w:rsidRPr="00920B2C">
        <w:rPr>
          <w:sz w:val="24"/>
          <w:szCs w:val="24"/>
        </w:rPr>
        <w:t xml:space="preserve"> </w:t>
      </w:r>
      <w:r w:rsidR="00AA2541" w:rsidRPr="00920B2C">
        <w:rPr>
          <w:sz w:val="24"/>
          <w:szCs w:val="24"/>
        </w:rPr>
        <w:t xml:space="preserve">reporting requirements </w:t>
      </w:r>
      <w:r w:rsidR="00AA2541">
        <w:rPr>
          <w:sz w:val="24"/>
          <w:szCs w:val="24"/>
        </w:rPr>
        <w:t>are</w:t>
      </w:r>
      <w:r w:rsidR="008E1694">
        <w:rPr>
          <w:sz w:val="24"/>
          <w:szCs w:val="24"/>
        </w:rPr>
        <w:t xml:space="preserve"> reported under </w:t>
      </w:r>
      <w:r w:rsidRPr="00920B2C">
        <w:rPr>
          <w:sz w:val="24"/>
          <w:szCs w:val="24"/>
        </w:rPr>
        <w:t xml:space="preserve">existing OMB </w:t>
      </w:r>
      <w:r w:rsidR="008E1694">
        <w:rPr>
          <w:sz w:val="24"/>
          <w:szCs w:val="24"/>
        </w:rPr>
        <w:t xml:space="preserve">control number </w:t>
      </w:r>
      <w:r w:rsidRPr="00920B2C">
        <w:rPr>
          <w:sz w:val="24"/>
          <w:szCs w:val="24"/>
        </w:rPr>
        <w:t>2502-0584.</w:t>
      </w:r>
    </w:p>
    <w:p w14:paraId="4A0BA4B3" w14:textId="706F5400" w:rsidR="004446C0" w:rsidRPr="00932F5A" w:rsidRDefault="004B66EC" w:rsidP="00932F5A">
      <w:pPr>
        <w:pStyle w:val="BodyTextIndent3"/>
        <w:tabs>
          <w:tab w:val="left" w:pos="360"/>
          <w:tab w:val="num" w:pos="720"/>
        </w:tabs>
        <w:ind w:left="720"/>
        <w:rPr>
          <w:sz w:val="24"/>
          <w:szCs w:val="24"/>
        </w:rPr>
      </w:pPr>
      <w:r w:rsidRPr="00920B2C">
        <w:rPr>
          <w:sz w:val="24"/>
          <w:szCs w:val="24"/>
        </w:rPr>
        <w:t xml:space="preserve">  </w:t>
      </w:r>
    </w:p>
    <w:p w14:paraId="0B3CADE2" w14:textId="187D0449" w:rsidR="00A576C8" w:rsidRPr="00920B2C" w:rsidRDefault="00A576C8" w:rsidP="00A576C8">
      <w:pPr>
        <w:pStyle w:val="BodyTextIndent"/>
        <w:numPr>
          <w:ilvl w:val="2"/>
          <w:numId w:val="22"/>
        </w:numPr>
        <w:tabs>
          <w:tab w:val="clear" w:pos="360"/>
        </w:tabs>
        <w:rPr>
          <w:color w:val="auto"/>
          <w:szCs w:val="24"/>
          <w:u w:val="single"/>
        </w:rPr>
      </w:pPr>
      <w:r w:rsidRPr="00920B2C">
        <w:rPr>
          <w:b/>
          <w:color w:val="auto"/>
          <w:szCs w:val="24"/>
          <w:u w:val="single"/>
        </w:rPr>
        <w:t>Option Implementation</w:t>
      </w:r>
    </w:p>
    <w:p w14:paraId="31E77152" w14:textId="77777777" w:rsidR="00A576C8" w:rsidRPr="00920B2C" w:rsidRDefault="00A576C8" w:rsidP="00A576C8">
      <w:pPr>
        <w:pStyle w:val="BodyTextIndent"/>
        <w:tabs>
          <w:tab w:val="clear" w:pos="360"/>
          <w:tab w:val="num" w:pos="1080"/>
        </w:tabs>
        <w:ind w:left="1080"/>
        <w:rPr>
          <w:color w:val="auto"/>
          <w:szCs w:val="24"/>
        </w:rPr>
      </w:pPr>
    </w:p>
    <w:p w14:paraId="16F335CD" w14:textId="795A8426" w:rsidR="00A576C8" w:rsidRPr="00920B2C" w:rsidRDefault="00A576C8" w:rsidP="005C47B3">
      <w:pPr>
        <w:pStyle w:val="BodyTextIndent"/>
        <w:tabs>
          <w:tab w:val="clear" w:pos="360"/>
          <w:tab w:val="num" w:pos="720"/>
        </w:tabs>
        <w:ind w:left="720" w:firstLine="0"/>
        <w:rPr>
          <w:b/>
          <w:color w:val="auto"/>
          <w:szCs w:val="24"/>
        </w:rPr>
      </w:pPr>
      <w:r w:rsidRPr="00920B2C">
        <w:rPr>
          <w:color w:val="auto"/>
          <w:szCs w:val="24"/>
        </w:rPr>
        <w:t>Based on the evaluation results, the mortgagee shall determine if the mortgagor is qualified for home retention</w:t>
      </w:r>
      <w:r w:rsidR="0011346C">
        <w:rPr>
          <w:color w:val="auto"/>
          <w:szCs w:val="24"/>
        </w:rPr>
        <w:t xml:space="preserve"> </w:t>
      </w:r>
      <w:r w:rsidRPr="00920B2C">
        <w:rPr>
          <w:color w:val="auto"/>
          <w:szCs w:val="24"/>
        </w:rPr>
        <w:t>or property disposition</w:t>
      </w:r>
      <w:r w:rsidR="0011346C">
        <w:rPr>
          <w:color w:val="auto"/>
          <w:szCs w:val="24"/>
        </w:rPr>
        <w:t xml:space="preserve"> </w:t>
      </w:r>
      <w:r w:rsidRPr="00920B2C">
        <w:rPr>
          <w:color w:val="auto"/>
          <w:szCs w:val="24"/>
        </w:rPr>
        <w:t>loss mitigation options accord</w:t>
      </w:r>
      <w:r w:rsidR="004F5A84">
        <w:rPr>
          <w:color w:val="auto"/>
          <w:szCs w:val="24"/>
        </w:rPr>
        <w:t>i</w:t>
      </w:r>
      <w:r w:rsidRPr="00920B2C">
        <w:rPr>
          <w:color w:val="auto"/>
          <w:szCs w:val="24"/>
        </w:rPr>
        <w:t>n</w:t>
      </w:r>
      <w:r w:rsidR="004F5A84">
        <w:rPr>
          <w:color w:val="auto"/>
          <w:szCs w:val="24"/>
        </w:rPr>
        <w:t>g to</w:t>
      </w:r>
      <w:r w:rsidRPr="00920B2C">
        <w:rPr>
          <w:color w:val="auto"/>
          <w:szCs w:val="24"/>
        </w:rPr>
        <w:t xml:space="preserve"> HUD’s priority waterfall order and shall initiate the appropriate action.  For each option the mortgagee must create written documentation describing the terms of the option and obtain the mortgagor’s signature.  Depending on the option, documentation may take the form of a written payment plan, written modification, subordinate lien, etc.</w:t>
      </w:r>
      <w:r w:rsidRPr="00920B2C">
        <w:rPr>
          <w:b/>
          <w:color w:val="auto"/>
          <w:szCs w:val="24"/>
        </w:rPr>
        <w:t xml:space="preserve"> </w:t>
      </w:r>
    </w:p>
    <w:p w14:paraId="7825946A" w14:textId="77777777" w:rsidR="005C47B3" w:rsidRPr="005C47B3" w:rsidRDefault="004B66EC" w:rsidP="004B66EC">
      <w:pPr>
        <w:pStyle w:val="Default"/>
        <w:rPr>
          <w:rFonts w:ascii="Times New Roman" w:hAnsi="Times New Roman"/>
        </w:rPr>
      </w:pPr>
      <w:r>
        <w:tab/>
      </w:r>
    </w:p>
    <w:p w14:paraId="55566AF8" w14:textId="58B045A3" w:rsidR="004B66EC" w:rsidRPr="002D13CE" w:rsidRDefault="005148E3" w:rsidP="004B66EC">
      <w:pPr>
        <w:pStyle w:val="Default"/>
        <w:rPr>
          <w:rFonts w:ascii="Times New Roman" w:hAnsi="Times New Roman"/>
          <w:b/>
          <w:bCs/>
          <w:sz w:val="22"/>
          <w:szCs w:val="22"/>
          <w:u w:val="single"/>
        </w:rPr>
      </w:pPr>
      <w:r>
        <w:rPr>
          <w:rFonts w:ascii="Times New Roman" w:hAnsi="Times New Roman"/>
          <w:b/>
          <w:bCs/>
          <w:u w:val="single"/>
        </w:rPr>
        <w:t xml:space="preserve">FHA </w:t>
      </w:r>
      <w:r w:rsidR="004B66EC" w:rsidRPr="004446C0">
        <w:rPr>
          <w:rFonts w:ascii="Times New Roman" w:hAnsi="Times New Roman"/>
          <w:b/>
          <w:bCs/>
          <w:u w:val="single"/>
        </w:rPr>
        <w:t>Loss Mitigation</w:t>
      </w:r>
      <w:r w:rsidR="004446C0">
        <w:rPr>
          <w:rFonts w:ascii="Times New Roman" w:hAnsi="Times New Roman"/>
          <w:b/>
          <w:bCs/>
          <w:u w:val="single"/>
        </w:rPr>
        <w:t xml:space="preserve"> </w:t>
      </w:r>
      <w:r w:rsidR="004B66EC" w:rsidRPr="004446C0">
        <w:rPr>
          <w:rFonts w:ascii="Times New Roman" w:hAnsi="Times New Roman"/>
          <w:b/>
          <w:bCs/>
          <w:u w:val="single"/>
        </w:rPr>
        <w:t xml:space="preserve">Home Retention </w:t>
      </w:r>
      <w:r w:rsidR="004446C0">
        <w:rPr>
          <w:rFonts w:ascii="Times New Roman" w:hAnsi="Times New Roman"/>
          <w:b/>
          <w:bCs/>
          <w:u w:val="single"/>
        </w:rPr>
        <w:t>Option</w:t>
      </w:r>
      <w:r>
        <w:rPr>
          <w:rFonts w:ascii="Times New Roman" w:hAnsi="Times New Roman"/>
          <w:b/>
          <w:bCs/>
          <w:u w:val="single"/>
        </w:rPr>
        <w:t>s</w:t>
      </w:r>
      <w:r w:rsidR="004B66EC" w:rsidRPr="004446C0">
        <w:rPr>
          <w:rFonts w:ascii="Times New Roman" w:hAnsi="Times New Roman"/>
          <w:b/>
          <w:bCs/>
          <w:u w:val="single"/>
        </w:rPr>
        <w:t xml:space="preserve"> </w:t>
      </w:r>
    </w:p>
    <w:p w14:paraId="6F529631" w14:textId="77777777" w:rsidR="004B66EC" w:rsidRPr="005C47B3" w:rsidRDefault="004B66EC" w:rsidP="004B66EC">
      <w:pPr>
        <w:pStyle w:val="Default"/>
        <w:rPr>
          <w:rFonts w:ascii="Times New Roman" w:hAnsi="Times New Roman"/>
        </w:rPr>
      </w:pPr>
    </w:p>
    <w:p w14:paraId="24DA6235" w14:textId="411FD964" w:rsidR="004B66EC" w:rsidRPr="00D15B99" w:rsidRDefault="004B66EC" w:rsidP="004B66EC">
      <w:pPr>
        <w:pStyle w:val="BodyTextIndent"/>
        <w:numPr>
          <w:ilvl w:val="2"/>
          <w:numId w:val="25"/>
        </w:numPr>
        <w:rPr>
          <w:b/>
          <w:color w:val="auto"/>
          <w:sz w:val="20"/>
          <w:u w:val="single"/>
        </w:rPr>
      </w:pPr>
      <w:r w:rsidRPr="005C47B3">
        <w:rPr>
          <w:b/>
          <w:color w:val="auto"/>
          <w:szCs w:val="24"/>
          <w:u w:val="single"/>
        </w:rPr>
        <w:t>Special Forbearance</w:t>
      </w:r>
      <w:r w:rsidR="004446C0">
        <w:rPr>
          <w:b/>
          <w:color w:val="auto"/>
          <w:szCs w:val="24"/>
          <w:u w:val="single"/>
        </w:rPr>
        <w:t xml:space="preserve"> </w:t>
      </w:r>
      <w:r w:rsidR="001A0159">
        <w:rPr>
          <w:b/>
          <w:color w:val="auto"/>
          <w:szCs w:val="24"/>
          <w:u w:val="single"/>
        </w:rPr>
        <w:t xml:space="preserve">(SFB) </w:t>
      </w:r>
      <w:r w:rsidR="00410FF4">
        <w:rPr>
          <w:b/>
          <w:color w:val="auto"/>
          <w:szCs w:val="24"/>
          <w:u w:val="single"/>
        </w:rPr>
        <w:t xml:space="preserve">- </w:t>
      </w:r>
      <w:r w:rsidR="004446C0">
        <w:rPr>
          <w:b/>
          <w:color w:val="auto"/>
          <w:szCs w:val="24"/>
          <w:u w:val="single"/>
        </w:rPr>
        <w:t>Unemployment</w:t>
      </w:r>
      <w:r w:rsidR="00410FF4">
        <w:rPr>
          <w:b/>
          <w:color w:val="auto"/>
          <w:szCs w:val="24"/>
          <w:u w:val="single"/>
        </w:rPr>
        <w:t xml:space="preserve"> Agreement</w:t>
      </w:r>
      <w:r w:rsidR="00D15B99">
        <w:rPr>
          <w:b/>
          <w:color w:val="auto"/>
          <w:szCs w:val="24"/>
          <w:u w:val="single"/>
        </w:rPr>
        <w:t xml:space="preserve"> </w:t>
      </w:r>
      <w:r w:rsidR="00AA2541">
        <w:rPr>
          <w:b/>
          <w:color w:val="auto"/>
          <w:szCs w:val="24"/>
          <w:u w:val="single"/>
        </w:rPr>
        <w:t xml:space="preserve">Option </w:t>
      </w:r>
    </w:p>
    <w:p w14:paraId="68F642C6" w14:textId="77777777" w:rsidR="004B66EC" w:rsidRPr="005C47B3" w:rsidRDefault="004B66EC" w:rsidP="004B66EC">
      <w:pPr>
        <w:pStyle w:val="BodyTextIndent"/>
        <w:ind w:left="720" w:firstLine="0"/>
        <w:rPr>
          <w:color w:val="auto"/>
          <w:szCs w:val="24"/>
        </w:rPr>
      </w:pPr>
    </w:p>
    <w:p w14:paraId="4A6C969F" w14:textId="6D3D3B63" w:rsidR="004B66EC" w:rsidRDefault="00410FF4" w:rsidP="004B66EC">
      <w:pPr>
        <w:pStyle w:val="BodyTextIndent"/>
        <w:ind w:left="720" w:firstLine="0"/>
        <w:rPr>
          <w:color w:val="auto"/>
          <w:szCs w:val="24"/>
        </w:rPr>
      </w:pPr>
      <w:r>
        <w:rPr>
          <w:color w:val="auto"/>
          <w:szCs w:val="24"/>
        </w:rPr>
        <w:t xml:space="preserve">The </w:t>
      </w:r>
      <w:r w:rsidR="00023882">
        <w:rPr>
          <w:color w:val="auto"/>
          <w:szCs w:val="24"/>
        </w:rPr>
        <w:t xml:space="preserve">SFB-Unemployment Agreement </w:t>
      </w:r>
      <w:r w:rsidR="00023882" w:rsidRPr="005C47B3">
        <w:rPr>
          <w:color w:val="auto"/>
          <w:szCs w:val="24"/>
        </w:rPr>
        <w:t>(24 CFR §</w:t>
      </w:r>
      <w:r w:rsidR="00023882">
        <w:rPr>
          <w:color w:val="auto"/>
          <w:szCs w:val="24"/>
        </w:rPr>
        <w:t>§</w:t>
      </w:r>
      <w:r w:rsidR="00023882" w:rsidRPr="005C47B3">
        <w:rPr>
          <w:color w:val="auto"/>
          <w:szCs w:val="24"/>
        </w:rPr>
        <w:t xml:space="preserve"> 203.471 and 203.614)</w:t>
      </w:r>
      <w:r w:rsidR="0011346C">
        <w:rPr>
          <w:color w:val="auto"/>
          <w:szCs w:val="24"/>
        </w:rPr>
        <w:t xml:space="preserve"> home retention</w:t>
      </w:r>
      <w:r w:rsidR="004B66EC" w:rsidRPr="005C47B3">
        <w:rPr>
          <w:color w:val="auto"/>
          <w:szCs w:val="24"/>
        </w:rPr>
        <w:t xml:space="preserve"> option is a written payment plan between a mortgagee and an unemployed </w:t>
      </w:r>
      <w:r w:rsidR="00FD64FA" w:rsidRPr="005C47B3">
        <w:rPr>
          <w:color w:val="auto"/>
          <w:szCs w:val="24"/>
        </w:rPr>
        <w:t>mortgagor</w:t>
      </w:r>
      <w:r w:rsidR="004B66EC" w:rsidRPr="005C47B3">
        <w:rPr>
          <w:color w:val="auto"/>
          <w:szCs w:val="24"/>
        </w:rPr>
        <w:t xml:space="preserve"> only, which contains a plan to reinstate a loan that has been </w:t>
      </w:r>
      <w:r w:rsidR="00285311">
        <w:rPr>
          <w:color w:val="auto"/>
          <w:szCs w:val="24"/>
        </w:rPr>
        <w:t xml:space="preserve">at least three months past due (61 days </w:t>
      </w:r>
      <w:r w:rsidR="004B66EC" w:rsidRPr="005C47B3">
        <w:rPr>
          <w:color w:val="auto"/>
          <w:szCs w:val="24"/>
        </w:rPr>
        <w:t>delinquent</w:t>
      </w:r>
      <w:r w:rsidR="00285311">
        <w:rPr>
          <w:color w:val="auto"/>
          <w:szCs w:val="24"/>
        </w:rPr>
        <w:t>)</w:t>
      </w:r>
      <w:r w:rsidR="003C1CB2">
        <w:rPr>
          <w:color w:val="auto"/>
          <w:szCs w:val="24"/>
        </w:rPr>
        <w:t xml:space="preserve"> but, not more than 12 months due and unpaid</w:t>
      </w:r>
      <w:r w:rsidR="004B66EC" w:rsidRPr="005C47B3">
        <w:rPr>
          <w:color w:val="auto"/>
          <w:szCs w:val="24"/>
        </w:rPr>
        <w:t xml:space="preserve">.  A special forbearance represents a temporary change to the repayment terms.  Information is obtained from the </w:t>
      </w:r>
      <w:r w:rsidR="00FD64FA" w:rsidRPr="005C47B3">
        <w:rPr>
          <w:color w:val="auto"/>
          <w:szCs w:val="24"/>
        </w:rPr>
        <w:t>mortgagor</w:t>
      </w:r>
      <w:r w:rsidR="004B66EC" w:rsidRPr="005C47B3">
        <w:rPr>
          <w:color w:val="auto"/>
          <w:szCs w:val="24"/>
        </w:rPr>
        <w:t xml:space="preserve"> and evaluated in accordance with the general requirements indicated above.  At least once each month for the duration of the unemployment special forbearance agreement, the mortgagee must review the </w:t>
      </w:r>
      <w:r w:rsidR="00FD64FA" w:rsidRPr="005C47B3">
        <w:rPr>
          <w:color w:val="auto"/>
          <w:szCs w:val="24"/>
        </w:rPr>
        <w:t>mortgagor</w:t>
      </w:r>
      <w:r w:rsidR="004B66EC" w:rsidRPr="005C47B3">
        <w:rPr>
          <w:color w:val="auto"/>
          <w:szCs w:val="24"/>
        </w:rPr>
        <w:t xml:space="preserve">’s compliance with the payment terms and, if the </w:t>
      </w:r>
      <w:r w:rsidR="00FD64FA" w:rsidRPr="005C47B3">
        <w:rPr>
          <w:color w:val="auto"/>
          <w:szCs w:val="24"/>
        </w:rPr>
        <w:t>mortgagor</w:t>
      </w:r>
      <w:r w:rsidR="004B66EC" w:rsidRPr="005C47B3">
        <w:rPr>
          <w:color w:val="auto"/>
          <w:szCs w:val="24"/>
        </w:rPr>
        <w:t xml:space="preserve"> is not paying as agreed, must either, execute a written change to the special forbearance</w:t>
      </w:r>
      <w:r w:rsidR="00023882">
        <w:rPr>
          <w:color w:val="auto"/>
          <w:szCs w:val="24"/>
        </w:rPr>
        <w:t xml:space="preserve"> </w:t>
      </w:r>
      <w:r w:rsidR="00023882" w:rsidRPr="005C47B3">
        <w:rPr>
          <w:color w:val="auto"/>
          <w:szCs w:val="24"/>
        </w:rPr>
        <w:t>unemployment</w:t>
      </w:r>
      <w:r w:rsidR="004B66EC" w:rsidRPr="005C47B3">
        <w:rPr>
          <w:color w:val="auto"/>
          <w:szCs w:val="24"/>
        </w:rPr>
        <w:t xml:space="preserve"> agreement, utilize another loss mitigation option or begin actions to initiate foreclosure.  </w:t>
      </w:r>
    </w:p>
    <w:p w14:paraId="2936D2E6" w14:textId="374588F6" w:rsidR="00AA2541" w:rsidRDefault="00AA2541" w:rsidP="004B66EC">
      <w:pPr>
        <w:pStyle w:val="BodyTextIndent"/>
        <w:ind w:left="720" w:firstLine="0"/>
        <w:rPr>
          <w:color w:val="auto"/>
          <w:szCs w:val="24"/>
        </w:rPr>
      </w:pPr>
    </w:p>
    <w:p w14:paraId="01A4232E" w14:textId="3B67097D" w:rsidR="00AA2541" w:rsidRPr="005C47B3" w:rsidRDefault="00915EAD" w:rsidP="00915EAD">
      <w:pPr>
        <w:pStyle w:val="BodyTextIndent"/>
        <w:ind w:left="720" w:firstLine="0"/>
        <w:rPr>
          <w:color w:val="auto"/>
          <w:szCs w:val="24"/>
        </w:rPr>
      </w:pPr>
      <w:r>
        <w:rPr>
          <w:color w:val="auto"/>
          <w:szCs w:val="24"/>
        </w:rPr>
        <w:t>In addition to SFB Evaluation and SFB Record Retention, t</w:t>
      </w:r>
      <w:r w:rsidR="00AA2541">
        <w:rPr>
          <w:color w:val="auto"/>
          <w:szCs w:val="24"/>
        </w:rPr>
        <w:t xml:space="preserve">he SFB-Unemployment Agreement Option burden hours accounting </w:t>
      </w:r>
      <w:r>
        <w:rPr>
          <w:color w:val="auto"/>
          <w:szCs w:val="24"/>
        </w:rPr>
        <w:t>includes the Mortgagor Activity, SFB Written Plan and Optional HUD Approval.</w:t>
      </w:r>
    </w:p>
    <w:p w14:paraId="42DB32CB" w14:textId="67B50CDF" w:rsidR="004B66EC" w:rsidRDefault="004B66EC" w:rsidP="004B66EC">
      <w:pPr>
        <w:pStyle w:val="BodyTextIndent"/>
        <w:ind w:left="720" w:firstLine="0"/>
        <w:rPr>
          <w:color w:val="auto"/>
          <w:szCs w:val="24"/>
        </w:rPr>
      </w:pPr>
    </w:p>
    <w:p w14:paraId="11E1E1B5" w14:textId="77777777" w:rsidR="00915EAD" w:rsidRDefault="00FC67F4" w:rsidP="004B66EC">
      <w:pPr>
        <w:pStyle w:val="BodyTextIndent"/>
        <w:numPr>
          <w:ilvl w:val="2"/>
          <w:numId w:val="26"/>
        </w:numPr>
        <w:rPr>
          <w:b/>
          <w:color w:val="auto"/>
          <w:szCs w:val="24"/>
          <w:u w:val="single"/>
        </w:rPr>
      </w:pPr>
      <w:r>
        <w:rPr>
          <w:b/>
          <w:color w:val="auto"/>
          <w:szCs w:val="24"/>
          <w:u w:val="single"/>
        </w:rPr>
        <w:t>FHA-</w:t>
      </w:r>
      <w:r w:rsidR="009C3D77">
        <w:rPr>
          <w:b/>
          <w:color w:val="auto"/>
          <w:szCs w:val="24"/>
          <w:u w:val="single"/>
        </w:rPr>
        <w:t>Home Affordable Modification Program (FHA-</w:t>
      </w:r>
      <w:r w:rsidR="004B66EC" w:rsidRPr="005C47B3">
        <w:rPr>
          <w:b/>
          <w:color w:val="auto"/>
          <w:szCs w:val="24"/>
          <w:u w:val="single"/>
        </w:rPr>
        <w:t>HAMP</w:t>
      </w:r>
      <w:r w:rsidR="009C3D77">
        <w:rPr>
          <w:b/>
          <w:color w:val="auto"/>
          <w:szCs w:val="24"/>
          <w:u w:val="single"/>
        </w:rPr>
        <w:t>)</w:t>
      </w:r>
      <w:r w:rsidR="004B66EC" w:rsidRPr="005C47B3">
        <w:rPr>
          <w:b/>
          <w:color w:val="auto"/>
          <w:szCs w:val="24"/>
          <w:u w:val="single"/>
        </w:rPr>
        <w:t xml:space="preserve"> </w:t>
      </w:r>
    </w:p>
    <w:p w14:paraId="43117926" w14:textId="79677AE0" w:rsidR="004B66EC" w:rsidRPr="005C47B3" w:rsidRDefault="004B66EC" w:rsidP="00915EAD">
      <w:pPr>
        <w:pStyle w:val="BodyTextIndent"/>
        <w:ind w:left="1080" w:firstLine="0"/>
        <w:rPr>
          <w:b/>
          <w:color w:val="auto"/>
          <w:szCs w:val="24"/>
          <w:u w:val="single"/>
        </w:rPr>
      </w:pPr>
      <w:r w:rsidRPr="005C47B3">
        <w:rPr>
          <w:b/>
          <w:color w:val="auto"/>
          <w:szCs w:val="24"/>
          <w:u w:val="single"/>
        </w:rPr>
        <w:t>Loan Modification</w:t>
      </w:r>
      <w:r w:rsidR="0032243C">
        <w:rPr>
          <w:b/>
          <w:color w:val="auto"/>
          <w:szCs w:val="24"/>
          <w:u w:val="single"/>
        </w:rPr>
        <w:t xml:space="preserve"> and Partial Claim</w:t>
      </w:r>
      <w:r w:rsidR="00915EAD">
        <w:rPr>
          <w:b/>
          <w:color w:val="auto"/>
          <w:szCs w:val="24"/>
          <w:u w:val="single"/>
        </w:rPr>
        <w:t xml:space="preserve"> Options</w:t>
      </w:r>
    </w:p>
    <w:p w14:paraId="106180B9" w14:textId="1006FCAE" w:rsidR="004B66EC" w:rsidRPr="005C47B3" w:rsidRDefault="004B66EC" w:rsidP="004B66EC">
      <w:pPr>
        <w:pStyle w:val="BodyTextIndent"/>
        <w:ind w:left="720" w:firstLine="0"/>
        <w:rPr>
          <w:color w:val="auto"/>
          <w:szCs w:val="24"/>
        </w:rPr>
      </w:pPr>
    </w:p>
    <w:p w14:paraId="0793EB7D" w14:textId="6167D63E" w:rsidR="004B66EC" w:rsidRDefault="004B66EC" w:rsidP="004B66EC">
      <w:pPr>
        <w:pStyle w:val="BodyTextIndent"/>
        <w:ind w:left="720" w:firstLine="0"/>
        <w:rPr>
          <w:color w:val="auto"/>
          <w:szCs w:val="24"/>
        </w:rPr>
      </w:pPr>
      <w:r w:rsidRPr="005C47B3">
        <w:rPr>
          <w:color w:val="auto"/>
          <w:szCs w:val="24"/>
        </w:rPr>
        <w:t xml:space="preserve">The </w:t>
      </w:r>
      <w:r w:rsidR="009C3D77">
        <w:rPr>
          <w:color w:val="auto"/>
          <w:szCs w:val="24"/>
        </w:rPr>
        <w:t>FHA-</w:t>
      </w:r>
      <w:r w:rsidRPr="005C47B3">
        <w:rPr>
          <w:color w:val="auto"/>
          <w:szCs w:val="24"/>
        </w:rPr>
        <w:t xml:space="preserve">HAMP </w:t>
      </w:r>
      <w:r w:rsidRPr="005C47B3">
        <w:rPr>
          <w:bCs/>
          <w:color w:val="auto"/>
          <w:szCs w:val="24"/>
        </w:rPr>
        <w:t>loan modification</w:t>
      </w:r>
      <w:r w:rsidR="009C3D77">
        <w:rPr>
          <w:bCs/>
          <w:color w:val="auto"/>
          <w:szCs w:val="24"/>
        </w:rPr>
        <w:t xml:space="preserve"> </w:t>
      </w:r>
      <w:r w:rsidR="009C3D77" w:rsidRPr="005C47B3">
        <w:rPr>
          <w:color w:val="auto"/>
          <w:szCs w:val="24"/>
        </w:rPr>
        <w:t>(24 CFR §§ 203.342 and 203.616)</w:t>
      </w:r>
      <w:r w:rsidRPr="005C47B3">
        <w:rPr>
          <w:color w:val="auto"/>
          <w:szCs w:val="24"/>
        </w:rPr>
        <w:t xml:space="preserve"> </w:t>
      </w:r>
      <w:r w:rsidR="0011346C">
        <w:rPr>
          <w:color w:val="auto"/>
          <w:szCs w:val="24"/>
        </w:rPr>
        <w:t>home retention</w:t>
      </w:r>
      <w:r w:rsidR="0011346C" w:rsidRPr="005C47B3">
        <w:rPr>
          <w:color w:val="auto"/>
          <w:szCs w:val="24"/>
        </w:rPr>
        <w:t xml:space="preserve"> </w:t>
      </w:r>
      <w:r w:rsidRPr="005C47B3">
        <w:rPr>
          <w:color w:val="auto"/>
          <w:szCs w:val="24"/>
        </w:rPr>
        <w:t xml:space="preserve">option represents a permanent change to one or more of the terms of a mortgage, that when implemented fully reinstates the loan under payment terms that the </w:t>
      </w:r>
      <w:r w:rsidR="00FD64FA" w:rsidRPr="005C47B3">
        <w:rPr>
          <w:color w:val="auto"/>
          <w:szCs w:val="24"/>
        </w:rPr>
        <w:t>mortgagor</w:t>
      </w:r>
      <w:r w:rsidRPr="005C47B3">
        <w:rPr>
          <w:color w:val="auto"/>
          <w:szCs w:val="24"/>
        </w:rPr>
        <w:t xml:space="preserve"> can afford.  A modification plan may include a change in the interest rate; capitalization of delinquent principal, interest or escrow items; extension of the time available to repay the loan; and/or re-amortization of the balance due.  In addition to the general requirements applicable to all loss mitigation options, the following specific requirements apply to loan modifications:</w:t>
      </w:r>
    </w:p>
    <w:p w14:paraId="6792FDA2" w14:textId="77777777" w:rsidR="00123BFF" w:rsidRPr="005C47B3" w:rsidRDefault="00123BFF" w:rsidP="004B66EC">
      <w:pPr>
        <w:pStyle w:val="BodyTextIndent"/>
        <w:ind w:left="720" w:firstLine="0"/>
        <w:rPr>
          <w:color w:val="auto"/>
          <w:szCs w:val="24"/>
        </w:rPr>
      </w:pPr>
    </w:p>
    <w:p w14:paraId="50BDC951" w14:textId="240A894B" w:rsidR="004B66EC" w:rsidRPr="005C47B3" w:rsidRDefault="004B66EC" w:rsidP="005148E3">
      <w:pPr>
        <w:pStyle w:val="BodyTextIndent"/>
        <w:numPr>
          <w:ilvl w:val="1"/>
          <w:numId w:val="35"/>
        </w:numPr>
        <w:rPr>
          <w:color w:val="auto"/>
          <w:szCs w:val="24"/>
        </w:rPr>
      </w:pPr>
      <w:r w:rsidRPr="005C47B3">
        <w:rPr>
          <w:color w:val="auto"/>
          <w:szCs w:val="24"/>
        </w:rPr>
        <w:t xml:space="preserve">The mortgagee must have determined that the </w:t>
      </w:r>
      <w:r w:rsidR="00FD64FA" w:rsidRPr="005C47B3">
        <w:rPr>
          <w:color w:val="auto"/>
          <w:szCs w:val="24"/>
        </w:rPr>
        <w:t>mortgagor</w:t>
      </w:r>
      <w:r w:rsidRPr="005C47B3">
        <w:rPr>
          <w:color w:val="auto"/>
          <w:szCs w:val="24"/>
        </w:rPr>
        <w:t xml:space="preserve"> had insufficient surplus income to cure the default using a special forbearance and must so document the loan file.</w:t>
      </w:r>
    </w:p>
    <w:p w14:paraId="1BE0F707" w14:textId="77777777" w:rsidR="004B66EC" w:rsidRPr="005C47B3" w:rsidRDefault="004B66EC" w:rsidP="005148E3">
      <w:pPr>
        <w:pStyle w:val="BodyTextIndent"/>
        <w:numPr>
          <w:ilvl w:val="1"/>
          <w:numId w:val="35"/>
        </w:numPr>
        <w:rPr>
          <w:color w:val="auto"/>
          <w:szCs w:val="24"/>
        </w:rPr>
      </w:pPr>
      <w:r w:rsidRPr="005C47B3">
        <w:rPr>
          <w:color w:val="auto"/>
          <w:szCs w:val="24"/>
        </w:rPr>
        <w:t>Title search to determine through an examination of public records the ownership and encumbrances affecting the real property.  FHA does not dictate a specific format for documentation of the modification agreement.  The mortgagee is responsible for ensuring that the modification documentation preserves the first lien status of the FHA insured loan.  In satisfying this requirement, the mortgagee must comply with any applicable state or federal laws and regulations.</w:t>
      </w:r>
    </w:p>
    <w:p w14:paraId="75CEE9B7" w14:textId="7BD220FB" w:rsidR="004B66EC" w:rsidRPr="0032243C" w:rsidRDefault="004B66EC" w:rsidP="005148E3">
      <w:pPr>
        <w:pStyle w:val="BodyTextIndent"/>
        <w:numPr>
          <w:ilvl w:val="1"/>
          <w:numId w:val="35"/>
        </w:numPr>
        <w:rPr>
          <w:color w:val="auto"/>
          <w:szCs w:val="24"/>
        </w:rPr>
      </w:pPr>
      <w:r w:rsidRPr="005C47B3">
        <w:rPr>
          <w:color w:val="auto"/>
          <w:szCs w:val="24"/>
        </w:rPr>
        <w:t>Recording the modification in public records to provide notification to all subsequent interested parties.  The mortgagee will have to make the determination in accordance with state law as to whether it is necessary to record the Modification Agreement to maintain the first lien requirement.</w:t>
      </w:r>
    </w:p>
    <w:p w14:paraId="1DE90685" w14:textId="77777777" w:rsidR="004B66EC" w:rsidRPr="005C47B3" w:rsidRDefault="004B66EC" w:rsidP="004B66EC">
      <w:pPr>
        <w:pStyle w:val="BodyTextIndent"/>
        <w:ind w:left="720" w:firstLine="0"/>
        <w:rPr>
          <w:i/>
          <w:iCs/>
          <w:color w:val="auto"/>
          <w:szCs w:val="24"/>
        </w:rPr>
      </w:pPr>
    </w:p>
    <w:p w14:paraId="0FABEBAB" w14:textId="0D192C63" w:rsidR="004B66EC" w:rsidRDefault="004B66EC" w:rsidP="004B66EC">
      <w:pPr>
        <w:pStyle w:val="BodyTextIndent"/>
        <w:ind w:left="720" w:firstLine="0"/>
        <w:rPr>
          <w:color w:val="auto"/>
        </w:rPr>
      </w:pPr>
      <w:r w:rsidRPr="005C47B3">
        <w:rPr>
          <w:color w:val="auto"/>
          <w:szCs w:val="24"/>
        </w:rPr>
        <w:t>A</w:t>
      </w:r>
      <w:r w:rsidR="004443E2">
        <w:rPr>
          <w:color w:val="auto"/>
          <w:szCs w:val="24"/>
        </w:rPr>
        <w:t>n FHA-HAMP</w:t>
      </w:r>
      <w:r w:rsidRPr="005C47B3">
        <w:rPr>
          <w:color w:val="auto"/>
          <w:szCs w:val="24"/>
        </w:rPr>
        <w:t xml:space="preserve"> </w:t>
      </w:r>
      <w:r w:rsidRPr="005C47B3">
        <w:rPr>
          <w:bCs/>
          <w:color w:val="auto"/>
          <w:szCs w:val="24"/>
        </w:rPr>
        <w:t>partial claim</w:t>
      </w:r>
      <w:r w:rsidRPr="005C47B3">
        <w:rPr>
          <w:color w:val="auto"/>
          <w:szCs w:val="24"/>
        </w:rPr>
        <w:t xml:space="preserve"> </w:t>
      </w:r>
      <w:r w:rsidR="004443E2" w:rsidRPr="006B5549">
        <w:rPr>
          <w:color w:val="auto"/>
        </w:rPr>
        <w:t>(24 CFR §</w:t>
      </w:r>
      <w:r w:rsidR="00E15E06" w:rsidRPr="006B5549">
        <w:rPr>
          <w:color w:val="auto"/>
        </w:rPr>
        <w:t>§</w:t>
      </w:r>
      <w:r w:rsidR="004443E2" w:rsidRPr="006B5549">
        <w:rPr>
          <w:color w:val="auto"/>
        </w:rPr>
        <w:t xml:space="preserve"> 203.371 and 203.414)</w:t>
      </w:r>
      <w:r w:rsidR="004443E2">
        <w:rPr>
          <w:color w:val="auto"/>
        </w:rPr>
        <w:t xml:space="preserve"> </w:t>
      </w:r>
      <w:r w:rsidRPr="005C47B3">
        <w:rPr>
          <w:color w:val="auto"/>
          <w:szCs w:val="24"/>
        </w:rPr>
        <w:t>is a</w:t>
      </w:r>
      <w:r w:rsidR="0011346C">
        <w:rPr>
          <w:color w:val="auto"/>
          <w:szCs w:val="24"/>
        </w:rPr>
        <w:t xml:space="preserve"> home retention</w:t>
      </w:r>
      <w:r w:rsidRPr="005C47B3">
        <w:rPr>
          <w:color w:val="auto"/>
          <w:szCs w:val="24"/>
        </w:rPr>
        <w:t xml:space="preserve"> option wherein a lender may advance funds on behalf of a </w:t>
      </w:r>
      <w:r w:rsidR="00FD64FA" w:rsidRPr="005C47B3">
        <w:rPr>
          <w:color w:val="auto"/>
          <w:szCs w:val="24"/>
        </w:rPr>
        <w:t>mortgagor</w:t>
      </w:r>
      <w:r w:rsidRPr="005C47B3">
        <w:rPr>
          <w:color w:val="auto"/>
          <w:szCs w:val="24"/>
        </w:rPr>
        <w:t xml:space="preserve"> in an amount necessary to reinstate a delinquent loan</w:t>
      </w:r>
      <w:r w:rsidR="00E15E06">
        <w:rPr>
          <w:color w:val="auto"/>
          <w:szCs w:val="24"/>
        </w:rPr>
        <w:t>.</w:t>
      </w:r>
      <w:r w:rsidRPr="005C47B3">
        <w:rPr>
          <w:color w:val="auto"/>
          <w:szCs w:val="24"/>
        </w:rPr>
        <w:t xml:space="preserve"> </w:t>
      </w:r>
      <w:r w:rsidR="00E15E06">
        <w:rPr>
          <w:color w:val="auto"/>
          <w:szCs w:val="24"/>
        </w:rPr>
        <w:t>T</w:t>
      </w:r>
      <w:r w:rsidRPr="005C47B3">
        <w:rPr>
          <w:color w:val="auto"/>
          <w:szCs w:val="24"/>
        </w:rPr>
        <w:t xml:space="preserve">he </w:t>
      </w:r>
      <w:r w:rsidR="00832705">
        <w:rPr>
          <w:color w:val="auto"/>
          <w:szCs w:val="24"/>
        </w:rPr>
        <w:t>maximum cumulative value</w:t>
      </w:r>
      <w:r w:rsidR="00907A6D">
        <w:rPr>
          <w:color w:val="auto"/>
          <w:szCs w:val="24"/>
        </w:rPr>
        <w:t xml:space="preserve"> of all partial claims paid with respect to a Mortgage must not exc</w:t>
      </w:r>
      <w:r w:rsidRPr="005C47B3">
        <w:rPr>
          <w:color w:val="auto"/>
          <w:szCs w:val="24"/>
        </w:rPr>
        <w:t>e</w:t>
      </w:r>
      <w:r w:rsidR="00907A6D">
        <w:rPr>
          <w:color w:val="auto"/>
          <w:szCs w:val="24"/>
        </w:rPr>
        <w:t>ed 30 percent of the Mortgage’s unpaid principal balance</w:t>
      </w:r>
      <w:r w:rsidRPr="006B5549">
        <w:rPr>
          <w:color w:val="auto"/>
        </w:rPr>
        <w:t xml:space="preserve">.  The </w:t>
      </w:r>
      <w:r w:rsidR="00FD64FA">
        <w:rPr>
          <w:color w:val="auto"/>
        </w:rPr>
        <w:t>mortgagor</w:t>
      </w:r>
      <w:r w:rsidRPr="006B5549">
        <w:rPr>
          <w:color w:val="auto"/>
        </w:rPr>
        <w:t>, upon acceptance of the advance, will execute a promissory note and subordinate mortgage payable to HUD</w:t>
      </w:r>
      <w:r w:rsidR="00907A6D">
        <w:rPr>
          <w:color w:val="auto"/>
        </w:rPr>
        <w:t>.</w:t>
      </w:r>
      <w:r w:rsidRPr="006B5549">
        <w:rPr>
          <w:color w:val="auto"/>
        </w:rPr>
        <w:t xml:space="preserve"> In addition to the general requirements applicable to all loss mitigation options, the following specific requirements apply to partial claims:</w:t>
      </w:r>
    </w:p>
    <w:p w14:paraId="19C88119" w14:textId="77777777" w:rsidR="00123BFF" w:rsidRPr="006B5549" w:rsidRDefault="00123BFF" w:rsidP="004B66EC">
      <w:pPr>
        <w:pStyle w:val="BodyTextIndent"/>
        <w:ind w:left="720" w:firstLine="0"/>
        <w:rPr>
          <w:color w:val="auto"/>
        </w:rPr>
      </w:pPr>
    </w:p>
    <w:p w14:paraId="517CC04F" w14:textId="702F9329" w:rsidR="004B66EC" w:rsidRPr="006B5549" w:rsidRDefault="004B66EC" w:rsidP="005148E3">
      <w:pPr>
        <w:pStyle w:val="BodyTextIndent"/>
        <w:numPr>
          <w:ilvl w:val="0"/>
          <w:numId w:val="36"/>
        </w:numPr>
        <w:rPr>
          <w:color w:val="auto"/>
        </w:rPr>
      </w:pPr>
      <w:r w:rsidRPr="006B5549">
        <w:rPr>
          <w:color w:val="auto"/>
        </w:rPr>
        <w:t xml:space="preserve">The mortgagee must have determined that the </w:t>
      </w:r>
      <w:r w:rsidR="00FD64FA">
        <w:rPr>
          <w:color w:val="auto"/>
        </w:rPr>
        <w:t>mortgagor</w:t>
      </w:r>
      <w:r w:rsidRPr="006B5549">
        <w:rPr>
          <w:color w:val="auto"/>
        </w:rPr>
        <w:t xml:space="preserve"> would be unable to reinstate the delinquency using either a special forbearance or mortgage modification and must so document the loan file.</w:t>
      </w:r>
    </w:p>
    <w:p w14:paraId="39EA7197" w14:textId="77777777" w:rsidR="004B66EC" w:rsidRPr="006B5549" w:rsidRDefault="004B66EC" w:rsidP="005148E3">
      <w:pPr>
        <w:pStyle w:val="BodyTextIndent"/>
        <w:numPr>
          <w:ilvl w:val="0"/>
          <w:numId w:val="36"/>
        </w:numPr>
        <w:rPr>
          <w:color w:val="auto"/>
        </w:rPr>
      </w:pPr>
      <w:r w:rsidRPr="006B5549">
        <w:rPr>
          <w:color w:val="auto"/>
        </w:rPr>
        <w:t xml:space="preserve">Title search to determine through an examination of public records the ownership and encumbrances affecting the real property.  </w:t>
      </w:r>
    </w:p>
    <w:p w14:paraId="72146DFE" w14:textId="7FA32E8A" w:rsidR="004B66EC" w:rsidRPr="006B5549" w:rsidRDefault="004B66EC" w:rsidP="005148E3">
      <w:pPr>
        <w:pStyle w:val="BodyTextIndent"/>
        <w:numPr>
          <w:ilvl w:val="0"/>
          <w:numId w:val="36"/>
        </w:numPr>
        <w:rPr>
          <w:color w:val="auto"/>
        </w:rPr>
      </w:pPr>
      <w:r w:rsidRPr="006B5549">
        <w:rPr>
          <w:color w:val="auto"/>
        </w:rPr>
        <w:t xml:space="preserve">Recording the partial claim lien in public records to provide notification to all subsequent interested parties.  Although HUD does not prescribe a lien priority requirement for partial claims, the mortgagee must ensure timely recordation of the subordinate mortgage.  A promissory note must be executed in the name of the Secretary and a subordinate mortgage must be obtained and recorded.  The mortgagee must include the provisions of HUD’s model </w:t>
      </w:r>
      <w:r w:rsidR="00907A6D">
        <w:rPr>
          <w:color w:val="auto"/>
        </w:rPr>
        <w:t xml:space="preserve">document, </w:t>
      </w:r>
      <w:r w:rsidR="00907A6D" w:rsidRPr="00907A6D">
        <w:rPr>
          <w:i/>
          <w:color w:val="auto"/>
        </w:rPr>
        <w:t>FHA-HAMP Partial Claim Note and S</w:t>
      </w:r>
      <w:r w:rsidRPr="00907A6D">
        <w:rPr>
          <w:i/>
          <w:color w:val="auto"/>
        </w:rPr>
        <w:t xml:space="preserve">ubordinate </w:t>
      </w:r>
      <w:r w:rsidR="00907A6D" w:rsidRPr="00907A6D">
        <w:rPr>
          <w:i/>
          <w:color w:val="auto"/>
        </w:rPr>
        <w:t>M</w:t>
      </w:r>
      <w:r w:rsidRPr="00907A6D">
        <w:rPr>
          <w:i/>
          <w:color w:val="auto"/>
        </w:rPr>
        <w:t>ortgage</w:t>
      </w:r>
      <w:r w:rsidRPr="006B5549">
        <w:rPr>
          <w:color w:val="auto"/>
        </w:rPr>
        <w:t xml:space="preserve"> (as provided in </w:t>
      </w:r>
      <w:r w:rsidR="00907A6D">
        <w:rPr>
          <w:color w:val="auto"/>
        </w:rPr>
        <w:t>HUD’s HB 4000.1 Supplemental Documents</w:t>
      </w:r>
      <w:r w:rsidRPr="006B5549">
        <w:rPr>
          <w:color w:val="auto"/>
        </w:rPr>
        <w:t>) and make any amendments required by state</w:t>
      </w:r>
      <w:r w:rsidR="00907A6D">
        <w:rPr>
          <w:color w:val="auto"/>
        </w:rPr>
        <w:t xml:space="preserve"> or federal</w:t>
      </w:r>
      <w:r w:rsidRPr="006B5549">
        <w:rPr>
          <w:color w:val="auto"/>
        </w:rPr>
        <w:t xml:space="preserve"> law</w:t>
      </w:r>
      <w:r w:rsidR="00907A6D">
        <w:rPr>
          <w:color w:val="auto"/>
        </w:rPr>
        <w:t xml:space="preserve"> or regulation</w:t>
      </w:r>
      <w:r w:rsidRPr="006B5549">
        <w:rPr>
          <w:color w:val="auto"/>
        </w:rPr>
        <w:t>s.  While HUD does not endorse the products or services of vendors, the Department is aware that state specific documents are commercially available.  Mortgagees who take advantage of the convenience of purchasing these documents should review them prior to use.</w:t>
      </w:r>
    </w:p>
    <w:p w14:paraId="14CC95B3" w14:textId="16C8DA66" w:rsidR="004B66EC" w:rsidRPr="006B5549" w:rsidRDefault="004B66EC" w:rsidP="005148E3">
      <w:pPr>
        <w:pStyle w:val="BodyTextIndent"/>
        <w:numPr>
          <w:ilvl w:val="0"/>
          <w:numId w:val="36"/>
        </w:numPr>
        <w:rPr>
          <w:color w:val="auto"/>
        </w:rPr>
      </w:pPr>
      <w:r w:rsidRPr="006B5549">
        <w:rPr>
          <w:color w:val="auto"/>
        </w:rPr>
        <w:t xml:space="preserve">The mortgagee must deliver the original </w:t>
      </w:r>
      <w:r w:rsidR="00285311">
        <w:rPr>
          <w:color w:val="auto"/>
        </w:rPr>
        <w:t xml:space="preserve">partial claim </w:t>
      </w:r>
      <w:r w:rsidRPr="006B5549">
        <w:rPr>
          <w:color w:val="auto"/>
        </w:rPr>
        <w:t>credit and security instruments to HUD.</w:t>
      </w:r>
    </w:p>
    <w:p w14:paraId="0797A136" w14:textId="326F48E8" w:rsidR="004B66EC" w:rsidRDefault="004B66EC" w:rsidP="005148E3">
      <w:pPr>
        <w:pStyle w:val="BodyTextIndent"/>
        <w:numPr>
          <w:ilvl w:val="0"/>
          <w:numId w:val="36"/>
        </w:numPr>
        <w:rPr>
          <w:color w:val="auto"/>
        </w:rPr>
      </w:pPr>
      <w:r w:rsidRPr="006B5549">
        <w:rPr>
          <w:color w:val="auto"/>
        </w:rPr>
        <w:t>Though not currently required, the mortgagee could be required to service the partial claim note and subordinate mortgage.</w:t>
      </w:r>
    </w:p>
    <w:p w14:paraId="724CBB8D" w14:textId="04C4172C" w:rsidR="00285311" w:rsidRDefault="00285311" w:rsidP="00285311">
      <w:pPr>
        <w:pStyle w:val="BodyTextIndent"/>
        <w:rPr>
          <w:color w:val="auto"/>
        </w:rPr>
      </w:pPr>
    </w:p>
    <w:p w14:paraId="71B9ABB4" w14:textId="3E17262D" w:rsidR="00285311" w:rsidRDefault="00285311" w:rsidP="00285311">
      <w:pPr>
        <w:pStyle w:val="BodyTextIndent"/>
        <w:ind w:left="720"/>
        <w:rPr>
          <w:color w:val="auto"/>
        </w:rPr>
      </w:pPr>
      <w:r>
        <w:rPr>
          <w:color w:val="auto"/>
        </w:rPr>
        <w:tab/>
        <w:t xml:space="preserve">The mortgagee may offer an FHA-HAMP combination loan modification partial claim for mortgagees </w:t>
      </w:r>
      <w:r w:rsidR="005D538C">
        <w:rPr>
          <w:color w:val="auto"/>
        </w:rPr>
        <w:t xml:space="preserve">in default or imminent default. The combination may be used by a mortgagee when establishing an affordable monthly payment that requires a partial claim in an amount needed to cover arrearages, legal fees and foreclosure costs, and principal deferment. </w:t>
      </w:r>
    </w:p>
    <w:p w14:paraId="2D0AF872" w14:textId="219C99D3" w:rsidR="004443E2" w:rsidRDefault="004443E2" w:rsidP="004443E2">
      <w:pPr>
        <w:pStyle w:val="BodyTextIndent"/>
        <w:rPr>
          <w:color w:val="auto"/>
        </w:rPr>
      </w:pPr>
    </w:p>
    <w:p w14:paraId="2C83DFCB" w14:textId="31104707" w:rsidR="005148E3" w:rsidRPr="005D538C" w:rsidRDefault="00915EAD" w:rsidP="005D538C">
      <w:pPr>
        <w:pStyle w:val="BodyTextIndent"/>
        <w:ind w:left="720" w:firstLine="0"/>
        <w:rPr>
          <w:color w:val="auto"/>
          <w:szCs w:val="24"/>
        </w:rPr>
      </w:pPr>
      <w:r>
        <w:rPr>
          <w:color w:val="auto"/>
          <w:szCs w:val="24"/>
        </w:rPr>
        <w:t>In addition to FHA-HAMP Evaluation and FHA-HAMP Record Retention, the FHA-HAMP Options burden hours accounting includes the Mortgagor Activity</w:t>
      </w:r>
      <w:r w:rsidR="00D42270">
        <w:rPr>
          <w:color w:val="auto"/>
          <w:szCs w:val="24"/>
        </w:rPr>
        <w:t xml:space="preserve"> and the FHA-HAMP</w:t>
      </w:r>
      <w:r>
        <w:rPr>
          <w:color w:val="auto"/>
          <w:szCs w:val="24"/>
        </w:rPr>
        <w:t xml:space="preserve"> Written Plan.</w:t>
      </w:r>
    </w:p>
    <w:p w14:paraId="124A0214" w14:textId="77777777" w:rsidR="005148E3" w:rsidRDefault="005148E3" w:rsidP="00B16D32">
      <w:pPr>
        <w:pStyle w:val="BodyTextIndent"/>
        <w:rPr>
          <w:b/>
          <w:bCs/>
          <w:szCs w:val="24"/>
          <w:u w:val="single"/>
        </w:rPr>
      </w:pPr>
    </w:p>
    <w:p w14:paraId="2ECCB3D4" w14:textId="20BB8816" w:rsidR="00B16D32" w:rsidRPr="005C47B3" w:rsidRDefault="005148E3" w:rsidP="00B16D32">
      <w:pPr>
        <w:pStyle w:val="BodyTextIndent"/>
        <w:rPr>
          <w:color w:val="auto"/>
          <w:szCs w:val="24"/>
        </w:rPr>
      </w:pPr>
      <w:r>
        <w:rPr>
          <w:b/>
          <w:bCs/>
          <w:szCs w:val="24"/>
          <w:u w:val="single"/>
        </w:rPr>
        <w:t xml:space="preserve">FHA </w:t>
      </w:r>
      <w:r w:rsidR="00B16D32" w:rsidRPr="004446C0">
        <w:rPr>
          <w:b/>
          <w:bCs/>
          <w:szCs w:val="24"/>
          <w:u w:val="single"/>
        </w:rPr>
        <w:t>Loss Mitigatio</w:t>
      </w:r>
      <w:r w:rsidR="00606FE7">
        <w:rPr>
          <w:b/>
          <w:bCs/>
          <w:szCs w:val="24"/>
          <w:u w:val="single"/>
        </w:rPr>
        <w:t>n</w:t>
      </w:r>
      <w:r w:rsidR="00B16D32">
        <w:rPr>
          <w:b/>
          <w:bCs/>
          <w:u w:val="single"/>
        </w:rPr>
        <w:t xml:space="preserve"> </w:t>
      </w:r>
      <w:r w:rsidR="00B16D32" w:rsidRPr="004446C0">
        <w:rPr>
          <w:b/>
          <w:bCs/>
          <w:szCs w:val="24"/>
          <w:u w:val="single"/>
        </w:rPr>
        <w:t xml:space="preserve">Home </w:t>
      </w:r>
      <w:r w:rsidR="00B16D32">
        <w:rPr>
          <w:b/>
          <w:bCs/>
          <w:szCs w:val="24"/>
          <w:u w:val="single"/>
        </w:rPr>
        <w:t>Disposition</w:t>
      </w:r>
      <w:r w:rsidR="00B16D32" w:rsidRPr="004446C0">
        <w:rPr>
          <w:b/>
          <w:bCs/>
          <w:szCs w:val="24"/>
          <w:u w:val="single"/>
        </w:rPr>
        <w:t xml:space="preserve"> </w:t>
      </w:r>
      <w:r w:rsidR="00B16D32">
        <w:rPr>
          <w:b/>
          <w:bCs/>
          <w:u w:val="single"/>
        </w:rPr>
        <w:t>Options</w:t>
      </w:r>
      <w:r w:rsidR="00505419">
        <w:rPr>
          <w:b/>
          <w:bCs/>
          <w:u w:val="single"/>
        </w:rPr>
        <w:t xml:space="preserve"> </w:t>
      </w:r>
    </w:p>
    <w:p w14:paraId="7D48F815" w14:textId="323D4DB5" w:rsidR="004B66EC" w:rsidRPr="006B5549" w:rsidRDefault="004B66EC" w:rsidP="00907A6D">
      <w:pPr>
        <w:pStyle w:val="BodyTextIndent"/>
        <w:ind w:left="0" w:firstLine="0"/>
        <w:rPr>
          <w:color w:val="auto"/>
        </w:rPr>
      </w:pPr>
      <w:r w:rsidRPr="006B5549">
        <w:rPr>
          <w:color w:val="auto"/>
        </w:rPr>
        <w:t xml:space="preserve">    </w:t>
      </w:r>
      <w:r w:rsidRPr="006B5549">
        <w:rPr>
          <w:color w:val="auto"/>
        </w:rPr>
        <w:tab/>
        <w:t xml:space="preserve">  </w:t>
      </w:r>
    </w:p>
    <w:p w14:paraId="73624B04" w14:textId="010DBBAC" w:rsidR="004B66EC" w:rsidRPr="007445B7" w:rsidRDefault="004B66EC" w:rsidP="004B66EC">
      <w:pPr>
        <w:pStyle w:val="BodyTextIndent"/>
        <w:numPr>
          <w:ilvl w:val="0"/>
          <w:numId w:val="28"/>
        </w:numPr>
        <w:rPr>
          <w:b/>
          <w:i/>
          <w:iCs/>
          <w:color w:val="auto"/>
          <w:u w:val="single"/>
        </w:rPr>
      </w:pPr>
      <w:r w:rsidRPr="007445B7">
        <w:rPr>
          <w:b/>
          <w:iCs/>
          <w:color w:val="auto"/>
          <w:u w:val="single"/>
        </w:rPr>
        <w:t>Pre-Foreclosure Sale</w:t>
      </w:r>
      <w:r w:rsidR="00D42270">
        <w:rPr>
          <w:b/>
          <w:iCs/>
          <w:color w:val="auto"/>
          <w:u w:val="single"/>
        </w:rPr>
        <w:t xml:space="preserve"> Option</w:t>
      </w:r>
    </w:p>
    <w:p w14:paraId="1CE4CF5E" w14:textId="77777777" w:rsidR="004B66EC" w:rsidRPr="006B5549" w:rsidRDefault="004B66EC" w:rsidP="004B66EC">
      <w:pPr>
        <w:pStyle w:val="BodyTextIndent"/>
        <w:ind w:left="0" w:firstLine="0"/>
        <w:rPr>
          <w:color w:val="auto"/>
        </w:rPr>
      </w:pPr>
    </w:p>
    <w:p w14:paraId="73745B25" w14:textId="1909AAB1" w:rsidR="0099779F" w:rsidRDefault="004B66EC" w:rsidP="004B66EC">
      <w:pPr>
        <w:pStyle w:val="BodyTextIndent"/>
        <w:ind w:left="720" w:firstLine="0"/>
        <w:rPr>
          <w:color w:val="auto"/>
        </w:rPr>
      </w:pPr>
      <w:r w:rsidRPr="006B5549">
        <w:rPr>
          <w:color w:val="auto"/>
        </w:rPr>
        <w:t>The</w:t>
      </w:r>
      <w:r w:rsidRPr="006B5549">
        <w:rPr>
          <w:b/>
          <w:bCs/>
          <w:color w:val="auto"/>
        </w:rPr>
        <w:t xml:space="preserve"> </w:t>
      </w:r>
      <w:r w:rsidRPr="006B5549">
        <w:rPr>
          <w:color w:val="auto"/>
        </w:rPr>
        <w:t xml:space="preserve">pre-foreclosure sale (PFS) </w:t>
      </w:r>
      <w:r w:rsidR="008D4A4D" w:rsidRPr="006B5549">
        <w:rPr>
          <w:color w:val="auto"/>
        </w:rPr>
        <w:t>(24 CFR §§ 203.356, 203.370</w:t>
      </w:r>
      <w:r w:rsidR="00DC6474">
        <w:rPr>
          <w:color w:val="auto"/>
        </w:rPr>
        <w:t>,</w:t>
      </w:r>
      <w:r w:rsidR="008D4A4D" w:rsidRPr="006B5549">
        <w:rPr>
          <w:color w:val="auto"/>
        </w:rPr>
        <w:t xml:space="preserve"> 203.401</w:t>
      </w:r>
      <w:r w:rsidR="00244E92">
        <w:rPr>
          <w:color w:val="auto"/>
        </w:rPr>
        <w:t>, 203.402 and 203.403)</w:t>
      </w:r>
      <w:r w:rsidR="008119B8">
        <w:rPr>
          <w:color w:val="auto"/>
        </w:rPr>
        <w:t xml:space="preserve">, also known </w:t>
      </w:r>
      <w:r w:rsidR="0099779F">
        <w:rPr>
          <w:color w:val="auto"/>
        </w:rPr>
        <w:t>as a Short Sale, refers to the sale of real estate that generates proceeds that are less than the amount owed on the Property and the lien holders agree to release their liens and forgive the deficiency</w:t>
      </w:r>
      <w:r w:rsidR="008D4A4D">
        <w:rPr>
          <w:color w:val="auto"/>
        </w:rPr>
        <w:t xml:space="preserve"> </w:t>
      </w:r>
      <w:r w:rsidR="0099779F">
        <w:rPr>
          <w:color w:val="auto"/>
        </w:rPr>
        <w:t>balance on the real estate. There are three types of PFS transactions: Streamlined PFS; Streamlined PFS for Servicemembe</w:t>
      </w:r>
      <w:r w:rsidR="00740554">
        <w:rPr>
          <w:color w:val="auto"/>
        </w:rPr>
        <w:t>r</w:t>
      </w:r>
      <w:r w:rsidR="0099779F">
        <w:rPr>
          <w:color w:val="auto"/>
        </w:rPr>
        <w:t>s with Permanent Change of Station Orders; and Standard PFS.</w:t>
      </w:r>
    </w:p>
    <w:p w14:paraId="1C0348AE" w14:textId="4507FEA5" w:rsidR="0099779F" w:rsidRDefault="0099779F" w:rsidP="004B66EC">
      <w:pPr>
        <w:pStyle w:val="BodyTextIndent"/>
        <w:ind w:left="720" w:firstLine="0"/>
        <w:rPr>
          <w:color w:val="auto"/>
        </w:rPr>
      </w:pPr>
    </w:p>
    <w:p w14:paraId="1ED10765" w14:textId="600FDB73" w:rsidR="004C09EC" w:rsidRDefault="0099779F" w:rsidP="004B66EC">
      <w:pPr>
        <w:pStyle w:val="BodyTextIndent"/>
        <w:ind w:left="720" w:firstLine="0"/>
        <w:rPr>
          <w:color w:val="auto"/>
        </w:rPr>
      </w:pPr>
      <w:r>
        <w:rPr>
          <w:color w:val="auto"/>
        </w:rPr>
        <w:t>Th</w:t>
      </w:r>
      <w:r w:rsidR="00740554">
        <w:rPr>
          <w:color w:val="auto"/>
        </w:rPr>
        <w:t>e</w:t>
      </w:r>
      <w:r>
        <w:rPr>
          <w:color w:val="auto"/>
        </w:rPr>
        <w:t xml:space="preserve"> Mortgagee may consider the PFS Option for </w:t>
      </w:r>
      <w:r w:rsidR="00244E92">
        <w:rPr>
          <w:color w:val="auto"/>
        </w:rPr>
        <w:t>mortgag</w:t>
      </w:r>
      <w:r w:rsidR="00740554">
        <w:rPr>
          <w:color w:val="auto"/>
        </w:rPr>
        <w:t xml:space="preserve">ors, who are in default or who are current but facing </w:t>
      </w:r>
      <w:r w:rsidR="00244E92">
        <w:rPr>
          <w:color w:val="auto"/>
        </w:rPr>
        <w:t>i</w:t>
      </w:r>
      <w:r w:rsidR="00740554">
        <w:rPr>
          <w:color w:val="auto"/>
        </w:rPr>
        <w:t xml:space="preserve">mminent </w:t>
      </w:r>
      <w:r w:rsidR="00244E92">
        <w:rPr>
          <w:color w:val="auto"/>
        </w:rPr>
        <w:t>d</w:t>
      </w:r>
      <w:r w:rsidR="00740554">
        <w:rPr>
          <w:color w:val="auto"/>
        </w:rPr>
        <w:t xml:space="preserve">efault. The </w:t>
      </w:r>
      <w:r w:rsidR="00244E92">
        <w:rPr>
          <w:color w:val="auto"/>
        </w:rPr>
        <w:t>mortgag</w:t>
      </w:r>
      <w:r w:rsidR="00740554">
        <w:rPr>
          <w:color w:val="auto"/>
        </w:rPr>
        <w:t xml:space="preserve">or need not be in </w:t>
      </w:r>
      <w:r w:rsidR="00244E92">
        <w:rPr>
          <w:color w:val="auto"/>
        </w:rPr>
        <w:t>d</w:t>
      </w:r>
      <w:r w:rsidR="00740554">
        <w:rPr>
          <w:color w:val="auto"/>
        </w:rPr>
        <w:t xml:space="preserve">efault for </w:t>
      </w:r>
      <w:r w:rsidR="00244E92">
        <w:rPr>
          <w:color w:val="auto"/>
        </w:rPr>
        <w:t>m</w:t>
      </w:r>
      <w:r w:rsidR="00740554">
        <w:rPr>
          <w:color w:val="auto"/>
        </w:rPr>
        <w:t xml:space="preserve">ortgagee approval of the PFS option; however, on the date the PFS closing occurs, the </w:t>
      </w:r>
      <w:r w:rsidR="00244E92">
        <w:rPr>
          <w:color w:val="auto"/>
        </w:rPr>
        <w:t>m</w:t>
      </w:r>
      <w:r w:rsidR="00740554">
        <w:rPr>
          <w:color w:val="auto"/>
        </w:rPr>
        <w:t xml:space="preserve">ortgagee must ensure that the </w:t>
      </w:r>
      <w:r w:rsidR="00244E92">
        <w:rPr>
          <w:color w:val="auto"/>
        </w:rPr>
        <w:t>m</w:t>
      </w:r>
      <w:r w:rsidR="00740554">
        <w:rPr>
          <w:color w:val="auto"/>
        </w:rPr>
        <w:t xml:space="preserve">ortgage is in </w:t>
      </w:r>
      <w:r w:rsidR="00244E92">
        <w:rPr>
          <w:color w:val="auto"/>
        </w:rPr>
        <w:t>d</w:t>
      </w:r>
      <w:r w:rsidR="00740554">
        <w:rPr>
          <w:color w:val="auto"/>
        </w:rPr>
        <w:t xml:space="preserve">efault status (minimum 31 days delinquent). </w:t>
      </w:r>
    </w:p>
    <w:p w14:paraId="538B1CCD" w14:textId="30FD35F0" w:rsidR="004C09EC" w:rsidRDefault="004C09EC" w:rsidP="004B66EC">
      <w:pPr>
        <w:pStyle w:val="BodyTextIndent"/>
        <w:ind w:left="720" w:firstLine="0"/>
        <w:rPr>
          <w:color w:val="auto"/>
        </w:rPr>
      </w:pPr>
    </w:p>
    <w:p w14:paraId="51CDE019" w14:textId="3A2115C7" w:rsidR="00DA1618" w:rsidRPr="00705226" w:rsidRDefault="00705226" w:rsidP="00705226">
      <w:pPr>
        <w:pStyle w:val="BodyTextIndent"/>
        <w:ind w:left="720"/>
        <w:rPr>
          <w:color w:val="auto"/>
        </w:rPr>
      </w:pPr>
      <w:bookmarkStart w:id="4" w:name="_Hlk878847"/>
      <w:r>
        <w:rPr>
          <w:color w:val="auto"/>
          <w:szCs w:val="24"/>
        </w:rPr>
        <w:tab/>
      </w:r>
      <w:r w:rsidR="00D42270">
        <w:rPr>
          <w:color w:val="auto"/>
          <w:szCs w:val="24"/>
        </w:rPr>
        <w:t>In addition to PFS Evaluation and PFS Record Retention, the Pre-Foreclosure Sale Option burden hours accounting includes the Mortgagor Activity, PFS Claim for Benefits, Request for Financial Information</w:t>
      </w:r>
      <w:bookmarkEnd w:id="4"/>
      <w:r w:rsidR="00D42270">
        <w:rPr>
          <w:color w:val="auto"/>
          <w:szCs w:val="24"/>
        </w:rPr>
        <w:t xml:space="preserve">, PFS Denial as well as </w:t>
      </w:r>
      <w:r w:rsidR="00505419">
        <w:rPr>
          <w:color w:val="auto"/>
        </w:rPr>
        <w:t>the</w:t>
      </w:r>
      <w:r w:rsidR="00D42270">
        <w:rPr>
          <w:color w:val="auto"/>
        </w:rPr>
        <w:t xml:space="preserve"> following listed</w:t>
      </w:r>
      <w:r w:rsidR="00505419">
        <w:rPr>
          <w:color w:val="auto"/>
        </w:rPr>
        <w:t xml:space="preserve"> names and use of each </w:t>
      </w:r>
      <w:r>
        <w:rPr>
          <w:color w:val="auto"/>
        </w:rPr>
        <w:t>f</w:t>
      </w:r>
      <w:r w:rsidR="00505419">
        <w:rPr>
          <w:color w:val="auto"/>
        </w:rPr>
        <w:t>orm</w:t>
      </w:r>
      <w:r w:rsidR="00D42270">
        <w:rPr>
          <w:color w:val="auto"/>
        </w:rPr>
        <w:t>.</w:t>
      </w:r>
      <w:r w:rsidR="00C3443E">
        <w:rPr>
          <w:color w:val="auto"/>
        </w:rPr>
        <w:t xml:space="preserve"> </w:t>
      </w:r>
    </w:p>
    <w:p w14:paraId="54BB1496" w14:textId="12029CB3" w:rsidR="0033535B" w:rsidRDefault="007B695C" w:rsidP="00D42270">
      <w:pPr>
        <w:pStyle w:val="BodyTextIndent"/>
        <w:ind w:left="720" w:firstLine="0"/>
        <w:rPr>
          <w:color w:val="FF0000"/>
        </w:rPr>
      </w:pPr>
      <w:r>
        <w:rPr>
          <w:color w:val="FF0000"/>
        </w:rPr>
        <w:t xml:space="preserve"> </w:t>
      </w:r>
    </w:p>
    <w:p w14:paraId="62E95DA9" w14:textId="5503E6A9" w:rsidR="001A0159" w:rsidRPr="00004255" w:rsidRDefault="007B695C" w:rsidP="00F0356A">
      <w:pPr>
        <w:pStyle w:val="BodyTextIndent3"/>
        <w:tabs>
          <w:tab w:val="left" w:pos="360"/>
          <w:tab w:val="num" w:pos="720"/>
        </w:tabs>
        <w:ind w:left="1080"/>
        <w:rPr>
          <w:sz w:val="24"/>
          <w:szCs w:val="24"/>
        </w:rPr>
      </w:pPr>
      <w:r w:rsidRPr="00004255">
        <w:rPr>
          <w:b/>
          <w:sz w:val="24"/>
          <w:szCs w:val="24"/>
        </w:rPr>
        <w:t>Form HUD- 27011</w:t>
      </w:r>
      <w:r w:rsidRPr="00004255">
        <w:rPr>
          <w:sz w:val="24"/>
          <w:szCs w:val="24"/>
        </w:rPr>
        <w:t xml:space="preserve">, </w:t>
      </w:r>
      <w:r w:rsidRPr="00004255">
        <w:rPr>
          <w:i/>
          <w:sz w:val="24"/>
          <w:szCs w:val="24"/>
        </w:rPr>
        <w:t>Single-Family Application for Insurance Benefits</w:t>
      </w:r>
      <w:r w:rsidR="0033535B" w:rsidRPr="00004255">
        <w:rPr>
          <w:i/>
          <w:sz w:val="24"/>
          <w:szCs w:val="24"/>
        </w:rPr>
        <w:t xml:space="preserve"> </w:t>
      </w:r>
      <w:r w:rsidR="0033535B" w:rsidRPr="00004255">
        <w:rPr>
          <w:sz w:val="24"/>
          <w:szCs w:val="24"/>
        </w:rPr>
        <w:t>is a multi-use form submitted electronically via FHA Connection</w:t>
      </w:r>
      <w:r w:rsidR="00DD6B41">
        <w:rPr>
          <w:sz w:val="24"/>
          <w:szCs w:val="24"/>
        </w:rPr>
        <w:t xml:space="preserve"> </w:t>
      </w:r>
      <w:r w:rsidR="00726462">
        <w:rPr>
          <w:sz w:val="24"/>
          <w:szCs w:val="24"/>
        </w:rPr>
        <w:t xml:space="preserve">that </w:t>
      </w:r>
      <w:r w:rsidR="00DD6B41">
        <w:rPr>
          <w:sz w:val="24"/>
          <w:szCs w:val="24"/>
        </w:rPr>
        <w:t xml:space="preserve">is </w:t>
      </w:r>
      <w:r w:rsidR="00726462">
        <w:rPr>
          <w:sz w:val="24"/>
          <w:szCs w:val="24"/>
        </w:rPr>
        <w:t>being updated with</w:t>
      </w:r>
      <w:r w:rsidR="00DD6B41" w:rsidRPr="00004255">
        <w:rPr>
          <w:sz w:val="24"/>
          <w:szCs w:val="24"/>
        </w:rPr>
        <w:t xml:space="preserve"> non-substantive changes to the certification and false claims warning statement to explicitly state that the signer is certifying under penalty of perjury and help to not only discourage fraud but also help effectively prosecute it when it does happen. </w:t>
      </w:r>
      <w:r w:rsidR="009B1DBB" w:rsidRPr="00004255">
        <w:rPr>
          <w:sz w:val="24"/>
          <w:szCs w:val="24"/>
        </w:rPr>
        <w:t>Th</w:t>
      </w:r>
      <w:r w:rsidR="00004255">
        <w:rPr>
          <w:sz w:val="24"/>
          <w:szCs w:val="24"/>
        </w:rPr>
        <w:t xml:space="preserve">e </w:t>
      </w:r>
      <w:r w:rsidR="009B1DBB" w:rsidRPr="00004255">
        <w:rPr>
          <w:sz w:val="24"/>
          <w:szCs w:val="24"/>
        </w:rPr>
        <w:t>f</w:t>
      </w:r>
      <w:r w:rsidRPr="00004255">
        <w:rPr>
          <w:sz w:val="24"/>
          <w:szCs w:val="24"/>
        </w:rPr>
        <w:t>il</w:t>
      </w:r>
      <w:r w:rsidR="00004255">
        <w:rPr>
          <w:sz w:val="24"/>
          <w:szCs w:val="24"/>
        </w:rPr>
        <w:t xml:space="preserve">ing of </w:t>
      </w:r>
      <w:r w:rsidRPr="00004255">
        <w:rPr>
          <w:sz w:val="24"/>
          <w:szCs w:val="24"/>
        </w:rPr>
        <w:t>a claim for FHA-Insurance benefits</w:t>
      </w:r>
      <w:r w:rsidR="009B1DBB" w:rsidRPr="00004255">
        <w:rPr>
          <w:sz w:val="24"/>
          <w:szCs w:val="24"/>
        </w:rPr>
        <w:t xml:space="preserve"> for </w:t>
      </w:r>
      <w:r w:rsidRPr="00004255">
        <w:rPr>
          <w:sz w:val="24"/>
          <w:szCs w:val="24"/>
        </w:rPr>
        <w:t xml:space="preserve">claim types PFS and </w:t>
      </w:r>
      <w:r w:rsidR="0033535B" w:rsidRPr="00004255">
        <w:rPr>
          <w:bCs/>
          <w:sz w:val="24"/>
          <w:szCs w:val="24"/>
        </w:rPr>
        <w:t>Deed-in-Lieu of Foreclosure</w:t>
      </w:r>
      <w:r w:rsidR="00004255">
        <w:rPr>
          <w:bCs/>
          <w:sz w:val="24"/>
          <w:szCs w:val="24"/>
        </w:rPr>
        <w:t xml:space="preserve"> are covered in this PRA</w:t>
      </w:r>
      <w:r w:rsidR="009B1DBB" w:rsidRPr="00004255">
        <w:rPr>
          <w:bCs/>
          <w:sz w:val="24"/>
          <w:szCs w:val="24"/>
        </w:rPr>
        <w:t>.</w:t>
      </w:r>
      <w:r w:rsidR="00004255">
        <w:rPr>
          <w:bCs/>
          <w:sz w:val="24"/>
          <w:szCs w:val="24"/>
        </w:rPr>
        <w:t xml:space="preserve"> Mortgage insurance claims for Home Equity Conversion Mortgages (HECM) also utilizes form HUD-27011</w:t>
      </w:r>
      <w:r w:rsidR="00DC56BD">
        <w:rPr>
          <w:bCs/>
          <w:sz w:val="24"/>
          <w:szCs w:val="24"/>
        </w:rPr>
        <w:t>, where</w:t>
      </w:r>
      <w:r w:rsidR="00004255">
        <w:rPr>
          <w:bCs/>
          <w:sz w:val="24"/>
          <w:szCs w:val="24"/>
        </w:rPr>
        <w:t xml:space="preserve"> </w:t>
      </w:r>
      <w:r w:rsidR="00FA48EB">
        <w:rPr>
          <w:bCs/>
          <w:sz w:val="24"/>
          <w:szCs w:val="24"/>
        </w:rPr>
        <w:t>this HECM</w:t>
      </w:r>
      <w:r w:rsidR="00004255">
        <w:rPr>
          <w:bCs/>
          <w:sz w:val="24"/>
          <w:szCs w:val="24"/>
        </w:rPr>
        <w:t xml:space="preserve"> information collection is reported under existing OMB control number 2502-0611. </w:t>
      </w:r>
      <w:r w:rsidR="008D1586">
        <w:rPr>
          <w:bCs/>
          <w:sz w:val="24"/>
          <w:szCs w:val="24"/>
        </w:rPr>
        <w:t>A</w:t>
      </w:r>
      <w:r w:rsidR="00004255">
        <w:rPr>
          <w:bCs/>
          <w:sz w:val="24"/>
          <w:szCs w:val="24"/>
        </w:rPr>
        <w:t>ll other filing of claims for insurance benefits and conveyances to the Department are covered</w:t>
      </w:r>
      <w:r w:rsidR="00DD6B41">
        <w:rPr>
          <w:bCs/>
          <w:sz w:val="24"/>
          <w:szCs w:val="24"/>
        </w:rPr>
        <w:t xml:space="preserve"> under existing OMB control number 2502-0429.</w:t>
      </w:r>
      <w:r w:rsidRPr="00004255">
        <w:rPr>
          <w:sz w:val="24"/>
          <w:szCs w:val="24"/>
        </w:rPr>
        <w:t xml:space="preserve"> </w:t>
      </w:r>
    </w:p>
    <w:p w14:paraId="7249B0BB" w14:textId="77777777" w:rsidR="00505419" w:rsidRDefault="00505419" w:rsidP="00C3443E">
      <w:pPr>
        <w:pStyle w:val="BodyTextIndent"/>
        <w:ind w:left="0" w:firstLine="0"/>
        <w:rPr>
          <w:color w:val="auto"/>
        </w:rPr>
      </w:pPr>
    </w:p>
    <w:p w14:paraId="100DF1CB" w14:textId="17485CBC" w:rsidR="00505419" w:rsidRPr="00C3443E" w:rsidRDefault="00505419" w:rsidP="00C3443E">
      <w:pPr>
        <w:pStyle w:val="BodyTextIndent"/>
        <w:tabs>
          <w:tab w:val="clear" w:pos="360"/>
          <w:tab w:val="left" w:pos="0"/>
        </w:tabs>
        <w:ind w:left="1080"/>
        <w:rPr>
          <w:color w:val="FF0000"/>
          <w:szCs w:val="24"/>
        </w:rPr>
      </w:pPr>
      <w:r>
        <w:rPr>
          <w:b/>
          <w:color w:val="auto"/>
        </w:rPr>
        <w:tab/>
      </w:r>
      <w:r w:rsidRPr="00B23C24">
        <w:rPr>
          <w:b/>
          <w:color w:val="auto"/>
        </w:rPr>
        <w:t>Form HUD- 90035</w:t>
      </w:r>
      <w:r>
        <w:rPr>
          <w:color w:val="auto"/>
        </w:rPr>
        <w:t xml:space="preserve">, </w:t>
      </w:r>
      <w:r>
        <w:rPr>
          <w:i/>
          <w:color w:val="auto"/>
        </w:rPr>
        <w:t>Information Sheet Pre-foreclosure Sale Procedure</w:t>
      </w:r>
      <w:r w:rsidR="00C3443E">
        <w:rPr>
          <w:i/>
          <w:color w:val="auto"/>
        </w:rPr>
        <w:t xml:space="preserve">: </w:t>
      </w:r>
      <w:r w:rsidRPr="00357E89">
        <w:rPr>
          <w:szCs w:val="24"/>
        </w:rPr>
        <w:t>When a Borrower has</w:t>
      </w:r>
      <w:r>
        <w:rPr>
          <w:szCs w:val="24"/>
        </w:rPr>
        <w:t xml:space="preserve"> </w:t>
      </w:r>
      <w:r w:rsidRPr="00357E89">
        <w:rPr>
          <w:szCs w:val="24"/>
        </w:rPr>
        <w:t>expressed an interest in participating in the PFS program or has been identified by the Mortgagee as a qualified candidate for the PFS Program, the Mortgagee must mail form HUD-90035,</w:t>
      </w:r>
      <w:r w:rsidRPr="00357E89">
        <w:rPr>
          <w:i/>
          <w:iCs/>
          <w:szCs w:val="24"/>
        </w:rPr>
        <w:t xml:space="preserve"> </w:t>
      </w:r>
      <w:r w:rsidRPr="00357E89">
        <w:rPr>
          <w:szCs w:val="24"/>
        </w:rPr>
        <w:t>adding its toll-free or collect telephone number to the form.</w:t>
      </w:r>
      <w:r>
        <w:rPr>
          <w:szCs w:val="24"/>
        </w:rPr>
        <w:t xml:space="preserve"> This </w:t>
      </w:r>
      <w:r w:rsidR="00C3443E">
        <w:rPr>
          <w:szCs w:val="24"/>
        </w:rPr>
        <w:t>policy</w:t>
      </w:r>
      <w:r>
        <w:rPr>
          <w:szCs w:val="24"/>
        </w:rPr>
        <w:t xml:space="preserve"> is listed in FHA’s Single Family Housing Policy Handbook 4000.1, Section III.A.</w:t>
      </w:r>
    </w:p>
    <w:p w14:paraId="0201B5F7" w14:textId="77777777" w:rsidR="00505419" w:rsidRPr="00357E89" w:rsidRDefault="00505419" w:rsidP="00505419">
      <w:pPr>
        <w:pStyle w:val="BodyTextIndent"/>
        <w:ind w:left="720" w:firstLine="0"/>
        <w:rPr>
          <w:color w:val="auto"/>
          <w:szCs w:val="24"/>
        </w:rPr>
      </w:pPr>
    </w:p>
    <w:p w14:paraId="16AE8792" w14:textId="0D5035DE" w:rsidR="00505419" w:rsidRPr="00C3443E" w:rsidRDefault="00505419" w:rsidP="00C3443E">
      <w:pPr>
        <w:pStyle w:val="BodyTextIndent"/>
        <w:ind w:left="1080" w:firstLine="0"/>
        <w:rPr>
          <w:color w:val="FF0000"/>
          <w:szCs w:val="24"/>
        </w:rPr>
      </w:pPr>
      <w:r w:rsidRPr="00B23C24">
        <w:rPr>
          <w:b/>
          <w:color w:val="auto"/>
        </w:rPr>
        <w:t>Form HUD- 900</w:t>
      </w:r>
      <w:r>
        <w:rPr>
          <w:b/>
          <w:color w:val="auto"/>
        </w:rPr>
        <w:t>41</w:t>
      </w:r>
      <w:r>
        <w:rPr>
          <w:color w:val="auto"/>
        </w:rPr>
        <w:t xml:space="preserve">, </w:t>
      </w:r>
      <w:r>
        <w:rPr>
          <w:i/>
          <w:color w:val="auto"/>
        </w:rPr>
        <w:t>Request for Variance Pre-foreclosure Sale Procedure</w:t>
      </w:r>
      <w:r w:rsidR="00C3443E">
        <w:rPr>
          <w:i/>
          <w:color w:val="auto"/>
        </w:rPr>
        <w:t>:</w:t>
      </w:r>
      <w:r>
        <w:rPr>
          <w:i/>
          <w:color w:val="auto"/>
        </w:rPr>
        <w:t xml:space="preserve"> </w:t>
      </w:r>
      <w:r w:rsidRPr="00357E89">
        <w:rPr>
          <w:color w:val="auto"/>
        </w:rPr>
        <w:t>Upon receipt of the Government’s Estimate of the Cost to Repair, the Mortgagee must submit form HUD-90041</w:t>
      </w:r>
      <w:r w:rsidR="00C3443E">
        <w:rPr>
          <w:color w:val="auto"/>
        </w:rPr>
        <w:t>to HUD</w:t>
      </w:r>
      <w:r w:rsidRPr="00357E89">
        <w:rPr>
          <w:color w:val="auto"/>
        </w:rPr>
        <w:t xml:space="preserve"> via </w:t>
      </w:r>
      <w:r w:rsidR="00C3443E">
        <w:rPr>
          <w:color w:val="auto"/>
        </w:rPr>
        <w:t>the Extensions and Variances Automated Requests System (</w:t>
      </w:r>
      <w:r w:rsidRPr="00357E89">
        <w:rPr>
          <w:color w:val="auto"/>
        </w:rPr>
        <w:t>EVARS</w:t>
      </w:r>
      <w:r w:rsidR="00C3443E">
        <w:rPr>
          <w:color w:val="auto"/>
        </w:rPr>
        <w:t>)</w:t>
      </w:r>
      <w:r w:rsidRPr="00357E89">
        <w:rPr>
          <w:color w:val="auto"/>
        </w:rPr>
        <w:t xml:space="preserve"> to obtain approval prior to entering into a PFS Agreement with the Borrower. The Mortgagee must note on the </w:t>
      </w:r>
      <w:r w:rsidR="00C3443E">
        <w:rPr>
          <w:color w:val="auto"/>
        </w:rPr>
        <w:t>form</w:t>
      </w:r>
      <w:r w:rsidRPr="00357E89">
        <w:rPr>
          <w:color w:val="auto"/>
        </w:rPr>
        <w:t xml:space="preserve"> the specific reason for the request and attach any supporting documents needed for the </w:t>
      </w:r>
      <w:r w:rsidR="00C3443E">
        <w:rPr>
          <w:color w:val="auto"/>
        </w:rPr>
        <w:t>Department</w:t>
      </w:r>
      <w:r w:rsidRPr="00357E89">
        <w:rPr>
          <w:color w:val="auto"/>
        </w:rPr>
        <w:t>’s review.</w:t>
      </w:r>
      <w:r>
        <w:rPr>
          <w:color w:val="auto"/>
        </w:rPr>
        <w:t xml:space="preserve"> </w:t>
      </w:r>
      <w:r>
        <w:rPr>
          <w:szCs w:val="24"/>
        </w:rPr>
        <w:t>This guidance is listed in FHA’s Single Family Housing Policy Handbook 4000.1, Section III.A.2.</w:t>
      </w:r>
      <w:r w:rsidR="00C3443E">
        <w:rPr>
          <w:szCs w:val="24"/>
        </w:rPr>
        <w:t>l</w:t>
      </w:r>
      <w:r>
        <w:rPr>
          <w:szCs w:val="24"/>
        </w:rPr>
        <w:t>.</w:t>
      </w:r>
      <w:r w:rsidR="00C3443E">
        <w:rPr>
          <w:szCs w:val="24"/>
        </w:rPr>
        <w:t xml:space="preserve"> </w:t>
      </w:r>
    </w:p>
    <w:p w14:paraId="4093A06B" w14:textId="77777777" w:rsidR="00505419" w:rsidRPr="00357E89" w:rsidRDefault="00505419" w:rsidP="00505419">
      <w:pPr>
        <w:pStyle w:val="BodyTextIndent"/>
        <w:ind w:left="720" w:firstLine="0"/>
        <w:rPr>
          <w:color w:val="auto"/>
        </w:rPr>
      </w:pPr>
    </w:p>
    <w:p w14:paraId="4CBCAE80" w14:textId="03AF580C" w:rsidR="00505419" w:rsidRPr="00C3443E" w:rsidRDefault="00505419" w:rsidP="00C3443E">
      <w:pPr>
        <w:pStyle w:val="BodyTextIndent"/>
        <w:ind w:left="1080" w:firstLine="0"/>
        <w:rPr>
          <w:color w:val="FF0000"/>
          <w:szCs w:val="24"/>
        </w:rPr>
      </w:pPr>
      <w:r w:rsidRPr="00B23C24">
        <w:rPr>
          <w:b/>
          <w:color w:val="auto"/>
        </w:rPr>
        <w:t>Form HUD- 900</w:t>
      </w:r>
      <w:r>
        <w:rPr>
          <w:b/>
          <w:color w:val="auto"/>
        </w:rPr>
        <w:t>4</w:t>
      </w:r>
      <w:r w:rsidRPr="00B23C24">
        <w:rPr>
          <w:b/>
          <w:color w:val="auto"/>
        </w:rPr>
        <w:t>5</w:t>
      </w:r>
      <w:r>
        <w:rPr>
          <w:color w:val="auto"/>
        </w:rPr>
        <w:t xml:space="preserve">, </w:t>
      </w:r>
      <w:r>
        <w:rPr>
          <w:i/>
          <w:color w:val="auto"/>
        </w:rPr>
        <w:t>Approval to Participate Property Sales Information Property Occupancy and Maintenance Pre-foreclosure Sale Procedure</w:t>
      </w:r>
      <w:r w:rsidR="00C3443E">
        <w:rPr>
          <w:i/>
          <w:color w:val="auto"/>
        </w:rPr>
        <w:t>:</w:t>
      </w:r>
      <w:r>
        <w:rPr>
          <w:i/>
          <w:color w:val="auto"/>
        </w:rPr>
        <w:t xml:space="preserve"> </w:t>
      </w:r>
      <w:r w:rsidRPr="00A038AA">
        <w:rPr>
          <w:color w:val="auto"/>
        </w:rPr>
        <w:t>After determining that a Borrower and Property meet the PFS eligibility requirements, the Mortgagee must notify the Borrower by sending</w:t>
      </w:r>
      <w:r>
        <w:rPr>
          <w:color w:val="auto"/>
        </w:rPr>
        <w:t xml:space="preserve"> </w:t>
      </w:r>
      <w:r w:rsidRPr="00A038AA">
        <w:rPr>
          <w:color w:val="auto"/>
        </w:rPr>
        <w:t>an Approval to Participate in the PFS Program</w:t>
      </w:r>
      <w:r w:rsidR="00C3443E">
        <w:rPr>
          <w:color w:val="auto"/>
        </w:rPr>
        <w:t>,</w:t>
      </w:r>
      <w:r w:rsidRPr="00A038AA">
        <w:rPr>
          <w:color w:val="auto"/>
        </w:rPr>
        <w:t xml:space="preserve"> form HUD-90045</w:t>
      </w:r>
      <w:r>
        <w:rPr>
          <w:color w:val="auto"/>
        </w:rPr>
        <w:t xml:space="preserve">. </w:t>
      </w:r>
      <w:r>
        <w:rPr>
          <w:szCs w:val="24"/>
        </w:rPr>
        <w:t>This guidance is listed in FHA’s Single Family Housing Policy Handbook 4000.1, Section III.A.2.</w:t>
      </w:r>
      <w:r w:rsidR="00C3443E">
        <w:rPr>
          <w:szCs w:val="24"/>
        </w:rPr>
        <w:t>l</w:t>
      </w:r>
      <w:r>
        <w:rPr>
          <w:szCs w:val="24"/>
        </w:rPr>
        <w:t>.</w:t>
      </w:r>
      <w:r w:rsidR="00C3443E">
        <w:rPr>
          <w:szCs w:val="24"/>
        </w:rPr>
        <w:t xml:space="preserve"> </w:t>
      </w:r>
    </w:p>
    <w:p w14:paraId="7D7F380B" w14:textId="77777777" w:rsidR="00505419" w:rsidRPr="00A038AA" w:rsidRDefault="00505419" w:rsidP="00505419">
      <w:pPr>
        <w:pStyle w:val="BodyTextIndent"/>
        <w:ind w:left="720"/>
        <w:rPr>
          <w:color w:val="auto"/>
        </w:rPr>
      </w:pPr>
    </w:p>
    <w:p w14:paraId="5690FB84" w14:textId="36BE8466" w:rsidR="00505419" w:rsidRPr="00C3443E" w:rsidRDefault="00505419" w:rsidP="00C3443E">
      <w:pPr>
        <w:pStyle w:val="BodyTextIndent"/>
        <w:ind w:left="1080" w:firstLine="0"/>
        <w:rPr>
          <w:color w:val="FF0000"/>
          <w:szCs w:val="24"/>
        </w:rPr>
      </w:pPr>
      <w:r w:rsidRPr="00B23C24">
        <w:rPr>
          <w:b/>
          <w:color w:val="auto"/>
        </w:rPr>
        <w:t>Form HUD- 9005</w:t>
      </w:r>
      <w:r>
        <w:rPr>
          <w:b/>
          <w:color w:val="auto"/>
        </w:rPr>
        <w:t>1</w:t>
      </w:r>
      <w:r>
        <w:rPr>
          <w:color w:val="auto"/>
        </w:rPr>
        <w:t xml:space="preserve">, </w:t>
      </w:r>
      <w:r>
        <w:rPr>
          <w:i/>
          <w:color w:val="auto"/>
        </w:rPr>
        <w:t>Sales Contract Review Pre-foreclosure Sale Procedure</w:t>
      </w:r>
      <w:r w:rsidR="00C3443E">
        <w:rPr>
          <w:i/>
          <w:color w:val="auto"/>
        </w:rPr>
        <w:t>:</w:t>
      </w:r>
      <w:r>
        <w:rPr>
          <w:i/>
          <w:color w:val="auto"/>
        </w:rPr>
        <w:t xml:space="preserve"> </w:t>
      </w:r>
      <w:r>
        <w:rPr>
          <w:sz w:val="23"/>
          <w:szCs w:val="23"/>
        </w:rPr>
        <w:t xml:space="preserve">After receiving an executed Contract of Sale from the Borrower, the Mortgagee must send to the Borrower form HUD-90051 no later than five business days from the Mortgagee’s receipt of an executed Contract for Sale. </w:t>
      </w:r>
      <w:r>
        <w:rPr>
          <w:szCs w:val="24"/>
        </w:rPr>
        <w:t>This guidance is listed in FHA’s Single Family Housing Policy Handbook 4000.1, Section III.A.2.</w:t>
      </w:r>
      <w:r w:rsidR="00C3443E">
        <w:rPr>
          <w:szCs w:val="24"/>
        </w:rPr>
        <w:t>l</w:t>
      </w:r>
      <w:r>
        <w:rPr>
          <w:szCs w:val="24"/>
        </w:rPr>
        <w:t>.</w:t>
      </w:r>
      <w:r w:rsidR="00C3443E">
        <w:rPr>
          <w:szCs w:val="24"/>
        </w:rPr>
        <w:t xml:space="preserve"> </w:t>
      </w:r>
    </w:p>
    <w:p w14:paraId="130DDA03" w14:textId="77777777" w:rsidR="00505419" w:rsidRPr="00547713" w:rsidRDefault="00505419" w:rsidP="00505419">
      <w:pPr>
        <w:pStyle w:val="BodyTextIndent"/>
        <w:ind w:left="720" w:firstLine="0"/>
        <w:rPr>
          <w:color w:val="auto"/>
        </w:rPr>
      </w:pPr>
    </w:p>
    <w:p w14:paraId="15715D84" w14:textId="224D3B60" w:rsidR="00505419" w:rsidRDefault="00505419" w:rsidP="00C3443E">
      <w:pPr>
        <w:pStyle w:val="BodyTextIndent"/>
        <w:ind w:left="1080" w:firstLine="0"/>
        <w:rPr>
          <w:szCs w:val="24"/>
        </w:rPr>
      </w:pPr>
      <w:r w:rsidRPr="00B23C24">
        <w:rPr>
          <w:b/>
          <w:color w:val="auto"/>
        </w:rPr>
        <w:t>Form HUD- 9005</w:t>
      </w:r>
      <w:r>
        <w:rPr>
          <w:b/>
          <w:color w:val="auto"/>
        </w:rPr>
        <w:t>2</w:t>
      </w:r>
      <w:r>
        <w:rPr>
          <w:color w:val="auto"/>
        </w:rPr>
        <w:t xml:space="preserve">, </w:t>
      </w:r>
      <w:r>
        <w:rPr>
          <w:i/>
          <w:color w:val="auto"/>
        </w:rPr>
        <w:t>Closing Worksheet Pre-foreclosure Sale Procedure</w:t>
      </w:r>
      <w:r w:rsidR="00C3443E">
        <w:rPr>
          <w:i/>
          <w:color w:val="auto"/>
        </w:rPr>
        <w:t>:</w:t>
      </w:r>
      <w:r>
        <w:rPr>
          <w:i/>
          <w:color w:val="auto"/>
        </w:rPr>
        <w:t xml:space="preserve"> </w:t>
      </w:r>
      <w:r w:rsidRPr="005F473C">
        <w:rPr>
          <w:color w:val="auto"/>
        </w:rPr>
        <w:t>Prior to closing, the Mortgagee must provide the Closing Agent with</w:t>
      </w:r>
      <w:r>
        <w:rPr>
          <w:color w:val="auto"/>
        </w:rPr>
        <w:t xml:space="preserve"> </w:t>
      </w:r>
      <w:r w:rsidRPr="005F473C">
        <w:rPr>
          <w:color w:val="auto"/>
        </w:rPr>
        <w:t>form HUD-90052, Closing Worksheet, which lists all amounts payable from Net Sale Proceeds</w:t>
      </w:r>
      <w:r>
        <w:rPr>
          <w:color w:val="auto"/>
        </w:rPr>
        <w:t xml:space="preserve">. The Mortgagee must </w:t>
      </w:r>
      <w:r w:rsidR="00C3443E">
        <w:rPr>
          <w:color w:val="auto"/>
        </w:rPr>
        <w:t xml:space="preserve">also </w:t>
      </w:r>
      <w:r>
        <w:rPr>
          <w:color w:val="auto"/>
        </w:rPr>
        <w:t xml:space="preserve">ensure that </w:t>
      </w:r>
      <w:r w:rsidR="00C3443E">
        <w:rPr>
          <w:color w:val="auto"/>
        </w:rPr>
        <w:t xml:space="preserve">this completed </w:t>
      </w:r>
      <w:r>
        <w:rPr>
          <w:color w:val="auto"/>
        </w:rPr>
        <w:t xml:space="preserve">form HUD-90052 is included in the Claim Review File. </w:t>
      </w:r>
      <w:r>
        <w:rPr>
          <w:szCs w:val="24"/>
        </w:rPr>
        <w:t>This guidance is listed in FHA’s Single Family Housing Policy Handbook 4000.1, Section III.A.2.</w:t>
      </w:r>
      <w:r w:rsidR="00C3443E">
        <w:rPr>
          <w:szCs w:val="24"/>
        </w:rPr>
        <w:t>l</w:t>
      </w:r>
      <w:r>
        <w:rPr>
          <w:szCs w:val="24"/>
        </w:rPr>
        <w:t>.</w:t>
      </w:r>
      <w:r w:rsidR="00C3443E">
        <w:rPr>
          <w:szCs w:val="24"/>
        </w:rPr>
        <w:t xml:space="preserve"> </w:t>
      </w:r>
    </w:p>
    <w:p w14:paraId="07EBA1AD" w14:textId="75A62E7B" w:rsidR="00705226" w:rsidRDefault="00705226" w:rsidP="00C3443E">
      <w:pPr>
        <w:pStyle w:val="BodyTextIndent"/>
        <w:ind w:left="1080" w:firstLine="0"/>
        <w:rPr>
          <w:color w:val="FF0000"/>
          <w:szCs w:val="24"/>
        </w:rPr>
      </w:pPr>
    </w:p>
    <w:p w14:paraId="67A6E4D1" w14:textId="77777777" w:rsidR="00705226" w:rsidRDefault="00705226" w:rsidP="00C3443E">
      <w:pPr>
        <w:pStyle w:val="BodyTextIndent"/>
        <w:ind w:left="1080" w:firstLine="0"/>
        <w:rPr>
          <w:color w:val="auto"/>
        </w:rPr>
      </w:pPr>
      <w:r w:rsidRPr="00705226">
        <w:rPr>
          <w:b/>
          <w:color w:val="auto"/>
        </w:rPr>
        <w:t>Pamphlet HUD-2008-5-FHA</w:t>
      </w:r>
      <w:r w:rsidRPr="0033535B">
        <w:rPr>
          <w:color w:val="auto"/>
        </w:rPr>
        <w:t xml:space="preserve">, </w:t>
      </w:r>
      <w:r w:rsidRPr="0033535B">
        <w:rPr>
          <w:i/>
          <w:color w:val="auto"/>
        </w:rPr>
        <w:t xml:space="preserve">Save Your Home, Tips to Avoid Foreclosure </w:t>
      </w:r>
      <w:r>
        <w:rPr>
          <w:color w:val="auto"/>
        </w:rPr>
        <w:t xml:space="preserve">and the </w:t>
      </w:r>
      <w:r w:rsidRPr="00705226">
        <w:rPr>
          <w:b/>
          <w:color w:val="auto"/>
        </w:rPr>
        <w:t>Notice of Foreclosure</w:t>
      </w:r>
      <w:r>
        <w:rPr>
          <w:color w:val="auto"/>
        </w:rPr>
        <w:t xml:space="preserve"> previously </w:t>
      </w:r>
      <w:r w:rsidRPr="0033535B">
        <w:rPr>
          <w:color w:val="auto"/>
        </w:rPr>
        <w:t xml:space="preserve">reported burden hours are </w:t>
      </w:r>
      <w:r>
        <w:rPr>
          <w:color w:val="auto"/>
        </w:rPr>
        <w:t>remov</w:t>
      </w:r>
      <w:r w:rsidRPr="0033535B">
        <w:rPr>
          <w:color w:val="auto"/>
        </w:rPr>
        <w:t xml:space="preserve">ed from this collection </w:t>
      </w:r>
      <w:r>
        <w:rPr>
          <w:color w:val="auto"/>
        </w:rPr>
        <w:t xml:space="preserve">to avoid double counting because these two items </w:t>
      </w:r>
      <w:r w:rsidRPr="0033535B">
        <w:rPr>
          <w:color w:val="auto"/>
        </w:rPr>
        <w:t>a</w:t>
      </w:r>
      <w:r>
        <w:rPr>
          <w:color w:val="auto"/>
        </w:rPr>
        <w:t>re</w:t>
      </w:r>
      <w:r w:rsidRPr="0033535B">
        <w:rPr>
          <w:color w:val="auto"/>
        </w:rPr>
        <w:t xml:space="preserve"> reported under existing OMB Control Number 2502-</w:t>
      </w:r>
      <w:r w:rsidRPr="00705226">
        <w:rPr>
          <w:color w:val="auto"/>
        </w:rPr>
        <w:t>0584</w:t>
      </w:r>
      <w:r>
        <w:rPr>
          <w:color w:val="auto"/>
        </w:rPr>
        <w:t xml:space="preserve">. </w:t>
      </w:r>
    </w:p>
    <w:p w14:paraId="41A37DF2" w14:textId="77777777" w:rsidR="00705226" w:rsidRDefault="00705226" w:rsidP="00C3443E">
      <w:pPr>
        <w:pStyle w:val="BodyTextIndent"/>
        <w:ind w:left="1080" w:firstLine="0"/>
        <w:rPr>
          <w:color w:val="auto"/>
        </w:rPr>
      </w:pPr>
    </w:p>
    <w:p w14:paraId="03520D36" w14:textId="14FDA321" w:rsidR="00705226" w:rsidRPr="00C3443E" w:rsidRDefault="00705226" w:rsidP="00913B07">
      <w:pPr>
        <w:pStyle w:val="BodyTextIndent"/>
        <w:ind w:left="1080" w:firstLine="0"/>
        <w:rPr>
          <w:color w:val="FF0000"/>
          <w:szCs w:val="24"/>
        </w:rPr>
      </w:pPr>
      <w:r w:rsidRPr="00115BEF">
        <w:rPr>
          <w:color w:val="auto"/>
        </w:rPr>
        <w:t xml:space="preserve">A PFS must be reported to national credit bureaus as a “short sale.” Mortgagees will be responsible for filing information </w:t>
      </w:r>
      <w:r w:rsidR="00123BFF">
        <w:rPr>
          <w:color w:val="auto"/>
        </w:rPr>
        <w:t>to</w:t>
      </w:r>
      <w:r w:rsidRPr="00115BEF">
        <w:rPr>
          <w:color w:val="auto"/>
        </w:rPr>
        <w:t xml:space="preserve"> </w:t>
      </w:r>
      <w:r w:rsidRPr="00123BFF">
        <w:rPr>
          <w:b/>
          <w:color w:val="auto"/>
        </w:rPr>
        <w:t>Form 1099-A</w:t>
      </w:r>
      <w:r>
        <w:rPr>
          <w:color w:val="auto"/>
        </w:rPr>
        <w:t xml:space="preserve">, </w:t>
      </w:r>
      <w:r w:rsidRPr="00115BEF">
        <w:rPr>
          <w:i/>
          <w:color w:val="auto"/>
        </w:rPr>
        <w:t>Acquisition or Abandonment of Secured Property</w:t>
      </w:r>
      <w:r>
        <w:rPr>
          <w:i/>
          <w:color w:val="auto"/>
        </w:rPr>
        <w:t>,</w:t>
      </w:r>
      <w:r w:rsidRPr="00115BEF">
        <w:rPr>
          <w:color w:val="auto"/>
        </w:rPr>
        <w:t xml:space="preserve"> with the IRS and reporting any discharge of indebtedness, in accordance with the Internal Revenue Code.</w:t>
      </w:r>
    </w:p>
    <w:p w14:paraId="391D3BD0" w14:textId="77777777" w:rsidR="00505419" w:rsidRPr="005F473C" w:rsidRDefault="00505419" w:rsidP="00505419">
      <w:pPr>
        <w:pStyle w:val="BodyTextIndent"/>
        <w:ind w:left="720"/>
        <w:rPr>
          <w:color w:val="auto"/>
        </w:rPr>
      </w:pPr>
    </w:p>
    <w:p w14:paraId="6838709F" w14:textId="5EE8B80A" w:rsidR="004C09EC" w:rsidRPr="00115BEF" w:rsidRDefault="004C09EC" w:rsidP="001D1730">
      <w:pPr>
        <w:pStyle w:val="BodyTextIndent"/>
        <w:numPr>
          <w:ilvl w:val="0"/>
          <w:numId w:val="30"/>
        </w:numPr>
        <w:rPr>
          <w:color w:val="auto"/>
          <w:szCs w:val="24"/>
        </w:rPr>
      </w:pPr>
      <w:r w:rsidRPr="00115BEF">
        <w:rPr>
          <w:b/>
          <w:color w:val="auto"/>
          <w:u w:val="single"/>
        </w:rPr>
        <w:t>Deed-in-lieu of Foreclosure</w:t>
      </w:r>
      <w:r w:rsidR="001D1730" w:rsidRPr="00115BEF">
        <w:rPr>
          <w:b/>
          <w:color w:val="auto"/>
          <w:u w:val="single"/>
        </w:rPr>
        <w:t xml:space="preserve"> </w:t>
      </w:r>
    </w:p>
    <w:p w14:paraId="58456B76" w14:textId="77777777" w:rsidR="004C09EC" w:rsidRPr="00115BEF" w:rsidRDefault="004C09EC" w:rsidP="004C09EC">
      <w:pPr>
        <w:pStyle w:val="BodyTextIndent"/>
        <w:ind w:left="720" w:firstLine="0"/>
        <w:rPr>
          <w:color w:val="auto"/>
        </w:rPr>
      </w:pPr>
      <w:r w:rsidRPr="00115BEF">
        <w:rPr>
          <w:color w:val="auto"/>
        </w:rPr>
        <w:tab/>
      </w:r>
    </w:p>
    <w:p w14:paraId="2BC97C2F" w14:textId="22B93D5D" w:rsidR="00AF144A" w:rsidRPr="00115BEF" w:rsidRDefault="004C09EC" w:rsidP="00AF144A">
      <w:pPr>
        <w:pStyle w:val="BodyTextIndent"/>
        <w:ind w:left="720" w:firstLine="0"/>
        <w:rPr>
          <w:color w:val="auto"/>
        </w:rPr>
      </w:pPr>
      <w:r w:rsidRPr="00115BEF">
        <w:rPr>
          <w:color w:val="auto"/>
        </w:rPr>
        <w:t>A</w:t>
      </w:r>
      <w:r w:rsidRPr="00115BEF">
        <w:rPr>
          <w:b/>
          <w:bCs/>
          <w:color w:val="auto"/>
        </w:rPr>
        <w:t xml:space="preserve"> </w:t>
      </w:r>
      <w:r w:rsidRPr="00115BEF">
        <w:rPr>
          <w:bCs/>
          <w:color w:val="auto"/>
        </w:rPr>
        <w:t xml:space="preserve">Deed-in-Lieu of Foreclosure (DIL) </w:t>
      </w:r>
      <w:r w:rsidRPr="00115BEF">
        <w:rPr>
          <w:color w:val="auto"/>
        </w:rPr>
        <w:t>(24 CFR §</w:t>
      </w:r>
      <w:r w:rsidR="00244E92">
        <w:rPr>
          <w:color w:val="auto"/>
        </w:rPr>
        <w:t>§</w:t>
      </w:r>
      <w:r w:rsidR="00BF0F23">
        <w:rPr>
          <w:color w:val="auto"/>
        </w:rPr>
        <w:t xml:space="preserve">§ </w:t>
      </w:r>
      <w:r w:rsidRPr="00115BEF">
        <w:rPr>
          <w:color w:val="auto"/>
        </w:rPr>
        <w:t>203.357</w:t>
      </w:r>
      <w:r w:rsidR="00244E92">
        <w:rPr>
          <w:color w:val="auto"/>
        </w:rPr>
        <w:t>, 203.401, 203.402 and 203.403</w:t>
      </w:r>
      <w:r w:rsidRPr="00115BEF">
        <w:rPr>
          <w:color w:val="auto"/>
        </w:rPr>
        <w:t xml:space="preserve">) is a home disposition option in which a mortgagor voluntarily </w:t>
      </w:r>
      <w:r w:rsidR="00AF144A" w:rsidRPr="00115BEF">
        <w:rPr>
          <w:color w:val="auto"/>
        </w:rPr>
        <w:t xml:space="preserve">offers the </w:t>
      </w:r>
      <w:r w:rsidRPr="00115BEF">
        <w:rPr>
          <w:color w:val="auto"/>
        </w:rPr>
        <w:t>deed</w:t>
      </w:r>
      <w:r w:rsidR="00AF144A" w:rsidRPr="00115BEF">
        <w:rPr>
          <w:color w:val="auto"/>
        </w:rPr>
        <w:t xml:space="preserve"> a</w:t>
      </w:r>
      <w:r w:rsidRPr="00115BEF">
        <w:rPr>
          <w:color w:val="auto"/>
        </w:rPr>
        <w:t xml:space="preserve">s collateral property to HUD in exchange for a release from all obligations under the mortgage.  </w:t>
      </w:r>
      <w:r w:rsidR="00AF144A" w:rsidRPr="00115BEF">
        <w:rPr>
          <w:color w:val="auto"/>
        </w:rPr>
        <w:t>There are three types of DIL transactions: Streamlined DIL; Streamlined DIL for Servicemembers with Permanent Change of Station Orders; and Standard DIL.</w:t>
      </w:r>
    </w:p>
    <w:p w14:paraId="127DFFE8" w14:textId="77777777" w:rsidR="00AF144A" w:rsidRDefault="00AF144A" w:rsidP="004C09EC">
      <w:pPr>
        <w:pStyle w:val="BodyTextIndent"/>
        <w:ind w:left="720" w:firstLine="0"/>
        <w:rPr>
          <w:color w:val="auto"/>
        </w:rPr>
      </w:pPr>
    </w:p>
    <w:p w14:paraId="7A3876B0" w14:textId="3C0D5939" w:rsidR="004C09EC" w:rsidRDefault="004C09EC" w:rsidP="004C09EC">
      <w:pPr>
        <w:pStyle w:val="BodyTextIndent"/>
        <w:ind w:left="720" w:firstLine="0"/>
        <w:rPr>
          <w:color w:val="auto"/>
        </w:rPr>
      </w:pPr>
      <w:r w:rsidRPr="006B5549">
        <w:rPr>
          <w:color w:val="auto"/>
        </w:rPr>
        <w:t xml:space="preserve">Mortgagees may accept a deed-in-lieu of foreclosure from non-corporate </w:t>
      </w:r>
      <w:r>
        <w:rPr>
          <w:color w:val="auto"/>
        </w:rPr>
        <w:t>mortgagor</w:t>
      </w:r>
      <w:r w:rsidRPr="006B5549">
        <w:rPr>
          <w:color w:val="auto"/>
        </w:rPr>
        <w:t xml:space="preserve">s </w:t>
      </w:r>
      <w:r w:rsidR="00244E92">
        <w:rPr>
          <w:color w:val="auto"/>
        </w:rPr>
        <w:t>i</w:t>
      </w:r>
      <w:r w:rsidRPr="006B5549">
        <w:rPr>
          <w:color w:val="auto"/>
        </w:rPr>
        <w:t>n</w:t>
      </w:r>
      <w:r w:rsidR="00244E92">
        <w:rPr>
          <w:color w:val="auto"/>
        </w:rPr>
        <w:t xml:space="preserve"> default</w:t>
      </w:r>
      <w:r w:rsidR="00067FF4">
        <w:rPr>
          <w:color w:val="auto"/>
        </w:rPr>
        <w:t xml:space="preserve"> or imminent default and</w:t>
      </w:r>
      <w:r w:rsidRPr="006B5549">
        <w:rPr>
          <w:color w:val="auto"/>
        </w:rPr>
        <w:t xml:space="preserve"> convey title to HUD in return for insurance benefits.  The</w:t>
      </w:r>
      <w:r w:rsidRPr="006B5549">
        <w:rPr>
          <w:b/>
          <w:bCs/>
          <w:color w:val="auto"/>
        </w:rPr>
        <w:t xml:space="preserve"> </w:t>
      </w:r>
      <w:r w:rsidRPr="006B5549">
        <w:rPr>
          <w:color w:val="auto"/>
        </w:rPr>
        <w:t>mortgagee will consider a DIL of foreclosure in states and jurisdictions where the foreclosure process is time consuming, expensive, or where there is an extensive redemption period, to minimize HUD’s losses. In addition to the general requirements applicable to all loss mitigation options, the following specific requirements apply to DIL’s:</w:t>
      </w:r>
    </w:p>
    <w:p w14:paraId="6724C1F0" w14:textId="77777777" w:rsidR="00123BFF" w:rsidRPr="006B5549" w:rsidRDefault="00123BFF" w:rsidP="004C09EC">
      <w:pPr>
        <w:pStyle w:val="BodyTextIndent"/>
        <w:ind w:left="720" w:firstLine="0"/>
        <w:rPr>
          <w:color w:val="auto"/>
        </w:rPr>
      </w:pPr>
    </w:p>
    <w:p w14:paraId="632E428F" w14:textId="77777777" w:rsidR="004C09EC" w:rsidRPr="006B5549" w:rsidRDefault="004C09EC" w:rsidP="00980529">
      <w:pPr>
        <w:pStyle w:val="BodyTextIndent"/>
        <w:numPr>
          <w:ilvl w:val="0"/>
          <w:numId w:val="37"/>
        </w:numPr>
        <w:rPr>
          <w:color w:val="auto"/>
        </w:rPr>
      </w:pPr>
      <w:r w:rsidRPr="006B5549">
        <w:rPr>
          <w:color w:val="auto"/>
        </w:rPr>
        <w:t xml:space="preserve">Mortgagee has encouraged the </w:t>
      </w:r>
      <w:r>
        <w:rPr>
          <w:color w:val="auto"/>
        </w:rPr>
        <w:t>mortgagor</w:t>
      </w:r>
      <w:r w:rsidRPr="006B5549">
        <w:rPr>
          <w:color w:val="auto"/>
        </w:rPr>
        <w:t xml:space="preserve"> to attempt a pre-foreclosure sale or has otherwise determined that a PFS is not appropriate.</w:t>
      </w:r>
    </w:p>
    <w:p w14:paraId="00BC5546" w14:textId="389C5F13" w:rsidR="004C09EC" w:rsidRPr="006B5549" w:rsidRDefault="004C09EC" w:rsidP="00980529">
      <w:pPr>
        <w:pStyle w:val="BodyTextIndent"/>
        <w:numPr>
          <w:ilvl w:val="0"/>
          <w:numId w:val="37"/>
        </w:numPr>
        <w:rPr>
          <w:color w:val="auto"/>
        </w:rPr>
      </w:pPr>
      <w:r w:rsidRPr="006B5549">
        <w:rPr>
          <w:color w:val="auto"/>
        </w:rPr>
        <w:t>T</w:t>
      </w:r>
      <w:r w:rsidR="00067FF4">
        <w:rPr>
          <w:color w:val="auto"/>
        </w:rPr>
        <w:t>he mortgagee must obtain a t</w:t>
      </w:r>
      <w:r w:rsidRPr="006B5549">
        <w:rPr>
          <w:color w:val="auto"/>
        </w:rPr>
        <w:t xml:space="preserve">itle </w:t>
      </w:r>
      <w:r w:rsidR="00067FF4">
        <w:rPr>
          <w:color w:val="auto"/>
        </w:rPr>
        <w:t xml:space="preserve">search or </w:t>
      </w:r>
      <w:r w:rsidRPr="006B5549">
        <w:rPr>
          <w:color w:val="auto"/>
        </w:rPr>
        <w:t xml:space="preserve">report – </w:t>
      </w:r>
      <w:r w:rsidR="00067FF4">
        <w:rPr>
          <w:color w:val="auto"/>
        </w:rPr>
        <w:t xml:space="preserve">verifying that there is </w:t>
      </w:r>
      <w:r w:rsidRPr="006B5549">
        <w:rPr>
          <w:color w:val="auto"/>
        </w:rPr>
        <w:t>clear</w:t>
      </w:r>
      <w:r w:rsidR="00067FF4">
        <w:rPr>
          <w:color w:val="auto"/>
        </w:rPr>
        <w:t xml:space="preserve"> and marketable</w:t>
      </w:r>
      <w:r w:rsidRPr="006B5549">
        <w:rPr>
          <w:color w:val="auto"/>
        </w:rPr>
        <w:t xml:space="preserve"> title.  </w:t>
      </w:r>
      <w:r w:rsidR="00067FF4">
        <w:rPr>
          <w:color w:val="auto"/>
        </w:rPr>
        <w:t>The title</w:t>
      </w:r>
      <w:r w:rsidRPr="006B5549">
        <w:rPr>
          <w:color w:val="auto"/>
        </w:rPr>
        <w:t xml:space="preserve"> search </w:t>
      </w:r>
      <w:r w:rsidR="00067FF4">
        <w:rPr>
          <w:color w:val="auto"/>
        </w:rPr>
        <w:t xml:space="preserve">or report requires </w:t>
      </w:r>
      <w:r w:rsidRPr="006B5549">
        <w:rPr>
          <w:color w:val="auto"/>
        </w:rPr>
        <w:t>t</w:t>
      </w:r>
      <w:r w:rsidR="00067FF4">
        <w:rPr>
          <w:color w:val="auto"/>
        </w:rPr>
        <w:t>h</w:t>
      </w:r>
      <w:r w:rsidRPr="006B5549">
        <w:rPr>
          <w:color w:val="auto"/>
        </w:rPr>
        <w:t>e examination of public records the ownership and encumbrances affecting the real property.</w:t>
      </w:r>
    </w:p>
    <w:p w14:paraId="5420126E" w14:textId="77777777" w:rsidR="004C09EC" w:rsidRPr="006B5549" w:rsidRDefault="004C09EC" w:rsidP="00980529">
      <w:pPr>
        <w:pStyle w:val="BodyTextIndent"/>
        <w:numPr>
          <w:ilvl w:val="0"/>
          <w:numId w:val="37"/>
        </w:numPr>
        <w:rPr>
          <w:color w:val="auto"/>
        </w:rPr>
      </w:pPr>
      <w:r w:rsidRPr="006B5549">
        <w:rPr>
          <w:color w:val="auto"/>
        </w:rPr>
        <w:t xml:space="preserve">Mortgagee may be required to assist </w:t>
      </w:r>
      <w:r>
        <w:rPr>
          <w:color w:val="auto"/>
        </w:rPr>
        <w:t>mortgagor</w:t>
      </w:r>
      <w:r w:rsidRPr="006B5549">
        <w:rPr>
          <w:color w:val="auto"/>
        </w:rPr>
        <w:t xml:space="preserve"> in correcting minor title defects.</w:t>
      </w:r>
    </w:p>
    <w:p w14:paraId="6D6FE20C" w14:textId="59F60A28" w:rsidR="004C09EC" w:rsidRPr="006B5549" w:rsidRDefault="004C09EC" w:rsidP="00980529">
      <w:pPr>
        <w:pStyle w:val="BodyTextIndent"/>
        <w:numPr>
          <w:ilvl w:val="0"/>
          <w:numId w:val="37"/>
        </w:numPr>
        <w:rPr>
          <w:color w:val="auto"/>
        </w:rPr>
      </w:pPr>
      <w:r w:rsidRPr="006B5549">
        <w:rPr>
          <w:color w:val="auto"/>
        </w:rPr>
        <w:t xml:space="preserve">Written agreement that addresses the following: </w:t>
      </w:r>
      <w:r w:rsidR="00ED30AD">
        <w:rPr>
          <w:color w:val="auto"/>
        </w:rPr>
        <w:t xml:space="preserve">certification that </w:t>
      </w:r>
      <w:r w:rsidRPr="006B5549">
        <w:rPr>
          <w:color w:val="auto"/>
        </w:rPr>
        <w:t xml:space="preserve">the </w:t>
      </w:r>
      <w:r>
        <w:rPr>
          <w:color w:val="auto"/>
        </w:rPr>
        <w:t>mortgagor</w:t>
      </w:r>
      <w:r w:rsidRPr="006B5549">
        <w:rPr>
          <w:color w:val="auto"/>
        </w:rPr>
        <w:t xml:space="preserve"> does not own other property; specific transfer date; tax consequences; </w:t>
      </w:r>
      <w:r w:rsidR="00ED30AD">
        <w:rPr>
          <w:color w:val="auto"/>
        </w:rPr>
        <w:t xml:space="preserve">mortgagors that comply with the DIL Agreement will not be </w:t>
      </w:r>
      <w:r w:rsidRPr="006B5549">
        <w:rPr>
          <w:color w:val="auto"/>
        </w:rPr>
        <w:t>pursu</w:t>
      </w:r>
      <w:r w:rsidR="0046001A">
        <w:rPr>
          <w:color w:val="auto"/>
        </w:rPr>
        <w:t>ed f</w:t>
      </w:r>
      <w:r w:rsidRPr="006B5549">
        <w:rPr>
          <w:color w:val="auto"/>
        </w:rPr>
        <w:t>o</w:t>
      </w:r>
      <w:r w:rsidR="0046001A">
        <w:rPr>
          <w:color w:val="auto"/>
        </w:rPr>
        <w:t>r</w:t>
      </w:r>
      <w:r w:rsidRPr="006B5549">
        <w:rPr>
          <w:color w:val="auto"/>
        </w:rPr>
        <w:t xml:space="preserve"> a deficiency judgment; </w:t>
      </w:r>
      <w:r w:rsidR="0046001A">
        <w:rPr>
          <w:color w:val="auto"/>
        </w:rPr>
        <w:t xml:space="preserve">statement describing the </w:t>
      </w:r>
      <w:r w:rsidRPr="006B5549">
        <w:rPr>
          <w:color w:val="auto"/>
        </w:rPr>
        <w:t>physical condition of the property; conveyance of property vacant and free of personal property; itemization of fixtures and equipment; evidence of utilities/assessments</w:t>
      </w:r>
      <w:r w:rsidR="008C6287">
        <w:rPr>
          <w:color w:val="auto"/>
        </w:rPr>
        <w:t xml:space="preserve"> </w:t>
      </w:r>
      <w:r w:rsidR="002F7F92">
        <w:rPr>
          <w:color w:val="auto"/>
        </w:rPr>
        <w:t xml:space="preserve">consideration will not </w:t>
      </w:r>
      <w:r w:rsidR="009B2844">
        <w:rPr>
          <w:color w:val="auto"/>
        </w:rPr>
        <w:t>exceed the amount set forth in HUD Handbook 4000.1,</w:t>
      </w:r>
      <w:r w:rsidRPr="006B5549">
        <w:rPr>
          <w:color w:val="auto"/>
        </w:rPr>
        <w:t xml:space="preserve"> etc.</w:t>
      </w:r>
    </w:p>
    <w:p w14:paraId="783FD4BA" w14:textId="77777777" w:rsidR="004C09EC" w:rsidRPr="006B5549" w:rsidRDefault="004C09EC" w:rsidP="00980529">
      <w:pPr>
        <w:pStyle w:val="BodyTextIndent"/>
        <w:numPr>
          <w:ilvl w:val="0"/>
          <w:numId w:val="38"/>
        </w:numPr>
        <w:rPr>
          <w:color w:val="auto"/>
        </w:rPr>
      </w:pPr>
      <w:r w:rsidRPr="006B5549">
        <w:rPr>
          <w:color w:val="auto"/>
        </w:rPr>
        <w:t>Mortgagee to arrange physical inspection of property at the time of vacancy</w:t>
      </w:r>
    </w:p>
    <w:p w14:paraId="43D0D2D7" w14:textId="0B76644C" w:rsidR="004C09EC" w:rsidRPr="006B5549" w:rsidRDefault="004C09EC" w:rsidP="00980529">
      <w:pPr>
        <w:pStyle w:val="BodyTextIndent"/>
        <w:numPr>
          <w:ilvl w:val="0"/>
          <w:numId w:val="38"/>
        </w:numPr>
        <w:rPr>
          <w:color w:val="auto"/>
        </w:rPr>
      </w:pPr>
      <w:r w:rsidRPr="006B5549">
        <w:rPr>
          <w:color w:val="auto"/>
        </w:rPr>
        <w:t xml:space="preserve">Mortgagee to pay </w:t>
      </w:r>
      <w:r>
        <w:rPr>
          <w:color w:val="auto"/>
        </w:rPr>
        <w:t>mortgagor</w:t>
      </w:r>
      <w:r w:rsidRPr="006B5549">
        <w:rPr>
          <w:color w:val="auto"/>
        </w:rPr>
        <w:t xml:space="preserve">s’ compensation in accordance with </w:t>
      </w:r>
      <w:r w:rsidR="00F9500F" w:rsidRPr="006B5549">
        <w:rPr>
          <w:color w:val="auto"/>
        </w:rPr>
        <w:t>guidelines and</w:t>
      </w:r>
      <w:r w:rsidRPr="006B5549">
        <w:rPr>
          <w:color w:val="auto"/>
        </w:rPr>
        <w:t xml:space="preserve"> obtain reimbursement through claim.</w:t>
      </w:r>
    </w:p>
    <w:p w14:paraId="7AA1520B" w14:textId="1A865F04" w:rsidR="00123BFF" w:rsidRDefault="004C09EC" w:rsidP="004C09EC">
      <w:pPr>
        <w:pStyle w:val="BodyTextIndent"/>
        <w:numPr>
          <w:ilvl w:val="0"/>
          <w:numId w:val="38"/>
        </w:numPr>
        <w:rPr>
          <w:color w:val="auto"/>
        </w:rPr>
      </w:pPr>
      <w:r w:rsidRPr="006B5549">
        <w:rPr>
          <w:color w:val="auto"/>
        </w:rPr>
        <w:t>Mortgagees will be responsible for filing information return Form 1099-A with the IRS and reporting any discharge of indebtedness, in accordance with the Internal Revenue Code.</w:t>
      </w:r>
    </w:p>
    <w:p w14:paraId="2FF7D16E" w14:textId="77777777" w:rsidR="008C6287" w:rsidRPr="008C6287" w:rsidRDefault="008C6287" w:rsidP="008C6287">
      <w:pPr>
        <w:pStyle w:val="BodyTextIndent"/>
        <w:ind w:left="1440" w:firstLine="0"/>
        <w:rPr>
          <w:color w:val="auto"/>
        </w:rPr>
      </w:pPr>
    </w:p>
    <w:p w14:paraId="0BE3A8AF" w14:textId="58E8EB8C" w:rsidR="009B1DBB" w:rsidRPr="009B1DBB" w:rsidRDefault="009B1DBB" w:rsidP="004C09EC">
      <w:pPr>
        <w:rPr>
          <w:rFonts w:ascii="Times New Roman" w:hAnsi="Times New Roman" w:cs="Times New Roman"/>
          <w:bCs/>
          <w:sz w:val="24"/>
        </w:rPr>
      </w:pPr>
      <w:r w:rsidRPr="009B1DBB">
        <w:rPr>
          <w:rFonts w:ascii="Times New Roman" w:hAnsi="Times New Roman" w:cs="Times New Roman"/>
          <w:bCs/>
          <w:sz w:val="24"/>
        </w:rPr>
        <w:t xml:space="preserve">In addition to </w:t>
      </w:r>
      <w:r>
        <w:rPr>
          <w:rFonts w:ascii="Times New Roman" w:hAnsi="Times New Roman" w:cs="Times New Roman"/>
          <w:bCs/>
          <w:sz w:val="24"/>
        </w:rPr>
        <w:t>DIL</w:t>
      </w:r>
      <w:r w:rsidRPr="009B1DBB">
        <w:rPr>
          <w:rFonts w:ascii="Times New Roman" w:hAnsi="Times New Roman" w:cs="Times New Roman"/>
          <w:bCs/>
          <w:sz w:val="24"/>
        </w:rPr>
        <w:t xml:space="preserve"> Evaluation and </w:t>
      </w:r>
      <w:r>
        <w:rPr>
          <w:rFonts w:ascii="Times New Roman" w:hAnsi="Times New Roman" w:cs="Times New Roman"/>
          <w:bCs/>
          <w:sz w:val="24"/>
        </w:rPr>
        <w:t xml:space="preserve">DIL </w:t>
      </w:r>
      <w:r w:rsidRPr="009B1DBB">
        <w:rPr>
          <w:rFonts w:ascii="Times New Roman" w:hAnsi="Times New Roman" w:cs="Times New Roman"/>
          <w:bCs/>
          <w:sz w:val="24"/>
        </w:rPr>
        <w:t xml:space="preserve">Record Retention, the </w:t>
      </w:r>
      <w:r>
        <w:rPr>
          <w:rFonts w:ascii="Times New Roman" w:hAnsi="Times New Roman" w:cs="Times New Roman"/>
          <w:bCs/>
          <w:sz w:val="24"/>
        </w:rPr>
        <w:t xml:space="preserve">DIL </w:t>
      </w:r>
      <w:r w:rsidRPr="009B1DBB">
        <w:rPr>
          <w:rFonts w:ascii="Times New Roman" w:hAnsi="Times New Roman" w:cs="Times New Roman"/>
          <w:bCs/>
          <w:sz w:val="24"/>
        </w:rPr>
        <w:t>Option burden hours accounting includes the Mortgagor Activity, Credit Alert Interactive Reporting System (CAIVRS)</w:t>
      </w:r>
      <w:r>
        <w:rPr>
          <w:rFonts w:ascii="Times New Roman" w:hAnsi="Times New Roman" w:cs="Times New Roman"/>
          <w:bCs/>
          <w:sz w:val="24"/>
        </w:rPr>
        <w:t xml:space="preserve"> Review</w:t>
      </w:r>
      <w:r w:rsidRPr="009B1DBB">
        <w:rPr>
          <w:rFonts w:ascii="Times New Roman" w:hAnsi="Times New Roman" w:cs="Times New Roman"/>
          <w:bCs/>
          <w:sz w:val="24"/>
        </w:rPr>
        <w:t xml:space="preserve">, </w:t>
      </w:r>
      <w:r>
        <w:rPr>
          <w:rFonts w:ascii="Times New Roman" w:hAnsi="Times New Roman" w:cs="Times New Roman"/>
          <w:bCs/>
          <w:sz w:val="24"/>
        </w:rPr>
        <w:t xml:space="preserve">Non-Corporate </w:t>
      </w:r>
      <w:r w:rsidRPr="009B1DBB">
        <w:rPr>
          <w:rFonts w:ascii="Times New Roman" w:hAnsi="Times New Roman" w:cs="Times New Roman"/>
          <w:bCs/>
          <w:sz w:val="24"/>
        </w:rPr>
        <w:t xml:space="preserve">Request for </w:t>
      </w:r>
      <w:r>
        <w:rPr>
          <w:rFonts w:ascii="Times New Roman" w:hAnsi="Times New Roman" w:cs="Times New Roman"/>
          <w:bCs/>
          <w:sz w:val="24"/>
        </w:rPr>
        <w:t>DIL, Corporate Request for DIL</w:t>
      </w:r>
      <w:r w:rsidR="00115BEF">
        <w:rPr>
          <w:rFonts w:ascii="Times New Roman" w:hAnsi="Times New Roman" w:cs="Times New Roman"/>
          <w:bCs/>
          <w:sz w:val="24"/>
        </w:rPr>
        <w:t xml:space="preserve"> and HUD Approval for Corporate Requests.</w:t>
      </w:r>
    </w:p>
    <w:p w14:paraId="644DFA88" w14:textId="6DFB96CA" w:rsidR="004C09EC" w:rsidRPr="001D1730" w:rsidRDefault="004C09EC" w:rsidP="004C09EC">
      <w:pPr>
        <w:rPr>
          <w:rFonts w:ascii="Times New Roman" w:hAnsi="Times New Roman" w:cs="Times New Roman"/>
          <w:b/>
          <w:bCs/>
          <w:sz w:val="24"/>
          <w:u w:val="single"/>
        </w:rPr>
      </w:pPr>
      <w:r w:rsidRPr="001D1730">
        <w:rPr>
          <w:rFonts w:ascii="Times New Roman" w:hAnsi="Times New Roman" w:cs="Times New Roman"/>
          <w:b/>
          <w:bCs/>
          <w:sz w:val="24"/>
          <w:u w:val="single"/>
        </w:rPr>
        <w:t>Tier Ranking System</w:t>
      </w:r>
    </w:p>
    <w:p w14:paraId="423CC695" w14:textId="512A2C8C" w:rsidR="004C09EC" w:rsidRDefault="004C09EC" w:rsidP="00123BFF">
      <w:pPr>
        <w:pStyle w:val="BodyText2"/>
      </w:pPr>
      <w:r w:rsidRPr="001D1730">
        <w:t xml:space="preserve">All mortgagees are required to analyze the financial capability of defaulting FHA mortgagors and utilize alternative payment options to mitigate losses to the mortgagor, damage to communities, and the FHA insurance fund through the options. HUD uses a congressionally mandated four level process adopted within the Tier Ranking System (TRS) </w:t>
      </w:r>
      <w:r w:rsidR="001D1730" w:rsidRPr="006B5549">
        <w:t>(24 CFR § 203.</w:t>
      </w:r>
      <w:r w:rsidR="001D1730">
        <w:t xml:space="preserve">605 (b)) </w:t>
      </w:r>
      <w:r w:rsidRPr="001D1730">
        <w:t>to measure mortgagees’ application of loss mitigation tools using automated data models to evaluate and rank the lenders.  Mortgagees ranked quarterly in tier one and two (the highest rated tiers) are analyzed on a statistical basis to ensure that each option is equitably utilized.  Mortgagees in tiers 3 and 4 (the lowest rated tiers) are targeted for additional training by HUD’s National Servicing Center (NSC) as well as referred for further investigation or audit by the Quality Assurance Division (QAD).  HUD reviews and determines those mortgagees that use one initiative exclusively at the expense of the others.  Numbers far outside the national average may indicate mortgagee abuse of the policies or lack of training.  Those mortgagees whose ratios of application of each specific loss mitigation option to the total of all loss mitigation fall outside the normal mortgagee standards and who do not have a reason for such usage are also referred for training, targeted for investigation or audit.</w:t>
      </w:r>
    </w:p>
    <w:p w14:paraId="59FBCA8E" w14:textId="77777777" w:rsidR="008C6287" w:rsidRPr="001D1730" w:rsidRDefault="008C6287" w:rsidP="00123BFF">
      <w:pPr>
        <w:pStyle w:val="BodyText2"/>
      </w:pPr>
    </w:p>
    <w:p w14:paraId="297208E5" w14:textId="77777777" w:rsidR="00055C97" w:rsidRPr="006E12AC" w:rsidRDefault="00055C97" w:rsidP="00055C9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13ACBAFD" w14:textId="77777777" w:rsidR="00810249" w:rsidRDefault="00810249" w:rsidP="00055C97">
      <w:pPr>
        <w:pStyle w:val="ListParagraph"/>
        <w:ind w:left="360"/>
        <w:rPr>
          <w:rFonts w:ascii="Times New Roman" w:hAnsi="Times New Roman" w:cs="Times New Roman"/>
          <w:sz w:val="24"/>
          <w:szCs w:val="24"/>
        </w:rPr>
      </w:pPr>
    </w:p>
    <w:p w14:paraId="748DE67C" w14:textId="5BD7F5C5" w:rsidR="004B66EC" w:rsidRDefault="004B66EC" w:rsidP="004B66EC">
      <w:pPr>
        <w:pStyle w:val="ListParagraph"/>
        <w:ind w:left="360"/>
        <w:rPr>
          <w:rFonts w:ascii="Times New Roman" w:hAnsi="Times New Roman" w:cs="Times New Roman"/>
          <w:sz w:val="24"/>
          <w:szCs w:val="24"/>
        </w:rPr>
      </w:pPr>
      <w:r w:rsidRPr="004B66EC">
        <w:rPr>
          <w:rFonts w:ascii="Times New Roman" w:hAnsi="Times New Roman" w:cs="Times New Roman"/>
          <w:sz w:val="24"/>
          <w:szCs w:val="24"/>
        </w:rPr>
        <w:t xml:space="preserve">Mortgagees are lenders that service loans and have varied volumes of loan portfolios.  However, the one thing they have in common is automated mortgage loan servicing that has the capability of servicing various types of loans and investors.  HUD’s information is routinely gathered and reported to HUD, generally on a monthly basis through HUD’s electronic systems.  HUD has not mandated any </w:t>
      </w:r>
      <w:r w:rsidR="001107B1">
        <w:rPr>
          <w:rFonts w:ascii="Times New Roman" w:hAnsi="Times New Roman" w:cs="Times New Roman"/>
          <w:sz w:val="24"/>
          <w:szCs w:val="24"/>
        </w:rPr>
        <w:t>specific</w:t>
      </w:r>
      <w:r w:rsidRPr="004B66EC">
        <w:rPr>
          <w:rFonts w:ascii="Times New Roman" w:hAnsi="Times New Roman" w:cs="Times New Roman"/>
          <w:sz w:val="24"/>
          <w:szCs w:val="24"/>
        </w:rPr>
        <w:t xml:space="preserve"> format for collecting and maintaining the records.  The information is to be kept with similar mortgagee documentation and submitted to HUD only if requested as a part of a review.  Mortgagees have the option to maintain mortgage loan documents in electronic or imaged format as long as </w:t>
      </w:r>
      <w:r w:rsidR="001107B1">
        <w:rPr>
          <w:rFonts w:ascii="Times New Roman" w:hAnsi="Times New Roman" w:cs="Times New Roman"/>
          <w:sz w:val="24"/>
          <w:szCs w:val="24"/>
        </w:rPr>
        <w:t xml:space="preserve">the claim review file </w:t>
      </w:r>
      <w:r w:rsidRPr="004B66EC">
        <w:rPr>
          <w:rFonts w:ascii="Times New Roman" w:hAnsi="Times New Roman" w:cs="Times New Roman"/>
          <w:sz w:val="24"/>
          <w:szCs w:val="24"/>
        </w:rPr>
        <w:t xml:space="preserve">can be provided to HUD within 24 hours of the request, depending upon the documentation requested.   </w:t>
      </w:r>
    </w:p>
    <w:p w14:paraId="0258C8DE" w14:textId="77777777" w:rsidR="004B66EC" w:rsidRDefault="004B66EC" w:rsidP="004B66EC">
      <w:pPr>
        <w:pStyle w:val="ListParagraph"/>
        <w:ind w:left="360"/>
        <w:rPr>
          <w:rFonts w:ascii="Times New Roman" w:hAnsi="Times New Roman" w:cs="Times New Roman"/>
          <w:sz w:val="24"/>
          <w:szCs w:val="24"/>
        </w:rPr>
      </w:pPr>
    </w:p>
    <w:p w14:paraId="071AB458" w14:textId="6761E407" w:rsidR="00055C97" w:rsidRPr="006E12AC" w:rsidRDefault="00055C97" w:rsidP="004B66EC">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Describe efforts to identify duplication. Show specifically why any similar information already available cannot be used or modified for use for the purposes described in Item 2 above. </w:t>
      </w:r>
    </w:p>
    <w:p w14:paraId="64EE9AB8" w14:textId="77777777" w:rsidR="00810249" w:rsidRDefault="00810249" w:rsidP="00055C97">
      <w:pPr>
        <w:pStyle w:val="ListParagraph"/>
        <w:ind w:left="360"/>
        <w:rPr>
          <w:rFonts w:ascii="Times New Roman" w:hAnsi="Times New Roman" w:cs="Times New Roman"/>
          <w:sz w:val="24"/>
          <w:szCs w:val="24"/>
        </w:rPr>
      </w:pPr>
    </w:p>
    <w:p w14:paraId="3275993D" w14:textId="77777777" w:rsidR="004B66EC" w:rsidRDefault="00055C97" w:rsidP="00055C97">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Th</w:t>
      </w:r>
      <w:r w:rsidR="00986867" w:rsidRPr="006E12AC">
        <w:rPr>
          <w:rFonts w:ascii="Times New Roman" w:hAnsi="Times New Roman" w:cs="Times New Roman"/>
          <w:sz w:val="24"/>
          <w:szCs w:val="24"/>
        </w:rPr>
        <w:t>ere is no</w:t>
      </w:r>
      <w:r w:rsidR="00075224" w:rsidRPr="006E12AC">
        <w:rPr>
          <w:rFonts w:ascii="Times New Roman" w:hAnsi="Times New Roman" w:cs="Times New Roman"/>
          <w:sz w:val="24"/>
          <w:szCs w:val="24"/>
        </w:rPr>
        <w:t xml:space="preserve"> duplication</w:t>
      </w:r>
      <w:r w:rsidR="004B66EC">
        <w:rPr>
          <w:rFonts w:ascii="Times New Roman" w:hAnsi="Times New Roman" w:cs="Times New Roman"/>
          <w:sz w:val="24"/>
          <w:szCs w:val="24"/>
        </w:rPr>
        <w:t xml:space="preserve"> of</w:t>
      </w:r>
      <w:r w:rsidR="002C7B53" w:rsidRPr="006E12AC">
        <w:rPr>
          <w:rFonts w:ascii="Times New Roman" w:hAnsi="Times New Roman" w:cs="Times New Roman"/>
          <w:sz w:val="24"/>
          <w:szCs w:val="24"/>
        </w:rPr>
        <w:t xml:space="preserve"> information</w:t>
      </w:r>
      <w:r w:rsidR="004B66EC">
        <w:rPr>
          <w:rFonts w:ascii="Times New Roman" w:hAnsi="Times New Roman" w:cs="Times New Roman"/>
          <w:sz w:val="24"/>
          <w:szCs w:val="24"/>
        </w:rPr>
        <w:t xml:space="preserve">. </w:t>
      </w:r>
      <w:r w:rsidR="002C7B53" w:rsidRPr="006E12AC">
        <w:rPr>
          <w:rFonts w:ascii="Times New Roman" w:hAnsi="Times New Roman" w:cs="Times New Roman"/>
          <w:sz w:val="24"/>
          <w:szCs w:val="24"/>
        </w:rPr>
        <w:t xml:space="preserve"> </w:t>
      </w:r>
      <w:r w:rsidR="004B66EC" w:rsidRPr="004B66EC">
        <w:rPr>
          <w:rFonts w:ascii="Times New Roman" w:hAnsi="Times New Roman" w:cs="Times New Roman"/>
          <w:sz w:val="24"/>
          <w:szCs w:val="24"/>
        </w:rPr>
        <w:t>Mortgagees routinely document mortgage loan servicing efforts as a part of their own loan servicing and internal quality control procedures.  HUD will accept the various formats already in use by mortgagees as long as the information is complete.</w:t>
      </w:r>
    </w:p>
    <w:p w14:paraId="610A341C" w14:textId="32D50D8D" w:rsidR="00055C97" w:rsidRPr="006E12AC" w:rsidRDefault="00055C97" w:rsidP="00055C97">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w:t>
      </w:r>
    </w:p>
    <w:p w14:paraId="5F7DF7E0" w14:textId="11CAB1FD" w:rsidR="00055C97" w:rsidRPr="006E12AC" w:rsidRDefault="00055C97" w:rsidP="00055C9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If the collection of information impacts small businesses or other small entities (Item 5 of OMB Form 83-I), describe any methods used to minimize burden. </w:t>
      </w:r>
    </w:p>
    <w:p w14:paraId="471AC368" w14:textId="77777777" w:rsidR="00810249" w:rsidRDefault="00810249" w:rsidP="00055C97">
      <w:pPr>
        <w:pStyle w:val="ListParagraph"/>
        <w:ind w:left="360"/>
        <w:rPr>
          <w:rFonts w:ascii="Times New Roman" w:hAnsi="Times New Roman" w:cs="Times New Roman"/>
          <w:sz w:val="24"/>
          <w:szCs w:val="24"/>
        </w:rPr>
      </w:pPr>
    </w:p>
    <w:p w14:paraId="6F6BD6E7" w14:textId="214E1371" w:rsidR="00ED1918" w:rsidRPr="006E12AC" w:rsidRDefault="002C7B53" w:rsidP="00055C97">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The </w:t>
      </w:r>
      <w:r w:rsidR="009D72F0">
        <w:rPr>
          <w:rFonts w:ascii="Times New Roman" w:hAnsi="Times New Roman" w:cs="Times New Roman"/>
          <w:sz w:val="24"/>
          <w:szCs w:val="24"/>
        </w:rPr>
        <w:t xml:space="preserve">collection of this </w:t>
      </w:r>
      <w:r w:rsidRPr="006E12AC">
        <w:rPr>
          <w:rFonts w:ascii="Times New Roman" w:hAnsi="Times New Roman" w:cs="Times New Roman"/>
          <w:sz w:val="24"/>
          <w:szCs w:val="24"/>
        </w:rPr>
        <w:t xml:space="preserve">information </w:t>
      </w:r>
      <w:r w:rsidR="009D72F0">
        <w:rPr>
          <w:rFonts w:ascii="Times New Roman" w:hAnsi="Times New Roman" w:cs="Times New Roman"/>
          <w:sz w:val="24"/>
          <w:szCs w:val="24"/>
        </w:rPr>
        <w:t>will not have a si</w:t>
      </w:r>
      <w:r w:rsidR="00986867" w:rsidRPr="006E12AC">
        <w:rPr>
          <w:rFonts w:ascii="Times New Roman" w:hAnsi="Times New Roman" w:cs="Times New Roman"/>
          <w:sz w:val="24"/>
          <w:szCs w:val="24"/>
        </w:rPr>
        <w:t xml:space="preserve">gnificant impact on </w:t>
      </w:r>
      <w:r w:rsidR="009D72F0">
        <w:rPr>
          <w:rFonts w:ascii="Times New Roman" w:hAnsi="Times New Roman" w:cs="Times New Roman"/>
          <w:sz w:val="24"/>
          <w:szCs w:val="24"/>
        </w:rPr>
        <w:t>a substantial number of small businesses</w:t>
      </w:r>
      <w:r w:rsidRPr="006E12AC">
        <w:rPr>
          <w:rFonts w:ascii="Times New Roman" w:hAnsi="Times New Roman" w:cs="Times New Roman"/>
          <w:sz w:val="24"/>
          <w:szCs w:val="24"/>
        </w:rPr>
        <w:t>.</w:t>
      </w:r>
    </w:p>
    <w:p w14:paraId="1720572E" w14:textId="77777777" w:rsidR="00ED1918" w:rsidRPr="006E12AC" w:rsidRDefault="00ED1918" w:rsidP="00ED1918">
      <w:pPr>
        <w:pStyle w:val="ListParagraph"/>
        <w:rPr>
          <w:rFonts w:ascii="Times New Roman" w:hAnsi="Times New Roman" w:cs="Times New Roman"/>
          <w:sz w:val="24"/>
          <w:szCs w:val="24"/>
        </w:rPr>
      </w:pPr>
    </w:p>
    <w:p w14:paraId="42C452B7" w14:textId="1385B503" w:rsidR="00810249" w:rsidRPr="008C41D7" w:rsidRDefault="00055C97" w:rsidP="008C41D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Describe the consequence to Federal program or policy activities if the collection is not conducted or is conducted less frequently, as well as any technical or legal obstacles to reducing burden. </w:t>
      </w:r>
    </w:p>
    <w:p w14:paraId="49FBF7C3" w14:textId="77777777" w:rsidR="003A48F4" w:rsidRDefault="009D72F0" w:rsidP="003A48F4">
      <w:pPr>
        <w:pStyle w:val="BodyTextIndent"/>
        <w:keepLines/>
        <w:tabs>
          <w:tab w:val="clear" w:pos="360"/>
        </w:tabs>
        <w:overflowPunct w:val="0"/>
        <w:spacing w:line="240" w:lineRule="auto"/>
        <w:ind w:firstLine="0"/>
        <w:textAlignment w:val="baseline"/>
        <w:rPr>
          <w:color w:val="auto"/>
        </w:rPr>
      </w:pPr>
      <w:r w:rsidRPr="00A42705">
        <w:rPr>
          <w:color w:val="auto"/>
        </w:rPr>
        <w:t>FHA insure</w:t>
      </w:r>
      <w:r w:rsidR="00DB7843">
        <w:rPr>
          <w:color w:val="auto"/>
        </w:rPr>
        <w:t>d mortgage financing</w:t>
      </w:r>
      <w:r w:rsidRPr="00A42705">
        <w:rPr>
          <w:color w:val="auto"/>
        </w:rPr>
        <w:t xml:space="preserve"> is an important source of mortgage credit for low and moderate-income </w:t>
      </w:r>
      <w:r w:rsidR="00FD64FA">
        <w:rPr>
          <w:color w:val="auto"/>
        </w:rPr>
        <w:t>mortgagor</w:t>
      </w:r>
      <w:r w:rsidRPr="00A42705">
        <w:rPr>
          <w:color w:val="auto"/>
        </w:rPr>
        <w:t xml:space="preserve">s and neighborhoods.  </w:t>
      </w:r>
      <w:r w:rsidR="00AD3487">
        <w:rPr>
          <w:color w:val="auto"/>
        </w:rPr>
        <w:t>Mortgagees are required to perform loss mitigation in order to reduce costs to the insurance fund, and in doing so, this may, as appropriate, enable borrowers to cure their delinquencies and retain their homes</w:t>
      </w:r>
      <w:r w:rsidRPr="00A42705">
        <w:rPr>
          <w:color w:val="auto"/>
        </w:rPr>
        <w:t xml:space="preserve">.  </w:t>
      </w:r>
    </w:p>
    <w:p w14:paraId="78A53B3C" w14:textId="1F9E631D" w:rsidR="009D72F0" w:rsidRPr="00A42705" w:rsidRDefault="00AD3487" w:rsidP="003A48F4">
      <w:pPr>
        <w:pStyle w:val="BodyTextIndent"/>
        <w:keepLines/>
        <w:tabs>
          <w:tab w:val="clear" w:pos="360"/>
        </w:tabs>
        <w:overflowPunct w:val="0"/>
        <w:spacing w:line="240" w:lineRule="auto"/>
        <w:ind w:firstLine="0"/>
        <w:textAlignment w:val="baseline"/>
        <w:rPr>
          <w:color w:val="auto"/>
        </w:rPr>
      </w:pPr>
      <w:r>
        <w:rPr>
          <w:color w:val="auto"/>
        </w:rPr>
        <w:t xml:space="preserve">In turn this may help stabilize neighborhoods that might otherwise </w:t>
      </w:r>
      <w:r w:rsidR="00257907">
        <w:rPr>
          <w:color w:val="auto"/>
        </w:rPr>
        <w:t xml:space="preserve">suffer from deterioration and problems associated with vacant and abandoned properties. </w:t>
      </w:r>
      <w:r w:rsidR="009D72F0" w:rsidRPr="00A42705">
        <w:rPr>
          <w:color w:val="auto"/>
        </w:rPr>
        <w:t>A</w:t>
      </w:r>
      <w:r w:rsidR="00257907">
        <w:rPr>
          <w:color w:val="auto"/>
        </w:rPr>
        <w:t>lternatives to</w:t>
      </w:r>
      <w:r w:rsidR="009D72F0" w:rsidRPr="00A42705">
        <w:rPr>
          <w:color w:val="auto"/>
        </w:rPr>
        <w:t xml:space="preserve"> foreclosure and the resultant costs also serve to further stabilize the mortgage insurance premiums charged by FHA and the Federal budget receipts generated from those premiums.  The Loss Mitigation program, as described in </w:t>
      </w:r>
      <w:r w:rsidR="00257907">
        <w:rPr>
          <w:color w:val="auto"/>
        </w:rPr>
        <w:t>the Code of F</w:t>
      </w:r>
      <w:r w:rsidR="009D72F0" w:rsidRPr="00A42705">
        <w:rPr>
          <w:color w:val="auto"/>
        </w:rPr>
        <w:t xml:space="preserve">ederal </w:t>
      </w:r>
      <w:r w:rsidR="00257907">
        <w:rPr>
          <w:color w:val="auto"/>
        </w:rPr>
        <w:t>R</w:t>
      </w:r>
      <w:r w:rsidR="009D72F0" w:rsidRPr="00A42705">
        <w:rPr>
          <w:color w:val="auto"/>
        </w:rPr>
        <w:t>egulations, is considered critical to FHA because it works to mitigat</w:t>
      </w:r>
      <w:r w:rsidR="00257907">
        <w:rPr>
          <w:color w:val="auto"/>
        </w:rPr>
        <w:t>e</w:t>
      </w:r>
      <w:r w:rsidR="009D72F0" w:rsidRPr="00A42705">
        <w:rPr>
          <w:color w:val="auto"/>
        </w:rPr>
        <w:t xml:space="preserve"> the economic impact on the insurance fund</w:t>
      </w:r>
      <w:r w:rsidR="00257907">
        <w:rPr>
          <w:color w:val="auto"/>
        </w:rPr>
        <w:t xml:space="preserve"> arising from the payment of full insurance claims and addresses national </w:t>
      </w:r>
      <w:r w:rsidR="000B6196">
        <w:rPr>
          <w:color w:val="auto"/>
        </w:rPr>
        <w:t>housing goals of providing possible alternatives to foreclosure to mortgagors in default where they may be able to retain home ownership or to transition to other housing opportunities</w:t>
      </w:r>
      <w:r w:rsidR="009D72F0" w:rsidRPr="00A42705">
        <w:rPr>
          <w:color w:val="auto"/>
        </w:rPr>
        <w:t xml:space="preserve">.  </w:t>
      </w:r>
    </w:p>
    <w:p w14:paraId="675AA849" w14:textId="77777777" w:rsidR="00492B90" w:rsidRDefault="00492B90" w:rsidP="009D72F0">
      <w:pPr>
        <w:pStyle w:val="BodyTextIndent"/>
        <w:keepLines/>
        <w:tabs>
          <w:tab w:val="clear" w:pos="360"/>
        </w:tabs>
        <w:overflowPunct w:val="0"/>
        <w:spacing w:line="240" w:lineRule="auto"/>
        <w:ind w:firstLine="0"/>
        <w:textAlignment w:val="baseline"/>
        <w:rPr>
          <w:color w:val="auto"/>
        </w:rPr>
      </w:pPr>
    </w:p>
    <w:p w14:paraId="75DE54F2" w14:textId="402EFA0C" w:rsidR="009D72F0" w:rsidRPr="00A42705" w:rsidRDefault="009D72F0" w:rsidP="009D72F0">
      <w:pPr>
        <w:pStyle w:val="BodyTextIndent"/>
        <w:keepLines/>
        <w:tabs>
          <w:tab w:val="clear" w:pos="360"/>
        </w:tabs>
        <w:overflowPunct w:val="0"/>
        <w:spacing w:line="240" w:lineRule="auto"/>
        <w:ind w:firstLine="0"/>
        <w:textAlignment w:val="baseline"/>
        <w:rPr>
          <w:color w:val="auto"/>
        </w:rPr>
      </w:pPr>
      <w:r w:rsidRPr="00A42705">
        <w:rPr>
          <w:color w:val="auto"/>
        </w:rPr>
        <w:t xml:space="preserve">The monthly reporting of delinquencies and claims by mortgagees, also mentioned in </w:t>
      </w:r>
      <w:r w:rsidR="00807ED3">
        <w:rPr>
          <w:color w:val="auto"/>
        </w:rPr>
        <w:t xml:space="preserve">the Code of </w:t>
      </w:r>
      <w:r>
        <w:rPr>
          <w:color w:val="auto"/>
        </w:rPr>
        <w:t>F</w:t>
      </w:r>
      <w:r w:rsidRPr="00A42705">
        <w:rPr>
          <w:color w:val="auto"/>
        </w:rPr>
        <w:t xml:space="preserve">ederal </w:t>
      </w:r>
      <w:r>
        <w:rPr>
          <w:color w:val="auto"/>
        </w:rPr>
        <w:t>R</w:t>
      </w:r>
      <w:r w:rsidRPr="00A42705">
        <w:rPr>
          <w:color w:val="auto"/>
        </w:rPr>
        <w:t xml:space="preserve">egulations and covered in </w:t>
      </w:r>
      <w:r w:rsidR="00456DFD">
        <w:rPr>
          <w:color w:val="auto"/>
        </w:rPr>
        <w:t xml:space="preserve">OMB Control Number 2502-0584 </w:t>
      </w:r>
      <w:r w:rsidRPr="00A42705">
        <w:rPr>
          <w:color w:val="auto"/>
        </w:rPr>
        <w:t xml:space="preserve">is required to evaluate the health of the mortgage lending industry.  Tier ranking derived from monthly delinquency reporting, measures whether the mortgagee has performed adequate and prudent mortgage loan servicing as compared to other firms in their peer group.   </w:t>
      </w:r>
    </w:p>
    <w:p w14:paraId="5004C6DB" w14:textId="77777777" w:rsidR="00A91BE4" w:rsidRPr="006E12AC" w:rsidRDefault="00A91BE4" w:rsidP="00A91BE4">
      <w:pPr>
        <w:pStyle w:val="ListParagraph"/>
        <w:rPr>
          <w:rFonts w:ascii="Times New Roman" w:hAnsi="Times New Roman" w:cs="Times New Roman"/>
          <w:sz w:val="24"/>
          <w:szCs w:val="24"/>
        </w:rPr>
      </w:pPr>
    </w:p>
    <w:p w14:paraId="55FCEFFC" w14:textId="2DBCF102" w:rsidR="00A072A4" w:rsidRDefault="00055C97" w:rsidP="00492B90">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Explain any special circumstances that would cause an information collection to be conducted in a manner: </w:t>
      </w:r>
    </w:p>
    <w:p w14:paraId="4476B6A3" w14:textId="77777777" w:rsidR="00492B90" w:rsidRPr="00492B90" w:rsidRDefault="00492B90" w:rsidP="00492B90">
      <w:pPr>
        <w:pStyle w:val="ListParagraph"/>
        <w:ind w:left="360"/>
        <w:rPr>
          <w:rFonts w:ascii="Times New Roman" w:hAnsi="Times New Roman" w:cs="Times New Roman"/>
          <w:sz w:val="24"/>
          <w:szCs w:val="24"/>
        </w:rPr>
      </w:pPr>
    </w:p>
    <w:p w14:paraId="638F782D" w14:textId="7922F206" w:rsidR="00075224" w:rsidRPr="006E12AC" w:rsidRDefault="00075224" w:rsidP="00A072A4">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A072A4" w:rsidRPr="006E12AC">
        <w:rPr>
          <w:rFonts w:ascii="Times New Roman" w:hAnsi="Times New Roman" w:cs="Times New Roman"/>
          <w:sz w:val="24"/>
          <w:szCs w:val="24"/>
        </w:rPr>
        <w:t xml:space="preserve">The </w:t>
      </w:r>
      <w:r w:rsidRPr="006E12AC">
        <w:rPr>
          <w:rFonts w:ascii="Times New Roman" w:hAnsi="Times New Roman" w:cs="Times New Roman"/>
          <w:sz w:val="24"/>
          <w:szCs w:val="24"/>
        </w:rPr>
        <w:t xml:space="preserve">respondents </w:t>
      </w:r>
      <w:r w:rsidR="00980529">
        <w:rPr>
          <w:rFonts w:ascii="Times New Roman" w:hAnsi="Times New Roman" w:cs="Times New Roman"/>
          <w:sz w:val="24"/>
          <w:szCs w:val="24"/>
        </w:rPr>
        <w:t xml:space="preserve">may be </w:t>
      </w:r>
      <w:r w:rsidR="002519DC">
        <w:rPr>
          <w:rFonts w:ascii="Times New Roman" w:hAnsi="Times New Roman" w:cs="Times New Roman"/>
          <w:sz w:val="24"/>
          <w:szCs w:val="24"/>
        </w:rPr>
        <w:t xml:space="preserve">required </w:t>
      </w:r>
      <w:r w:rsidRPr="006E12AC">
        <w:rPr>
          <w:rFonts w:ascii="Times New Roman" w:hAnsi="Times New Roman" w:cs="Times New Roman"/>
          <w:sz w:val="24"/>
          <w:szCs w:val="24"/>
        </w:rPr>
        <w:t xml:space="preserve">to report information to </w:t>
      </w:r>
      <w:r w:rsidR="002519DC">
        <w:rPr>
          <w:rFonts w:ascii="Times New Roman" w:hAnsi="Times New Roman" w:cs="Times New Roman"/>
          <w:sz w:val="24"/>
          <w:szCs w:val="24"/>
        </w:rPr>
        <w:t>HUD</w:t>
      </w:r>
      <w:r w:rsidRPr="006E12AC">
        <w:rPr>
          <w:rFonts w:ascii="Times New Roman" w:hAnsi="Times New Roman" w:cs="Times New Roman"/>
          <w:sz w:val="24"/>
          <w:szCs w:val="24"/>
        </w:rPr>
        <w:t xml:space="preserve"> more often than quarterly; </w:t>
      </w:r>
      <w:r w:rsidR="0092550B" w:rsidRPr="0092550B">
        <w:rPr>
          <w:rFonts w:ascii="Times New Roman" w:hAnsi="Times New Roman" w:cs="Times New Roman"/>
          <w:sz w:val="24"/>
          <w:szCs w:val="24"/>
        </w:rPr>
        <w:t xml:space="preserve">The mortgage industry and the FHA loan program provide for a loss mitigation evaluation no later than </w:t>
      </w:r>
      <w:r w:rsidR="000B6196">
        <w:rPr>
          <w:rFonts w:ascii="Times New Roman" w:hAnsi="Times New Roman" w:cs="Times New Roman"/>
          <w:sz w:val="24"/>
          <w:szCs w:val="24"/>
        </w:rPr>
        <w:t xml:space="preserve">the </w:t>
      </w:r>
      <w:r w:rsidR="0092550B" w:rsidRPr="0092550B">
        <w:rPr>
          <w:rFonts w:ascii="Times New Roman" w:hAnsi="Times New Roman" w:cs="Times New Roman"/>
          <w:sz w:val="24"/>
          <w:szCs w:val="24"/>
        </w:rPr>
        <w:t>90</w:t>
      </w:r>
      <w:r w:rsidR="000B6196">
        <w:rPr>
          <w:rFonts w:ascii="Times New Roman" w:hAnsi="Times New Roman" w:cs="Times New Roman"/>
          <w:sz w:val="24"/>
          <w:szCs w:val="24"/>
        </w:rPr>
        <w:t>th</w:t>
      </w:r>
      <w:r w:rsidR="0092550B" w:rsidRPr="0092550B">
        <w:rPr>
          <w:rFonts w:ascii="Times New Roman" w:hAnsi="Times New Roman" w:cs="Times New Roman"/>
          <w:sz w:val="24"/>
          <w:szCs w:val="24"/>
        </w:rPr>
        <w:t xml:space="preserve"> da</w:t>
      </w:r>
      <w:r w:rsidR="000B6196">
        <w:rPr>
          <w:rFonts w:ascii="Times New Roman" w:hAnsi="Times New Roman" w:cs="Times New Roman"/>
          <w:sz w:val="24"/>
          <w:szCs w:val="24"/>
        </w:rPr>
        <w:t>y of delinquency, occurring before four monthly mortgage payments are due and have become</w:t>
      </w:r>
      <w:r w:rsidR="0092550B" w:rsidRPr="0092550B">
        <w:rPr>
          <w:rFonts w:ascii="Times New Roman" w:hAnsi="Times New Roman" w:cs="Times New Roman"/>
          <w:sz w:val="24"/>
          <w:szCs w:val="24"/>
        </w:rPr>
        <w:t xml:space="preserve"> unpaid.  The mortgage industry and HUD regulations define time periods for reporting delinquent FHA-insured mortgage loans to HUD and to perform an evaluation every 30 days while the mortgage loans are delinquent and in default.  Mortgagees are required to </w:t>
      </w:r>
      <w:r w:rsidR="000220A0">
        <w:rPr>
          <w:rFonts w:ascii="Times New Roman" w:hAnsi="Times New Roman" w:cs="Times New Roman"/>
          <w:sz w:val="24"/>
          <w:szCs w:val="24"/>
        </w:rPr>
        <w:t>re</w:t>
      </w:r>
      <w:r w:rsidR="0092550B" w:rsidRPr="0092550B">
        <w:rPr>
          <w:rFonts w:ascii="Times New Roman" w:hAnsi="Times New Roman" w:cs="Times New Roman"/>
          <w:sz w:val="24"/>
          <w:szCs w:val="24"/>
        </w:rPr>
        <w:t>tain a</w:t>
      </w:r>
      <w:r w:rsidR="000220A0">
        <w:rPr>
          <w:rFonts w:ascii="Times New Roman" w:hAnsi="Times New Roman" w:cs="Times New Roman"/>
          <w:sz w:val="24"/>
          <w:szCs w:val="24"/>
        </w:rPr>
        <w:t xml:space="preserve">ll servicing files for a minimum </w:t>
      </w:r>
      <w:r w:rsidR="0092550B" w:rsidRPr="0092550B">
        <w:rPr>
          <w:rFonts w:ascii="Times New Roman" w:hAnsi="Times New Roman" w:cs="Times New Roman"/>
          <w:sz w:val="24"/>
          <w:szCs w:val="24"/>
        </w:rPr>
        <w:t xml:space="preserve">of </w:t>
      </w:r>
      <w:r w:rsidR="000220A0">
        <w:rPr>
          <w:rFonts w:ascii="Times New Roman" w:hAnsi="Times New Roman" w:cs="Times New Roman"/>
          <w:sz w:val="24"/>
          <w:szCs w:val="24"/>
        </w:rPr>
        <w:t>seven</w:t>
      </w:r>
      <w:r w:rsidR="0092550B" w:rsidRPr="0092550B">
        <w:rPr>
          <w:rFonts w:ascii="Times New Roman" w:hAnsi="Times New Roman" w:cs="Times New Roman"/>
          <w:sz w:val="24"/>
          <w:szCs w:val="24"/>
        </w:rPr>
        <w:t xml:space="preserve"> years after</w:t>
      </w:r>
      <w:r w:rsidR="000220A0">
        <w:rPr>
          <w:rFonts w:ascii="Times New Roman" w:hAnsi="Times New Roman" w:cs="Times New Roman"/>
          <w:sz w:val="24"/>
          <w:szCs w:val="24"/>
        </w:rPr>
        <w:t xml:space="preserve"> the transfer or sale of the mortgage or</w:t>
      </w:r>
      <w:r w:rsidR="0092550B" w:rsidRPr="0092550B">
        <w:rPr>
          <w:rFonts w:ascii="Times New Roman" w:hAnsi="Times New Roman" w:cs="Times New Roman"/>
          <w:sz w:val="24"/>
          <w:szCs w:val="24"/>
        </w:rPr>
        <w:t xml:space="preserve"> termination </w:t>
      </w:r>
      <w:r w:rsidR="000220A0">
        <w:rPr>
          <w:rFonts w:ascii="Times New Roman" w:hAnsi="Times New Roman" w:cs="Times New Roman"/>
          <w:sz w:val="24"/>
          <w:szCs w:val="24"/>
        </w:rPr>
        <w:t>of mortgage insurance. F</w:t>
      </w:r>
      <w:r w:rsidR="0092550B" w:rsidRPr="0092550B">
        <w:rPr>
          <w:rFonts w:ascii="Times New Roman" w:hAnsi="Times New Roman" w:cs="Times New Roman"/>
          <w:sz w:val="24"/>
          <w:szCs w:val="24"/>
        </w:rPr>
        <w:t xml:space="preserve">or </w:t>
      </w:r>
      <w:r w:rsidR="000220A0">
        <w:rPr>
          <w:rFonts w:ascii="Times New Roman" w:hAnsi="Times New Roman" w:cs="Times New Roman"/>
          <w:sz w:val="24"/>
          <w:szCs w:val="24"/>
        </w:rPr>
        <w:t xml:space="preserve">cases for which a </w:t>
      </w:r>
      <w:r w:rsidR="0092550B" w:rsidRPr="0092550B">
        <w:rPr>
          <w:rFonts w:ascii="Times New Roman" w:hAnsi="Times New Roman" w:cs="Times New Roman"/>
          <w:sz w:val="24"/>
          <w:szCs w:val="24"/>
        </w:rPr>
        <w:t xml:space="preserve">claim </w:t>
      </w:r>
      <w:r w:rsidR="000220A0">
        <w:rPr>
          <w:rFonts w:ascii="Times New Roman" w:hAnsi="Times New Roman" w:cs="Times New Roman"/>
          <w:sz w:val="24"/>
          <w:szCs w:val="24"/>
        </w:rPr>
        <w:t xml:space="preserve">is filed, the mortgagee must retain evidence of compliance with FHA servicing requirements </w:t>
      </w:r>
      <w:r w:rsidR="00111E37">
        <w:rPr>
          <w:rFonts w:ascii="Times New Roman" w:hAnsi="Times New Roman" w:cs="Times New Roman"/>
          <w:sz w:val="24"/>
          <w:szCs w:val="24"/>
        </w:rPr>
        <w:t>in the claim review file for at least seven years after the final claim or latest supplemental claim settlement date</w:t>
      </w:r>
      <w:r w:rsidR="0092550B" w:rsidRPr="0092550B">
        <w:rPr>
          <w:rFonts w:ascii="Times New Roman" w:hAnsi="Times New Roman" w:cs="Times New Roman"/>
          <w:sz w:val="24"/>
          <w:szCs w:val="24"/>
        </w:rPr>
        <w:t>.</w:t>
      </w:r>
    </w:p>
    <w:p w14:paraId="12024A31" w14:textId="4663D086" w:rsidR="00075224" w:rsidRPr="006E12AC" w:rsidRDefault="00075224" w:rsidP="00A072A4">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A072A4" w:rsidRPr="006E12AC">
        <w:rPr>
          <w:rFonts w:ascii="Times New Roman" w:hAnsi="Times New Roman" w:cs="Times New Roman"/>
          <w:sz w:val="24"/>
          <w:szCs w:val="24"/>
        </w:rPr>
        <w:t xml:space="preserve">The </w:t>
      </w:r>
      <w:r w:rsidR="002519DC" w:rsidRPr="006E12AC">
        <w:rPr>
          <w:rFonts w:ascii="Times New Roman" w:hAnsi="Times New Roman" w:cs="Times New Roman"/>
          <w:sz w:val="24"/>
          <w:szCs w:val="24"/>
        </w:rPr>
        <w:t xml:space="preserve">respondents </w:t>
      </w:r>
      <w:r w:rsidR="002519DC">
        <w:rPr>
          <w:rFonts w:ascii="Times New Roman" w:hAnsi="Times New Roman" w:cs="Times New Roman"/>
          <w:sz w:val="24"/>
          <w:szCs w:val="24"/>
        </w:rPr>
        <w:t xml:space="preserve">are not required </w:t>
      </w:r>
      <w:r w:rsidRPr="006E12AC">
        <w:rPr>
          <w:rFonts w:ascii="Times New Roman" w:hAnsi="Times New Roman" w:cs="Times New Roman"/>
          <w:sz w:val="24"/>
          <w:szCs w:val="24"/>
        </w:rPr>
        <w:t xml:space="preserve">to prepare a written response to a collection of information in fewer than 30 days after receipt of it; </w:t>
      </w:r>
    </w:p>
    <w:p w14:paraId="452BBE67" w14:textId="77777777" w:rsidR="002519DC" w:rsidRDefault="00075224" w:rsidP="00A072A4">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A072A4" w:rsidRPr="006E12AC">
        <w:rPr>
          <w:rFonts w:ascii="Times New Roman" w:hAnsi="Times New Roman" w:cs="Times New Roman"/>
          <w:sz w:val="24"/>
          <w:szCs w:val="24"/>
        </w:rPr>
        <w:t>The</w:t>
      </w:r>
      <w:r w:rsidRPr="006E12AC">
        <w:rPr>
          <w:rFonts w:ascii="Times New Roman" w:hAnsi="Times New Roman" w:cs="Times New Roman"/>
          <w:sz w:val="24"/>
          <w:szCs w:val="24"/>
        </w:rPr>
        <w:t xml:space="preserve"> </w:t>
      </w:r>
      <w:r w:rsidR="002519DC" w:rsidRPr="006E12AC">
        <w:rPr>
          <w:rFonts w:ascii="Times New Roman" w:hAnsi="Times New Roman" w:cs="Times New Roman"/>
          <w:sz w:val="24"/>
          <w:szCs w:val="24"/>
        </w:rPr>
        <w:t xml:space="preserve">respondents </w:t>
      </w:r>
      <w:r w:rsidR="002519DC">
        <w:rPr>
          <w:rFonts w:ascii="Times New Roman" w:hAnsi="Times New Roman" w:cs="Times New Roman"/>
          <w:sz w:val="24"/>
          <w:szCs w:val="24"/>
        </w:rPr>
        <w:t xml:space="preserve">are not required </w:t>
      </w:r>
      <w:r w:rsidRPr="006E12AC">
        <w:rPr>
          <w:rFonts w:ascii="Times New Roman" w:hAnsi="Times New Roman" w:cs="Times New Roman"/>
          <w:sz w:val="24"/>
          <w:szCs w:val="24"/>
        </w:rPr>
        <w:t xml:space="preserve">to submit more than an original and two copies of any document; </w:t>
      </w:r>
    </w:p>
    <w:p w14:paraId="7CE4E63B" w14:textId="1B62E53D" w:rsidR="00075224" w:rsidRPr="006E12AC" w:rsidRDefault="00075224" w:rsidP="00A072A4">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2519DC">
        <w:rPr>
          <w:rFonts w:ascii="Times New Roman" w:hAnsi="Times New Roman" w:cs="Times New Roman"/>
          <w:sz w:val="24"/>
          <w:szCs w:val="24"/>
        </w:rPr>
        <w:t xml:space="preserve">The </w:t>
      </w:r>
      <w:r w:rsidR="002519DC" w:rsidRPr="006E12AC">
        <w:rPr>
          <w:rFonts w:ascii="Times New Roman" w:hAnsi="Times New Roman" w:cs="Times New Roman"/>
          <w:sz w:val="24"/>
          <w:szCs w:val="24"/>
        </w:rPr>
        <w:t xml:space="preserve">respondents </w:t>
      </w:r>
      <w:r w:rsidR="002519DC">
        <w:rPr>
          <w:rFonts w:ascii="Times New Roman" w:hAnsi="Times New Roman" w:cs="Times New Roman"/>
          <w:sz w:val="24"/>
          <w:szCs w:val="24"/>
        </w:rPr>
        <w:t xml:space="preserve">are not required </w:t>
      </w:r>
      <w:r w:rsidRPr="006E12AC">
        <w:rPr>
          <w:rFonts w:ascii="Times New Roman" w:hAnsi="Times New Roman" w:cs="Times New Roman"/>
          <w:sz w:val="24"/>
          <w:szCs w:val="24"/>
        </w:rPr>
        <w:t xml:space="preserve">to retain records, other than health, medical, government contract, grant-in-aid, or tax records, for more than </w:t>
      </w:r>
      <w:r w:rsidR="00111E37">
        <w:rPr>
          <w:rFonts w:ascii="Times New Roman" w:hAnsi="Times New Roman" w:cs="Times New Roman"/>
          <w:sz w:val="24"/>
          <w:szCs w:val="24"/>
        </w:rPr>
        <w:t>seven</w:t>
      </w:r>
      <w:r w:rsidRPr="006E12AC">
        <w:rPr>
          <w:rFonts w:ascii="Times New Roman" w:hAnsi="Times New Roman" w:cs="Times New Roman"/>
          <w:sz w:val="24"/>
          <w:szCs w:val="24"/>
        </w:rPr>
        <w:t xml:space="preserve"> years; </w:t>
      </w:r>
    </w:p>
    <w:p w14:paraId="74615A9E" w14:textId="0D0EE636" w:rsidR="00075224" w:rsidRPr="006E12AC" w:rsidRDefault="00075224" w:rsidP="00A072A4">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2519DC">
        <w:rPr>
          <w:rFonts w:ascii="Times New Roman" w:hAnsi="Times New Roman" w:cs="Times New Roman"/>
          <w:sz w:val="24"/>
          <w:szCs w:val="24"/>
        </w:rPr>
        <w:t xml:space="preserve">The </w:t>
      </w:r>
      <w:r w:rsidR="002519DC" w:rsidRPr="006E12AC">
        <w:rPr>
          <w:rFonts w:ascii="Times New Roman" w:hAnsi="Times New Roman" w:cs="Times New Roman"/>
          <w:sz w:val="24"/>
          <w:szCs w:val="24"/>
        </w:rPr>
        <w:t xml:space="preserve">respondents </w:t>
      </w:r>
      <w:r w:rsidR="002519DC">
        <w:rPr>
          <w:rFonts w:ascii="Times New Roman" w:hAnsi="Times New Roman" w:cs="Times New Roman"/>
          <w:sz w:val="24"/>
          <w:szCs w:val="24"/>
        </w:rPr>
        <w:t>are not required</w:t>
      </w:r>
      <w:r w:rsidR="00A31B70">
        <w:rPr>
          <w:rFonts w:ascii="Times New Roman" w:hAnsi="Times New Roman" w:cs="Times New Roman"/>
          <w:sz w:val="24"/>
          <w:szCs w:val="24"/>
        </w:rPr>
        <w:t xml:space="preserve"> to provide </w:t>
      </w:r>
      <w:r w:rsidRPr="006E12AC">
        <w:rPr>
          <w:rFonts w:ascii="Times New Roman" w:hAnsi="Times New Roman" w:cs="Times New Roman"/>
          <w:sz w:val="24"/>
          <w:szCs w:val="24"/>
        </w:rPr>
        <w:t>a statistical survey</w:t>
      </w:r>
      <w:r w:rsidR="00A31B70">
        <w:rPr>
          <w:rFonts w:ascii="Times New Roman" w:hAnsi="Times New Roman" w:cs="Times New Roman"/>
          <w:sz w:val="24"/>
          <w:szCs w:val="24"/>
        </w:rPr>
        <w:t>;</w:t>
      </w:r>
      <w:r w:rsidRPr="006E12AC">
        <w:rPr>
          <w:rFonts w:ascii="Times New Roman" w:hAnsi="Times New Roman" w:cs="Times New Roman"/>
          <w:sz w:val="24"/>
          <w:szCs w:val="24"/>
        </w:rPr>
        <w:t xml:space="preserve"> </w:t>
      </w:r>
    </w:p>
    <w:p w14:paraId="55DE62E6" w14:textId="19B6E73C" w:rsidR="00075224" w:rsidRPr="006E12AC" w:rsidRDefault="00075224" w:rsidP="00101587">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A31B70">
        <w:rPr>
          <w:rFonts w:ascii="Times New Roman" w:hAnsi="Times New Roman" w:cs="Times New Roman"/>
          <w:sz w:val="24"/>
          <w:szCs w:val="24"/>
        </w:rPr>
        <w:t xml:space="preserve">The </w:t>
      </w:r>
      <w:r w:rsidR="00A31B70" w:rsidRPr="006E12AC">
        <w:rPr>
          <w:rFonts w:ascii="Times New Roman" w:hAnsi="Times New Roman" w:cs="Times New Roman"/>
          <w:sz w:val="24"/>
          <w:szCs w:val="24"/>
        </w:rPr>
        <w:t xml:space="preserve">respondents </w:t>
      </w:r>
      <w:r w:rsidR="00A31B70">
        <w:rPr>
          <w:rFonts w:ascii="Times New Roman" w:hAnsi="Times New Roman" w:cs="Times New Roman"/>
          <w:sz w:val="24"/>
          <w:szCs w:val="24"/>
        </w:rPr>
        <w:t xml:space="preserve">are not required to </w:t>
      </w:r>
      <w:r w:rsidRPr="006E12AC">
        <w:rPr>
          <w:rFonts w:ascii="Times New Roman" w:hAnsi="Times New Roman" w:cs="Times New Roman"/>
          <w:sz w:val="24"/>
          <w:szCs w:val="24"/>
        </w:rPr>
        <w:t xml:space="preserve">use a statistical data classification that has not been reviewed and approved by OMB; </w:t>
      </w:r>
    </w:p>
    <w:p w14:paraId="4F84E300" w14:textId="5F8435C6" w:rsidR="00075224" w:rsidRDefault="00075224" w:rsidP="00A31B70">
      <w:pPr>
        <w:spacing w:after="0" w:line="240" w:lineRule="auto"/>
        <w:ind w:left="360"/>
        <w:contextualSpacing/>
        <w:rPr>
          <w:rFonts w:ascii="Times New Roman" w:hAnsi="Times New Roman"/>
          <w:color w:val="000000"/>
          <w:sz w:val="24"/>
          <w:szCs w:val="24"/>
        </w:rPr>
      </w:pPr>
      <w:r w:rsidRPr="006E12AC">
        <w:rPr>
          <w:rFonts w:ascii="Times New Roman" w:hAnsi="Times New Roman" w:cs="Times New Roman"/>
          <w:sz w:val="24"/>
          <w:szCs w:val="24"/>
        </w:rPr>
        <w:t xml:space="preserve">* </w:t>
      </w:r>
      <w:r w:rsidR="00101587" w:rsidRPr="006E12AC">
        <w:rPr>
          <w:rFonts w:ascii="Times New Roman" w:hAnsi="Times New Roman" w:cs="Times New Roman"/>
          <w:sz w:val="24"/>
          <w:szCs w:val="24"/>
        </w:rPr>
        <w:t xml:space="preserve">The </w:t>
      </w:r>
      <w:r w:rsidR="00A31B70" w:rsidRPr="00007760">
        <w:rPr>
          <w:rFonts w:ascii="Times New Roman" w:hAnsi="Times New Roman"/>
          <w:color w:val="000000"/>
          <w:sz w:val="24"/>
          <w:szCs w:val="24"/>
        </w:rPr>
        <w:t>respondents are not required</w:t>
      </w:r>
      <w:r w:rsidR="00A31B70">
        <w:rPr>
          <w:rFonts w:ascii="Times New Roman" w:hAnsi="Times New Roman"/>
          <w:color w:val="000000"/>
          <w:sz w:val="24"/>
          <w:szCs w:val="24"/>
        </w:rPr>
        <w:t xml:space="preserve">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 or</w:t>
      </w:r>
    </w:p>
    <w:p w14:paraId="6E0FE1E4" w14:textId="77777777" w:rsidR="0092550B" w:rsidRPr="00A31B70" w:rsidRDefault="0092550B" w:rsidP="00A31B70">
      <w:pPr>
        <w:spacing w:after="0" w:line="240" w:lineRule="auto"/>
        <w:ind w:left="360"/>
        <w:contextualSpacing/>
        <w:rPr>
          <w:rFonts w:ascii="Times New Roman" w:hAnsi="Times New Roman"/>
          <w:color w:val="000000"/>
          <w:sz w:val="24"/>
          <w:szCs w:val="24"/>
        </w:rPr>
      </w:pPr>
    </w:p>
    <w:p w14:paraId="380561D9" w14:textId="5D737F16" w:rsidR="002C7B53" w:rsidRPr="006E12AC" w:rsidRDefault="00075224" w:rsidP="00101587">
      <w:pPr>
        <w:ind w:left="360"/>
        <w:rPr>
          <w:rFonts w:ascii="Times New Roman" w:hAnsi="Times New Roman" w:cs="Times New Roman"/>
          <w:sz w:val="24"/>
          <w:szCs w:val="24"/>
        </w:rPr>
      </w:pPr>
      <w:r w:rsidRPr="006E12AC">
        <w:rPr>
          <w:rFonts w:ascii="Times New Roman" w:hAnsi="Times New Roman" w:cs="Times New Roman"/>
          <w:sz w:val="24"/>
          <w:szCs w:val="24"/>
        </w:rPr>
        <w:t>*</w:t>
      </w:r>
      <w:r w:rsidR="00F9500F" w:rsidRPr="006E12AC">
        <w:rPr>
          <w:rFonts w:ascii="Times New Roman" w:hAnsi="Times New Roman" w:cs="Times New Roman"/>
          <w:sz w:val="24"/>
          <w:szCs w:val="24"/>
        </w:rPr>
        <w:t xml:space="preserve">The </w:t>
      </w:r>
      <w:r w:rsidR="00F9500F">
        <w:rPr>
          <w:rFonts w:ascii="Times New Roman" w:hAnsi="Times New Roman" w:cs="Times New Roman"/>
          <w:sz w:val="24"/>
          <w:szCs w:val="24"/>
        </w:rPr>
        <w:t>respondents</w:t>
      </w:r>
      <w:r w:rsidR="00A31B70">
        <w:rPr>
          <w:rFonts w:ascii="Times New Roman" w:hAnsi="Times New Roman" w:cs="Times New Roman"/>
          <w:sz w:val="24"/>
          <w:szCs w:val="24"/>
        </w:rPr>
        <w:t xml:space="preserve"> are</w:t>
      </w:r>
      <w:r w:rsidR="00101587" w:rsidRPr="006E12AC">
        <w:rPr>
          <w:rFonts w:ascii="Times New Roman" w:hAnsi="Times New Roman" w:cs="Times New Roman"/>
          <w:sz w:val="24"/>
          <w:szCs w:val="24"/>
        </w:rPr>
        <w:t xml:space="preserve"> not</w:t>
      </w:r>
      <w:r w:rsidRPr="006E12AC">
        <w:rPr>
          <w:rFonts w:ascii="Times New Roman" w:hAnsi="Times New Roman" w:cs="Times New Roman"/>
          <w:sz w:val="24"/>
          <w:szCs w:val="24"/>
        </w:rPr>
        <w:t xml:space="preserve"> requir</w:t>
      </w:r>
      <w:r w:rsidR="00101587" w:rsidRPr="006E12AC">
        <w:rPr>
          <w:rFonts w:ascii="Times New Roman" w:hAnsi="Times New Roman" w:cs="Times New Roman"/>
          <w:sz w:val="24"/>
          <w:szCs w:val="24"/>
        </w:rPr>
        <w:t>e</w:t>
      </w:r>
      <w:r w:rsidRPr="006E12AC">
        <w:rPr>
          <w:rFonts w:ascii="Times New Roman" w:hAnsi="Times New Roman" w:cs="Times New Roman"/>
          <w:sz w:val="24"/>
          <w:szCs w:val="24"/>
        </w:rPr>
        <w:t xml:space="preserve">d to submit proprietary trade secrets, or other confidential information unless the agency can demonstrate that it has instituted procedures to protect the information's confidentiality to the extent permitted by law. </w:t>
      </w:r>
    </w:p>
    <w:p w14:paraId="7E600095" w14:textId="77777777" w:rsidR="00DB0F44" w:rsidRPr="006E12AC" w:rsidRDefault="00F060AC" w:rsidP="00DB0F44">
      <w:pPr>
        <w:pStyle w:val="ListParagraph"/>
        <w:numPr>
          <w:ilvl w:val="0"/>
          <w:numId w:val="7"/>
        </w:numPr>
        <w:autoSpaceDE w:val="0"/>
        <w:autoSpaceDN w:val="0"/>
        <w:adjustRightInd w:val="0"/>
        <w:rPr>
          <w:rFonts w:ascii="Times New Roman" w:hAnsi="Times New Roman" w:cs="Times New Roman"/>
          <w:sz w:val="24"/>
          <w:szCs w:val="24"/>
        </w:rPr>
      </w:pPr>
      <w:r w:rsidRPr="006E12AC">
        <w:rPr>
          <w:rFonts w:ascii="Times New Roman" w:hAnsi="Times New Roman" w:cs="Times New Roman"/>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39DE56A1" w14:textId="77777777" w:rsidR="006145DB" w:rsidRDefault="006145DB" w:rsidP="00DB0F44">
      <w:pPr>
        <w:pStyle w:val="ListParagraph"/>
        <w:autoSpaceDE w:val="0"/>
        <w:autoSpaceDN w:val="0"/>
        <w:adjustRightInd w:val="0"/>
        <w:ind w:left="360"/>
        <w:rPr>
          <w:rFonts w:ascii="Times New Roman" w:hAnsi="Times New Roman" w:cs="Times New Roman"/>
          <w:sz w:val="24"/>
          <w:szCs w:val="24"/>
        </w:rPr>
      </w:pPr>
    </w:p>
    <w:p w14:paraId="0A88A5DE" w14:textId="5BB009F2" w:rsidR="00075224" w:rsidRPr="006E12AC" w:rsidRDefault="00DB0F44" w:rsidP="00DB0F44">
      <w:pPr>
        <w:pStyle w:val="ListParagraph"/>
        <w:autoSpaceDE w:val="0"/>
        <w:autoSpaceDN w:val="0"/>
        <w:adjustRightInd w:val="0"/>
        <w:ind w:left="360"/>
        <w:rPr>
          <w:rFonts w:ascii="Times New Roman" w:hAnsi="Times New Roman" w:cs="Times New Roman"/>
          <w:sz w:val="24"/>
          <w:szCs w:val="24"/>
        </w:rPr>
      </w:pPr>
      <w:r w:rsidRPr="006E12AC">
        <w:rPr>
          <w:rFonts w:ascii="Times New Roman" w:hAnsi="Times New Roman" w:cs="Times New Roman"/>
          <w:sz w:val="24"/>
          <w:szCs w:val="24"/>
        </w:rPr>
        <w:t>T</w:t>
      </w:r>
      <w:r w:rsidR="00765619" w:rsidRPr="006E12AC">
        <w:rPr>
          <w:rFonts w:ascii="Times New Roman" w:hAnsi="Times New Roman" w:cs="Times New Roman"/>
          <w:sz w:val="24"/>
          <w:szCs w:val="24"/>
        </w:rPr>
        <w:t xml:space="preserve">he agency notice soliciting comments on the information collection was published in the </w:t>
      </w:r>
      <w:r w:rsidR="00765619" w:rsidRPr="006E12AC">
        <w:rPr>
          <w:rFonts w:ascii="Times New Roman" w:hAnsi="Times New Roman" w:cs="Times New Roman"/>
          <w:sz w:val="24"/>
          <w:szCs w:val="24"/>
          <w:u w:val="single"/>
        </w:rPr>
        <w:t>Federal Register</w:t>
      </w:r>
      <w:r w:rsidR="00282873" w:rsidRPr="006E12AC">
        <w:rPr>
          <w:rFonts w:ascii="Times New Roman" w:hAnsi="Times New Roman" w:cs="Times New Roman"/>
          <w:sz w:val="24"/>
          <w:szCs w:val="24"/>
        </w:rPr>
        <w:t xml:space="preserve"> on </w:t>
      </w:r>
      <w:r w:rsidR="00B328C7">
        <w:rPr>
          <w:rFonts w:ascii="Times New Roman" w:hAnsi="Times New Roman" w:cs="Times New Roman"/>
          <w:sz w:val="24"/>
          <w:szCs w:val="24"/>
        </w:rPr>
        <w:t>July 2, 2019</w:t>
      </w:r>
      <w:r w:rsidR="00282873" w:rsidRPr="006E12AC">
        <w:rPr>
          <w:rFonts w:ascii="Times New Roman" w:hAnsi="Times New Roman" w:cs="Times New Roman"/>
          <w:sz w:val="24"/>
          <w:szCs w:val="24"/>
        </w:rPr>
        <w:t xml:space="preserve"> (Volume </w:t>
      </w:r>
      <w:r w:rsidR="009450CD">
        <w:rPr>
          <w:rFonts w:ascii="Times New Roman" w:hAnsi="Times New Roman" w:cs="Times New Roman"/>
          <w:sz w:val="24"/>
          <w:szCs w:val="24"/>
        </w:rPr>
        <w:t>84</w:t>
      </w:r>
      <w:r w:rsidR="00282873" w:rsidRPr="006E12AC">
        <w:rPr>
          <w:rFonts w:ascii="Times New Roman" w:hAnsi="Times New Roman" w:cs="Times New Roman"/>
          <w:sz w:val="24"/>
          <w:szCs w:val="24"/>
        </w:rPr>
        <w:t xml:space="preserve">, Number </w:t>
      </w:r>
      <w:r w:rsidR="009450CD">
        <w:rPr>
          <w:rFonts w:ascii="Times New Roman" w:hAnsi="Times New Roman" w:cs="Times New Roman"/>
          <w:sz w:val="24"/>
          <w:szCs w:val="24"/>
        </w:rPr>
        <w:t>127</w:t>
      </w:r>
      <w:r w:rsidR="00282873" w:rsidRPr="006E12AC">
        <w:rPr>
          <w:rFonts w:ascii="Times New Roman" w:hAnsi="Times New Roman" w:cs="Times New Roman"/>
          <w:sz w:val="24"/>
          <w:szCs w:val="24"/>
        </w:rPr>
        <w:t xml:space="preserve">, Page </w:t>
      </w:r>
      <w:r w:rsidR="009450CD">
        <w:rPr>
          <w:rFonts w:ascii="Times New Roman" w:hAnsi="Times New Roman" w:cs="Times New Roman"/>
          <w:sz w:val="24"/>
          <w:szCs w:val="24"/>
        </w:rPr>
        <w:t>31614</w:t>
      </w:r>
      <w:r w:rsidR="00765619" w:rsidRPr="006E12AC">
        <w:rPr>
          <w:rFonts w:ascii="Times New Roman" w:hAnsi="Times New Roman" w:cs="Times New Roman"/>
          <w:sz w:val="24"/>
          <w:szCs w:val="24"/>
        </w:rPr>
        <w:t>).  No comments were received.</w:t>
      </w:r>
    </w:p>
    <w:p w14:paraId="7769F314" w14:textId="77777777" w:rsidR="00492B90" w:rsidRDefault="00492B90" w:rsidP="00492B90">
      <w:pPr>
        <w:pStyle w:val="ListParagraph"/>
        <w:ind w:left="360"/>
        <w:rPr>
          <w:rFonts w:ascii="Times New Roman" w:hAnsi="Times New Roman" w:cs="Times New Roman"/>
          <w:sz w:val="24"/>
          <w:szCs w:val="24"/>
        </w:rPr>
      </w:pPr>
    </w:p>
    <w:p w14:paraId="3F0ED643" w14:textId="159B070B" w:rsidR="00DB0F44" w:rsidRPr="006E12AC" w:rsidRDefault="00DB0F44" w:rsidP="00DB0F44">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Explain any decision to provide any payment or gift to respondents, other than remuneration of contractors or grantees.</w:t>
      </w:r>
    </w:p>
    <w:p w14:paraId="3032E88A" w14:textId="77777777" w:rsidR="006145DB" w:rsidRDefault="006145DB" w:rsidP="00DB0F44">
      <w:pPr>
        <w:pStyle w:val="ListParagraph"/>
        <w:ind w:left="360"/>
        <w:rPr>
          <w:rFonts w:ascii="Times New Roman" w:hAnsi="Times New Roman" w:cs="Times New Roman"/>
          <w:sz w:val="24"/>
          <w:szCs w:val="24"/>
        </w:rPr>
      </w:pPr>
    </w:p>
    <w:p w14:paraId="35B16293" w14:textId="1EC72B13" w:rsidR="00DD42E2" w:rsidRDefault="00CA1CB7" w:rsidP="00DD42E2">
      <w:pPr>
        <w:pStyle w:val="ListParagraph"/>
        <w:ind w:left="360"/>
        <w:rPr>
          <w:rFonts w:ascii="Times New Roman" w:hAnsi="Times New Roman" w:cs="Times New Roman"/>
          <w:sz w:val="24"/>
          <w:szCs w:val="24"/>
        </w:rPr>
      </w:pPr>
      <w:r w:rsidRPr="00CA1CB7">
        <w:rPr>
          <w:rFonts w:ascii="Times New Roman" w:hAnsi="Times New Roman" w:cs="Times New Roman"/>
          <w:sz w:val="24"/>
          <w:szCs w:val="24"/>
        </w:rPr>
        <w:t>Effective use of loss mitigation not only allows families to retain homeownership, it also significantly reduces the financial impact of foreclosure claims against the FHA Insurance Funds.  The savings realized through loss mitigation are substantial and ultimately reduce the mortgage insurance premiums paid by all FHA-insured borrowers.</w:t>
      </w:r>
      <w:r w:rsidR="00DD42E2">
        <w:rPr>
          <w:rFonts w:ascii="Times New Roman" w:hAnsi="Times New Roman" w:cs="Times New Roman"/>
          <w:sz w:val="24"/>
          <w:szCs w:val="24"/>
        </w:rPr>
        <w:t xml:space="preserve"> </w:t>
      </w:r>
      <w:r w:rsidRPr="00DD42E2">
        <w:rPr>
          <w:rFonts w:ascii="Times New Roman" w:hAnsi="Times New Roman" w:cs="Times New Roman"/>
          <w:sz w:val="24"/>
          <w:szCs w:val="24"/>
        </w:rPr>
        <w:t xml:space="preserve">HUD provides reimbursement of certain costs incurred by lenders in executing loan modification and partial claim loss mitigation options </w:t>
      </w:r>
      <w:r w:rsidR="00DD42E2" w:rsidRPr="00DD42E2">
        <w:rPr>
          <w:rFonts w:ascii="Times New Roman" w:hAnsi="Times New Roman" w:cs="Times New Roman"/>
          <w:sz w:val="24"/>
          <w:szCs w:val="24"/>
        </w:rPr>
        <w:t>and</w:t>
      </w:r>
      <w:r w:rsidRPr="00DD42E2">
        <w:rPr>
          <w:rFonts w:ascii="Times New Roman" w:hAnsi="Times New Roman" w:cs="Times New Roman"/>
          <w:sz w:val="24"/>
          <w:szCs w:val="24"/>
        </w:rPr>
        <w:t xml:space="preserve"> provides additional financial incentives for all loss mitigation options.  </w:t>
      </w:r>
    </w:p>
    <w:p w14:paraId="61153C31" w14:textId="77777777" w:rsidR="00DD42E2" w:rsidRDefault="00DD42E2" w:rsidP="00DD42E2">
      <w:pPr>
        <w:pStyle w:val="ListParagraph"/>
        <w:ind w:left="360"/>
        <w:rPr>
          <w:rFonts w:ascii="Times New Roman" w:hAnsi="Times New Roman" w:cs="Times New Roman"/>
          <w:sz w:val="24"/>
          <w:szCs w:val="24"/>
        </w:rPr>
      </w:pPr>
    </w:p>
    <w:p w14:paraId="46E00CE0" w14:textId="1A22EF02" w:rsidR="000E1DB1" w:rsidRPr="00DD42E2" w:rsidRDefault="00CA1CB7" w:rsidP="00DD42E2">
      <w:pPr>
        <w:pStyle w:val="ListParagraph"/>
        <w:ind w:left="360"/>
        <w:rPr>
          <w:rFonts w:ascii="Times New Roman" w:hAnsi="Times New Roman" w:cs="Times New Roman"/>
          <w:sz w:val="24"/>
          <w:szCs w:val="24"/>
        </w:rPr>
      </w:pPr>
      <w:r w:rsidRPr="00DD42E2">
        <w:rPr>
          <w:rFonts w:ascii="Times New Roman" w:hAnsi="Times New Roman" w:cs="Times New Roman"/>
          <w:sz w:val="24"/>
          <w:szCs w:val="24"/>
        </w:rPr>
        <w:t xml:space="preserve">In recognition of the increased costs lenders experience when providing effective default servicing and the savings realized by HUD from this program, </w:t>
      </w:r>
      <w:r w:rsidR="00DD42E2">
        <w:rPr>
          <w:rFonts w:ascii="Times New Roman" w:hAnsi="Times New Roman" w:cs="Times New Roman"/>
          <w:sz w:val="24"/>
          <w:szCs w:val="24"/>
        </w:rPr>
        <w:t>t</w:t>
      </w:r>
      <w:r w:rsidR="00CF0D0F" w:rsidRPr="00DD42E2">
        <w:rPr>
          <w:rFonts w:ascii="Times New Roman" w:hAnsi="Times New Roman" w:cs="Times New Roman"/>
          <w:sz w:val="24"/>
          <w:szCs w:val="24"/>
        </w:rPr>
        <w:t>his PRA collection of information does provide incentives to mortgagees for</w:t>
      </w:r>
      <w:r w:rsidR="002F240E" w:rsidRPr="00DD42E2">
        <w:rPr>
          <w:rFonts w:ascii="Times New Roman" w:hAnsi="Times New Roman" w:cs="Times New Roman"/>
          <w:sz w:val="24"/>
          <w:szCs w:val="24"/>
        </w:rPr>
        <w:t xml:space="preserve"> successfully</w:t>
      </w:r>
      <w:r w:rsidR="00CF0D0F" w:rsidRPr="00DD42E2">
        <w:rPr>
          <w:rFonts w:ascii="Times New Roman" w:hAnsi="Times New Roman" w:cs="Times New Roman"/>
          <w:sz w:val="24"/>
          <w:szCs w:val="24"/>
        </w:rPr>
        <w:t xml:space="preserve"> implementing various loss mitigation options that are available to </w:t>
      </w:r>
      <w:r w:rsidR="00FD64FA" w:rsidRPr="00DD42E2">
        <w:rPr>
          <w:rFonts w:ascii="Times New Roman" w:hAnsi="Times New Roman" w:cs="Times New Roman"/>
          <w:sz w:val="24"/>
          <w:szCs w:val="24"/>
        </w:rPr>
        <w:t>mortgagor</w:t>
      </w:r>
      <w:r w:rsidR="00CF0D0F" w:rsidRPr="00DD42E2">
        <w:rPr>
          <w:rFonts w:ascii="Times New Roman" w:hAnsi="Times New Roman" w:cs="Times New Roman"/>
          <w:sz w:val="24"/>
          <w:szCs w:val="24"/>
        </w:rPr>
        <w:t>s. The monetary incentives include $100 to Tier 1 mortgagees for special forbearance- unemployment, $750 plus up to $250 for reimbursement of title search, endorsement to the title policy, and/or recording fees actually incurred f</w:t>
      </w:r>
      <w:r w:rsidR="008270A7" w:rsidRPr="00DD42E2">
        <w:rPr>
          <w:rFonts w:ascii="Times New Roman" w:hAnsi="Times New Roman" w:cs="Times New Roman"/>
          <w:sz w:val="24"/>
          <w:szCs w:val="24"/>
        </w:rPr>
        <w:t xml:space="preserve">or FHA-HAMP loan modification; $500 for </w:t>
      </w:r>
      <w:r w:rsidR="00456DFD" w:rsidRPr="00DD42E2">
        <w:rPr>
          <w:rFonts w:ascii="Times New Roman" w:hAnsi="Times New Roman" w:cs="Times New Roman"/>
          <w:sz w:val="24"/>
          <w:szCs w:val="24"/>
        </w:rPr>
        <w:t xml:space="preserve">FHA-HAMP </w:t>
      </w:r>
      <w:r w:rsidR="008270A7" w:rsidRPr="00DD42E2">
        <w:rPr>
          <w:rFonts w:ascii="Times New Roman" w:hAnsi="Times New Roman" w:cs="Times New Roman"/>
          <w:sz w:val="24"/>
          <w:szCs w:val="24"/>
        </w:rPr>
        <w:t>partial claims; $1,000 for pre-foreclosure sale and $250 for implementing a deed-in-lieu of foreclosure</w:t>
      </w:r>
      <w:r w:rsidR="00CF0D0F" w:rsidRPr="00DD42E2">
        <w:rPr>
          <w:rFonts w:ascii="Times New Roman" w:hAnsi="Times New Roman" w:cs="Times New Roman"/>
          <w:sz w:val="24"/>
          <w:szCs w:val="24"/>
        </w:rPr>
        <w:t>.</w:t>
      </w:r>
      <w:r w:rsidR="006904F7" w:rsidRPr="00DD42E2">
        <w:rPr>
          <w:rFonts w:ascii="Times New Roman" w:hAnsi="Times New Roman" w:cs="Times New Roman"/>
          <w:sz w:val="24"/>
          <w:szCs w:val="24"/>
        </w:rPr>
        <w:t xml:space="preserve"> </w:t>
      </w:r>
      <w:r w:rsidR="003D087C" w:rsidRPr="003D087C">
        <w:rPr>
          <w:rFonts w:ascii="Times New Roman" w:hAnsi="Times New Roman" w:cs="Times New Roman"/>
          <w:sz w:val="24"/>
          <w:szCs w:val="24"/>
        </w:rPr>
        <w:t>To comport with FHA’s mission of providing the underserved opportunities to become homeowners, we also want to ensure that our borrowers (i.e., who typically have little savings) are able to retain homeownership when they encounter a temporary financial hardship (e.g., serious illness, short-term unemployment, major home repair, etc.)  out of their control and need assistance addressing a brief delinquency period after such hardship.  The aforementioned incentives are in effect to strongly encourage mortgage servicers in helping FHA fulfill its overarching mission.</w:t>
      </w:r>
    </w:p>
    <w:p w14:paraId="08981C37" w14:textId="4E7F2F70" w:rsidR="00E95202" w:rsidRDefault="00E95202" w:rsidP="00E95202">
      <w:pPr>
        <w:pStyle w:val="ListParagraph"/>
        <w:ind w:left="360"/>
        <w:rPr>
          <w:rFonts w:ascii="Times New Roman" w:hAnsi="Times New Roman" w:cs="Times New Roman"/>
          <w:sz w:val="24"/>
          <w:szCs w:val="24"/>
        </w:rPr>
      </w:pPr>
    </w:p>
    <w:p w14:paraId="4810488C" w14:textId="4F3DE56E" w:rsidR="00DB0F44" w:rsidRPr="006E12AC" w:rsidRDefault="00DB0F44" w:rsidP="00DB0F44">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Describe any assurance of confidentiality provided to respondents and the basis for the assurance in statute, regulation, or agency policy.  </w:t>
      </w:r>
    </w:p>
    <w:p w14:paraId="72D035FA" w14:textId="77777777" w:rsidR="006145DB" w:rsidRDefault="006145DB" w:rsidP="008C49EB">
      <w:pPr>
        <w:pStyle w:val="ListParagraph"/>
        <w:ind w:left="360"/>
        <w:rPr>
          <w:rFonts w:ascii="Times New Roman" w:hAnsi="Times New Roman" w:cs="Times New Roman"/>
          <w:sz w:val="24"/>
          <w:szCs w:val="24"/>
        </w:rPr>
      </w:pPr>
    </w:p>
    <w:p w14:paraId="403888E6" w14:textId="77777777" w:rsidR="00E95202" w:rsidRDefault="009B571E" w:rsidP="00E95202">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Privacy Act of 1974 </w:t>
      </w:r>
      <w:r w:rsidR="00757E64">
        <w:rPr>
          <w:rFonts w:ascii="Times New Roman" w:hAnsi="Times New Roman" w:cs="Times New Roman"/>
          <w:sz w:val="24"/>
          <w:szCs w:val="24"/>
        </w:rPr>
        <w:t xml:space="preserve">protects respondents who meet the information reporting requirements. </w:t>
      </w:r>
    </w:p>
    <w:p w14:paraId="21CCACFD" w14:textId="77777777" w:rsidR="00E95202" w:rsidRDefault="00E95202" w:rsidP="00E95202">
      <w:pPr>
        <w:pStyle w:val="ListParagraph"/>
        <w:ind w:left="360"/>
        <w:rPr>
          <w:rFonts w:ascii="Times New Roman" w:hAnsi="Times New Roman" w:cs="Times New Roman"/>
          <w:sz w:val="24"/>
          <w:szCs w:val="24"/>
        </w:rPr>
      </w:pPr>
    </w:p>
    <w:p w14:paraId="0B9E1E72" w14:textId="4B660EA8" w:rsidR="00DB0F44" w:rsidRPr="006E12AC" w:rsidRDefault="00DB0F44" w:rsidP="00E95202">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5EAB114" w14:textId="77777777" w:rsidR="000F1F40" w:rsidRDefault="000F1F40" w:rsidP="008C49EB">
      <w:pPr>
        <w:pStyle w:val="ListParagraph"/>
        <w:ind w:left="360"/>
        <w:rPr>
          <w:rFonts w:ascii="Times New Roman" w:hAnsi="Times New Roman" w:cs="Times New Roman"/>
          <w:sz w:val="24"/>
          <w:szCs w:val="24"/>
        </w:rPr>
      </w:pPr>
    </w:p>
    <w:p w14:paraId="63B6C7D2" w14:textId="78805FCE" w:rsidR="00007588" w:rsidRDefault="00C30204" w:rsidP="008C49EB">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There are no </w:t>
      </w:r>
      <w:r w:rsidR="00075224" w:rsidRPr="006E12AC">
        <w:rPr>
          <w:rFonts w:ascii="Times New Roman" w:hAnsi="Times New Roman" w:cs="Times New Roman"/>
          <w:sz w:val="24"/>
          <w:szCs w:val="24"/>
        </w:rPr>
        <w:t xml:space="preserve">questions of a sensitive nature. </w:t>
      </w:r>
    </w:p>
    <w:p w14:paraId="6FE86256" w14:textId="41116ADD" w:rsidR="00B02F6E" w:rsidRDefault="00B02F6E" w:rsidP="008C49EB">
      <w:pPr>
        <w:pStyle w:val="ListParagraph"/>
        <w:ind w:left="360"/>
        <w:rPr>
          <w:rFonts w:ascii="Times New Roman" w:hAnsi="Times New Roman" w:cs="Times New Roman"/>
          <w:sz w:val="24"/>
          <w:szCs w:val="24"/>
        </w:rPr>
      </w:pPr>
    </w:p>
    <w:p w14:paraId="543D703C" w14:textId="5407805E" w:rsidR="00B02F6E" w:rsidRDefault="00B02F6E" w:rsidP="008C49EB">
      <w:pPr>
        <w:pStyle w:val="ListParagraph"/>
        <w:ind w:left="360"/>
        <w:rPr>
          <w:rFonts w:ascii="Times New Roman" w:hAnsi="Times New Roman" w:cs="Times New Roman"/>
          <w:sz w:val="24"/>
          <w:szCs w:val="24"/>
        </w:rPr>
      </w:pPr>
    </w:p>
    <w:p w14:paraId="3ED4766F" w14:textId="77777777" w:rsidR="00B02F6E" w:rsidRPr="006E12AC" w:rsidRDefault="00B02F6E" w:rsidP="008C49EB">
      <w:pPr>
        <w:pStyle w:val="ListParagraph"/>
        <w:ind w:left="360"/>
        <w:rPr>
          <w:rFonts w:ascii="Times New Roman" w:hAnsi="Times New Roman" w:cs="Times New Roman"/>
          <w:sz w:val="24"/>
          <w:szCs w:val="24"/>
        </w:rPr>
      </w:pPr>
    </w:p>
    <w:p w14:paraId="192DA9CF" w14:textId="77984B74" w:rsidR="008626EF" w:rsidRDefault="008626EF" w:rsidP="008626EF">
      <w:pPr>
        <w:pStyle w:val="ListParagraph"/>
        <w:ind w:left="360"/>
        <w:rPr>
          <w:rFonts w:ascii="Times New Roman" w:hAnsi="Times New Roman" w:cs="Times New Roman"/>
          <w:sz w:val="24"/>
          <w:szCs w:val="24"/>
        </w:rPr>
      </w:pPr>
    </w:p>
    <w:p w14:paraId="79E41D73" w14:textId="77777777" w:rsidR="00A10B8D" w:rsidRPr="006E12AC" w:rsidRDefault="00DB0F44" w:rsidP="008C49EB">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Provide estimates of the hour burden of the collection of information. The statement should:</w:t>
      </w:r>
    </w:p>
    <w:p w14:paraId="287F3D67" w14:textId="77777777" w:rsidR="0032243C" w:rsidRDefault="0032243C" w:rsidP="00A10B8D">
      <w:pPr>
        <w:pStyle w:val="ListParagraph"/>
        <w:ind w:left="360"/>
        <w:rPr>
          <w:rFonts w:ascii="Times New Roman" w:hAnsi="Times New Roman" w:cs="Times New Roman"/>
          <w:sz w:val="24"/>
          <w:szCs w:val="24"/>
        </w:rPr>
      </w:pPr>
    </w:p>
    <w:p w14:paraId="3F4ACFFF" w14:textId="3463696B" w:rsidR="00A10B8D" w:rsidRDefault="00A10B8D" w:rsidP="00A10B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64CFEEE8" w14:textId="77777777" w:rsidR="0032243C" w:rsidRPr="006E12AC" w:rsidRDefault="0032243C" w:rsidP="00A10B8D">
      <w:pPr>
        <w:pStyle w:val="ListParagraph"/>
        <w:ind w:left="360"/>
        <w:rPr>
          <w:rFonts w:ascii="Times New Roman" w:hAnsi="Times New Roman" w:cs="Times New Roman"/>
          <w:sz w:val="24"/>
          <w:szCs w:val="24"/>
        </w:rPr>
      </w:pPr>
    </w:p>
    <w:p w14:paraId="341A2FFF" w14:textId="180D2D99" w:rsidR="00A10B8D" w:rsidRDefault="00A10B8D" w:rsidP="00A10B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If this request for approval covers more than one form, provide separate hour burden estimates for each form and aggregate the hour burdens in Item 13 of OMB Form 83-I. </w:t>
      </w:r>
    </w:p>
    <w:p w14:paraId="4C9B0EF6" w14:textId="77777777" w:rsidR="0032243C" w:rsidRPr="006E12AC" w:rsidRDefault="0032243C" w:rsidP="00A10B8D">
      <w:pPr>
        <w:pStyle w:val="ListParagraph"/>
        <w:ind w:left="360"/>
        <w:rPr>
          <w:rFonts w:ascii="Times New Roman" w:hAnsi="Times New Roman" w:cs="Times New Roman"/>
          <w:sz w:val="24"/>
          <w:szCs w:val="24"/>
        </w:rPr>
      </w:pPr>
    </w:p>
    <w:p w14:paraId="7E48C382" w14:textId="77777777" w:rsidR="00166666" w:rsidRDefault="00A10B8D" w:rsidP="00A10B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25666A93" w14:textId="77777777" w:rsidR="00166666" w:rsidRDefault="00166666" w:rsidP="00A10B8D">
      <w:pPr>
        <w:pStyle w:val="ListParagraph"/>
        <w:ind w:left="360"/>
        <w:rPr>
          <w:rFonts w:ascii="Times New Roman" w:hAnsi="Times New Roman" w:cs="Times New Roman"/>
          <w:sz w:val="24"/>
          <w:szCs w:val="24"/>
        </w:rPr>
      </w:pPr>
    </w:p>
    <w:p w14:paraId="22265395" w14:textId="1EA009DE" w:rsidR="0092550B" w:rsidRPr="00A8408F" w:rsidRDefault="00C30204" w:rsidP="00A8408F">
      <w:pPr>
        <w:pStyle w:val="ListParagraph"/>
        <w:ind w:left="360"/>
        <w:rPr>
          <w:rFonts w:ascii="Times New Roman" w:eastAsia="Times New Roman" w:hAnsi="Times New Roman" w:cs="Times New Roman"/>
          <w:sz w:val="24"/>
          <w:szCs w:val="24"/>
        </w:rPr>
      </w:pPr>
      <w:r w:rsidRPr="00A8408F">
        <w:rPr>
          <w:rFonts w:ascii="Times New Roman" w:hAnsi="Times New Roman" w:cs="Times New Roman"/>
          <w:sz w:val="24"/>
          <w:szCs w:val="24"/>
        </w:rPr>
        <w:t>E</w:t>
      </w:r>
      <w:r w:rsidR="00075224" w:rsidRPr="00A8408F">
        <w:rPr>
          <w:rFonts w:ascii="Times New Roman" w:hAnsi="Times New Roman" w:cs="Times New Roman"/>
          <w:sz w:val="24"/>
          <w:szCs w:val="24"/>
        </w:rPr>
        <w:t>stimates of the hour burden of the collect</w:t>
      </w:r>
      <w:r w:rsidR="00A10B8D" w:rsidRPr="00A8408F">
        <w:rPr>
          <w:rFonts w:ascii="Times New Roman" w:hAnsi="Times New Roman" w:cs="Times New Roman"/>
          <w:sz w:val="24"/>
          <w:szCs w:val="24"/>
        </w:rPr>
        <w:t>i</w:t>
      </w:r>
      <w:r w:rsidR="00075224" w:rsidRPr="00A8408F">
        <w:rPr>
          <w:rFonts w:ascii="Times New Roman" w:hAnsi="Times New Roman" w:cs="Times New Roman"/>
          <w:sz w:val="24"/>
          <w:szCs w:val="24"/>
        </w:rPr>
        <w:t>on of information</w:t>
      </w:r>
      <w:r w:rsidR="006C58B9" w:rsidRPr="00A8408F">
        <w:rPr>
          <w:rFonts w:ascii="Times New Roman" w:hAnsi="Times New Roman" w:cs="Times New Roman"/>
          <w:sz w:val="24"/>
          <w:szCs w:val="24"/>
        </w:rPr>
        <w:t>:</w:t>
      </w:r>
      <w:r w:rsidR="00075224" w:rsidRPr="00A8408F">
        <w:rPr>
          <w:rFonts w:ascii="Times New Roman" w:hAnsi="Times New Roman" w:cs="Times New Roman"/>
          <w:sz w:val="24"/>
          <w:szCs w:val="24"/>
        </w:rPr>
        <w:t xml:space="preserve">  </w:t>
      </w:r>
      <w:r w:rsidR="0092550B" w:rsidRPr="00A8408F">
        <w:rPr>
          <w:rFonts w:ascii="Times New Roman" w:hAnsi="Times New Roman" w:cs="Times New Roman"/>
          <w:sz w:val="24"/>
          <w:szCs w:val="24"/>
        </w:rPr>
        <w:t xml:space="preserve">Respondents are mortgagees who are also known as lenders that service </w:t>
      </w:r>
      <w:r w:rsidR="00F9500F" w:rsidRPr="00A8408F">
        <w:rPr>
          <w:rFonts w:ascii="Times New Roman" w:hAnsi="Times New Roman" w:cs="Times New Roman"/>
          <w:sz w:val="24"/>
          <w:szCs w:val="24"/>
        </w:rPr>
        <w:t>loans and</w:t>
      </w:r>
      <w:r w:rsidR="0092550B" w:rsidRPr="00A8408F">
        <w:rPr>
          <w:rFonts w:ascii="Times New Roman" w:hAnsi="Times New Roman" w:cs="Times New Roman"/>
          <w:sz w:val="24"/>
          <w:szCs w:val="24"/>
        </w:rPr>
        <w:t xml:space="preserve"> have varied volumes of loan portfolios.  The number of respondents can vary depending on the </w:t>
      </w:r>
      <w:r w:rsidR="006C58B9" w:rsidRPr="00A8408F">
        <w:rPr>
          <w:rFonts w:ascii="Times New Roman" w:hAnsi="Times New Roman" w:cs="Times New Roman"/>
          <w:sz w:val="24"/>
          <w:szCs w:val="24"/>
        </w:rPr>
        <w:t xml:space="preserve">type of </w:t>
      </w:r>
      <w:r w:rsidR="00F9500F" w:rsidRPr="00A8408F">
        <w:rPr>
          <w:rFonts w:ascii="Times New Roman" w:hAnsi="Times New Roman" w:cs="Times New Roman"/>
          <w:sz w:val="24"/>
          <w:szCs w:val="24"/>
        </w:rPr>
        <w:t>activity</w:t>
      </w:r>
      <w:r w:rsidR="0092550B" w:rsidRPr="00A8408F">
        <w:rPr>
          <w:rFonts w:ascii="Times New Roman" w:hAnsi="Times New Roman" w:cs="Times New Roman"/>
          <w:sz w:val="24"/>
          <w:szCs w:val="24"/>
        </w:rPr>
        <w:t>.</w:t>
      </w:r>
      <w:r w:rsidR="00F07BF6" w:rsidRPr="00A8408F">
        <w:rPr>
          <w:rFonts w:ascii="Times New Roman" w:hAnsi="Times New Roman" w:cs="Times New Roman"/>
          <w:sz w:val="24"/>
          <w:szCs w:val="24"/>
        </w:rPr>
        <w:t xml:space="preserve"> In the </w:t>
      </w:r>
      <w:r w:rsidR="00CF06E2" w:rsidRPr="00A8408F">
        <w:rPr>
          <w:rFonts w:ascii="Times New Roman" w:hAnsi="Times New Roman" w:cs="Times New Roman"/>
          <w:sz w:val="24"/>
          <w:szCs w:val="24"/>
        </w:rPr>
        <w:t>example</w:t>
      </w:r>
      <w:r w:rsidR="00F07BF6" w:rsidRPr="00A8408F">
        <w:rPr>
          <w:rFonts w:ascii="Times New Roman" w:hAnsi="Times New Roman" w:cs="Times New Roman"/>
          <w:sz w:val="24"/>
          <w:szCs w:val="24"/>
        </w:rPr>
        <w:t xml:space="preserve"> below</w:t>
      </w:r>
      <w:r w:rsidR="00CF06E2" w:rsidRPr="00A8408F">
        <w:rPr>
          <w:rFonts w:ascii="Times New Roman" w:hAnsi="Times New Roman" w:cs="Times New Roman"/>
          <w:sz w:val="24"/>
          <w:szCs w:val="24"/>
        </w:rPr>
        <w:t>, 298-305 respondents are involved with Loss Mitigation and 225 are examined for the Tier Ranking System.</w:t>
      </w:r>
      <w:r w:rsidR="00A8408F" w:rsidRPr="00A8408F">
        <w:rPr>
          <w:rFonts w:ascii="Times New Roman" w:hAnsi="Times New Roman" w:cs="Times New Roman"/>
          <w:sz w:val="24"/>
          <w:szCs w:val="24"/>
        </w:rPr>
        <w:t xml:space="preserve"> </w:t>
      </w:r>
      <w:r w:rsidR="0092550B" w:rsidRPr="00A8408F">
        <w:rPr>
          <w:rFonts w:ascii="Times New Roman" w:hAnsi="Times New Roman" w:cs="Times New Roman"/>
          <w:sz w:val="24"/>
          <w:szCs w:val="24"/>
        </w:rPr>
        <w:t xml:space="preserve">The numbers of respondents involved with home-owner or </w:t>
      </w:r>
      <w:r w:rsidR="00FD64FA" w:rsidRPr="00A8408F">
        <w:rPr>
          <w:rFonts w:ascii="Times New Roman" w:hAnsi="Times New Roman" w:cs="Times New Roman"/>
          <w:sz w:val="24"/>
          <w:szCs w:val="24"/>
        </w:rPr>
        <w:t>mortgagor</w:t>
      </w:r>
      <w:r w:rsidR="0092550B" w:rsidRPr="00A8408F">
        <w:rPr>
          <w:rFonts w:ascii="Times New Roman" w:hAnsi="Times New Roman" w:cs="Times New Roman"/>
          <w:sz w:val="24"/>
          <w:szCs w:val="24"/>
        </w:rPr>
        <w:t xml:space="preserve"> activity varies from </w:t>
      </w:r>
      <w:r w:rsidR="004F5B91" w:rsidRPr="00A8408F">
        <w:rPr>
          <w:rFonts w:ascii="Times New Roman" w:hAnsi="Times New Roman" w:cs="Times New Roman"/>
          <w:sz w:val="24"/>
          <w:szCs w:val="24"/>
        </w:rPr>
        <w:t>1,575</w:t>
      </w:r>
      <w:r w:rsidR="0092550B" w:rsidRPr="00A8408F">
        <w:rPr>
          <w:rFonts w:ascii="Times New Roman" w:hAnsi="Times New Roman" w:cs="Times New Roman"/>
          <w:sz w:val="24"/>
          <w:szCs w:val="24"/>
        </w:rPr>
        <w:t xml:space="preserve"> to </w:t>
      </w:r>
      <w:r w:rsidR="00D27EEB" w:rsidRPr="00A8408F">
        <w:rPr>
          <w:rFonts w:ascii="Times New Roman" w:hAnsi="Times New Roman" w:cs="Times New Roman"/>
          <w:sz w:val="24"/>
          <w:szCs w:val="24"/>
        </w:rPr>
        <w:t>368,626</w:t>
      </w:r>
      <w:r w:rsidR="0092550B" w:rsidRPr="00A8408F">
        <w:rPr>
          <w:rFonts w:ascii="Times New Roman" w:hAnsi="Times New Roman" w:cs="Times New Roman"/>
          <w:sz w:val="24"/>
          <w:szCs w:val="24"/>
        </w:rPr>
        <w:t xml:space="preserve"> depending on the type of loss mitigation option that is utilized.  Obviously, we are hoping to assist more </w:t>
      </w:r>
      <w:r w:rsidR="00FD64FA" w:rsidRPr="00A8408F">
        <w:rPr>
          <w:rFonts w:ascii="Times New Roman" w:hAnsi="Times New Roman" w:cs="Times New Roman"/>
          <w:sz w:val="24"/>
          <w:szCs w:val="24"/>
        </w:rPr>
        <w:t>mortgagor</w:t>
      </w:r>
      <w:r w:rsidR="0092550B" w:rsidRPr="00A8408F">
        <w:rPr>
          <w:rFonts w:ascii="Times New Roman" w:hAnsi="Times New Roman" w:cs="Times New Roman"/>
          <w:sz w:val="24"/>
          <w:szCs w:val="24"/>
        </w:rPr>
        <w:t xml:space="preserve">s through a permanent home retention loss mitigation tool such as an FHA-HAMP </w:t>
      </w:r>
      <w:r w:rsidR="000B32F4" w:rsidRPr="00A8408F">
        <w:rPr>
          <w:rFonts w:ascii="Times New Roman" w:hAnsi="Times New Roman" w:cs="Times New Roman"/>
          <w:sz w:val="24"/>
          <w:szCs w:val="24"/>
        </w:rPr>
        <w:t xml:space="preserve">loan </w:t>
      </w:r>
      <w:r w:rsidR="0092550B" w:rsidRPr="00A8408F">
        <w:rPr>
          <w:rFonts w:ascii="Times New Roman" w:hAnsi="Times New Roman" w:cs="Times New Roman"/>
          <w:sz w:val="24"/>
          <w:szCs w:val="24"/>
        </w:rPr>
        <w:t>modification</w:t>
      </w:r>
      <w:r w:rsidR="000B32F4" w:rsidRPr="00A8408F">
        <w:rPr>
          <w:rFonts w:ascii="Times New Roman" w:hAnsi="Times New Roman" w:cs="Times New Roman"/>
          <w:sz w:val="24"/>
          <w:szCs w:val="24"/>
        </w:rPr>
        <w:t xml:space="preserve"> or partial claim</w:t>
      </w:r>
      <w:r w:rsidR="0092550B" w:rsidRPr="00A8408F">
        <w:rPr>
          <w:rFonts w:ascii="Times New Roman" w:hAnsi="Times New Roman" w:cs="Times New Roman"/>
          <w:sz w:val="24"/>
          <w:szCs w:val="24"/>
        </w:rPr>
        <w:t xml:space="preserve"> (</w:t>
      </w:r>
      <w:r w:rsidR="00D27EEB" w:rsidRPr="00A8408F">
        <w:rPr>
          <w:rFonts w:ascii="Times New Roman" w:hAnsi="Times New Roman" w:cs="Times New Roman"/>
          <w:sz w:val="24"/>
          <w:szCs w:val="24"/>
        </w:rPr>
        <w:t>368</w:t>
      </w:r>
      <w:r w:rsidR="0092550B" w:rsidRPr="00A8408F">
        <w:rPr>
          <w:rFonts w:ascii="Times New Roman" w:hAnsi="Times New Roman" w:cs="Times New Roman"/>
          <w:sz w:val="24"/>
          <w:szCs w:val="24"/>
        </w:rPr>
        <w:t>,</w:t>
      </w:r>
      <w:r w:rsidR="00D27EEB" w:rsidRPr="00A8408F">
        <w:rPr>
          <w:rFonts w:ascii="Times New Roman" w:hAnsi="Times New Roman" w:cs="Times New Roman"/>
          <w:sz w:val="24"/>
          <w:szCs w:val="24"/>
        </w:rPr>
        <w:t>626</w:t>
      </w:r>
      <w:r w:rsidR="0092550B" w:rsidRPr="00A8408F">
        <w:rPr>
          <w:rFonts w:ascii="Times New Roman" w:hAnsi="Times New Roman" w:cs="Times New Roman"/>
          <w:sz w:val="24"/>
          <w:szCs w:val="24"/>
        </w:rPr>
        <w:t xml:space="preserve">) than are assisted using a </w:t>
      </w:r>
      <w:r w:rsidR="000B32F4" w:rsidRPr="00A8408F">
        <w:rPr>
          <w:rFonts w:ascii="Times New Roman" w:hAnsi="Times New Roman" w:cs="Times New Roman"/>
          <w:sz w:val="24"/>
          <w:szCs w:val="24"/>
        </w:rPr>
        <w:t xml:space="preserve">home disposition </w:t>
      </w:r>
      <w:r w:rsidR="0092550B" w:rsidRPr="00A8408F">
        <w:rPr>
          <w:rFonts w:ascii="Times New Roman" w:hAnsi="Times New Roman" w:cs="Times New Roman"/>
          <w:sz w:val="24"/>
          <w:szCs w:val="24"/>
        </w:rPr>
        <w:t>Deed in Lieu of Foreclosure (1,</w:t>
      </w:r>
      <w:r w:rsidR="004F5B91" w:rsidRPr="00A8408F">
        <w:rPr>
          <w:rFonts w:ascii="Times New Roman" w:hAnsi="Times New Roman" w:cs="Times New Roman"/>
          <w:sz w:val="24"/>
          <w:szCs w:val="24"/>
        </w:rPr>
        <w:t>525</w:t>
      </w:r>
      <w:r w:rsidR="0092550B" w:rsidRPr="00A8408F">
        <w:rPr>
          <w:rFonts w:ascii="Times New Roman" w:hAnsi="Times New Roman" w:cs="Times New Roman"/>
          <w:sz w:val="24"/>
          <w:szCs w:val="24"/>
        </w:rPr>
        <w:t>).</w:t>
      </w:r>
    </w:p>
    <w:p w14:paraId="4DF8BB26" w14:textId="4937EA5B" w:rsidR="00067D1B" w:rsidRDefault="00C514D6" w:rsidP="00B820FF">
      <w:pPr>
        <w:pStyle w:val="BodyTextIndent"/>
        <w:keepLines/>
        <w:tabs>
          <w:tab w:val="left" w:pos="720"/>
        </w:tabs>
        <w:overflowPunct w:val="0"/>
        <w:spacing w:line="240" w:lineRule="auto"/>
        <w:ind w:firstLine="0"/>
        <w:textAlignment w:val="baseline"/>
        <w:rPr>
          <w:color w:val="auto"/>
        </w:rPr>
      </w:pPr>
      <w:r w:rsidRPr="00A8408F">
        <w:rPr>
          <w:color w:val="auto"/>
          <w:szCs w:val="24"/>
        </w:rPr>
        <w:t>FHA has been stable o</w:t>
      </w:r>
      <w:r w:rsidR="006C58B9" w:rsidRPr="00A8408F">
        <w:rPr>
          <w:color w:val="auto"/>
          <w:szCs w:val="24"/>
        </w:rPr>
        <w:t xml:space="preserve">ver the past 3 years </w:t>
      </w:r>
      <w:r w:rsidRPr="00A8408F">
        <w:rPr>
          <w:color w:val="auto"/>
          <w:szCs w:val="24"/>
        </w:rPr>
        <w:t xml:space="preserve">due to </w:t>
      </w:r>
      <w:r w:rsidR="00A8408F">
        <w:rPr>
          <w:color w:val="auto"/>
          <w:szCs w:val="24"/>
        </w:rPr>
        <w:t xml:space="preserve">the </w:t>
      </w:r>
      <w:r w:rsidRPr="00A8408F">
        <w:rPr>
          <w:color w:val="auto"/>
          <w:szCs w:val="24"/>
        </w:rPr>
        <w:t>slight</w:t>
      </w:r>
      <w:r w:rsidR="006C58B9" w:rsidRPr="00A8408F">
        <w:rPr>
          <w:color w:val="auto"/>
          <w:szCs w:val="24"/>
        </w:rPr>
        <w:t xml:space="preserve"> growth in the number of FHA-insured mortgage loans. </w:t>
      </w:r>
      <w:r w:rsidR="0092550B" w:rsidRPr="00A8408F">
        <w:rPr>
          <w:color w:val="auto"/>
          <w:szCs w:val="24"/>
        </w:rPr>
        <w:t>FHA-insured mortgage loan products have become</w:t>
      </w:r>
      <w:r w:rsidR="0092550B" w:rsidRPr="005306C7">
        <w:rPr>
          <w:color w:val="auto"/>
        </w:rPr>
        <w:t xml:space="preserve"> the “only game in town” for new homeowners since the private sector has tightened lending requirements on the conventional loan marke</w:t>
      </w:r>
      <w:r w:rsidR="007C02FE">
        <w:rPr>
          <w:color w:val="auto"/>
        </w:rPr>
        <w:t>t. T</w:t>
      </w:r>
      <w:r w:rsidR="0092550B" w:rsidRPr="005306C7">
        <w:rPr>
          <w:color w:val="auto"/>
        </w:rPr>
        <w:t xml:space="preserve">he FHA-insured mortgage loan portfolio grew from </w:t>
      </w:r>
      <w:r>
        <w:rPr>
          <w:color w:val="auto"/>
        </w:rPr>
        <w:t xml:space="preserve">5.2 million in 2009 to 7.7 million in 2015, a 48 percent increase in comparison to </w:t>
      </w:r>
      <w:r w:rsidR="005A00A8">
        <w:rPr>
          <w:color w:val="auto"/>
        </w:rPr>
        <w:t>7</w:t>
      </w:r>
      <w:r w:rsidR="0092550B" w:rsidRPr="005306C7">
        <w:rPr>
          <w:color w:val="auto"/>
        </w:rPr>
        <w:t>.</w:t>
      </w:r>
      <w:r w:rsidR="005A00A8">
        <w:rPr>
          <w:color w:val="auto"/>
        </w:rPr>
        <w:t>7</w:t>
      </w:r>
      <w:r w:rsidR="0092550B" w:rsidRPr="005306C7">
        <w:rPr>
          <w:color w:val="auto"/>
        </w:rPr>
        <w:t xml:space="preserve"> million in 20</w:t>
      </w:r>
      <w:r w:rsidR="005A00A8">
        <w:rPr>
          <w:color w:val="auto"/>
        </w:rPr>
        <w:t>15</w:t>
      </w:r>
      <w:r w:rsidR="0092550B" w:rsidRPr="005306C7">
        <w:rPr>
          <w:color w:val="auto"/>
        </w:rPr>
        <w:t xml:space="preserve"> to </w:t>
      </w:r>
      <w:r w:rsidR="005A00A8">
        <w:rPr>
          <w:color w:val="auto"/>
        </w:rPr>
        <w:t>8</w:t>
      </w:r>
      <w:r w:rsidR="0092550B" w:rsidRPr="005306C7">
        <w:rPr>
          <w:color w:val="auto"/>
        </w:rPr>
        <w:t xml:space="preserve"> million in 201</w:t>
      </w:r>
      <w:r w:rsidR="005A00A8">
        <w:rPr>
          <w:color w:val="auto"/>
        </w:rPr>
        <w:t>8</w:t>
      </w:r>
      <w:r w:rsidR="007C02FE">
        <w:rPr>
          <w:color w:val="auto"/>
        </w:rPr>
        <w:t xml:space="preserve">, </w:t>
      </w:r>
      <w:r w:rsidR="00A8408F">
        <w:rPr>
          <w:color w:val="auto"/>
        </w:rPr>
        <w:t xml:space="preserve">a </w:t>
      </w:r>
      <w:r w:rsidR="007C02FE">
        <w:rPr>
          <w:color w:val="auto"/>
        </w:rPr>
        <w:t>3 percent increase</w:t>
      </w:r>
      <w:r w:rsidR="0007482B">
        <w:rPr>
          <w:color w:val="auto"/>
        </w:rPr>
        <w:t xml:space="preserve">. </w:t>
      </w:r>
      <w:r w:rsidR="007C02FE">
        <w:rPr>
          <w:color w:val="auto"/>
        </w:rPr>
        <w:t xml:space="preserve">With this slight increase in market shares, the </w:t>
      </w:r>
      <w:r w:rsidR="00F77464">
        <w:rPr>
          <w:color w:val="auto"/>
        </w:rPr>
        <w:t xml:space="preserve">current environment appears to have stabilized </w:t>
      </w:r>
      <w:r w:rsidR="00A8408F">
        <w:rPr>
          <w:color w:val="auto"/>
        </w:rPr>
        <w:t>as</w:t>
      </w:r>
      <w:r w:rsidR="00F77464">
        <w:rPr>
          <w:color w:val="auto"/>
        </w:rPr>
        <w:t xml:space="preserve"> the </w:t>
      </w:r>
      <w:r w:rsidR="007C02FE">
        <w:rPr>
          <w:color w:val="auto"/>
        </w:rPr>
        <w:t>number of respondents</w:t>
      </w:r>
      <w:r w:rsidR="00F77464">
        <w:rPr>
          <w:color w:val="auto"/>
        </w:rPr>
        <w:t>, r</w:t>
      </w:r>
      <w:r w:rsidR="007C02FE">
        <w:rPr>
          <w:color w:val="auto"/>
        </w:rPr>
        <w:t xml:space="preserve">esponses and annual burden hours </w:t>
      </w:r>
      <w:r w:rsidR="0010115E">
        <w:rPr>
          <w:color w:val="auto"/>
        </w:rPr>
        <w:t xml:space="preserve">Loss Mitigation </w:t>
      </w:r>
      <w:r w:rsidR="00F77464">
        <w:rPr>
          <w:color w:val="auto"/>
        </w:rPr>
        <w:t>activity slightly decreasing.</w:t>
      </w:r>
    </w:p>
    <w:p w14:paraId="01267B9B" w14:textId="3C6094EB" w:rsidR="003D087C" w:rsidRDefault="003D087C" w:rsidP="00B820FF">
      <w:pPr>
        <w:pStyle w:val="BodyTextIndent"/>
        <w:keepLines/>
        <w:tabs>
          <w:tab w:val="left" w:pos="720"/>
        </w:tabs>
        <w:overflowPunct w:val="0"/>
        <w:spacing w:line="240" w:lineRule="auto"/>
        <w:ind w:firstLine="0"/>
        <w:textAlignment w:val="baseline"/>
        <w:rPr>
          <w:color w:val="auto"/>
        </w:rPr>
      </w:pPr>
    </w:p>
    <w:p w14:paraId="1208D02B" w14:textId="77D04375" w:rsidR="00067D1B" w:rsidRDefault="00067D1B" w:rsidP="006904F7">
      <w:pPr>
        <w:pStyle w:val="BodyTextIndent"/>
        <w:keepLines/>
        <w:tabs>
          <w:tab w:val="left" w:pos="720"/>
        </w:tabs>
        <w:overflowPunct w:val="0"/>
        <w:spacing w:line="240" w:lineRule="auto"/>
        <w:ind w:firstLine="0"/>
        <w:textAlignment w:val="baseline"/>
        <w:rPr>
          <w:color w:val="auto"/>
        </w:rPr>
      </w:pPr>
    </w:p>
    <w:p w14:paraId="0BB8D61E" w14:textId="77777777" w:rsidR="00B02F6E" w:rsidRPr="00A42705" w:rsidRDefault="00B02F6E" w:rsidP="006904F7">
      <w:pPr>
        <w:pStyle w:val="BodyTextIndent"/>
        <w:keepLines/>
        <w:tabs>
          <w:tab w:val="left" w:pos="720"/>
        </w:tabs>
        <w:overflowPunct w:val="0"/>
        <w:spacing w:line="240" w:lineRule="auto"/>
        <w:ind w:firstLine="0"/>
        <w:textAlignment w:val="baseline"/>
        <w:rPr>
          <w:color w:val="auto"/>
        </w:rPr>
      </w:pPr>
    </w:p>
    <w:tbl>
      <w:tblPr>
        <w:tblpPr w:leftFromText="180" w:rightFromText="180" w:horzAnchor="margin" w:tblpY="-434"/>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23"/>
        <w:gridCol w:w="1229"/>
        <w:gridCol w:w="903"/>
        <w:gridCol w:w="1205"/>
        <w:gridCol w:w="775"/>
        <w:gridCol w:w="1260"/>
        <w:gridCol w:w="810"/>
        <w:gridCol w:w="1373"/>
      </w:tblGrid>
      <w:tr w:rsidR="009734AA" w:rsidRPr="005B2078" w14:paraId="3781182F" w14:textId="77777777" w:rsidTr="006B5173">
        <w:trPr>
          <w:trHeight w:val="659"/>
          <w:tblHeader/>
        </w:trPr>
        <w:tc>
          <w:tcPr>
            <w:tcW w:w="2723" w:type="dxa"/>
            <w:tcBorders>
              <w:bottom w:val="single" w:sz="4" w:space="0" w:color="auto"/>
            </w:tcBorders>
            <w:vAlign w:val="center"/>
          </w:tcPr>
          <w:p w14:paraId="79BDEA8E" w14:textId="77777777" w:rsidR="009734AA" w:rsidRPr="005B2078" w:rsidRDefault="009734AA" w:rsidP="006B5173">
            <w:pPr>
              <w:spacing w:after="0" w:line="240" w:lineRule="auto"/>
              <w:jc w:val="center"/>
              <w:rPr>
                <w:b/>
                <w:bCs/>
                <w:sz w:val="18"/>
              </w:rPr>
            </w:pPr>
            <w:r w:rsidRPr="005B2078">
              <w:rPr>
                <w:b/>
                <w:bCs/>
                <w:sz w:val="18"/>
              </w:rPr>
              <w:t>Information Collection</w:t>
            </w:r>
          </w:p>
        </w:tc>
        <w:tc>
          <w:tcPr>
            <w:tcW w:w="1229" w:type="dxa"/>
            <w:tcBorders>
              <w:bottom w:val="single" w:sz="4" w:space="0" w:color="auto"/>
            </w:tcBorders>
            <w:vAlign w:val="center"/>
          </w:tcPr>
          <w:p w14:paraId="05DC312E" w14:textId="77777777" w:rsidR="009734AA" w:rsidRPr="005B2078" w:rsidRDefault="009734AA" w:rsidP="006B5173">
            <w:pPr>
              <w:spacing w:after="0" w:line="240" w:lineRule="auto"/>
              <w:jc w:val="center"/>
              <w:rPr>
                <w:b/>
                <w:bCs/>
                <w:sz w:val="18"/>
              </w:rPr>
            </w:pPr>
            <w:r w:rsidRPr="005B2078">
              <w:rPr>
                <w:b/>
                <w:bCs/>
                <w:sz w:val="18"/>
              </w:rPr>
              <w:t>Number of      Respondents</w:t>
            </w:r>
          </w:p>
        </w:tc>
        <w:tc>
          <w:tcPr>
            <w:tcW w:w="903" w:type="dxa"/>
            <w:tcBorders>
              <w:bottom w:val="single" w:sz="4" w:space="0" w:color="auto"/>
            </w:tcBorders>
            <w:vAlign w:val="center"/>
          </w:tcPr>
          <w:p w14:paraId="6B5756A6" w14:textId="77777777" w:rsidR="009734AA" w:rsidRPr="005B2078" w:rsidRDefault="009734AA" w:rsidP="006B5173">
            <w:pPr>
              <w:spacing w:after="0" w:line="240" w:lineRule="auto"/>
              <w:jc w:val="center"/>
              <w:rPr>
                <w:b/>
                <w:bCs/>
                <w:sz w:val="18"/>
              </w:rPr>
            </w:pPr>
            <w:r w:rsidRPr="005B2078">
              <w:rPr>
                <w:b/>
                <w:bCs/>
                <w:sz w:val="18"/>
              </w:rPr>
              <w:t>Response Frequency (Average)</w:t>
            </w:r>
          </w:p>
        </w:tc>
        <w:tc>
          <w:tcPr>
            <w:tcW w:w="1205" w:type="dxa"/>
            <w:tcBorders>
              <w:bottom w:val="single" w:sz="4" w:space="0" w:color="auto"/>
            </w:tcBorders>
            <w:vAlign w:val="center"/>
          </w:tcPr>
          <w:p w14:paraId="10A40D34" w14:textId="77777777" w:rsidR="009734AA" w:rsidRPr="005B2078" w:rsidRDefault="009734AA" w:rsidP="006B5173">
            <w:pPr>
              <w:spacing w:after="0" w:line="240" w:lineRule="auto"/>
              <w:jc w:val="center"/>
              <w:rPr>
                <w:b/>
                <w:bCs/>
                <w:sz w:val="18"/>
              </w:rPr>
            </w:pPr>
            <w:r w:rsidRPr="005B2078">
              <w:rPr>
                <w:b/>
                <w:bCs/>
                <w:sz w:val="18"/>
              </w:rPr>
              <w:t>Responses Per Annum</w:t>
            </w:r>
          </w:p>
        </w:tc>
        <w:tc>
          <w:tcPr>
            <w:tcW w:w="775" w:type="dxa"/>
            <w:tcBorders>
              <w:bottom w:val="single" w:sz="4" w:space="0" w:color="auto"/>
            </w:tcBorders>
            <w:vAlign w:val="center"/>
          </w:tcPr>
          <w:p w14:paraId="009B30C7" w14:textId="77777777" w:rsidR="009734AA" w:rsidRPr="005B2078" w:rsidRDefault="009734AA" w:rsidP="006B5173">
            <w:pPr>
              <w:spacing w:after="0" w:line="240" w:lineRule="auto"/>
              <w:ind w:right="141"/>
              <w:jc w:val="center"/>
              <w:rPr>
                <w:b/>
                <w:bCs/>
                <w:sz w:val="18"/>
              </w:rPr>
            </w:pPr>
            <w:r w:rsidRPr="005B2078">
              <w:rPr>
                <w:b/>
                <w:bCs/>
                <w:sz w:val="18"/>
              </w:rPr>
              <w:t xml:space="preserve">Burden Hour Per </w:t>
            </w:r>
            <w:r w:rsidRPr="00B820FF">
              <w:rPr>
                <w:b/>
                <w:bCs/>
                <w:sz w:val="16"/>
                <w:szCs w:val="16"/>
              </w:rPr>
              <w:t>Response</w:t>
            </w:r>
          </w:p>
        </w:tc>
        <w:tc>
          <w:tcPr>
            <w:tcW w:w="1260" w:type="dxa"/>
            <w:tcBorders>
              <w:bottom w:val="single" w:sz="4" w:space="0" w:color="auto"/>
            </w:tcBorders>
            <w:vAlign w:val="center"/>
          </w:tcPr>
          <w:p w14:paraId="5CAAEE33" w14:textId="77777777" w:rsidR="009734AA" w:rsidRPr="005B2078" w:rsidRDefault="009734AA" w:rsidP="006B5173">
            <w:pPr>
              <w:spacing w:after="0" w:line="240" w:lineRule="auto"/>
              <w:ind w:left="76"/>
              <w:jc w:val="center"/>
              <w:rPr>
                <w:b/>
                <w:bCs/>
                <w:sz w:val="18"/>
              </w:rPr>
            </w:pPr>
            <w:r w:rsidRPr="005B2078">
              <w:rPr>
                <w:b/>
                <w:bCs/>
                <w:sz w:val="18"/>
              </w:rPr>
              <w:t>Annual Burden Hours</w:t>
            </w:r>
          </w:p>
        </w:tc>
        <w:tc>
          <w:tcPr>
            <w:tcW w:w="810" w:type="dxa"/>
            <w:tcBorders>
              <w:bottom w:val="single" w:sz="4" w:space="0" w:color="auto"/>
            </w:tcBorders>
            <w:vAlign w:val="center"/>
          </w:tcPr>
          <w:p w14:paraId="2481054E" w14:textId="77777777" w:rsidR="009734AA" w:rsidRPr="005B2078" w:rsidRDefault="009734AA" w:rsidP="006B5173">
            <w:pPr>
              <w:spacing w:after="0" w:line="240" w:lineRule="auto"/>
              <w:jc w:val="center"/>
              <w:rPr>
                <w:b/>
                <w:bCs/>
                <w:sz w:val="18"/>
              </w:rPr>
            </w:pPr>
            <w:r w:rsidRPr="005B2078">
              <w:rPr>
                <w:b/>
                <w:bCs/>
                <w:sz w:val="18"/>
              </w:rPr>
              <w:t>Hourly Cost Per Response</w:t>
            </w:r>
          </w:p>
        </w:tc>
        <w:tc>
          <w:tcPr>
            <w:tcW w:w="1373" w:type="dxa"/>
            <w:tcBorders>
              <w:bottom w:val="single" w:sz="4" w:space="0" w:color="auto"/>
            </w:tcBorders>
            <w:vAlign w:val="center"/>
          </w:tcPr>
          <w:p w14:paraId="04B53A10" w14:textId="77777777" w:rsidR="009734AA" w:rsidRPr="005B2078" w:rsidRDefault="009734AA" w:rsidP="006B5173">
            <w:pPr>
              <w:spacing w:after="0" w:line="240" w:lineRule="auto"/>
              <w:ind w:right="91"/>
              <w:jc w:val="center"/>
              <w:rPr>
                <w:b/>
                <w:bCs/>
                <w:sz w:val="18"/>
              </w:rPr>
            </w:pPr>
            <w:r w:rsidRPr="005B2078">
              <w:rPr>
                <w:b/>
                <w:bCs/>
                <w:sz w:val="18"/>
              </w:rPr>
              <w:t>Annual Cost</w:t>
            </w:r>
          </w:p>
        </w:tc>
      </w:tr>
      <w:tr w:rsidR="00B02F6E" w:rsidRPr="005B2078" w14:paraId="05CE1AC3" w14:textId="77777777" w:rsidTr="006B5173">
        <w:trPr>
          <w:trHeight w:val="292"/>
        </w:trPr>
        <w:tc>
          <w:tcPr>
            <w:tcW w:w="10278" w:type="dxa"/>
            <w:gridSpan w:val="8"/>
            <w:tcBorders>
              <w:bottom w:val="single" w:sz="4" w:space="0" w:color="auto"/>
            </w:tcBorders>
            <w:shd w:val="clear" w:color="auto" w:fill="B3B3B3"/>
            <w:vAlign w:val="center"/>
          </w:tcPr>
          <w:p w14:paraId="21CB0D68" w14:textId="7D91FEEA" w:rsidR="00B02F6E" w:rsidRPr="005B2078" w:rsidRDefault="00B02F6E" w:rsidP="006B5173">
            <w:pPr>
              <w:spacing w:after="0" w:line="240" w:lineRule="auto"/>
              <w:rPr>
                <w:sz w:val="18"/>
              </w:rPr>
            </w:pPr>
            <w:r>
              <w:rPr>
                <w:b/>
                <w:bCs/>
              </w:rPr>
              <w:t xml:space="preserve">FHA-Insured Mortgage </w:t>
            </w:r>
            <w:r w:rsidRPr="005B2078">
              <w:rPr>
                <w:b/>
                <w:bCs/>
              </w:rPr>
              <w:t xml:space="preserve">Loss Mitigation Program </w:t>
            </w:r>
          </w:p>
        </w:tc>
      </w:tr>
      <w:tr w:rsidR="00B02F6E" w:rsidRPr="005B2078" w14:paraId="1F24CE84" w14:textId="77777777" w:rsidTr="006B5173">
        <w:trPr>
          <w:trHeight w:val="256"/>
        </w:trPr>
        <w:tc>
          <w:tcPr>
            <w:tcW w:w="10278" w:type="dxa"/>
            <w:gridSpan w:val="8"/>
            <w:shd w:val="clear" w:color="auto" w:fill="E0E0E0"/>
            <w:vAlign w:val="center"/>
          </w:tcPr>
          <w:p w14:paraId="4C1D67D2" w14:textId="7C13D3F8" w:rsidR="00B02F6E" w:rsidRPr="005B2078" w:rsidRDefault="00B02F6E" w:rsidP="006B5173">
            <w:pPr>
              <w:spacing w:after="0" w:line="240" w:lineRule="auto"/>
              <w:rPr>
                <w:sz w:val="18"/>
              </w:rPr>
            </w:pPr>
            <w:r w:rsidRPr="005B2078">
              <w:rPr>
                <w:b/>
                <w:bCs/>
              </w:rPr>
              <w:t>Special Forbearance (SF</w:t>
            </w:r>
            <w:r>
              <w:rPr>
                <w:b/>
                <w:bCs/>
              </w:rPr>
              <w:t>B</w:t>
            </w:r>
            <w:r w:rsidRPr="005B2078">
              <w:rPr>
                <w:b/>
                <w:bCs/>
              </w:rPr>
              <w:t xml:space="preserve">) </w:t>
            </w:r>
            <w:r w:rsidRPr="00B820FF">
              <w:rPr>
                <w:b/>
                <w:bCs/>
              </w:rPr>
              <w:t>Unemployment</w:t>
            </w:r>
            <w:r>
              <w:rPr>
                <w:b/>
                <w:bCs/>
              </w:rPr>
              <w:t xml:space="preserve"> Agreement</w:t>
            </w:r>
          </w:p>
        </w:tc>
      </w:tr>
      <w:tr w:rsidR="009734AA" w:rsidRPr="005B2078" w14:paraId="04B69417" w14:textId="77777777" w:rsidTr="006B5173">
        <w:trPr>
          <w:trHeight w:val="256"/>
        </w:trPr>
        <w:tc>
          <w:tcPr>
            <w:tcW w:w="2723" w:type="dxa"/>
            <w:vAlign w:val="center"/>
          </w:tcPr>
          <w:p w14:paraId="62134EA8" w14:textId="68C89129" w:rsidR="009734AA" w:rsidRPr="005B2078" w:rsidRDefault="009734AA" w:rsidP="006B5173">
            <w:pPr>
              <w:spacing w:after="0" w:line="240" w:lineRule="auto"/>
              <w:rPr>
                <w:sz w:val="18"/>
              </w:rPr>
            </w:pPr>
            <w:r w:rsidRPr="005B2078">
              <w:rPr>
                <w:sz w:val="18"/>
              </w:rPr>
              <w:t>SF</w:t>
            </w:r>
            <w:r w:rsidR="00E56FBD">
              <w:rPr>
                <w:sz w:val="18"/>
              </w:rPr>
              <w:t>B</w:t>
            </w:r>
            <w:r w:rsidRPr="005B2078">
              <w:rPr>
                <w:sz w:val="18"/>
              </w:rPr>
              <w:t xml:space="preserve"> Evaluation</w:t>
            </w:r>
          </w:p>
        </w:tc>
        <w:tc>
          <w:tcPr>
            <w:tcW w:w="1229" w:type="dxa"/>
            <w:vAlign w:val="center"/>
          </w:tcPr>
          <w:p w14:paraId="19BD5F6C"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0</w:t>
            </w:r>
          </w:p>
        </w:tc>
        <w:tc>
          <w:tcPr>
            <w:tcW w:w="903" w:type="dxa"/>
            <w:vAlign w:val="center"/>
          </w:tcPr>
          <w:p w14:paraId="1102644A" w14:textId="2E9C6B6A" w:rsidR="009734AA" w:rsidRPr="005B2078" w:rsidRDefault="009734AA" w:rsidP="006B5173">
            <w:pPr>
              <w:spacing w:after="0" w:line="240" w:lineRule="auto"/>
              <w:jc w:val="center"/>
              <w:rPr>
                <w:color w:val="000000"/>
                <w:sz w:val="18"/>
                <w:szCs w:val="18"/>
              </w:rPr>
            </w:pPr>
            <w:r w:rsidRPr="005B2078">
              <w:rPr>
                <w:color w:val="000000"/>
                <w:sz w:val="18"/>
              </w:rPr>
              <w:t>16.</w:t>
            </w:r>
            <w:r w:rsidR="00232DDC">
              <w:rPr>
                <w:color w:val="000000"/>
                <w:sz w:val="18"/>
              </w:rPr>
              <w:t>67</w:t>
            </w:r>
          </w:p>
        </w:tc>
        <w:tc>
          <w:tcPr>
            <w:tcW w:w="1205" w:type="dxa"/>
            <w:vAlign w:val="center"/>
          </w:tcPr>
          <w:p w14:paraId="23CE2B40" w14:textId="77777777" w:rsidR="009734AA" w:rsidRPr="008F4E60" w:rsidRDefault="009734AA" w:rsidP="006B5173">
            <w:pPr>
              <w:spacing w:after="0" w:line="240" w:lineRule="auto"/>
              <w:jc w:val="center"/>
              <w:rPr>
                <w:color w:val="000000"/>
                <w:sz w:val="18"/>
              </w:rPr>
            </w:pPr>
            <w:r w:rsidRPr="005B2078">
              <w:rPr>
                <w:color w:val="000000"/>
                <w:sz w:val="18"/>
              </w:rPr>
              <w:t>5,0</w:t>
            </w:r>
            <w:r>
              <w:rPr>
                <w:color w:val="000000"/>
                <w:sz w:val="18"/>
              </w:rPr>
              <w:t>0</w:t>
            </w:r>
            <w:r w:rsidRPr="005B2078">
              <w:rPr>
                <w:color w:val="000000"/>
                <w:sz w:val="18"/>
              </w:rPr>
              <w:t>1</w:t>
            </w:r>
          </w:p>
        </w:tc>
        <w:tc>
          <w:tcPr>
            <w:tcW w:w="775" w:type="dxa"/>
            <w:vAlign w:val="center"/>
          </w:tcPr>
          <w:p w14:paraId="375DEADA"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4</w:t>
            </w:r>
          </w:p>
        </w:tc>
        <w:tc>
          <w:tcPr>
            <w:tcW w:w="1260" w:type="dxa"/>
            <w:vAlign w:val="center"/>
          </w:tcPr>
          <w:p w14:paraId="2907744E" w14:textId="77777777" w:rsidR="009734AA" w:rsidRPr="005B2078" w:rsidRDefault="009734AA" w:rsidP="006B5173">
            <w:pPr>
              <w:spacing w:after="0" w:line="240" w:lineRule="auto"/>
              <w:jc w:val="center"/>
              <w:rPr>
                <w:color w:val="000000"/>
                <w:sz w:val="18"/>
                <w:szCs w:val="18"/>
              </w:rPr>
            </w:pPr>
            <w:r w:rsidRPr="005B2078">
              <w:rPr>
                <w:color w:val="000000"/>
                <w:sz w:val="18"/>
              </w:rPr>
              <w:t>20,</w:t>
            </w:r>
            <w:r>
              <w:rPr>
                <w:color w:val="000000"/>
                <w:sz w:val="18"/>
              </w:rPr>
              <w:t>004</w:t>
            </w:r>
          </w:p>
        </w:tc>
        <w:tc>
          <w:tcPr>
            <w:tcW w:w="810" w:type="dxa"/>
            <w:vAlign w:val="center"/>
          </w:tcPr>
          <w:p w14:paraId="1E059646" w14:textId="09576FBA" w:rsidR="009734AA" w:rsidRPr="005B2078" w:rsidRDefault="009734AA" w:rsidP="006B5173">
            <w:pPr>
              <w:spacing w:after="0" w:line="240" w:lineRule="auto"/>
              <w:jc w:val="center"/>
              <w:rPr>
                <w:color w:val="000000"/>
                <w:sz w:val="18"/>
                <w:szCs w:val="18"/>
              </w:rPr>
            </w:pPr>
            <w:r w:rsidRPr="005B2078">
              <w:rPr>
                <w:color w:val="000000"/>
                <w:sz w:val="18"/>
              </w:rPr>
              <w:t>$</w:t>
            </w:r>
            <w:r w:rsidR="00232DDC">
              <w:rPr>
                <w:color w:val="000000"/>
                <w:sz w:val="18"/>
              </w:rPr>
              <w:t>20</w:t>
            </w:r>
            <w:r w:rsidRPr="005B2078">
              <w:rPr>
                <w:color w:val="000000"/>
                <w:sz w:val="18"/>
              </w:rPr>
              <w:t xml:space="preserve">.00 </w:t>
            </w:r>
          </w:p>
        </w:tc>
        <w:tc>
          <w:tcPr>
            <w:tcW w:w="1373" w:type="dxa"/>
            <w:vAlign w:val="center"/>
          </w:tcPr>
          <w:p w14:paraId="5762CF46" w14:textId="236396F3" w:rsidR="009734AA" w:rsidRPr="005B2078" w:rsidRDefault="009734AA" w:rsidP="006B5173">
            <w:pPr>
              <w:spacing w:after="0" w:line="240" w:lineRule="auto"/>
              <w:jc w:val="right"/>
              <w:rPr>
                <w:color w:val="000000"/>
                <w:sz w:val="18"/>
                <w:szCs w:val="18"/>
              </w:rPr>
            </w:pPr>
            <w:r w:rsidRPr="005B2078">
              <w:rPr>
                <w:color w:val="000000"/>
                <w:sz w:val="18"/>
              </w:rPr>
              <w:t>$</w:t>
            </w:r>
            <w:r w:rsidR="00232DDC">
              <w:rPr>
                <w:color w:val="000000"/>
                <w:sz w:val="18"/>
              </w:rPr>
              <w:t>4</w:t>
            </w:r>
            <w:r w:rsidRPr="005B2078">
              <w:rPr>
                <w:color w:val="000000"/>
                <w:sz w:val="18"/>
              </w:rPr>
              <w:t>0</w:t>
            </w:r>
            <w:r>
              <w:rPr>
                <w:color w:val="000000"/>
                <w:sz w:val="18"/>
              </w:rPr>
              <w:t>0</w:t>
            </w:r>
            <w:r w:rsidRPr="005B2078">
              <w:rPr>
                <w:color w:val="000000"/>
                <w:sz w:val="18"/>
              </w:rPr>
              <w:t>,</w:t>
            </w:r>
            <w:r>
              <w:rPr>
                <w:color w:val="000000"/>
                <w:sz w:val="18"/>
              </w:rPr>
              <w:t>0</w:t>
            </w:r>
            <w:r w:rsidR="00232DDC">
              <w:rPr>
                <w:color w:val="000000"/>
                <w:sz w:val="18"/>
              </w:rPr>
              <w:t>8</w:t>
            </w:r>
            <w:r w:rsidRPr="005B2078">
              <w:rPr>
                <w:color w:val="000000"/>
                <w:sz w:val="18"/>
              </w:rPr>
              <w:t xml:space="preserve">0 </w:t>
            </w:r>
          </w:p>
        </w:tc>
      </w:tr>
      <w:tr w:rsidR="009734AA" w:rsidRPr="005B2078" w14:paraId="45CB2162" w14:textId="77777777" w:rsidTr="006B5173">
        <w:trPr>
          <w:trHeight w:val="274"/>
        </w:trPr>
        <w:tc>
          <w:tcPr>
            <w:tcW w:w="2723" w:type="dxa"/>
            <w:vAlign w:val="center"/>
          </w:tcPr>
          <w:p w14:paraId="6B5BD9CB" w14:textId="11C5809E" w:rsidR="009734AA" w:rsidRPr="005B2078" w:rsidRDefault="00FD64FA" w:rsidP="006B5173">
            <w:pPr>
              <w:spacing w:after="0" w:line="240" w:lineRule="auto"/>
              <w:rPr>
                <w:sz w:val="18"/>
              </w:rPr>
            </w:pPr>
            <w:r>
              <w:rPr>
                <w:sz w:val="18"/>
              </w:rPr>
              <w:t>Mortgagor</w:t>
            </w:r>
            <w:r w:rsidR="009734AA" w:rsidRPr="005B2078">
              <w:rPr>
                <w:sz w:val="18"/>
              </w:rPr>
              <w:t xml:space="preserve"> Activity</w:t>
            </w:r>
          </w:p>
        </w:tc>
        <w:tc>
          <w:tcPr>
            <w:tcW w:w="1229" w:type="dxa"/>
            <w:vAlign w:val="center"/>
          </w:tcPr>
          <w:p w14:paraId="3DBF3DBA" w14:textId="5EFC875F" w:rsidR="009734AA" w:rsidRPr="005B2078" w:rsidRDefault="00D27EEB" w:rsidP="006B5173">
            <w:pPr>
              <w:spacing w:after="0" w:line="240" w:lineRule="auto"/>
              <w:jc w:val="center"/>
              <w:rPr>
                <w:sz w:val="18"/>
              </w:rPr>
            </w:pPr>
            <w:r>
              <w:rPr>
                <w:sz w:val="18"/>
              </w:rPr>
              <w:t>11,10</w:t>
            </w:r>
            <w:r w:rsidR="009734AA">
              <w:rPr>
                <w:sz w:val="18"/>
              </w:rPr>
              <w:t>0</w:t>
            </w:r>
          </w:p>
        </w:tc>
        <w:tc>
          <w:tcPr>
            <w:tcW w:w="903" w:type="dxa"/>
            <w:vAlign w:val="center"/>
          </w:tcPr>
          <w:p w14:paraId="6CAFE182" w14:textId="208B30C6" w:rsidR="009734AA" w:rsidRPr="005B2078" w:rsidRDefault="009734AA" w:rsidP="006B5173">
            <w:pPr>
              <w:spacing w:after="0" w:line="240" w:lineRule="auto"/>
              <w:jc w:val="center"/>
              <w:rPr>
                <w:color w:val="000000"/>
                <w:sz w:val="18"/>
                <w:szCs w:val="18"/>
              </w:rPr>
            </w:pPr>
            <w:r w:rsidRPr="005B2078">
              <w:rPr>
                <w:color w:val="000000"/>
                <w:sz w:val="18"/>
              </w:rPr>
              <w:t>1</w:t>
            </w:r>
            <w:r w:rsidR="00232DDC">
              <w:rPr>
                <w:color w:val="000000"/>
                <w:sz w:val="18"/>
              </w:rPr>
              <w:t>.</w:t>
            </w:r>
            <w:r w:rsidR="00D27EEB">
              <w:rPr>
                <w:color w:val="000000"/>
                <w:sz w:val="18"/>
              </w:rPr>
              <w:t>00</w:t>
            </w:r>
          </w:p>
        </w:tc>
        <w:tc>
          <w:tcPr>
            <w:tcW w:w="1205" w:type="dxa"/>
            <w:vAlign w:val="center"/>
          </w:tcPr>
          <w:p w14:paraId="326B295F" w14:textId="5BDEEA66" w:rsidR="009734AA" w:rsidRPr="005B2078" w:rsidRDefault="00232DDC" w:rsidP="006B5173">
            <w:pPr>
              <w:spacing w:after="0" w:line="240" w:lineRule="auto"/>
              <w:jc w:val="center"/>
              <w:rPr>
                <w:color w:val="000000"/>
                <w:sz w:val="18"/>
                <w:szCs w:val="18"/>
              </w:rPr>
            </w:pPr>
            <w:r>
              <w:rPr>
                <w:color w:val="000000"/>
                <w:sz w:val="18"/>
                <w:szCs w:val="18"/>
              </w:rPr>
              <w:t>1</w:t>
            </w:r>
            <w:r w:rsidR="00D27EEB">
              <w:rPr>
                <w:color w:val="000000"/>
                <w:sz w:val="18"/>
                <w:szCs w:val="18"/>
              </w:rPr>
              <w:t>1,100</w:t>
            </w:r>
          </w:p>
        </w:tc>
        <w:tc>
          <w:tcPr>
            <w:tcW w:w="775" w:type="dxa"/>
            <w:vAlign w:val="center"/>
          </w:tcPr>
          <w:p w14:paraId="541EDFC7"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1</w:t>
            </w:r>
          </w:p>
        </w:tc>
        <w:tc>
          <w:tcPr>
            <w:tcW w:w="1260" w:type="dxa"/>
            <w:vAlign w:val="center"/>
          </w:tcPr>
          <w:p w14:paraId="3F7BACF6" w14:textId="7BC62E40" w:rsidR="009734AA" w:rsidRPr="005B2078" w:rsidRDefault="00232DDC" w:rsidP="006B5173">
            <w:pPr>
              <w:spacing w:after="0" w:line="240" w:lineRule="auto"/>
              <w:jc w:val="center"/>
              <w:rPr>
                <w:color w:val="000000"/>
                <w:sz w:val="18"/>
                <w:szCs w:val="18"/>
              </w:rPr>
            </w:pPr>
            <w:r>
              <w:rPr>
                <w:color w:val="000000"/>
                <w:sz w:val="18"/>
              </w:rPr>
              <w:t>1</w:t>
            </w:r>
            <w:r w:rsidR="00D27EEB">
              <w:rPr>
                <w:color w:val="000000"/>
                <w:sz w:val="18"/>
              </w:rPr>
              <w:t>1,100</w:t>
            </w:r>
          </w:p>
        </w:tc>
        <w:tc>
          <w:tcPr>
            <w:tcW w:w="810" w:type="dxa"/>
            <w:vAlign w:val="center"/>
          </w:tcPr>
          <w:p w14:paraId="06A720C7" w14:textId="511AD75D" w:rsidR="009734AA" w:rsidRPr="005B2078" w:rsidRDefault="009734AA" w:rsidP="006B5173">
            <w:pPr>
              <w:spacing w:after="0" w:line="240" w:lineRule="auto"/>
              <w:jc w:val="center"/>
              <w:rPr>
                <w:color w:val="000000"/>
                <w:sz w:val="18"/>
                <w:szCs w:val="18"/>
              </w:rPr>
            </w:pPr>
            <w:r w:rsidRPr="005B2078">
              <w:rPr>
                <w:color w:val="000000"/>
                <w:sz w:val="18"/>
              </w:rPr>
              <w:t>$</w:t>
            </w:r>
            <w:r w:rsidR="00232DDC">
              <w:rPr>
                <w:color w:val="000000"/>
                <w:sz w:val="18"/>
              </w:rPr>
              <w:t>20</w:t>
            </w:r>
            <w:r w:rsidRPr="005B2078">
              <w:rPr>
                <w:color w:val="000000"/>
                <w:sz w:val="18"/>
              </w:rPr>
              <w:t xml:space="preserve">.00 </w:t>
            </w:r>
          </w:p>
        </w:tc>
        <w:tc>
          <w:tcPr>
            <w:tcW w:w="1373" w:type="dxa"/>
            <w:vAlign w:val="center"/>
          </w:tcPr>
          <w:p w14:paraId="54A129BD" w14:textId="6EE3F2A8" w:rsidR="009734AA" w:rsidRPr="005B2078" w:rsidRDefault="009734AA" w:rsidP="006B5173">
            <w:pPr>
              <w:spacing w:after="0" w:line="240" w:lineRule="auto"/>
              <w:jc w:val="right"/>
              <w:rPr>
                <w:color w:val="000000"/>
                <w:sz w:val="18"/>
                <w:szCs w:val="18"/>
              </w:rPr>
            </w:pPr>
            <w:r w:rsidRPr="005B2078">
              <w:rPr>
                <w:color w:val="000000"/>
                <w:sz w:val="18"/>
              </w:rPr>
              <w:t>$</w:t>
            </w:r>
            <w:r w:rsidR="00232DDC">
              <w:rPr>
                <w:color w:val="000000"/>
                <w:sz w:val="18"/>
              </w:rPr>
              <w:t>2</w:t>
            </w:r>
            <w:r w:rsidR="00D27EEB">
              <w:rPr>
                <w:color w:val="000000"/>
                <w:sz w:val="18"/>
              </w:rPr>
              <w:t>22</w:t>
            </w:r>
            <w:r w:rsidR="00232DDC">
              <w:rPr>
                <w:color w:val="000000"/>
                <w:sz w:val="18"/>
              </w:rPr>
              <w:t>,0</w:t>
            </w:r>
            <w:r w:rsidR="00D27EEB">
              <w:rPr>
                <w:color w:val="000000"/>
                <w:sz w:val="18"/>
              </w:rPr>
              <w:t>00</w:t>
            </w:r>
            <w:r w:rsidRPr="005B2078">
              <w:rPr>
                <w:color w:val="000000"/>
                <w:sz w:val="18"/>
              </w:rPr>
              <w:t xml:space="preserve"> </w:t>
            </w:r>
          </w:p>
        </w:tc>
      </w:tr>
      <w:tr w:rsidR="009734AA" w:rsidRPr="005B2078" w14:paraId="3C5AD7A3" w14:textId="77777777" w:rsidTr="006B5173">
        <w:trPr>
          <w:trHeight w:val="274"/>
        </w:trPr>
        <w:tc>
          <w:tcPr>
            <w:tcW w:w="2723" w:type="dxa"/>
            <w:vAlign w:val="center"/>
          </w:tcPr>
          <w:p w14:paraId="1CCC91C2" w14:textId="7175BFD0" w:rsidR="009734AA" w:rsidRPr="005B2078" w:rsidRDefault="009734AA" w:rsidP="006B5173">
            <w:pPr>
              <w:spacing w:after="0" w:line="240" w:lineRule="auto"/>
              <w:rPr>
                <w:sz w:val="18"/>
              </w:rPr>
            </w:pPr>
            <w:r w:rsidRPr="005B2078">
              <w:rPr>
                <w:sz w:val="18"/>
              </w:rPr>
              <w:t>SF</w:t>
            </w:r>
            <w:r w:rsidR="00E56FBD">
              <w:rPr>
                <w:sz w:val="18"/>
              </w:rPr>
              <w:t>B</w:t>
            </w:r>
            <w:r w:rsidRPr="005B2078">
              <w:rPr>
                <w:sz w:val="18"/>
              </w:rPr>
              <w:t xml:space="preserve"> Written Payment Plan</w:t>
            </w:r>
          </w:p>
        </w:tc>
        <w:tc>
          <w:tcPr>
            <w:tcW w:w="1229" w:type="dxa"/>
          </w:tcPr>
          <w:p w14:paraId="6F007B31"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0</w:t>
            </w:r>
          </w:p>
        </w:tc>
        <w:tc>
          <w:tcPr>
            <w:tcW w:w="903" w:type="dxa"/>
            <w:vAlign w:val="center"/>
          </w:tcPr>
          <w:p w14:paraId="0082FE17" w14:textId="2CB944BF" w:rsidR="009734AA" w:rsidRPr="005B2078" w:rsidRDefault="009734AA" w:rsidP="006B5173">
            <w:pPr>
              <w:spacing w:after="0" w:line="240" w:lineRule="auto"/>
              <w:jc w:val="center"/>
              <w:rPr>
                <w:color w:val="000000"/>
                <w:sz w:val="18"/>
                <w:szCs w:val="18"/>
              </w:rPr>
            </w:pPr>
            <w:r w:rsidRPr="005B2078">
              <w:rPr>
                <w:color w:val="000000"/>
                <w:sz w:val="18"/>
              </w:rPr>
              <w:t>16.</w:t>
            </w:r>
            <w:r w:rsidR="00232DDC">
              <w:rPr>
                <w:color w:val="000000"/>
                <w:sz w:val="18"/>
              </w:rPr>
              <w:t>67</w:t>
            </w:r>
          </w:p>
        </w:tc>
        <w:tc>
          <w:tcPr>
            <w:tcW w:w="1205" w:type="dxa"/>
            <w:vAlign w:val="center"/>
          </w:tcPr>
          <w:p w14:paraId="3C5A726D" w14:textId="77777777" w:rsidR="009734AA" w:rsidRPr="005B2078" w:rsidRDefault="009734AA" w:rsidP="006B5173">
            <w:pPr>
              <w:spacing w:after="0" w:line="240" w:lineRule="auto"/>
              <w:jc w:val="center"/>
              <w:rPr>
                <w:color w:val="000000"/>
                <w:sz w:val="18"/>
                <w:szCs w:val="18"/>
              </w:rPr>
            </w:pPr>
            <w:r w:rsidRPr="005B2078">
              <w:rPr>
                <w:color w:val="000000"/>
                <w:sz w:val="18"/>
                <w:szCs w:val="18"/>
              </w:rPr>
              <w:t>5,0</w:t>
            </w:r>
            <w:r>
              <w:rPr>
                <w:color w:val="000000"/>
                <w:sz w:val="18"/>
                <w:szCs w:val="18"/>
              </w:rPr>
              <w:t>0</w:t>
            </w:r>
            <w:r w:rsidRPr="005B2078">
              <w:rPr>
                <w:color w:val="000000"/>
                <w:sz w:val="18"/>
                <w:szCs w:val="18"/>
              </w:rPr>
              <w:t>1</w:t>
            </w:r>
          </w:p>
        </w:tc>
        <w:tc>
          <w:tcPr>
            <w:tcW w:w="775" w:type="dxa"/>
            <w:vAlign w:val="center"/>
          </w:tcPr>
          <w:p w14:paraId="74E490AB"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2</w:t>
            </w:r>
          </w:p>
        </w:tc>
        <w:tc>
          <w:tcPr>
            <w:tcW w:w="1260" w:type="dxa"/>
            <w:vAlign w:val="center"/>
          </w:tcPr>
          <w:p w14:paraId="7F8EE9F3"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10,0</w:t>
            </w:r>
            <w:r>
              <w:rPr>
                <w:color w:val="000000"/>
                <w:sz w:val="18"/>
                <w:szCs w:val="18"/>
              </w:rPr>
              <w:t>0</w:t>
            </w:r>
            <w:r w:rsidRPr="005B2078">
              <w:rPr>
                <w:color w:val="000000"/>
                <w:sz w:val="18"/>
                <w:szCs w:val="18"/>
              </w:rPr>
              <w:t>2</w:t>
            </w:r>
          </w:p>
        </w:tc>
        <w:tc>
          <w:tcPr>
            <w:tcW w:w="810" w:type="dxa"/>
            <w:vAlign w:val="center"/>
          </w:tcPr>
          <w:p w14:paraId="28B21CF8" w14:textId="6FE0EB76" w:rsidR="009734AA" w:rsidRPr="005B2078" w:rsidRDefault="009734AA" w:rsidP="006B5173">
            <w:pPr>
              <w:spacing w:after="0" w:line="240" w:lineRule="auto"/>
              <w:jc w:val="center"/>
              <w:rPr>
                <w:color w:val="000000"/>
                <w:sz w:val="18"/>
                <w:szCs w:val="18"/>
              </w:rPr>
            </w:pPr>
            <w:r w:rsidRPr="005B2078">
              <w:rPr>
                <w:color w:val="000000"/>
                <w:sz w:val="18"/>
              </w:rPr>
              <w:t>$</w:t>
            </w:r>
            <w:r w:rsidR="00232DDC">
              <w:rPr>
                <w:color w:val="000000"/>
                <w:sz w:val="18"/>
              </w:rPr>
              <w:t>20</w:t>
            </w:r>
            <w:r w:rsidRPr="005B2078">
              <w:rPr>
                <w:color w:val="000000"/>
                <w:sz w:val="18"/>
              </w:rPr>
              <w:t xml:space="preserve">.00 </w:t>
            </w:r>
          </w:p>
        </w:tc>
        <w:tc>
          <w:tcPr>
            <w:tcW w:w="1373" w:type="dxa"/>
            <w:vAlign w:val="center"/>
          </w:tcPr>
          <w:p w14:paraId="540E1C27" w14:textId="4264CAA8" w:rsidR="009734AA" w:rsidRPr="005B2078" w:rsidRDefault="009734AA" w:rsidP="006B5173">
            <w:pPr>
              <w:spacing w:after="0" w:line="240" w:lineRule="auto"/>
              <w:jc w:val="right"/>
              <w:rPr>
                <w:color w:val="000000"/>
                <w:sz w:val="18"/>
                <w:szCs w:val="18"/>
              </w:rPr>
            </w:pPr>
            <w:r w:rsidRPr="005B2078">
              <w:rPr>
                <w:color w:val="000000"/>
                <w:sz w:val="18"/>
                <w:szCs w:val="18"/>
              </w:rPr>
              <w:t>$</w:t>
            </w:r>
            <w:r w:rsidR="00232DDC">
              <w:rPr>
                <w:color w:val="000000"/>
                <w:sz w:val="18"/>
                <w:szCs w:val="18"/>
              </w:rPr>
              <w:t>200,040</w:t>
            </w:r>
          </w:p>
        </w:tc>
      </w:tr>
      <w:tr w:rsidR="009734AA" w:rsidRPr="005B2078" w14:paraId="07738369" w14:textId="77777777" w:rsidTr="006B5173">
        <w:trPr>
          <w:trHeight w:val="274"/>
        </w:trPr>
        <w:tc>
          <w:tcPr>
            <w:tcW w:w="2723" w:type="dxa"/>
            <w:vAlign w:val="center"/>
          </w:tcPr>
          <w:p w14:paraId="18DAA1D7" w14:textId="77777777" w:rsidR="009734AA" w:rsidRPr="005B2078" w:rsidRDefault="009734AA" w:rsidP="006B5173">
            <w:pPr>
              <w:spacing w:after="0" w:line="240" w:lineRule="auto"/>
              <w:rPr>
                <w:sz w:val="18"/>
              </w:rPr>
            </w:pPr>
            <w:r w:rsidRPr="005B2078">
              <w:rPr>
                <w:sz w:val="18"/>
              </w:rPr>
              <w:t>HUD Approval, Optional</w:t>
            </w:r>
          </w:p>
        </w:tc>
        <w:tc>
          <w:tcPr>
            <w:tcW w:w="1229" w:type="dxa"/>
          </w:tcPr>
          <w:p w14:paraId="167F8030"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0</w:t>
            </w:r>
          </w:p>
        </w:tc>
        <w:tc>
          <w:tcPr>
            <w:tcW w:w="903" w:type="dxa"/>
            <w:vAlign w:val="center"/>
          </w:tcPr>
          <w:p w14:paraId="34656510" w14:textId="1A9EF9C1" w:rsidR="009734AA" w:rsidRPr="005B2078" w:rsidRDefault="009734AA" w:rsidP="006B5173">
            <w:pPr>
              <w:spacing w:after="0" w:line="240" w:lineRule="auto"/>
              <w:jc w:val="center"/>
              <w:rPr>
                <w:color w:val="000000"/>
                <w:sz w:val="18"/>
                <w:szCs w:val="18"/>
              </w:rPr>
            </w:pPr>
            <w:r w:rsidRPr="005B2078">
              <w:rPr>
                <w:color w:val="000000"/>
                <w:sz w:val="18"/>
                <w:szCs w:val="18"/>
              </w:rPr>
              <w:t>1.</w:t>
            </w:r>
            <w:r w:rsidR="00232DDC">
              <w:rPr>
                <w:color w:val="000000"/>
                <w:sz w:val="18"/>
                <w:szCs w:val="18"/>
              </w:rPr>
              <w:t>85</w:t>
            </w:r>
          </w:p>
        </w:tc>
        <w:tc>
          <w:tcPr>
            <w:tcW w:w="1205" w:type="dxa"/>
            <w:vAlign w:val="center"/>
          </w:tcPr>
          <w:p w14:paraId="30E2F66C" w14:textId="77777777" w:rsidR="009734AA" w:rsidRPr="005B2078" w:rsidRDefault="009734AA" w:rsidP="006B5173">
            <w:pPr>
              <w:spacing w:after="0" w:line="240" w:lineRule="auto"/>
              <w:jc w:val="center"/>
              <w:rPr>
                <w:color w:val="000000"/>
                <w:sz w:val="18"/>
                <w:szCs w:val="18"/>
              </w:rPr>
            </w:pPr>
            <w:r w:rsidRPr="005B2078">
              <w:rPr>
                <w:color w:val="000000"/>
                <w:sz w:val="18"/>
              </w:rPr>
              <w:t>5</w:t>
            </w:r>
            <w:r>
              <w:rPr>
                <w:color w:val="000000"/>
                <w:sz w:val="18"/>
              </w:rPr>
              <w:t>5</w:t>
            </w:r>
            <w:r w:rsidRPr="005B2078">
              <w:rPr>
                <w:color w:val="000000"/>
                <w:sz w:val="18"/>
              </w:rPr>
              <w:t>4</w:t>
            </w:r>
          </w:p>
        </w:tc>
        <w:tc>
          <w:tcPr>
            <w:tcW w:w="775" w:type="dxa"/>
            <w:vAlign w:val="center"/>
          </w:tcPr>
          <w:p w14:paraId="0E145E63"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1</w:t>
            </w:r>
          </w:p>
        </w:tc>
        <w:tc>
          <w:tcPr>
            <w:tcW w:w="1260" w:type="dxa"/>
            <w:vAlign w:val="center"/>
          </w:tcPr>
          <w:p w14:paraId="3E75A494" w14:textId="77777777" w:rsidR="009734AA" w:rsidRPr="005B2078" w:rsidRDefault="009734AA" w:rsidP="006B5173">
            <w:pPr>
              <w:spacing w:after="0" w:line="240" w:lineRule="auto"/>
              <w:jc w:val="center"/>
              <w:rPr>
                <w:color w:val="000000"/>
                <w:sz w:val="18"/>
                <w:szCs w:val="18"/>
              </w:rPr>
            </w:pPr>
            <w:r w:rsidRPr="005B2078">
              <w:rPr>
                <w:color w:val="000000"/>
                <w:sz w:val="18"/>
                <w:szCs w:val="18"/>
              </w:rPr>
              <w:t>5</w:t>
            </w:r>
            <w:r>
              <w:rPr>
                <w:color w:val="000000"/>
                <w:sz w:val="18"/>
                <w:szCs w:val="18"/>
              </w:rPr>
              <w:t>5</w:t>
            </w:r>
            <w:r w:rsidRPr="005B2078">
              <w:rPr>
                <w:color w:val="000000"/>
                <w:sz w:val="18"/>
                <w:szCs w:val="18"/>
              </w:rPr>
              <w:t>4</w:t>
            </w:r>
          </w:p>
        </w:tc>
        <w:tc>
          <w:tcPr>
            <w:tcW w:w="810" w:type="dxa"/>
            <w:vAlign w:val="center"/>
          </w:tcPr>
          <w:p w14:paraId="4237867A" w14:textId="6163210A" w:rsidR="009734AA" w:rsidRPr="005B2078" w:rsidRDefault="009734AA" w:rsidP="006B5173">
            <w:pPr>
              <w:spacing w:after="0" w:line="240" w:lineRule="auto"/>
              <w:jc w:val="center"/>
              <w:rPr>
                <w:color w:val="000000"/>
                <w:sz w:val="18"/>
                <w:szCs w:val="18"/>
              </w:rPr>
            </w:pPr>
            <w:r w:rsidRPr="005B2078">
              <w:rPr>
                <w:color w:val="000000"/>
                <w:sz w:val="18"/>
              </w:rPr>
              <w:t>$</w:t>
            </w:r>
            <w:r w:rsidR="00232DDC">
              <w:rPr>
                <w:color w:val="000000"/>
                <w:sz w:val="18"/>
              </w:rPr>
              <w:t>20</w:t>
            </w:r>
            <w:r w:rsidRPr="005B2078">
              <w:rPr>
                <w:color w:val="000000"/>
                <w:sz w:val="18"/>
              </w:rPr>
              <w:t xml:space="preserve">.00 </w:t>
            </w:r>
          </w:p>
        </w:tc>
        <w:tc>
          <w:tcPr>
            <w:tcW w:w="1373" w:type="dxa"/>
            <w:vAlign w:val="center"/>
          </w:tcPr>
          <w:p w14:paraId="672EBF73" w14:textId="4C41C495" w:rsidR="009734AA" w:rsidRPr="005B2078" w:rsidRDefault="009734AA" w:rsidP="006B5173">
            <w:pPr>
              <w:spacing w:after="0" w:line="240" w:lineRule="auto"/>
              <w:jc w:val="right"/>
              <w:rPr>
                <w:color w:val="000000"/>
                <w:sz w:val="18"/>
                <w:szCs w:val="18"/>
              </w:rPr>
            </w:pPr>
            <w:r w:rsidRPr="005B2078">
              <w:rPr>
                <w:color w:val="000000"/>
                <w:sz w:val="18"/>
                <w:szCs w:val="18"/>
              </w:rPr>
              <w:t>$</w:t>
            </w:r>
            <w:r w:rsidR="00232DDC">
              <w:rPr>
                <w:color w:val="000000"/>
                <w:sz w:val="18"/>
                <w:szCs w:val="18"/>
              </w:rPr>
              <w:t>11,080</w:t>
            </w:r>
            <w:r w:rsidRPr="005B2078">
              <w:rPr>
                <w:color w:val="000000"/>
                <w:sz w:val="18"/>
                <w:szCs w:val="18"/>
              </w:rPr>
              <w:t xml:space="preserve"> </w:t>
            </w:r>
          </w:p>
        </w:tc>
      </w:tr>
      <w:tr w:rsidR="009734AA" w:rsidRPr="005B2078" w14:paraId="5B1FCE70" w14:textId="77777777" w:rsidTr="006B5173">
        <w:trPr>
          <w:trHeight w:val="256"/>
        </w:trPr>
        <w:tc>
          <w:tcPr>
            <w:tcW w:w="2723" w:type="dxa"/>
            <w:tcBorders>
              <w:bottom w:val="single" w:sz="4" w:space="0" w:color="auto"/>
            </w:tcBorders>
            <w:vAlign w:val="center"/>
          </w:tcPr>
          <w:p w14:paraId="75850472" w14:textId="4D4C7A4F" w:rsidR="009734AA" w:rsidRPr="005B2078" w:rsidRDefault="009734AA" w:rsidP="006B5173">
            <w:pPr>
              <w:spacing w:after="0" w:line="240" w:lineRule="auto"/>
              <w:rPr>
                <w:b/>
                <w:bCs/>
              </w:rPr>
            </w:pPr>
            <w:r w:rsidRPr="005B2078">
              <w:rPr>
                <w:sz w:val="18"/>
              </w:rPr>
              <w:t>SF</w:t>
            </w:r>
            <w:r w:rsidR="00E56FBD">
              <w:rPr>
                <w:sz w:val="18"/>
              </w:rPr>
              <w:t>B</w:t>
            </w:r>
            <w:r w:rsidRPr="005B2078">
              <w:rPr>
                <w:sz w:val="18"/>
              </w:rPr>
              <w:t xml:space="preserve"> Record Retention</w:t>
            </w:r>
          </w:p>
        </w:tc>
        <w:tc>
          <w:tcPr>
            <w:tcW w:w="1229" w:type="dxa"/>
            <w:tcBorders>
              <w:bottom w:val="single" w:sz="4" w:space="0" w:color="auto"/>
            </w:tcBorders>
          </w:tcPr>
          <w:p w14:paraId="0B087730"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0</w:t>
            </w:r>
          </w:p>
        </w:tc>
        <w:tc>
          <w:tcPr>
            <w:tcW w:w="903" w:type="dxa"/>
            <w:tcBorders>
              <w:bottom w:val="single" w:sz="4" w:space="0" w:color="auto"/>
            </w:tcBorders>
            <w:vAlign w:val="center"/>
          </w:tcPr>
          <w:p w14:paraId="5ED123F5" w14:textId="4A188EF2" w:rsidR="009734AA" w:rsidRPr="005B2078" w:rsidRDefault="009734AA" w:rsidP="006B5173">
            <w:pPr>
              <w:spacing w:after="0" w:line="240" w:lineRule="auto"/>
              <w:jc w:val="center"/>
              <w:rPr>
                <w:color w:val="000000"/>
                <w:sz w:val="18"/>
                <w:szCs w:val="18"/>
              </w:rPr>
            </w:pPr>
            <w:r w:rsidRPr="005B2078">
              <w:rPr>
                <w:color w:val="000000"/>
                <w:sz w:val="18"/>
              </w:rPr>
              <w:t>16.</w:t>
            </w:r>
            <w:r w:rsidR="00232DDC">
              <w:rPr>
                <w:color w:val="000000"/>
                <w:sz w:val="18"/>
              </w:rPr>
              <w:t>67</w:t>
            </w:r>
          </w:p>
        </w:tc>
        <w:tc>
          <w:tcPr>
            <w:tcW w:w="1205" w:type="dxa"/>
            <w:tcBorders>
              <w:bottom w:val="single" w:sz="4" w:space="0" w:color="auto"/>
            </w:tcBorders>
            <w:vAlign w:val="center"/>
          </w:tcPr>
          <w:p w14:paraId="185D5EB3" w14:textId="77777777" w:rsidR="009734AA" w:rsidRPr="005B2078" w:rsidRDefault="009734AA" w:rsidP="006B5173">
            <w:pPr>
              <w:spacing w:after="0" w:line="240" w:lineRule="auto"/>
              <w:jc w:val="center"/>
              <w:rPr>
                <w:color w:val="000000"/>
                <w:sz w:val="18"/>
                <w:szCs w:val="18"/>
              </w:rPr>
            </w:pPr>
            <w:r w:rsidRPr="005B2078">
              <w:rPr>
                <w:color w:val="000000"/>
                <w:sz w:val="18"/>
              </w:rPr>
              <w:t>5,0</w:t>
            </w:r>
            <w:r>
              <w:rPr>
                <w:color w:val="000000"/>
                <w:sz w:val="18"/>
              </w:rPr>
              <w:t>0</w:t>
            </w:r>
            <w:r w:rsidRPr="005B2078">
              <w:rPr>
                <w:color w:val="000000"/>
                <w:sz w:val="18"/>
              </w:rPr>
              <w:t>1</w:t>
            </w:r>
          </w:p>
        </w:tc>
        <w:tc>
          <w:tcPr>
            <w:tcW w:w="775" w:type="dxa"/>
            <w:tcBorders>
              <w:bottom w:val="single" w:sz="4" w:space="0" w:color="auto"/>
            </w:tcBorders>
            <w:vAlign w:val="center"/>
          </w:tcPr>
          <w:p w14:paraId="5106B3B2"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1</w:t>
            </w:r>
          </w:p>
        </w:tc>
        <w:tc>
          <w:tcPr>
            <w:tcW w:w="1260" w:type="dxa"/>
            <w:tcBorders>
              <w:bottom w:val="single" w:sz="4" w:space="0" w:color="auto"/>
            </w:tcBorders>
            <w:vAlign w:val="center"/>
          </w:tcPr>
          <w:p w14:paraId="09289620" w14:textId="759A2519" w:rsidR="009734AA" w:rsidRPr="005B2078" w:rsidRDefault="009734AA" w:rsidP="006B5173">
            <w:pPr>
              <w:spacing w:after="0" w:line="240" w:lineRule="auto"/>
              <w:jc w:val="center"/>
              <w:rPr>
                <w:color w:val="000000"/>
                <w:sz w:val="18"/>
                <w:szCs w:val="18"/>
              </w:rPr>
            </w:pPr>
            <w:r w:rsidRPr="005B2078">
              <w:rPr>
                <w:color w:val="000000"/>
                <w:sz w:val="18"/>
                <w:szCs w:val="18"/>
              </w:rPr>
              <w:t>5,0</w:t>
            </w:r>
            <w:r>
              <w:rPr>
                <w:color w:val="000000"/>
                <w:sz w:val="18"/>
                <w:szCs w:val="18"/>
              </w:rPr>
              <w:t>0</w:t>
            </w:r>
            <w:r w:rsidRPr="005B2078">
              <w:rPr>
                <w:color w:val="000000"/>
                <w:sz w:val="18"/>
                <w:szCs w:val="18"/>
              </w:rPr>
              <w:t>1</w:t>
            </w:r>
            <w:r w:rsidR="00A8408F">
              <w:rPr>
                <w:color w:val="000000"/>
                <w:sz w:val="18"/>
                <w:szCs w:val="18"/>
              </w:rPr>
              <w:t>.00</w:t>
            </w:r>
          </w:p>
        </w:tc>
        <w:tc>
          <w:tcPr>
            <w:tcW w:w="810" w:type="dxa"/>
            <w:tcBorders>
              <w:bottom w:val="single" w:sz="4" w:space="0" w:color="auto"/>
            </w:tcBorders>
            <w:vAlign w:val="center"/>
          </w:tcPr>
          <w:p w14:paraId="7513F0A9" w14:textId="42D60F8A" w:rsidR="009734AA" w:rsidRPr="005B2078" w:rsidRDefault="009734AA" w:rsidP="006B5173">
            <w:pPr>
              <w:spacing w:after="0" w:line="240" w:lineRule="auto"/>
              <w:jc w:val="center"/>
              <w:rPr>
                <w:color w:val="000000"/>
                <w:sz w:val="18"/>
                <w:szCs w:val="18"/>
              </w:rPr>
            </w:pPr>
            <w:r w:rsidRPr="005B2078">
              <w:rPr>
                <w:color w:val="000000"/>
                <w:sz w:val="18"/>
              </w:rPr>
              <w:t>$</w:t>
            </w:r>
            <w:r w:rsidR="00232DDC">
              <w:rPr>
                <w:color w:val="000000"/>
                <w:sz w:val="18"/>
              </w:rPr>
              <w:t>20</w:t>
            </w:r>
            <w:r w:rsidRPr="005B2078">
              <w:rPr>
                <w:color w:val="000000"/>
                <w:sz w:val="18"/>
              </w:rPr>
              <w:t xml:space="preserve">.00 </w:t>
            </w:r>
          </w:p>
        </w:tc>
        <w:tc>
          <w:tcPr>
            <w:tcW w:w="1373" w:type="dxa"/>
            <w:tcBorders>
              <w:bottom w:val="single" w:sz="4" w:space="0" w:color="auto"/>
            </w:tcBorders>
            <w:vAlign w:val="center"/>
          </w:tcPr>
          <w:p w14:paraId="19047597" w14:textId="1A3A1798" w:rsidR="009734AA" w:rsidRPr="005B2078" w:rsidRDefault="009734AA" w:rsidP="006B5173">
            <w:pPr>
              <w:spacing w:after="0" w:line="240" w:lineRule="auto"/>
              <w:jc w:val="right"/>
              <w:rPr>
                <w:color w:val="000000"/>
                <w:sz w:val="18"/>
                <w:szCs w:val="18"/>
              </w:rPr>
            </w:pPr>
            <w:r w:rsidRPr="005B2078">
              <w:rPr>
                <w:color w:val="000000"/>
                <w:sz w:val="18"/>
                <w:szCs w:val="18"/>
              </w:rPr>
              <w:t>$</w:t>
            </w:r>
            <w:r w:rsidR="00232DDC">
              <w:rPr>
                <w:color w:val="000000"/>
                <w:sz w:val="18"/>
                <w:szCs w:val="18"/>
              </w:rPr>
              <w:t>100,020</w:t>
            </w:r>
            <w:r w:rsidRPr="005B2078">
              <w:rPr>
                <w:color w:val="000000"/>
                <w:sz w:val="18"/>
                <w:szCs w:val="18"/>
              </w:rPr>
              <w:t xml:space="preserve"> </w:t>
            </w:r>
          </w:p>
        </w:tc>
      </w:tr>
      <w:tr w:rsidR="00B02F6E" w:rsidRPr="005B2078" w14:paraId="42D23B99" w14:textId="77777777" w:rsidTr="006B5173">
        <w:trPr>
          <w:trHeight w:val="256"/>
        </w:trPr>
        <w:tc>
          <w:tcPr>
            <w:tcW w:w="10278" w:type="dxa"/>
            <w:gridSpan w:val="8"/>
            <w:shd w:val="clear" w:color="auto" w:fill="E0E0E0"/>
            <w:vAlign w:val="center"/>
          </w:tcPr>
          <w:p w14:paraId="15A05464" w14:textId="4857E5AB" w:rsidR="00B02F6E" w:rsidRPr="005B2078" w:rsidRDefault="00B02F6E" w:rsidP="006B5173">
            <w:pPr>
              <w:spacing w:after="0" w:line="240" w:lineRule="auto"/>
              <w:rPr>
                <w:sz w:val="18"/>
              </w:rPr>
            </w:pPr>
            <w:r w:rsidRPr="005B2078">
              <w:rPr>
                <w:b/>
                <w:bCs/>
              </w:rPr>
              <w:t>(FHA-HAMP)</w:t>
            </w:r>
            <w:r>
              <w:rPr>
                <w:b/>
                <w:bCs/>
              </w:rPr>
              <w:t xml:space="preserve"> </w:t>
            </w:r>
            <w:r w:rsidRPr="005B2078">
              <w:rPr>
                <w:b/>
                <w:bCs/>
              </w:rPr>
              <w:t xml:space="preserve">Loan Modification and Partial Claim </w:t>
            </w:r>
          </w:p>
        </w:tc>
      </w:tr>
      <w:tr w:rsidR="009734AA" w:rsidRPr="005B2078" w14:paraId="212901B5" w14:textId="77777777" w:rsidTr="006B5173">
        <w:trPr>
          <w:trHeight w:val="301"/>
        </w:trPr>
        <w:tc>
          <w:tcPr>
            <w:tcW w:w="2723" w:type="dxa"/>
            <w:vAlign w:val="center"/>
          </w:tcPr>
          <w:p w14:paraId="16452A10" w14:textId="58CE2C7B" w:rsidR="009734AA" w:rsidRPr="00232DDC" w:rsidRDefault="00232DDC" w:rsidP="006B5173">
            <w:pPr>
              <w:pStyle w:val="Heading9"/>
              <w:spacing w:before="0" w:line="240" w:lineRule="auto"/>
              <w:contextualSpacing/>
              <w:rPr>
                <w:b/>
                <w:bCs/>
                <w:i w:val="0"/>
                <w:sz w:val="18"/>
                <w:szCs w:val="18"/>
              </w:rPr>
            </w:pPr>
            <w:r>
              <w:rPr>
                <w:i w:val="0"/>
                <w:sz w:val="18"/>
                <w:szCs w:val="18"/>
              </w:rPr>
              <w:t>FHA-HAMP</w:t>
            </w:r>
            <w:r w:rsidR="009734AA" w:rsidRPr="00232DDC">
              <w:rPr>
                <w:i w:val="0"/>
                <w:sz w:val="18"/>
                <w:szCs w:val="18"/>
              </w:rPr>
              <w:t xml:space="preserve"> Evaluation</w:t>
            </w:r>
          </w:p>
        </w:tc>
        <w:tc>
          <w:tcPr>
            <w:tcW w:w="1229" w:type="dxa"/>
            <w:vAlign w:val="center"/>
          </w:tcPr>
          <w:p w14:paraId="766B543E" w14:textId="77777777" w:rsidR="009734AA" w:rsidRPr="00232DDC" w:rsidRDefault="009734AA" w:rsidP="006B5173">
            <w:pPr>
              <w:spacing w:after="0" w:line="240" w:lineRule="auto"/>
              <w:contextualSpacing/>
              <w:jc w:val="center"/>
              <w:rPr>
                <w:sz w:val="18"/>
                <w:szCs w:val="18"/>
              </w:rPr>
            </w:pPr>
            <w:r w:rsidRPr="00232DDC">
              <w:rPr>
                <w:sz w:val="18"/>
                <w:szCs w:val="18"/>
              </w:rPr>
              <w:t>300</w:t>
            </w:r>
          </w:p>
        </w:tc>
        <w:tc>
          <w:tcPr>
            <w:tcW w:w="903" w:type="dxa"/>
            <w:vAlign w:val="center"/>
          </w:tcPr>
          <w:p w14:paraId="0E8BC3B7" w14:textId="47198C7E"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60</w:t>
            </w:r>
            <w:r w:rsidR="009667E3">
              <w:rPr>
                <w:color w:val="000000"/>
                <w:sz w:val="18"/>
                <w:szCs w:val="18"/>
              </w:rPr>
              <w:t>8.37</w:t>
            </w:r>
          </w:p>
        </w:tc>
        <w:tc>
          <w:tcPr>
            <w:tcW w:w="1205" w:type="dxa"/>
            <w:vAlign w:val="center"/>
          </w:tcPr>
          <w:p w14:paraId="22DFFA41" w14:textId="77777777"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182,510</w:t>
            </w:r>
          </w:p>
        </w:tc>
        <w:tc>
          <w:tcPr>
            <w:tcW w:w="775" w:type="dxa"/>
            <w:vAlign w:val="center"/>
          </w:tcPr>
          <w:p w14:paraId="059060FD" w14:textId="77777777" w:rsidR="009734AA" w:rsidRPr="00232DDC" w:rsidRDefault="009734AA" w:rsidP="006B5173">
            <w:pPr>
              <w:spacing w:after="0" w:line="240" w:lineRule="auto"/>
              <w:ind w:right="141"/>
              <w:contextualSpacing/>
              <w:jc w:val="center"/>
              <w:rPr>
                <w:color w:val="000000"/>
                <w:sz w:val="18"/>
                <w:szCs w:val="18"/>
              </w:rPr>
            </w:pPr>
            <w:r w:rsidRPr="00232DDC">
              <w:rPr>
                <w:color w:val="000000"/>
                <w:sz w:val="18"/>
                <w:szCs w:val="18"/>
              </w:rPr>
              <w:t>4</w:t>
            </w:r>
          </w:p>
        </w:tc>
        <w:tc>
          <w:tcPr>
            <w:tcW w:w="1260" w:type="dxa"/>
            <w:vAlign w:val="center"/>
          </w:tcPr>
          <w:p w14:paraId="0EE5876E" w14:textId="5E035D57"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730,040</w:t>
            </w:r>
            <w:r w:rsidR="00A8408F">
              <w:rPr>
                <w:color w:val="000000"/>
                <w:sz w:val="18"/>
                <w:szCs w:val="18"/>
              </w:rPr>
              <w:t>.00</w:t>
            </w:r>
          </w:p>
        </w:tc>
        <w:tc>
          <w:tcPr>
            <w:tcW w:w="810" w:type="dxa"/>
            <w:vAlign w:val="center"/>
          </w:tcPr>
          <w:p w14:paraId="16893F4F" w14:textId="5E4C7C86"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w:t>
            </w:r>
            <w:r w:rsidR="005261F8">
              <w:rPr>
                <w:color w:val="000000"/>
                <w:sz w:val="18"/>
                <w:szCs w:val="18"/>
              </w:rPr>
              <w:t>20</w:t>
            </w:r>
            <w:r w:rsidRPr="00232DDC">
              <w:rPr>
                <w:color w:val="000000"/>
                <w:sz w:val="18"/>
                <w:szCs w:val="18"/>
              </w:rPr>
              <w:t xml:space="preserve">.00 </w:t>
            </w:r>
          </w:p>
        </w:tc>
        <w:tc>
          <w:tcPr>
            <w:tcW w:w="1373" w:type="dxa"/>
            <w:vAlign w:val="center"/>
          </w:tcPr>
          <w:p w14:paraId="2A4E83F4" w14:textId="16C83AEB" w:rsidR="009734AA" w:rsidRPr="00232DDC" w:rsidRDefault="009734AA" w:rsidP="006B5173">
            <w:pPr>
              <w:spacing w:after="0" w:line="240" w:lineRule="auto"/>
              <w:contextualSpacing/>
              <w:jc w:val="right"/>
              <w:rPr>
                <w:color w:val="000000"/>
                <w:sz w:val="18"/>
                <w:szCs w:val="18"/>
              </w:rPr>
            </w:pPr>
            <w:r w:rsidRPr="00232DDC">
              <w:rPr>
                <w:color w:val="000000"/>
                <w:sz w:val="18"/>
                <w:szCs w:val="18"/>
              </w:rPr>
              <w:t>$1</w:t>
            </w:r>
            <w:r w:rsidR="005261F8">
              <w:rPr>
                <w:color w:val="000000"/>
                <w:sz w:val="18"/>
                <w:szCs w:val="18"/>
              </w:rPr>
              <w:t>4</w:t>
            </w:r>
            <w:r w:rsidRPr="00232DDC">
              <w:rPr>
                <w:color w:val="000000"/>
                <w:sz w:val="18"/>
                <w:szCs w:val="18"/>
              </w:rPr>
              <w:t>,600</w:t>
            </w:r>
            <w:r w:rsidR="005261F8">
              <w:rPr>
                <w:color w:val="000000"/>
                <w:sz w:val="18"/>
                <w:szCs w:val="18"/>
              </w:rPr>
              <w:t>,8</w:t>
            </w:r>
            <w:r w:rsidRPr="00232DDC">
              <w:rPr>
                <w:color w:val="000000"/>
                <w:sz w:val="18"/>
                <w:szCs w:val="18"/>
              </w:rPr>
              <w:t xml:space="preserve">00 </w:t>
            </w:r>
          </w:p>
        </w:tc>
      </w:tr>
      <w:tr w:rsidR="009734AA" w:rsidRPr="005B2078" w14:paraId="7B87BE10" w14:textId="77777777" w:rsidTr="006B5173">
        <w:trPr>
          <w:trHeight w:val="256"/>
        </w:trPr>
        <w:tc>
          <w:tcPr>
            <w:tcW w:w="2723" w:type="dxa"/>
            <w:vAlign w:val="center"/>
          </w:tcPr>
          <w:p w14:paraId="3D333CF8" w14:textId="0061E5B2" w:rsidR="009734AA" w:rsidRPr="00232DDC" w:rsidRDefault="00FD64FA" w:rsidP="006B5173">
            <w:pPr>
              <w:spacing w:after="0" w:line="240" w:lineRule="auto"/>
              <w:contextualSpacing/>
              <w:rPr>
                <w:sz w:val="18"/>
                <w:szCs w:val="18"/>
              </w:rPr>
            </w:pPr>
            <w:r w:rsidRPr="00232DDC">
              <w:rPr>
                <w:sz w:val="18"/>
                <w:szCs w:val="18"/>
              </w:rPr>
              <w:t>Mortgagor</w:t>
            </w:r>
            <w:r w:rsidR="009734AA" w:rsidRPr="00232DDC">
              <w:rPr>
                <w:sz w:val="18"/>
                <w:szCs w:val="18"/>
              </w:rPr>
              <w:t xml:space="preserve"> Activity</w:t>
            </w:r>
          </w:p>
        </w:tc>
        <w:tc>
          <w:tcPr>
            <w:tcW w:w="1229" w:type="dxa"/>
            <w:vAlign w:val="center"/>
          </w:tcPr>
          <w:p w14:paraId="71B6C31E" w14:textId="0C1C1423" w:rsidR="009734AA" w:rsidRPr="00232DDC" w:rsidRDefault="00D27EEB" w:rsidP="006B5173">
            <w:pPr>
              <w:spacing w:after="0" w:line="240" w:lineRule="auto"/>
              <w:contextualSpacing/>
              <w:jc w:val="center"/>
              <w:rPr>
                <w:sz w:val="18"/>
                <w:szCs w:val="18"/>
              </w:rPr>
            </w:pPr>
            <w:r>
              <w:rPr>
                <w:sz w:val="18"/>
                <w:szCs w:val="18"/>
              </w:rPr>
              <w:t>368,626</w:t>
            </w:r>
          </w:p>
        </w:tc>
        <w:tc>
          <w:tcPr>
            <w:tcW w:w="903" w:type="dxa"/>
            <w:vAlign w:val="center"/>
          </w:tcPr>
          <w:p w14:paraId="0B684B9D" w14:textId="360A8DBB"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1</w:t>
            </w:r>
            <w:r w:rsidR="005261F8">
              <w:rPr>
                <w:color w:val="000000"/>
                <w:sz w:val="18"/>
                <w:szCs w:val="18"/>
              </w:rPr>
              <w:t>.</w:t>
            </w:r>
            <w:r w:rsidR="00D27EEB">
              <w:rPr>
                <w:color w:val="000000"/>
                <w:sz w:val="18"/>
                <w:szCs w:val="18"/>
              </w:rPr>
              <w:t>00</w:t>
            </w:r>
          </w:p>
        </w:tc>
        <w:tc>
          <w:tcPr>
            <w:tcW w:w="1205" w:type="dxa"/>
            <w:vAlign w:val="center"/>
          </w:tcPr>
          <w:p w14:paraId="3B29874C" w14:textId="3ADBE333" w:rsidR="009734AA" w:rsidRPr="00232DDC" w:rsidRDefault="00232DDC" w:rsidP="006B5173">
            <w:pPr>
              <w:spacing w:after="0" w:line="240" w:lineRule="auto"/>
              <w:contextualSpacing/>
              <w:jc w:val="center"/>
              <w:rPr>
                <w:color w:val="000000"/>
                <w:sz w:val="18"/>
                <w:szCs w:val="18"/>
              </w:rPr>
            </w:pPr>
            <w:r>
              <w:rPr>
                <w:color w:val="000000"/>
                <w:sz w:val="18"/>
                <w:szCs w:val="18"/>
              </w:rPr>
              <w:t>36</w:t>
            </w:r>
            <w:r w:rsidR="00D27EEB">
              <w:rPr>
                <w:color w:val="000000"/>
                <w:sz w:val="18"/>
                <w:szCs w:val="18"/>
              </w:rPr>
              <w:t>8,626</w:t>
            </w:r>
          </w:p>
        </w:tc>
        <w:tc>
          <w:tcPr>
            <w:tcW w:w="775" w:type="dxa"/>
            <w:vAlign w:val="center"/>
          </w:tcPr>
          <w:p w14:paraId="43385077" w14:textId="77777777" w:rsidR="009734AA" w:rsidRPr="00232DDC" w:rsidRDefault="009734AA" w:rsidP="006B5173">
            <w:pPr>
              <w:spacing w:after="0" w:line="240" w:lineRule="auto"/>
              <w:ind w:right="141"/>
              <w:contextualSpacing/>
              <w:jc w:val="center"/>
              <w:rPr>
                <w:color w:val="000000"/>
                <w:sz w:val="18"/>
                <w:szCs w:val="18"/>
              </w:rPr>
            </w:pPr>
            <w:r w:rsidRPr="00232DDC">
              <w:rPr>
                <w:color w:val="000000"/>
                <w:sz w:val="18"/>
                <w:szCs w:val="18"/>
              </w:rPr>
              <w:t>1</w:t>
            </w:r>
          </w:p>
        </w:tc>
        <w:tc>
          <w:tcPr>
            <w:tcW w:w="1260" w:type="dxa"/>
            <w:vAlign w:val="center"/>
          </w:tcPr>
          <w:p w14:paraId="6273C79C" w14:textId="184EEB7C" w:rsidR="009734AA" w:rsidRPr="00232DDC" w:rsidRDefault="005261F8" w:rsidP="006B5173">
            <w:pPr>
              <w:spacing w:after="0" w:line="240" w:lineRule="auto"/>
              <w:contextualSpacing/>
              <w:jc w:val="center"/>
              <w:rPr>
                <w:color w:val="000000"/>
                <w:sz w:val="18"/>
                <w:szCs w:val="18"/>
              </w:rPr>
            </w:pPr>
            <w:r>
              <w:rPr>
                <w:color w:val="000000"/>
                <w:sz w:val="18"/>
                <w:szCs w:val="18"/>
              </w:rPr>
              <w:t>36</w:t>
            </w:r>
            <w:r w:rsidR="00D27EEB">
              <w:rPr>
                <w:color w:val="000000"/>
                <w:sz w:val="18"/>
                <w:szCs w:val="18"/>
              </w:rPr>
              <w:t>8,626</w:t>
            </w:r>
            <w:r w:rsidR="00A8408F">
              <w:rPr>
                <w:color w:val="000000"/>
                <w:sz w:val="18"/>
                <w:szCs w:val="18"/>
              </w:rPr>
              <w:t>.00</w:t>
            </w:r>
          </w:p>
        </w:tc>
        <w:tc>
          <w:tcPr>
            <w:tcW w:w="810" w:type="dxa"/>
            <w:vAlign w:val="center"/>
          </w:tcPr>
          <w:p w14:paraId="0EBD9879" w14:textId="051E9D4A"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w:t>
            </w:r>
            <w:r w:rsidR="005261F8">
              <w:rPr>
                <w:color w:val="000000"/>
                <w:sz w:val="18"/>
                <w:szCs w:val="18"/>
              </w:rPr>
              <w:t>20</w:t>
            </w:r>
            <w:r w:rsidRPr="00232DDC">
              <w:rPr>
                <w:color w:val="000000"/>
                <w:sz w:val="18"/>
                <w:szCs w:val="18"/>
              </w:rPr>
              <w:t xml:space="preserve">.00 </w:t>
            </w:r>
          </w:p>
        </w:tc>
        <w:tc>
          <w:tcPr>
            <w:tcW w:w="1373" w:type="dxa"/>
            <w:vAlign w:val="center"/>
          </w:tcPr>
          <w:p w14:paraId="1A8F038B" w14:textId="4B3ED054" w:rsidR="009734AA" w:rsidRPr="00232DDC" w:rsidRDefault="009734AA" w:rsidP="006B5173">
            <w:pPr>
              <w:spacing w:after="0" w:line="240" w:lineRule="auto"/>
              <w:contextualSpacing/>
              <w:jc w:val="right"/>
              <w:rPr>
                <w:color w:val="000000"/>
                <w:sz w:val="18"/>
                <w:szCs w:val="18"/>
              </w:rPr>
            </w:pPr>
            <w:r w:rsidRPr="00232DDC">
              <w:rPr>
                <w:color w:val="000000"/>
                <w:sz w:val="18"/>
                <w:szCs w:val="18"/>
              </w:rPr>
              <w:t>$</w:t>
            </w:r>
            <w:r w:rsidR="005261F8">
              <w:rPr>
                <w:color w:val="000000"/>
                <w:sz w:val="18"/>
                <w:szCs w:val="18"/>
              </w:rPr>
              <w:t>7</w:t>
            </w:r>
            <w:r w:rsidRPr="00232DDC">
              <w:rPr>
                <w:color w:val="000000"/>
                <w:sz w:val="18"/>
                <w:szCs w:val="18"/>
              </w:rPr>
              <w:t>,3</w:t>
            </w:r>
            <w:r w:rsidR="00D27EEB">
              <w:rPr>
                <w:color w:val="000000"/>
                <w:sz w:val="18"/>
                <w:szCs w:val="18"/>
              </w:rPr>
              <w:t>72,520</w:t>
            </w:r>
            <w:r w:rsidRPr="00232DDC">
              <w:rPr>
                <w:color w:val="000000"/>
                <w:sz w:val="18"/>
                <w:szCs w:val="18"/>
              </w:rPr>
              <w:t xml:space="preserve"> </w:t>
            </w:r>
          </w:p>
        </w:tc>
      </w:tr>
      <w:tr w:rsidR="009734AA" w:rsidRPr="005B2078" w14:paraId="676FDCA4" w14:textId="77777777" w:rsidTr="006B5173">
        <w:trPr>
          <w:trHeight w:val="256"/>
        </w:trPr>
        <w:tc>
          <w:tcPr>
            <w:tcW w:w="2723" w:type="dxa"/>
            <w:vAlign w:val="center"/>
          </w:tcPr>
          <w:p w14:paraId="21937276" w14:textId="1A97F01D" w:rsidR="009734AA" w:rsidRPr="00232DDC" w:rsidRDefault="00232DDC" w:rsidP="006B5173">
            <w:pPr>
              <w:pStyle w:val="Heading9"/>
              <w:spacing w:before="0" w:line="240" w:lineRule="auto"/>
              <w:contextualSpacing/>
              <w:rPr>
                <w:b/>
                <w:bCs/>
                <w:i w:val="0"/>
                <w:sz w:val="18"/>
                <w:szCs w:val="18"/>
              </w:rPr>
            </w:pPr>
            <w:r>
              <w:rPr>
                <w:i w:val="0"/>
                <w:sz w:val="18"/>
                <w:szCs w:val="18"/>
              </w:rPr>
              <w:t>FHA-HAMP</w:t>
            </w:r>
            <w:r w:rsidR="009734AA" w:rsidRPr="00232DDC">
              <w:rPr>
                <w:i w:val="0"/>
                <w:sz w:val="18"/>
                <w:szCs w:val="18"/>
              </w:rPr>
              <w:t xml:space="preserve"> Written </w:t>
            </w:r>
            <w:r>
              <w:rPr>
                <w:i w:val="0"/>
                <w:sz w:val="18"/>
                <w:szCs w:val="18"/>
              </w:rPr>
              <w:t>Plan</w:t>
            </w:r>
          </w:p>
        </w:tc>
        <w:tc>
          <w:tcPr>
            <w:tcW w:w="1229" w:type="dxa"/>
            <w:vAlign w:val="center"/>
          </w:tcPr>
          <w:p w14:paraId="309ADC14" w14:textId="77777777" w:rsidR="009734AA" w:rsidRPr="00232DDC" w:rsidRDefault="009734AA" w:rsidP="006B5173">
            <w:pPr>
              <w:spacing w:after="0" w:line="240" w:lineRule="auto"/>
              <w:contextualSpacing/>
              <w:jc w:val="center"/>
              <w:rPr>
                <w:sz w:val="18"/>
                <w:szCs w:val="18"/>
              </w:rPr>
            </w:pPr>
            <w:r w:rsidRPr="00232DDC">
              <w:rPr>
                <w:sz w:val="18"/>
                <w:szCs w:val="18"/>
              </w:rPr>
              <w:t>300</w:t>
            </w:r>
          </w:p>
        </w:tc>
        <w:tc>
          <w:tcPr>
            <w:tcW w:w="903" w:type="dxa"/>
            <w:vAlign w:val="center"/>
          </w:tcPr>
          <w:p w14:paraId="3FF9C27C" w14:textId="3FF8A5D7"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60</w:t>
            </w:r>
            <w:r w:rsidR="005261F8">
              <w:rPr>
                <w:color w:val="000000"/>
                <w:sz w:val="18"/>
                <w:szCs w:val="18"/>
              </w:rPr>
              <w:t>8.37</w:t>
            </w:r>
          </w:p>
        </w:tc>
        <w:tc>
          <w:tcPr>
            <w:tcW w:w="1205" w:type="dxa"/>
            <w:vAlign w:val="center"/>
          </w:tcPr>
          <w:p w14:paraId="6BA6D301" w14:textId="77777777"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182,510</w:t>
            </w:r>
          </w:p>
        </w:tc>
        <w:tc>
          <w:tcPr>
            <w:tcW w:w="775" w:type="dxa"/>
            <w:vAlign w:val="center"/>
          </w:tcPr>
          <w:p w14:paraId="79F9C3E6" w14:textId="77777777" w:rsidR="009734AA" w:rsidRPr="00232DDC" w:rsidRDefault="009734AA" w:rsidP="006B5173">
            <w:pPr>
              <w:spacing w:after="0" w:line="240" w:lineRule="auto"/>
              <w:ind w:right="141"/>
              <w:contextualSpacing/>
              <w:jc w:val="center"/>
              <w:rPr>
                <w:color w:val="000000"/>
                <w:sz w:val="18"/>
                <w:szCs w:val="18"/>
              </w:rPr>
            </w:pPr>
            <w:r w:rsidRPr="00232DDC">
              <w:rPr>
                <w:color w:val="000000"/>
                <w:sz w:val="18"/>
                <w:szCs w:val="18"/>
              </w:rPr>
              <w:t>2</w:t>
            </w:r>
          </w:p>
        </w:tc>
        <w:tc>
          <w:tcPr>
            <w:tcW w:w="1260" w:type="dxa"/>
            <w:vAlign w:val="center"/>
          </w:tcPr>
          <w:p w14:paraId="7DDD362D" w14:textId="09249366"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365,020</w:t>
            </w:r>
            <w:r w:rsidR="00A8408F">
              <w:rPr>
                <w:color w:val="000000"/>
                <w:sz w:val="18"/>
                <w:szCs w:val="18"/>
              </w:rPr>
              <w:t>.00</w:t>
            </w:r>
          </w:p>
        </w:tc>
        <w:tc>
          <w:tcPr>
            <w:tcW w:w="810" w:type="dxa"/>
            <w:vAlign w:val="center"/>
          </w:tcPr>
          <w:p w14:paraId="2A7464A5" w14:textId="3DD71C52"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w:t>
            </w:r>
            <w:r w:rsidR="005261F8">
              <w:rPr>
                <w:color w:val="000000"/>
                <w:sz w:val="18"/>
                <w:szCs w:val="18"/>
              </w:rPr>
              <w:t>20</w:t>
            </w:r>
            <w:r w:rsidRPr="00232DDC">
              <w:rPr>
                <w:color w:val="000000"/>
                <w:sz w:val="18"/>
                <w:szCs w:val="18"/>
              </w:rPr>
              <w:t xml:space="preserve">.00 </w:t>
            </w:r>
          </w:p>
        </w:tc>
        <w:tc>
          <w:tcPr>
            <w:tcW w:w="1373" w:type="dxa"/>
            <w:vAlign w:val="center"/>
          </w:tcPr>
          <w:p w14:paraId="4E45D100" w14:textId="236C4254" w:rsidR="009734AA" w:rsidRPr="00232DDC" w:rsidRDefault="009734AA" w:rsidP="006B5173">
            <w:pPr>
              <w:spacing w:after="0" w:line="240" w:lineRule="auto"/>
              <w:contextualSpacing/>
              <w:jc w:val="right"/>
              <w:rPr>
                <w:color w:val="000000"/>
                <w:sz w:val="18"/>
                <w:szCs w:val="18"/>
              </w:rPr>
            </w:pPr>
            <w:r w:rsidRPr="00232DDC">
              <w:rPr>
                <w:color w:val="000000"/>
                <w:sz w:val="18"/>
                <w:szCs w:val="18"/>
              </w:rPr>
              <w:t>$7,300</w:t>
            </w:r>
            <w:r w:rsidR="005261F8">
              <w:rPr>
                <w:color w:val="000000"/>
                <w:sz w:val="18"/>
                <w:szCs w:val="18"/>
              </w:rPr>
              <w:t>,4</w:t>
            </w:r>
            <w:r w:rsidRPr="00232DDC">
              <w:rPr>
                <w:color w:val="000000"/>
                <w:sz w:val="18"/>
                <w:szCs w:val="18"/>
              </w:rPr>
              <w:t xml:space="preserve">00 </w:t>
            </w:r>
          </w:p>
        </w:tc>
      </w:tr>
      <w:tr w:rsidR="009734AA" w:rsidRPr="005B2078" w14:paraId="19C7C848" w14:textId="77777777" w:rsidTr="006B5173">
        <w:trPr>
          <w:trHeight w:val="301"/>
        </w:trPr>
        <w:tc>
          <w:tcPr>
            <w:tcW w:w="2723" w:type="dxa"/>
            <w:tcBorders>
              <w:bottom w:val="single" w:sz="4" w:space="0" w:color="auto"/>
            </w:tcBorders>
            <w:vAlign w:val="center"/>
          </w:tcPr>
          <w:p w14:paraId="22D90937" w14:textId="3BF645AD" w:rsidR="009734AA" w:rsidRPr="00232DDC" w:rsidRDefault="00232DDC" w:rsidP="006B5173">
            <w:pPr>
              <w:pStyle w:val="Heading9"/>
              <w:spacing w:before="0" w:line="240" w:lineRule="auto"/>
              <w:contextualSpacing/>
              <w:rPr>
                <w:b/>
                <w:bCs/>
                <w:i w:val="0"/>
                <w:sz w:val="18"/>
                <w:szCs w:val="18"/>
              </w:rPr>
            </w:pPr>
            <w:r>
              <w:rPr>
                <w:i w:val="0"/>
                <w:sz w:val="18"/>
                <w:szCs w:val="18"/>
              </w:rPr>
              <w:t>FHA</w:t>
            </w:r>
            <w:r w:rsidR="000E4013">
              <w:rPr>
                <w:i w:val="0"/>
                <w:sz w:val="18"/>
                <w:szCs w:val="18"/>
              </w:rPr>
              <w:t>-</w:t>
            </w:r>
            <w:r>
              <w:rPr>
                <w:i w:val="0"/>
                <w:sz w:val="18"/>
                <w:szCs w:val="18"/>
              </w:rPr>
              <w:t xml:space="preserve">HAMP </w:t>
            </w:r>
            <w:r w:rsidR="009734AA" w:rsidRPr="00232DDC">
              <w:rPr>
                <w:i w:val="0"/>
                <w:sz w:val="18"/>
                <w:szCs w:val="18"/>
              </w:rPr>
              <w:t>Record Retention</w:t>
            </w:r>
          </w:p>
        </w:tc>
        <w:tc>
          <w:tcPr>
            <w:tcW w:w="1229" w:type="dxa"/>
            <w:tcBorders>
              <w:bottom w:val="single" w:sz="4" w:space="0" w:color="auto"/>
            </w:tcBorders>
            <w:vAlign w:val="center"/>
          </w:tcPr>
          <w:p w14:paraId="7B4337F4" w14:textId="77777777" w:rsidR="009734AA" w:rsidRPr="00232DDC" w:rsidRDefault="009734AA" w:rsidP="006B5173">
            <w:pPr>
              <w:spacing w:after="0" w:line="240" w:lineRule="auto"/>
              <w:contextualSpacing/>
              <w:jc w:val="center"/>
              <w:rPr>
                <w:sz w:val="18"/>
                <w:szCs w:val="18"/>
              </w:rPr>
            </w:pPr>
            <w:r w:rsidRPr="00232DDC">
              <w:rPr>
                <w:sz w:val="18"/>
                <w:szCs w:val="18"/>
              </w:rPr>
              <w:t>300</w:t>
            </w:r>
          </w:p>
        </w:tc>
        <w:tc>
          <w:tcPr>
            <w:tcW w:w="903" w:type="dxa"/>
            <w:tcBorders>
              <w:bottom w:val="single" w:sz="4" w:space="0" w:color="auto"/>
            </w:tcBorders>
            <w:vAlign w:val="center"/>
          </w:tcPr>
          <w:p w14:paraId="5CC67596" w14:textId="03850604"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60</w:t>
            </w:r>
            <w:r w:rsidR="005261F8">
              <w:rPr>
                <w:color w:val="000000"/>
                <w:sz w:val="18"/>
                <w:szCs w:val="18"/>
              </w:rPr>
              <w:t>8.37</w:t>
            </w:r>
          </w:p>
        </w:tc>
        <w:tc>
          <w:tcPr>
            <w:tcW w:w="1205" w:type="dxa"/>
            <w:tcBorders>
              <w:bottom w:val="single" w:sz="4" w:space="0" w:color="auto"/>
            </w:tcBorders>
            <w:vAlign w:val="center"/>
          </w:tcPr>
          <w:p w14:paraId="4499F5B3" w14:textId="77777777"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182,510</w:t>
            </w:r>
          </w:p>
        </w:tc>
        <w:tc>
          <w:tcPr>
            <w:tcW w:w="775" w:type="dxa"/>
            <w:tcBorders>
              <w:bottom w:val="single" w:sz="4" w:space="0" w:color="auto"/>
            </w:tcBorders>
            <w:vAlign w:val="center"/>
          </w:tcPr>
          <w:p w14:paraId="6173B7AE" w14:textId="77777777" w:rsidR="009734AA" w:rsidRPr="00232DDC" w:rsidRDefault="009734AA" w:rsidP="006B5173">
            <w:pPr>
              <w:spacing w:after="0" w:line="240" w:lineRule="auto"/>
              <w:ind w:right="141"/>
              <w:contextualSpacing/>
              <w:jc w:val="center"/>
              <w:rPr>
                <w:color w:val="000000"/>
                <w:sz w:val="18"/>
                <w:szCs w:val="18"/>
              </w:rPr>
            </w:pPr>
            <w:r w:rsidRPr="00232DDC">
              <w:rPr>
                <w:color w:val="000000"/>
                <w:sz w:val="18"/>
                <w:szCs w:val="18"/>
              </w:rPr>
              <w:t>1</w:t>
            </w:r>
          </w:p>
        </w:tc>
        <w:tc>
          <w:tcPr>
            <w:tcW w:w="1260" w:type="dxa"/>
            <w:tcBorders>
              <w:bottom w:val="single" w:sz="4" w:space="0" w:color="auto"/>
            </w:tcBorders>
            <w:vAlign w:val="center"/>
          </w:tcPr>
          <w:p w14:paraId="2F5A7E61" w14:textId="5AF1972B"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182,</w:t>
            </w:r>
            <w:r w:rsidR="005261F8">
              <w:rPr>
                <w:color w:val="000000"/>
                <w:sz w:val="18"/>
                <w:szCs w:val="18"/>
              </w:rPr>
              <w:t>5</w:t>
            </w:r>
            <w:r w:rsidRPr="00232DDC">
              <w:rPr>
                <w:color w:val="000000"/>
                <w:sz w:val="18"/>
                <w:szCs w:val="18"/>
              </w:rPr>
              <w:t>10</w:t>
            </w:r>
            <w:r w:rsidR="00A8408F">
              <w:rPr>
                <w:color w:val="000000"/>
                <w:sz w:val="18"/>
                <w:szCs w:val="18"/>
              </w:rPr>
              <w:t>.00</w:t>
            </w:r>
          </w:p>
        </w:tc>
        <w:tc>
          <w:tcPr>
            <w:tcW w:w="810" w:type="dxa"/>
            <w:tcBorders>
              <w:bottom w:val="single" w:sz="4" w:space="0" w:color="auto"/>
            </w:tcBorders>
            <w:vAlign w:val="center"/>
          </w:tcPr>
          <w:p w14:paraId="3DAF25DB" w14:textId="4FA2F53D" w:rsidR="009734AA" w:rsidRPr="00232DDC" w:rsidRDefault="009734AA" w:rsidP="006B5173">
            <w:pPr>
              <w:spacing w:after="0" w:line="240" w:lineRule="auto"/>
              <w:contextualSpacing/>
              <w:jc w:val="center"/>
              <w:rPr>
                <w:color w:val="000000"/>
                <w:sz w:val="18"/>
                <w:szCs w:val="18"/>
              </w:rPr>
            </w:pPr>
            <w:r w:rsidRPr="00232DDC">
              <w:rPr>
                <w:color w:val="000000"/>
                <w:sz w:val="18"/>
                <w:szCs w:val="18"/>
              </w:rPr>
              <w:t>$</w:t>
            </w:r>
            <w:r w:rsidR="005261F8">
              <w:rPr>
                <w:color w:val="000000"/>
                <w:sz w:val="18"/>
                <w:szCs w:val="18"/>
              </w:rPr>
              <w:t>20</w:t>
            </w:r>
            <w:r w:rsidRPr="00232DDC">
              <w:rPr>
                <w:color w:val="000000"/>
                <w:sz w:val="18"/>
                <w:szCs w:val="18"/>
              </w:rPr>
              <w:t xml:space="preserve">.00 </w:t>
            </w:r>
          </w:p>
        </w:tc>
        <w:tc>
          <w:tcPr>
            <w:tcW w:w="1373" w:type="dxa"/>
            <w:tcBorders>
              <w:bottom w:val="single" w:sz="4" w:space="0" w:color="auto"/>
            </w:tcBorders>
            <w:vAlign w:val="center"/>
          </w:tcPr>
          <w:p w14:paraId="034C1B81" w14:textId="3F017A96" w:rsidR="009734AA" w:rsidRPr="00232DDC" w:rsidRDefault="009734AA" w:rsidP="006B5173">
            <w:pPr>
              <w:spacing w:after="0" w:line="240" w:lineRule="auto"/>
              <w:contextualSpacing/>
              <w:jc w:val="right"/>
              <w:rPr>
                <w:color w:val="000000"/>
                <w:sz w:val="18"/>
                <w:szCs w:val="18"/>
              </w:rPr>
            </w:pPr>
            <w:r w:rsidRPr="00232DDC">
              <w:rPr>
                <w:color w:val="000000"/>
                <w:sz w:val="18"/>
                <w:szCs w:val="18"/>
              </w:rPr>
              <w:t>$3</w:t>
            </w:r>
            <w:r w:rsidR="005261F8">
              <w:rPr>
                <w:color w:val="000000"/>
                <w:sz w:val="18"/>
                <w:szCs w:val="18"/>
              </w:rPr>
              <w:t>,</w:t>
            </w:r>
            <w:r w:rsidRPr="00232DDC">
              <w:rPr>
                <w:color w:val="000000"/>
                <w:sz w:val="18"/>
                <w:szCs w:val="18"/>
              </w:rPr>
              <w:t>65</w:t>
            </w:r>
            <w:r w:rsidR="005261F8">
              <w:rPr>
                <w:color w:val="000000"/>
                <w:sz w:val="18"/>
                <w:szCs w:val="18"/>
              </w:rPr>
              <w:t>0,2</w:t>
            </w:r>
            <w:r w:rsidRPr="00232DDC">
              <w:rPr>
                <w:color w:val="000000"/>
                <w:sz w:val="18"/>
                <w:szCs w:val="18"/>
              </w:rPr>
              <w:t xml:space="preserve">00 </w:t>
            </w:r>
          </w:p>
        </w:tc>
      </w:tr>
      <w:tr w:rsidR="009734AA" w:rsidRPr="005B2078" w14:paraId="7064CD5C" w14:textId="77777777" w:rsidTr="006B5173">
        <w:trPr>
          <w:trHeight w:val="274"/>
        </w:trPr>
        <w:tc>
          <w:tcPr>
            <w:tcW w:w="2723" w:type="dxa"/>
            <w:shd w:val="clear" w:color="auto" w:fill="E0E0E0"/>
            <w:vAlign w:val="center"/>
          </w:tcPr>
          <w:p w14:paraId="205B3047" w14:textId="77777777" w:rsidR="009734AA" w:rsidRPr="005B2078" w:rsidRDefault="009734AA" w:rsidP="006B5173">
            <w:pPr>
              <w:spacing w:after="0" w:line="240" w:lineRule="auto"/>
              <w:rPr>
                <w:b/>
                <w:bCs/>
              </w:rPr>
            </w:pPr>
            <w:r w:rsidRPr="005B2078">
              <w:rPr>
                <w:b/>
                <w:bCs/>
              </w:rPr>
              <w:t>Pre-foreclosure Sale (PFS)</w:t>
            </w:r>
          </w:p>
        </w:tc>
        <w:tc>
          <w:tcPr>
            <w:tcW w:w="1229" w:type="dxa"/>
            <w:shd w:val="clear" w:color="auto" w:fill="E0E0E0"/>
            <w:vAlign w:val="center"/>
          </w:tcPr>
          <w:p w14:paraId="6557CE29" w14:textId="77777777" w:rsidR="009734AA" w:rsidRPr="005B2078" w:rsidRDefault="009734AA" w:rsidP="006B5173">
            <w:pPr>
              <w:spacing w:after="0" w:line="240" w:lineRule="auto"/>
              <w:jc w:val="center"/>
              <w:rPr>
                <w:sz w:val="18"/>
              </w:rPr>
            </w:pPr>
          </w:p>
        </w:tc>
        <w:tc>
          <w:tcPr>
            <w:tcW w:w="903" w:type="dxa"/>
            <w:shd w:val="clear" w:color="auto" w:fill="E0E0E0"/>
            <w:vAlign w:val="center"/>
          </w:tcPr>
          <w:p w14:paraId="748CE7D6" w14:textId="77777777" w:rsidR="009734AA" w:rsidRPr="005B2078" w:rsidRDefault="009734AA" w:rsidP="006B5173">
            <w:pPr>
              <w:spacing w:after="0" w:line="240" w:lineRule="auto"/>
              <w:jc w:val="center"/>
              <w:rPr>
                <w:sz w:val="18"/>
              </w:rPr>
            </w:pPr>
          </w:p>
        </w:tc>
        <w:tc>
          <w:tcPr>
            <w:tcW w:w="1205" w:type="dxa"/>
            <w:shd w:val="clear" w:color="auto" w:fill="E0E0E0"/>
            <w:vAlign w:val="center"/>
          </w:tcPr>
          <w:p w14:paraId="5CA700FD" w14:textId="77777777" w:rsidR="009734AA" w:rsidRPr="005B2078" w:rsidRDefault="009734AA" w:rsidP="006B5173">
            <w:pPr>
              <w:spacing w:after="0" w:line="240" w:lineRule="auto"/>
              <w:jc w:val="center"/>
              <w:rPr>
                <w:sz w:val="18"/>
              </w:rPr>
            </w:pPr>
          </w:p>
        </w:tc>
        <w:tc>
          <w:tcPr>
            <w:tcW w:w="775" w:type="dxa"/>
            <w:shd w:val="clear" w:color="auto" w:fill="E0E0E0"/>
            <w:vAlign w:val="center"/>
          </w:tcPr>
          <w:p w14:paraId="0DDDDAAE" w14:textId="77777777" w:rsidR="009734AA" w:rsidRPr="005B2078" w:rsidRDefault="009734AA" w:rsidP="006B5173">
            <w:pPr>
              <w:spacing w:after="0" w:line="240" w:lineRule="auto"/>
              <w:ind w:right="141"/>
              <w:rPr>
                <w:sz w:val="18"/>
              </w:rPr>
            </w:pPr>
          </w:p>
        </w:tc>
        <w:tc>
          <w:tcPr>
            <w:tcW w:w="1260" w:type="dxa"/>
            <w:shd w:val="clear" w:color="auto" w:fill="E0E0E0"/>
            <w:vAlign w:val="center"/>
          </w:tcPr>
          <w:p w14:paraId="131B06DA" w14:textId="77777777" w:rsidR="009734AA" w:rsidRPr="005B2078" w:rsidRDefault="009734AA" w:rsidP="006B5173">
            <w:pPr>
              <w:spacing w:after="0" w:line="240" w:lineRule="auto"/>
              <w:rPr>
                <w:sz w:val="18"/>
              </w:rPr>
            </w:pPr>
          </w:p>
        </w:tc>
        <w:tc>
          <w:tcPr>
            <w:tcW w:w="810" w:type="dxa"/>
            <w:shd w:val="clear" w:color="auto" w:fill="E0E0E0"/>
            <w:vAlign w:val="center"/>
          </w:tcPr>
          <w:p w14:paraId="0EE2912C" w14:textId="77777777" w:rsidR="009734AA" w:rsidRPr="005B2078" w:rsidRDefault="009734AA" w:rsidP="006B5173">
            <w:pPr>
              <w:spacing w:after="0" w:line="240" w:lineRule="auto"/>
              <w:rPr>
                <w:sz w:val="18"/>
              </w:rPr>
            </w:pPr>
          </w:p>
        </w:tc>
        <w:tc>
          <w:tcPr>
            <w:tcW w:w="1373" w:type="dxa"/>
            <w:shd w:val="clear" w:color="auto" w:fill="E0E0E0"/>
            <w:vAlign w:val="center"/>
          </w:tcPr>
          <w:p w14:paraId="24E7EC66" w14:textId="77777777" w:rsidR="009734AA" w:rsidRPr="005B2078" w:rsidRDefault="009734AA" w:rsidP="006B5173">
            <w:pPr>
              <w:spacing w:after="0" w:line="240" w:lineRule="auto"/>
              <w:jc w:val="right"/>
              <w:rPr>
                <w:sz w:val="18"/>
              </w:rPr>
            </w:pPr>
          </w:p>
        </w:tc>
      </w:tr>
      <w:tr w:rsidR="009734AA" w:rsidRPr="005B2078" w14:paraId="57ABA523" w14:textId="77777777" w:rsidTr="006B5173">
        <w:trPr>
          <w:trHeight w:val="292"/>
        </w:trPr>
        <w:tc>
          <w:tcPr>
            <w:tcW w:w="2723" w:type="dxa"/>
            <w:vAlign w:val="center"/>
          </w:tcPr>
          <w:p w14:paraId="66272720" w14:textId="77777777" w:rsidR="009734AA" w:rsidRPr="005B2078" w:rsidRDefault="009734AA" w:rsidP="006B5173">
            <w:pPr>
              <w:spacing w:after="0" w:line="240" w:lineRule="auto"/>
              <w:rPr>
                <w:sz w:val="18"/>
              </w:rPr>
            </w:pPr>
            <w:r w:rsidRPr="005B2078">
              <w:rPr>
                <w:sz w:val="18"/>
              </w:rPr>
              <w:t>PFS Evaluation</w:t>
            </w:r>
          </w:p>
        </w:tc>
        <w:tc>
          <w:tcPr>
            <w:tcW w:w="1229" w:type="dxa"/>
            <w:vAlign w:val="center"/>
          </w:tcPr>
          <w:p w14:paraId="0714D543"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45462EA0" w14:textId="06D8C2E5" w:rsidR="009734AA" w:rsidRPr="005B2078" w:rsidRDefault="009E48DF" w:rsidP="006B5173">
            <w:pPr>
              <w:spacing w:after="0" w:line="240" w:lineRule="auto"/>
              <w:jc w:val="center"/>
              <w:rPr>
                <w:color w:val="000000"/>
                <w:sz w:val="18"/>
                <w:szCs w:val="18"/>
              </w:rPr>
            </w:pPr>
            <w:r>
              <w:rPr>
                <w:color w:val="000000"/>
                <w:sz w:val="18"/>
                <w:szCs w:val="18"/>
              </w:rPr>
              <w:t>73.48</w:t>
            </w:r>
          </w:p>
        </w:tc>
        <w:tc>
          <w:tcPr>
            <w:tcW w:w="1205" w:type="dxa"/>
            <w:vAlign w:val="center"/>
          </w:tcPr>
          <w:p w14:paraId="30778E50"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759B52E6"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4</w:t>
            </w:r>
          </w:p>
        </w:tc>
        <w:tc>
          <w:tcPr>
            <w:tcW w:w="1260" w:type="dxa"/>
            <w:vAlign w:val="center"/>
          </w:tcPr>
          <w:p w14:paraId="62C83877" w14:textId="1D008BBD" w:rsidR="009734AA" w:rsidRPr="005B2078" w:rsidRDefault="009734AA" w:rsidP="006B5173">
            <w:pPr>
              <w:spacing w:after="0" w:line="240" w:lineRule="auto"/>
              <w:jc w:val="center"/>
              <w:rPr>
                <w:color w:val="000000"/>
                <w:sz w:val="18"/>
                <w:szCs w:val="18"/>
              </w:rPr>
            </w:pPr>
            <w:r>
              <w:rPr>
                <w:color w:val="000000"/>
                <w:sz w:val="18"/>
                <w:szCs w:val="18"/>
              </w:rPr>
              <w:t>89,640</w:t>
            </w:r>
            <w:r w:rsidR="00953EA0">
              <w:rPr>
                <w:color w:val="000000"/>
                <w:sz w:val="18"/>
                <w:szCs w:val="18"/>
              </w:rPr>
              <w:t>.00</w:t>
            </w:r>
          </w:p>
        </w:tc>
        <w:tc>
          <w:tcPr>
            <w:tcW w:w="810" w:type="dxa"/>
            <w:vAlign w:val="center"/>
          </w:tcPr>
          <w:p w14:paraId="362B1143" w14:textId="3D515F35" w:rsidR="003F3FB0" w:rsidRPr="003F3FB0" w:rsidRDefault="003F3FB0" w:rsidP="006B5173">
            <w:pPr>
              <w:spacing w:after="0" w:line="240" w:lineRule="auto"/>
              <w:jc w:val="center"/>
              <w:rPr>
                <w:color w:val="000000"/>
                <w:sz w:val="18"/>
              </w:rPr>
            </w:pPr>
            <w:r>
              <w:rPr>
                <w:color w:val="000000"/>
                <w:sz w:val="18"/>
              </w:rPr>
              <w:t>20.00</w:t>
            </w:r>
          </w:p>
        </w:tc>
        <w:tc>
          <w:tcPr>
            <w:tcW w:w="1373" w:type="dxa"/>
            <w:vAlign w:val="center"/>
          </w:tcPr>
          <w:p w14:paraId="2D41FDA0" w14:textId="58E17866" w:rsidR="009734AA" w:rsidRPr="005B2078" w:rsidRDefault="009734AA" w:rsidP="006B5173">
            <w:pPr>
              <w:spacing w:after="0" w:line="240" w:lineRule="auto"/>
              <w:jc w:val="right"/>
              <w:rPr>
                <w:color w:val="000000"/>
                <w:sz w:val="18"/>
                <w:szCs w:val="18"/>
              </w:rPr>
            </w:pPr>
            <w:r w:rsidRPr="005B2078">
              <w:rPr>
                <w:color w:val="000000"/>
                <w:sz w:val="18"/>
              </w:rPr>
              <w:t>$1,</w:t>
            </w:r>
            <w:r w:rsidR="005447BB">
              <w:rPr>
                <w:color w:val="000000"/>
                <w:sz w:val="18"/>
              </w:rPr>
              <w:t>792,800</w:t>
            </w:r>
          </w:p>
        </w:tc>
      </w:tr>
      <w:tr w:rsidR="009734AA" w:rsidRPr="005B2078" w14:paraId="4957B0FE" w14:textId="77777777" w:rsidTr="006B5173">
        <w:trPr>
          <w:trHeight w:val="292"/>
        </w:trPr>
        <w:tc>
          <w:tcPr>
            <w:tcW w:w="2723" w:type="dxa"/>
            <w:vAlign w:val="center"/>
          </w:tcPr>
          <w:p w14:paraId="6EEB0A87" w14:textId="012AEB0F" w:rsidR="009734AA" w:rsidRPr="005B2078" w:rsidRDefault="00FD64FA" w:rsidP="006B5173">
            <w:pPr>
              <w:spacing w:after="0" w:line="240" w:lineRule="auto"/>
              <w:rPr>
                <w:sz w:val="18"/>
              </w:rPr>
            </w:pPr>
            <w:r>
              <w:rPr>
                <w:sz w:val="18"/>
              </w:rPr>
              <w:t>Mortgagor</w:t>
            </w:r>
            <w:r w:rsidR="009734AA" w:rsidRPr="005B2078">
              <w:rPr>
                <w:sz w:val="18"/>
              </w:rPr>
              <w:t xml:space="preserve"> Activity</w:t>
            </w:r>
          </w:p>
        </w:tc>
        <w:tc>
          <w:tcPr>
            <w:tcW w:w="1229" w:type="dxa"/>
            <w:vAlign w:val="center"/>
          </w:tcPr>
          <w:p w14:paraId="49FFBC94" w14:textId="77777777" w:rsidR="009734AA" w:rsidRPr="005B2078" w:rsidRDefault="009734AA" w:rsidP="006B5173">
            <w:pPr>
              <w:spacing w:after="0" w:line="240" w:lineRule="auto"/>
              <w:jc w:val="center"/>
              <w:rPr>
                <w:sz w:val="18"/>
                <w:szCs w:val="18"/>
              </w:rPr>
            </w:pPr>
            <w:r w:rsidRPr="005B2078">
              <w:rPr>
                <w:sz w:val="18"/>
                <w:szCs w:val="18"/>
              </w:rPr>
              <w:t>24,7</w:t>
            </w:r>
            <w:r>
              <w:rPr>
                <w:sz w:val="18"/>
                <w:szCs w:val="18"/>
              </w:rPr>
              <w:t>0</w:t>
            </w:r>
            <w:r w:rsidRPr="005B2078">
              <w:rPr>
                <w:sz w:val="18"/>
                <w:szCs w:val="18"/>
              </w:rPr>
              <w:t>0</w:t>
            </w:r>
          </w:p>
        </w:tc>
        <w:tc>
          <w:tcPr>
            <w:tcW w:w="903" w:type="dxa"/>
            <w:vAlign w:val="center"/>
          </w:tcPr>
          <w:p w14:paraId="72F24404" w14:textId="7D137DAD" w:rsidR="009734AA" w:rsidRPr="005B2078" w:rsidRDefault="00953EA0" w:rsidP="006B5173">
            <w:pPr>
              <w:spacing w:after="0" w:line="240" w:lineRule="auto"/>
              <w:jc w:val="center"/>
              <w:rPr>
                <w:color w:val="000000"/>
                <w:sz w:val="18"/>
                <w:szCs w:val="18"/>
              </w:rPr>
            </w:pPr>
            <w:r>
              <w:rPr>
                <w:color w:val="000000"/>
                <w:sz w:val="18"/>
                <w:szCs w:val="18"/>
              </w:rPr>
              <w:t>1.00</w:t>
            </w:r>
          </w:p>
        </w:tc>
        <w:tc>
          <w:tcPr>
            <w:tcW w:w="1205" w:type="dxa"/>
            <w:vAlign w:val="center"/>
          </w:tcPr>
          <w:p w14:paraId="53284DE1" w14:textId="3CB34F5E" w:rsidR="00D27EEB" w:rsidRPr="005B2078" w:rsidRDefault="00953EA0" w:rsidP="006B5173">
            <w:pPr>
              <w:spacing w:after="0" w:line="240" w:lineRule="auto"/>
              <w:rPr>
                <w:color w:val="000000"/>
                <w:sz w:val="18"/>
                <w:szCs w:val="18"/>
              </w:rPr>
            </w:pPr>
            <w:r>
              <w:rPr>
                <w:color w:val="000000"/>
                <w:sz w:val="18"/>
                <w:szCs w:val="18"/>
              </w:rPr>
              <w:t xml:space="preserve">   </w:t>
            </w:r>
            <w:r w:rsidR="00D27EEB">
              <w:rPr>
                <w:color w:val="000000"/>
                <w:sz w:val="18"/>
                <w:szCs w:val="18"/>
              </w:rPr>
              <w:t>24,700</w:t>
            </w:r>
          </w:p>
        </w:tc>
        <w:tc>
          <w:tcPr>
            <w:tcW w:w="775" w:type="dxa"/>
            <w:vAlign w:val="center"/>
          </w:tcPr>
          <w:p w14:paraId="4C409777"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1</w:t>
            </w:r>
          </w:p>
        </w:tc>
        <w:tc>
          <w:tcPr>
            <w:tcW w:w="1260" w:type="dxa"/>
            <w:vAlign w:val="center"/>
          </w:tcPr>
          <w:p w14:paraId="64FF8B31" w14:textId="66299711" w:rsidR="009734AA" w:rsidRPr="005B2078" w:rsidRDefault="009734AA" w:rsidP="006B5173">
            <w:pPr>
              <w:spacing w:after="0" w:line="240" w:lineRule="auto"/>
              <w:jc w:val="center"/>
              <w:rPr>
                <w:color w:val="000000"/>
                <w:sz w:val="18"/>
                <w:szCs w:val="18"/>
              </w:rPr>
            </w:pPr>
            <w:r w:rsidRPr="005B2078">
              <w:rPr>
                <w:color w:val="000000"/>
                <w:sz w:val="18"/>
                <w:szCs w:val="18"/>
              </w:rPr>
              <w:t>2</w:t>
            </w:r>
            <w:r w:rsidR="00953EA0">
              <w:rPr>
                <w:color w:val="000000"/>
                <w:sz w:val="18"/>
                <w:szCs w:val="18"/>
              </w:rPr>
              <w:t>4</w:t>
            </w:r>
            <w:r>
              <w:rPr>
                <w:color w:val="000000"/>
                <w:sz w:val="18"/>
                <w:szCs w:val="18"/>
              </w:rPr>
              <w:t>,</w:t>
            </w:r>
            <w:r w:rsidR="00953EA0">
              <w:rPr>
                <w:color w:val="000000"/>
                <w:sz w:val="18"/>
                <w:szCs w:val="18"/>
              </w:rPr>
              <w:t>70</w:t>
            </w:r>
            <w:r>
              <w:rPr>
                <w:color w:val="000000"/>
                <w:sz w:val="18"/>
                <w:szCs w:val="18"/>
              </w:rPr>
              <w:t>0</w:t>
            </w:r>
            <w:r w:rsidR="00953EA0">
              <w:rPr>
                <w:color w:val="000000"/>
                <w:sz w:val="18"/>
                <w:szCs w:val="18"/>
              </w:rPr>
              <w:t>.00</w:t>
            </w:r>
          </w:p>
        </w:tc>
        <w:tc>
          <w:tcPr>
            <w:tcW w:w="810" w:type="dxa"/>
            <w:vAlign w:val="center"/>
          </w:tcPr>
          <w:p w14:paraId="3A8BC446" w14:textId="166F5EF0" w:rsidR="009734AA" w:rsidRPr="005B2078" w:rsidRDefault="009734AA" w:rsidP="006B5173">
            <w:pPr>
              <w:spacing w:after="0" w:line="240" w:lineRule="auto"/>
              <w:jc w:val="center"/>
              <w:rPr>
                <w:color w:val="000000"/>
                <w:sz w:val="18"/>
                <w:szCs w:val="18"/>
              </w:rPr>
            </w:pPr>
            <w:r w:rsidRPr="005B2078">
              <w:rPr>
                <w:color w:val="000000"/>
                <w:sz w:val="18"/>
              </w:rPr>
              <w:t>$</w:t>
            </w:r>
            <w:r w:rsidR="003F3FB0">
              <w:rPr>
                <w:color w:val="000000"/>
                <w:sz w:val="18"/>
              </w:rPr>
              <w:t>20</w:t>
            </w:r>
            <w:r w:rsidRPr="005B2078">
              <w:rPr>
                <w:color w:val="000000"/>
                <w:sz w:val="18"/>
              </w:rPr>
              <w:t xml:space="preserve">.00 </w:t>
            </w:r>
          </w:p>
        </w:tc>
        <w:tc>
          <w:tcPr>
            <w:tcW w:w="1373" w:type="dxa"/>
            <w:vAlign w:val="center"/>
          </w:tcPr>
          <w:p w14:paraId="1EF5735E" w14:textId="3751AA27" w:rsidR="009734AA" w:rsidRPr="005B2078" w:rsidRDefault="009734AA" w:rsidP="006B5173">
            <w:pPr>
              <w:spacing w:after="0" w:line="240" w:lineRule="auto"/>
              <w:jc w:val="right"/>
              <w:rPr>
                <w:color w:val="000000"/>
                <w:sz w:val="18"/>
                <w:szCs w:val="18"/>
              </w:rPr>
            </w:pPr>
            <w:r w:rsidRPr="005B2078">
              <w:rPr>
                <w:color w:val="000000"/>
                <w:sz w:val="18"/>
                <w:szCs w:val="18"/>
              </w:rPr>
              <w:t>$</w:t>
            </w:r>
            <w:r w:rsidR="005447BB">
              <w:rPr>
                <w:color w:val="000000"/>
                <w:sz w:val="18"/>
                <w:szCs w:val="18"/>
              </w:rPr>
              <w:t>4</w:t>
            </w:r>
            <w:r w:rsidR="00953EA0">
              <w:rPr>
                <w:color w:val="000000"/>
                <w:sz w:val="18"/>
                <w:szCs w:val="18"/>
              </w:rPr>
              <w:t>9</w:t>
            </w:r>
            <w:r w:rsidR="005447BB">
              <w:rPr>
                <w:color w:val="000000"/>
                <w:sz w:val="18"/>
                <w:szCs w:val="18"/>
              </w:rPr>
              <w:t>4,</w:t>
            </w:r>
            <w:r w:rsidR="00953EA0">
              <w:rPr>
                <w:color w:val="000000"/>
                <w:sz w:val="18"/>
                <w:szCs w:val="18"/>
              </w:rPr>
              <w:t>0</w:t>
            </w:r>
            <w:r w:rsidR="005447BB">
              <w:rPr>
                <w:color w:val="000000"/>
                <w:sz w:val="18"/>
                <w:szCs w:val="18"/>
              </w:rPr>
              <w:t>0</w:t>
            </w:r>
            <w:r>
              <w:rPr>
                <w:color w:val="000000"/>
                <w:sz w:val="18"/>
                <w:szCs w:val="18"/>
              </w:rPr>
              <w:t>0</w:t>
            </w:r>
          </w:p>
        </w:tc>
      </w:tr>
      <w:tr w:rsidR="009734AA" w:rsidRPr="005B2078" w14:paraId="5428D78C" w14:textId="77777777" w:rsidTr="006B5173">
        <w:trPr>
          <w:trHeight w:val="292"/>
        </w:trPr>
        <w:tc>
          <w:tcPr>
            <w:tcW w:w="2723" w:type="dxa"/>
            <w:vAlign w:val="center"/>
          </w:tcPr>
          <w:p w14:paraId="442DE3EE" w14:textId="77777777" w:rsidR="009734AA" w:rsidRPr="005B2078" w:rsidRDefault="009734AA" w:rsidP="006B5173">
            <w:pPr>
              <w:spacing w:after="0" w:line="240" w:lineRule="auto"/>
              <w:rPr>
                <w:sz w:val="18"/>
              </w:rPr>
            </w:pPr>
            <w:r w:rsidRPr="005B2078">
              <w:rPr>
                <w:sz w:val="18"/>
              </w:rPr>
              <w:t>PFS Claim for Benefits</w:t>
            </w:r>
          </w:p>
        </w:tc>
        <w:tc>
          <w:tcPr>
            <w:tcW w:w="1229" w:type="dxa"/>
            <w:vAlign w:val="center"/>
          </w:tcPr>
          <w:p w14:paraId="2F8DEB44"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72876651" w14:textId="4251449E" w:rsidR="009734AA" w:rsidRPr="005B2078" w:rsidRDefault="005447BB" w:rsidP="006B5173">
            <w:pPr>
              <w:spacing w:after="0" w:line="240" w:lineRule="auto"/>
              <w:jc w:val="center"/>
              <w:rPr>
                <w:color w:val="000000"/>
                <w:sz w:val="18"/>
                <w:szCs w:val="18"/>
              </w:rPr>
            </w:pPr>
            <w:r>
              <w:rPr>
                <w:color w:val="000000"/>
                <w:sz w:val="18"/>
                <w:szCs w:val="18"/>
              </w:rPr>
              <w:t>73.48</w:t>
            </w:r>
          </w:p>
        </w:tc>
        <w:tc>
          <w:tcPr>
            <w:tcW w:w="1205" w:type="dxa"/>
            <w:vAlign w:val="center"/>
          </w:tcPr>
          <w:p w14:paraId="4F6D30BA"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2AF340CA"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1</w:t>
            </w:r>
          </w:p>
        </w:tc>
        <w:tc>
          <w:tcPr>
            <w:tcW w:w="1260" w:type="dxa"/>
            <w:vAlign w:val="center"/>
          </w:tcPr>
          <w:p w14:paraId="51094A77" w14:textId="3075BF54"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2,410</w:t>
            </w:r>
            <w:r w:rsidR="00953EA0">
              <w:rPr>
                <w:color w:val="000000"/>
                <w:sz w:val="18"/>
                <w:szCs w:val="18"/>
              </w:rPr>
              <w:t>.00</w:t>
            </w:r>
          </w:p>
        </w:tc>
        <w:tc>
          <w:tcPr>
            <w:tcW w:w="810" w:type="dxa"/>
            <w:vAlign w:val="center"/>
          </w:tcPr>
          <w:p w14:paraId="6C7AA333" w14:textId="2A79967F"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37D3D1EA" w14:textId="505BC2BA" w:rsidR="009734AA" w:rsidRPr="005B2078" w:rsidRDefault="009734AA" w:rsidP="006B5173">
            <w:pPr>
              <w:spacing w:after="0" w:line="240" w:lineRule="auto"/>
              <w:jc w:val="right"/>
              <w:rPr>
                <w:color w:val="000000"/>
                <w:sz w:val="18"/>
                <w:szCs w:val="18"/>
              </w:rPr>
            </w:pPr>
            <w:r w:rsidRPr="005B2078">
              <w:rPr>
                <w:color w:val="000000"/>
                <w:sz w:val="18"/>
                <w:szCs w:val="18"/>
              </w:rPr>
              <w:t>$</w:t>
            </w:r>
            <w:r w:rsidR="005447BB">
              <w:rPr>
                <w:color w:val="000000"/>
                <w:sz w:val="18"/>
                <w:szCs w:val="18"/>
              </w:rPr>
              <w:t>448,20</w:t>
            </w:r>
            <w:r>
              <w:rPr>
                <w:color w:val="000000"/>
                <w:sz w:val="18"/>
                <w:szCs w:val="18"/>
              </w:rPr>
              <w:t>0</w:t>
            </w:r>
          </w:p>
        </w:tc>
      </w:tr>
      <w:tr w:rsidR="009734AA" w:rsidRPr="005B2078" w14:paraId="5F22C99F" w14:textId="77777777" w:rsidTr="006B5173">
        <w:trPr>
          <w:trHeight w:val="292"/>
        </w:trPr>
        <w:tc>
          <w:tcPr>
            <w:tcW w:w="2723" w:type="dxa"/>
            <w:vAlign w:val="center"/>
          </w:tcPr>
          <w:p w14:paraId="3DE1F206" w14:textId="77777777" w:rsidR="009734AA" w:rsidRPr="005B2078" w:rsidRDefault="009734AA" w:rsidP="006B5173">
            <w:pPr>
              <w:spacing w:after="0" w:line="240" w:lineRule="auto"/>
              <w:rPr>
                <w:sz w:val="18"/>
              </w:rPr>
            </w:pPr>
            <w:r w:rsidRPr="005B2078">
              <w:rPr>
                <w:sz w:val="18"/>
              </w:rPr>
              <w:t>Notice of Foreclosure</w:t>
            </w:r>
          </w:p>
        </w:tc>
        <w:tc>
          <w:tcPr>
            <w:tcW w:w="1229" w:type="dxa"/>
            <w:vAlign w:val="center"/>
          </w:tcPr>
          <w:p w14:paraId="200E93B1"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6A44BA06" w14:textId="77CFFF7F" w:rsidR="009734AA" w:rsidRPr="005B2078" w:rsidRDefault="005447BB" w:rsidP="006B5173">
            <w:pPr>
              <w:spacing w:after="0" w:line="240" w:lineRule="auto"/>
              <w:jc w:val="center"/>
              <w:rPr>
                <w:color w:val="000000"/>
                <w:sz w:val="18"/>
                <w:szCs w:val="18"/>
              </w:rPr>
            </w:pPr>
            <w:r>
              <w:rPr>
                <w:color w:val="000000"/>
                <w:sz w:val="18"/>
                <w:szCs w:val="18"/>
              </w:rPr>
              <w:t>73.48</w:t>
            </w:r>
          </w:p>
        </w:tc>
        <w:tc>
          <w:tcPr>
            <w:tcW w:w="1205" w:type="dxa"/>
            <w:vAlign w:val="center"/>
          </w:tcPr>
          <w:p w14:paraId="69A17861"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72941945"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0.25</w:t>
            </w:r>
          </w:p>
        </w:tc>
        <w:tc>
          <w:tcPr>
            <w:tcW w:w="1260" w:type="dxa"/>
            <w:vAlign w:val="center"/>
          </w:tcPr>
          <w:p w14:paraId="369A6BD2" w14:textId="1E757755" w:rsidR="009734AA" w:rsidRPr="005B2078" w:rsidRDefault="009734AA" w:rsidP="006B5173">
            <w:pPr>
              <w:spacing w:after="0" w:line="240" w:lineRule="auto"/>
              <w:jc w:val="center"/>
              <w:rPr>
                <w:color w:val="000000"/>
                <w:sz w:val="18"/>
                <w:szCs w:val="18"/>
              </w:rPr>
            </w:pPr>
            <w:r>
              <w:rPr>
                <w:color w:val="000000"/>
                <w:sz w:val="18"/>
                <w:szCs w:val="18"/>
              </w:rPr>
              <w:t>5,60</w:t>
            </w:r>
            <w:r w:rsidR="005447BB">
              <w:rPr>
                <w:color w:val="000000"/>
                <w:sz w:val="18"/>
                <w:szCs w:val="18"/>
              </w:rPr>
              <w:t>2</w:t>
            </w:r>
            <w:r w:rsidRPr="005B2078">
              <w:rPr>
                <w:color w:val="000000"/>
                <w:sz w:val="18"/>
                <w:szCs w:val="18"/>
              </w:rPr>
              <w:t>.</w:t>
            </w:r>
            <w:r w:rsidR="005447BB">
              <w:rPr>
                <w:color w:val="000000"/>
                <w:sz w:val="18"/>
                <w:szCs w:val="18"/>
              </w:rPr>
              <w:t>5</w:t>
            </w:r>
            <w:r w:rsidRPr="005B2078">
              <w:rPr>
                <w:color w:val="000000"/>
                <w:sz w:val="18"/>
                <w:szCs w:val="18"/>
              </w:rPr>
              <w:t>0</w:t>
            </w:r>
          </w:p>
        </w:tc>
        <w:tc>
          <w:tcPr>
            <w:tcW w:w="810" w:type="dxa"/>
            <w:vAlign w:val="center"/>
          </w:tcPr>
          <w:p w14:paraId="5D272596" w14:textId="24FF800B"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20.0</w:t>
            </w:r>
            <w:r w:rsidRPr="005B2078">
              <w:rPr>
                <w:color w:val="000000"/>
                <w:sz w:val="18"/>
              </w:rPr>
              <w:t xml:space="preserve">0 </w:t>
            </w:r>
          </w:p>
        </w:tc>
        <w:tc>
          <w:tcPr>
            <w:tcW w:w="1373" w:type="dxa"/>
            <w:vAlign w:val="center"/>
          </w:tcPr>
          <w:p w14:paraId="41D9E494" w14:textId="4416255A" w:rsidR="009734AA" w:rsidRPr="005B2078" w:rsidRDefault="009734AA" w:rsidP="006B5173">
            <w:pPr>
              <w:spacing w:after="0" w:line="240" w:lineRule="auto"/>
              <w:jc w:val="right"/>
              <w:rPr>
                <w:color w:val="000000"/>
                <w:sz w:val="18"/>
                <w:szCs w:val="18"/>
              </w:rPr>
            </w:pPr>
            <w:r w:rsidRPr="005B2078">
              <w:rPr>
                <w:color w:val="000000"/>
                <w:sz w:val="18"/>
                <w:szCs w:val="18"/>
              </w:rPr>
              <w:t>$</w:t>
            </w:r>
            <w:r w:rsidR="005447BB">
              <w:rPr>
                <w:color w:val="000000"/>
                <w:sz w:val="18"/>
                <w:szCs w:val="18"/>
              </w:rPr>
              <w:t>112,050</w:t>
            </w:r>
          </w:p>
        </w:tc>
      </w:tr>
      <w:tr w:rsidR="009734AA" w:rsidRPr="005B2078" w14:paraId="5D60F0C3" w14:textId="77777777" w:rsidTr="006B5173">
        <w:trPr>
          <w:trHeight w:val="292"/>
        </w:trPr>
        <w:tc>
          <w:tcPr>
            <w:tcW w:w="2723" w:type="dxa"/>
            <w:vAlign w:val="center"/>
          </w:tcPr>
          <w:p w14:paraId="549DBA05" w14:textId="15A479A6" w:rsidR="009734AA" w:rsidRPr="005B2078" w:rsidRDefault="009734AA" w:rsidP="006B5173">
            <w:pPr>
              <w:spacing w:after="0" w:line="240" w:lineRule="auto"/>
              <w:rPr>
                <w:sz w:val="18"/>
              </w:rPr>
            </w:pPr>
            <w:r w:rsidRPr="005B2078">
              <w:rPr>
                <w:sz w:val="18"/>
              </w:rPr>
              <w:t>HUD-</w:t>
            </w:r>
            <w:r w:rsidR="00C40411">
              <w:rPr>
                <w:sz w:val="18"/>
              </w:rPr>
              <w:t>2008-5-FHA</w:t>
            </w:r>
            <w:r w:rsidRPr="005B2078">
              <w:rPr>
                <w:sz w:val="18"/>
              </w:rPr>
              <w:t xml:space="preserve"> </w:t>
            </w:r>
            <w:r w:rsidR="00C40411">
              <w:rPr>
                <w:sz w:val="18"/>
              </w:rPr>
              <w:t xml:space="preserve">Save Your Home: Tips </w:t>
            </w:r>
            <w:r w:rsidR="00C40411" w:rsidRPr="005B2078">
              <w:rPr>
                <w:sz w:val="18"/>
              </w:rPr>
              <w:t>to Avoid Foreclosure</w:t>
            </w:r>
            <w:r w:rsidRPr="005B2078">
              <w:rPr>
                <w:sz w:val="18"/>
              </w:rPr>
              <w:t xml:space="preserve"> </w:t>
            </w:r>
          </w:p>
        </w:tc>
        <w:tc>
          <w:tcPr>
            <w:tcW w:w="1229" w:type="dxa"/>
            <w:vAlign w:val="center"/>
          </w:tcPr>
          <w:p w14:paraId="41F622D0"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1AA26CF7" w14:textId="57ED04E2" w:rsidR="009734AA" w:rsidRPr="005B2078" w:rsidRDefault="00C40411" w:rsidP="006B5173">
            <w:pPr>
              <w:spacing w:after="0" w:line="240" w:lineRule="auto"/>
              <w:jc w:val="center"/>
              <w:rPr>
                <w:color w:val="000000"/>
                <w:sz w:val="18"/>
                <w:szCs w:val="18"/>
              </w:rPr>
            </w:pPr>
            <w:r>
              <w:rPr>
                <w:color w:val="000000"/>
                <w:sz w:val="18"/>
                <w:szCs w:val="18"/>
              </w:rPr>
              <w:t>73.48</w:t>
            </w:r>
          </w:p>
        </w:tc>
        <w:tc>
          <w:tcPr>
            <w:tcW w:w="1205" w:type="dxa"/>
            <w:vAlign w:val="center"/>
          </w:tcPr>
          <w:p w14:paraId="643B0CAE"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48625DF4"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0.25</w:t>
            </w:r>
          </w:p>
        </w:tc>
        <w:tc>
          <w:tcPr>
            <w:tcW w:w="1260" w:type="dxa"/>
            <w:vAlign w:val="center"/>
          </w:tcPr>
          <w:p w14:paraId="00BB4551" w14:textId="71B5A3F2" w:rsidR="009734AA" w:rsidRPr="005B2078" w:rsidRDefault="009734AA" w:rsidP="006B5173">
            <w:pPr>
              <w:spacing w:after="0" w:line="240" w:lineRule="auto"/>
              <w:jc w:val="center"/>
              <w:rPr>
                <w:color w:val="000000"/>
                <w:sz w:val="18"/>
                <w:szCs w:val="18"/>
              </w:rPr>
            </w:pPr>
            <w:r>
              <w:rPr>
                <w:color w:val="000000"/>
                <w:sz w:val="18"/>
                <w:szCs w:val="18"/>
              </w:rPr>
              <w:t>5,60</w:t>
            </w:r>
            <w:r w:rsidR="00C40411">
              <w:rPr>
                <w:color w:val="000000"/>
                <w:sz w:val="18"/>
                <w:szCs w:val="18"/>
              </w:rPr>
              <w:t>2</w:t>
            </w:r>
            <w:r w:rsidRPr="005B2078">
              <w:rPr>
                <w:color w:val="000000"/>
                <w:sz w:val="18"/>
                <w:szCs w:val="18"/>
              </w:rPr>
              <w:t>.</w:t>
            </w:r>
            <w:r w:rsidR="00C40411">
              <w:rPr>
                <w:color w:val="000000"/>
                <w:sz w:val="18"/>
                <w:szCs w:val="18"/>
              </w:rPr>
              <w:t>5</w:t>
            </w:r>
            <w:r w:rsidRPr="005B2078">
              <w:rPr>
                <w:color w:val="000000"/>
                <w:sz w:val="18"/>
                <w:szCs w:val="18"/>
              </w:rPr>
              <w:t>0</w:t>
            </w:r>
          </w:p>
        </w:tc>
        <w:tc>
          <w:tcPr>
            <w:tcW w:w="810" w:type="dxa"/>
            <w:vAlign w:val="center"/>
          </w:tcPr>
          <w:p w14:paraId="2B5EE894" w14:textId="59528F76"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730D396D" w14:textId="3FBF81B0" w:rsidR="009734AA" w:rsidRPr="005B2078" w:rsidRDefault="009734AA" w:rsidP="006B5173">
            <w:pPr>
              <w:spacing w:after="0" w:line="240" w:lineRule="auto"/>
              <w:jc w:val="right"/>
              <w:rPr>
                <w:color w:val="000000"/>
                <w:sz w:val="18"/>
                <w:szCs w:val="18"/>
              </w:rPr>
            </w:pPr>
            <w:r w:rsidRPr="005B2078">
              <w:rPr>
                <w:color w:val="000000"/>
                <w:sz w:val="18"/>
                <w:szCs w:val="18"/>
              </w:rPr>
              <w:t>$</w:t>
            </w:r>
            <w:r w:rsidR="00E06492">
              <w:rPr>
                <w:color w:val="000000"/>
                <w:sz w:val="18"/>
                <w:szCs w:val="18"/>
              </w:rPr>
              <w:t>112,050</w:t>
            </w:r>
            <w:r w:rsidRPr="005B2078">
              <w:rPr>
                <w:color w:val="000000"/>
                <w:sz w:val="18"/>
                <w:szCs w:val="18"/>
              </w:rPr>
              <w:t xml:space="preserve"> </w:t>
            </w:r>
          </w:p>
        </w:tc>
      </w:tr>
      <w:tr w:rsidR="009734AA" w:rsidRPr="005B2078" w14:paraId="470D6535" w14:textId="77777777" w:rsidTr="006B5173">
        <w:trPr>
          <w:trHeight w:val="292"/>
        </w:trPr>
        <w:tc>
          <w:tcPr>
            <w:tcW w:w="2723" w:type="dxa"/>
            <w:vAlign w:val="center"/>
          </w:tcPr>
          <w:p w14:paraId="6B01491F" w14:textId="59C272C8" w:rsidR="009734AA" w:rsidRPr="005B2078" w:rsidRDefault="009734AA" w:rsidP="006B5173">
            <w:pPr>
              <w:spacing w:after="0" w:line="240" w:lineRule="auto"/>
              <w:rPr>
                <w:sz w:val="18"/>
              </w:rPr>
            </w:pPr>
            <w:r w:rsidRPr="005B2078">
              <w:rPr>
                <w:sz w:val="18"/>
              </w:rPr>
              <w:t>HUD-</w:t>
            </w:r>
            <w:r w:rsidR="00C40411">
              <w:rPr>
                <w:sz w:val="18"/>
              </w:rPr>
              <w:t>90035</w:t>
            </w:r>
            <w:r w:rsidRPr="005B2078">
              <w:rPr>
                <w:sz w:val="18"/>
              </w:rPr>
              <w:t xml:space="preserve">, </w:t>
            </w:r>
            <w:r w:rsidR="00C40411">
              <w:rPr>
                <w:sz w:val="18"/>
              </w:rPr>
              <w:t xml:space="preserve">Information Sheet </w:t>
            </w:r>
            <w:r w:rsidR="00C40411" w:rsidRPr="005B2078">
              <w:rPr>
                <w:sz w:val="18"/>
              </w:rPr>
              <w:t>P</w:t>
            </w:r>
            <w:r w:rsidR="00C40411">
              <w:rPr>
                <w:sz w:val="18"/>
              </w:rPr>
              <w:t>FS</w:t>
            </w:r>
            <w:r w:rsidR="00C40411" w:rsidRPr="005B2078">
              <w:rPr>
                <w:sz w:val="18"/>
              </w:rPr>
              <w:t xml:space="preserve"> Procedure </w:t>
            </w:r>
            <w:r w:rsidRPr="005B2078">
              <w:rPr>
                <w:sz w:val="18"/>
              </w:rPr>
              <w:t xml:space="preserve"> </w:t>
            </w:r>
          </w:p>
        </w:tc>
        <w:tc>
          <w:tcPr>
            <w:tcW w:w="1229" w:type="dxa"/>
            <w:vAlign w:val="center"/>
          </w:tcPr>
          <w:p w14:paraId="2B5F13C3"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7985F016" w14:textId="1991FD34" w:rsidR="009734AA" w:rsidRPr="005B2078" w:rsidRDefault="00C40411" w:rsidP="006B5173">
            <w:pPr>
              <w:spacing w:after="0" w:line="240" w:lineRule="auto"/>
              <w:jc w:val="center"/>
              <w:rPr>
                <w:color w:val="000000"/>
                <w:sz w:val="18"/>
                <w:szCs w:val="18"/>
              </w:rPr>
            </w:pPr>
            <w:r>
              <w:rPr>
                <w:color w:val="000000"/>
                <w:sz w:val="18"/>
                <w:szCs w:val="18"/>
              </w:rPr>
              <w:t>73.48</w:t>
            </w:r>
          </w:p>
        </w:tc>
        <w:tc>
          <w:tcPr>
            <w:tcW w:w="1205" w:type="dxa"/>
            <w:vAlign w:val="center"/>
          </w:tcPr>
          <w:p w14:paraId="22586A70"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34F81AA3"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0.25</w:t>
            </w:r>
          </w:p>
        </w:tc>
        <w:tc>
          <w:tcPr>
            <w:tcW w:w="1260" w:type="dxa"/>
            <w:vAlign w:val="center"/>
          </w:tcPr>
          <w:p w14:paraId="2D22B1CA" w14:textId="76D8F95D" w:rsidR="009734AA" w:rsidRPr="005B2078" w:rsidRDefault="009734AA" w:rsidP="006B5173">
            <w:pPr>
              <w:spacing w:after="0" w:line="240" w:lineRule="auto"/>
              <w:jc w:val="center"/>
              <w:rPr>
                <w:color w:val="000000"/>
                <w:sz w:val="18"/>
                <w:szCs w:val="18"/>
              </w:rPr>
            </w:pPr>
            <w:r>
              <w:rPr>
                <w:color w:val="000000"/>
                <w:sz w:val="18"/>
                <w:szCs w:val="18"/>
              </w:rPr>
              <w:t>5,60</w:t>
            </w:r>
            <w:r w:rsidR="00F477F5">
              <w:rPr>
                <w:color w:val="000000"/>
                <w:sz w:val="18"/>
                <w:szCs w:val="18"/>
              </w:rPr>
              <w:t>2</w:t>
            </w:r>
            <w:r w:rsidRPr="005B2078">
              <w:rPr>
                <w:color w:val="000000"/>
                <w:sz w:val="18"/>
                <w:szCs w:val="18"/>
              </w:rPr>
              <w:t>.</w:t>
            </w:r>
            <w:r w:rsidR="00F477F5">
              <w:rPr>
                <w:color w:val="000000"/>
                <w:sz w:val="18"/>
                <w:szCs w:val="18"/>
              </w:rPr>
              <w:t>5</w:t>
            </w:r>
            <w:r w:rsidRPr="005B2078">
              <w:rPr>
                <w:color w:val="000000"/>
                <w:sz w:val="18"/>
                <w:szCs w:val="18"/>
              </w:rPr>
              <w:t>0</w:t>
            </w:r>
          </w:p>
        </w:tc>
        <w:tc>
          <w:tcPr>
            <w:tcW w:w="810" w:type="dxa"/>
            <w:vAlign w:val="center"/>
          </w:tcPr>
          <w:p w14:paraId="270B4C4E" w14:textId="699E963E"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777B0F78" w14:textId="7F05C8B0" w:rsidR="009734AA" w:rsidRPr="005B2078" w:rsidRDefault="009734AA" w:rsidP="006B5173">
            <w:pPr>
              <w:spacing w:after="0" w:line="240" w:lineRule="auto"/>
              <w:jc w:val="right"/>
              <w:rPr>
                <w:color w:val="000000"/>
                <w:sz w:val="18"/>
                <w:szCs w:val="18"/>
              </w:rPr>
            </w:pPr>
            <w:r w:rsidRPr="005B2078">
              <w:rPr>
                <w:color w:val="000000"/>
                <w:sz w:val="18"/>
                <w:szCs w:val="18"/>
              </w:rPr>
              <w:t>$</w:t>
            </w:r>
            <w:r w:rsidR="00F477F5">
              <w:rPr>
                <w:color w:val="000000"/>
                <w:sz w:val="18"/>
                <w:szCs w:val="18"/>
              </w:rPr>
              <w:t>112,050</w:t>
            </w:r>
            <w:r w:rsidRPr="005B2078">
              <w:rPr>
                <w:color w:val="000000"/>
                <w:sz w:val="18"/>
                <w:szCs w:val="18"/>
              </w:rPr>
              <w:t xml:space="preserve"> </w:t>
            </w:r>
          </w:p>
        </w:tc>
      </w:tr>
      <w:tr w:rsidR="009734AA" w:rsidRPr="005B2078" w14:paraId="283E0B03" w14:textId="77777777" w:rsidTr="006B5173">
        <w:trPr>
          <w:trHeight w:val="292"/>
        </w:trPr>
        <w:tc>
          <w:tcPr>
            <w:tcW w:w="2723" w:type="dxa"/>
            <w:vAlign w:val="center"/>
          </w:tcPr>
          <w:p w14:paraId="67F06A68" w14:textId="77777777" w:rsidR="009734AA" w:rsidRPr="005B2078" w:rsidRDefault="009734AA" w:rsidP="006B5173">
            <w:pPr>
              <w:spacing w:after="0" w:line="240" w:lineRule="auto"/>
              <w:rPr>
                <w:sz w:val="18"/>
              </w:rPr>
            </w:pPr>
            <w:r w:rsidRPr="005B2078">
              <w:rPr>
                <w:sz w:val="18"/>
              </w:rPr>
              <w:t>Request for Financial Information</w:t>
            </w:r>
          </w:p>
        </w:tc>
        <w:tc>
          <w:tcPr>
            <w:tcW w:w="1229" w:type="dxa"/>
            <w:vAlign w:val="center"/>
          </w:tcPr>
          <w:p w14:paraId="0D2F14EA"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62421585" w14:textId="7241EB3F" w:rsidR="009734AA" w:rsidRPr="005B2078" w:rsidRDefault="00C40411" w:rsidP="006B5173">
            <w:pPr>
              <w:spacing w:after="0" w:line="240" w:lineRule="auto"/>
              <w:jc w:val="center"/>
              <w:rPr>
                <w:color w:val="000000"/>
                <w:sz w:val="18"/>
                <w:szCs w:val="18"/>
              </w:rPr>
            </w:pPr>
            <w:r>
              <w:rPr>
                <w:color w:val="000000"/>
                <w:sz w:val="18"/>
                <w:szCs w:val="18"/>
              </w:rPr>
              <w:t>73.48</w:t>
            </w:r>
          </w:p>
        </w:tc>
        <w:tc>
          <w:tcPr>
            <w:tcW w:w="1205" w:type="dxa"/>
            <w:vAlign w:val="center"/>
          </w:tcPr>
          <w:p w14:paraId="1C407838"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7050BB35"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0.25</w:t>
            </w:r>
          </w:p>
        </w:tc>
        <w:tc>
          <w:tcPr>
            <w:tcW w:w="1260" w:type="dxa"/>
            <w:vAlign w:val="center"/>
          </w:tcPr>
          <w:p w14:paraId="642AC94D" w14:textId="0185671E" w:rsidR="009734AA" w:rsidRPr="005B2078" w:rsidRDefault="009734AA" w:rsidP="006B5173">
            <w:pPr>
              <w:spacing w:after="0" w:line="240" w:lineRule="auto"/>
              <w:jc w:val="center"/>
              <w:rPr>
                <w:color w:val="000000"/>
                <w:sz w:val="18"/>
                <w:szCs w:val="18"/>
              </w:rPr>
            </w:pPr>
            <w:r>
              <w:rPr>
                <w:color w:val="000000"/>
                <w:sz w:val="18"/>
                <w:szCs w:val="18"/>
              </w:rPr>
              <w:t>5,60</w:t>
            </w:r>
            <w:r w:rsidR="00F477F5">
              <w:rPr>
                <w:color w:val="000000"/>
                <w:sz w:val="18"/>
                <w:szCs w:val="18"/>
              </w:rPr>
              <w:t>2</w:t>
            </w:r>
            <w:r w:rsidRPr="005B2078">
              <w:rPr>
                <w:color w:val="000000"/>
                <w:sz w:val="18"/>
                <w:szCs w:val="18"/>
              </w:rPr>
              <w:t>.</w:t>
            </w:r>
            <w:r w:rsidR="00F477F5">
              <w:rPr>
                <w:color w:val="000000"/>
                <w:sz w:val="18"/>
                <w:szCs w:val="18"/>
              </w:rPr>
              <w:t>5</w:t>
            </w:r>
            <w:r w:rsidRPr="005B2078">
              <w:rPr>
                <w:color w:val="000000"/>
                <w:sz w:val="18"/>
                <w:szCs w:val="18"/>
              </w:rPr>
              <w:t>0</w:t>
            </w:r>
          </w:p>
        </w:tc>
        <w:tc>
          <w:tcPr>
            <w:tcW w:w="810" w:type="dxa"/>
            <w:vAlign w:val="center"/>
          </w:tcPr>
          <w:p w14:paraId="58798249" w14:textId="1E28332E"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48881943" w14:textId="0E1C8D57" w:rsidR="009734AA" w:rsidRPr="005B2078" w:rsidRDefault="009734AA" w:rsidP="006B5173">
            <w:pPr>
              <w:spacing w:after="0" w:line="240" w:lineRule="auto"/>
              <w:jc w:val="right"/>
              <w:rPr>
                <w:color w:val="000000"/>
                <w:sz w:val="18"/>
                <w:szCs w:val="18"/>
              </w:rPr>
            </w:pPr>
            <w:r w:rsidRPr="005B2078">
              <w:rPr>
                <w:color w:val="000000"/>
                <w:sz w:val="18"/>
                <w:szCs w:val="18"/>
              </w:rPr>
              <w:t>$</w:t>
            </w:r>
            <w:r w:rsidR="00F477F5">
              <w:rPr>
                <w:color w:val="000000"/>
                <w:sz w:val="18"/>
                <w:szCs w:val="18"/>
              </w:rPr>
              <w:t>112,050</w:t>
            </w:r>
            <w:r w:rsidRPr="005B2078">
              <w:rPr>
                <w:color w:val="000000"/>
                <w:sz w:val="18"/>
                <w:szCs w:val="18"/>
              </w:rPr>
              <w:t xml:space="preserve"> </w:t>
            </w:r>
          </w:p>
        </w:tc>
      </w:tr>
      <w:tr w:rsidR="009734AA" w:rsidRPr="005B2078" w14:paraId="473B406F" w14:textId="77777777" w:rsidTr="006B5173">
        <w:trPr>
          <w:trHeight w:val="292"/>
        </w:trPr>
        <w:tc>
          <w:tcPr>
            <w:tcW w:w="2723" w:type="dxa"/>
            <w:vAlign w:val="center"/>
          </w:tcPr>
          <w:p w14:paraId="6F394C9A" w14:textId="6B49A271" w:rsidR="009734AA" w:rsidRPr="005B2078" w:rsidRDefault="009734AA" w:rsidP="006B5173">
            <w:pPr>
              <w:spacing w:after="0" w:line="240" w:lineRule="auto"/>
              <w:rPr>
                <w:sz w:val="18"/>
              </w:rPr>
            </w:pPr>
            <w:r w:rsidRPr="005B2078">
              <w:rPr>
                <w:sz w:val="18"/>
              </w:rPr>
              <w:t>HUD-9004</w:t>
            </w:r>
            <w:r w:rsidR="00E06492">
              <w:rPr>
                <w:sz w:val="18"/>
              </w:rPr>
              <w:t>1</w:t>
            </w:r>
            <w:r w:rsidRPr="005B2078">
              <w:rPr>
                <w:sz w:val="18"/>
              </w:rPr>
              <w:t xml:space="preserve"> </w:t>
            </w:r>
            <w:r w:rsidR="00E06492" w:rsidRPr="005B2078">
              <w:rPr>
                <w:sz w:val="18"/>
              </w:rPr>
              <w:t>Request for Variance</w:t>
            </w:r>
            <w:r w:rsidR="00E06492">
              <w:rPr>
                <w:sz w:val="18"/>
              </w:rPr>
              <w:t xml:space="preserve"> PFS Procedure</w:t>
            </w:r>
          </w:p>
        </w:tc>
        <w:tc>
          <w:tcPr>
            <w:tcW w:w="1229" w:type="dxa"/>
            <w:vAlign w:val="center"/>
          </w:tcPr>
          <w:p w14:paraId="043C99F9"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23EB99D5" w14:textId="73B88832" w:rsidR="009734AA" w:rsidRPr="005B2078" w:rsidRDefault="00F477F5" w:rsidP="006B5173">
            <w:pPr>
              <w:spacing w:after="0" w:line="240" w:lineRule="auto"/>
              <w:jc w:val="center"/>
              <w:rPr>
                <w:color w:val="000000"/>
                <w:sz w:val="18"/>
                <w:szCs w:val="18"/>
              </w:rPr>
            </w:pPr>
            <w:r>
              <w:rPr>
                <w:color w:val="000000"/>
                <w:sz w:val="18"/>
                <w:szCs w:val="18"/>
              </w:rPr>
              <w:t>7.26</w:t>
            </w:r>
          </w:p>
        </w:tc>
        <w:tc>
          <w:tcPr>
            <w:tcW w:w="1205" w:type="dxa"/>
            <w:vAlign w:val="center"/>
          </w:tcPr>
          <w:p w14:paraId="207958F2" w14:textId="3EF45E13" w:rsidR="009734AA" w:rsidRPr="005B2078" w:rsidRDefault="009734AA" w:rsidP="006B5173">
            <w:pPr>
              <w:spacing w:after="0" w:line="240" w:lineRule="auto"/>
              <w:jc w:val="center"/>
              <w:rPr>
                <w:color w:val="000000"/>
                <w:sz w:val="18"/>
                <w:szCs w:val="18"/>
              </w:rPr>
            </w:pPr>
            <w:r>
              <w:rPr>
                <w:color w:val="000000"/>
                <w:sz w:val="18"/>
                <w:szCs w:val="18"/>
              </w:rPr>
              <w:t>2</w:t>
            </w:r>
            <w:r w:rsidRPr="005B2078">
              <w:rPr>
                <w:color w:val="000000"/>
                <w:sz w:val="18"/>
                <w:szCs w:val="18"/>
              </w:rPr>
              <w:t>,</w:t>
            </w:r>
            <w:r w:rsidR="00F477F5">
              <w:rPr>
                <w:color w:val="000000"/>
                <w:sz w:val="18"/>
                <w:szCs w:val="18"/>
              </w:rPr>
              <w:t>21</w:t>
            </w:r>
            <w:r>
              <w:rPr>
                <w:color w:val="000000"/>
                <w:sz w:val="18"/>
                <w:szCs w:val="18"/>
              </w:rPr>
              <w:t>4</w:t>
            </w:r>
          </w:p>
        </w:tc>
        <w:tc>
          <w:tcPr>
            <w:tcW w:w="775" w:type="dxa"/>
            <w:vAlign w:val="center"/>
          </w:tcPr>
          <w:p w14:paraId="6A560A36" w14:textId="3F7B2C74" w:rsidR="009734AA" w:rsidRPr="005B2078" w:rsidRDefault="009734AA" w:rsidP="006B5173">
            <w:pPr>
              <w:spacing w:after="0" w:line="240" w:lineRule="auto"/>
              <w:ind w:right="141"/>
              <w:jc w:val="center"/>
              <w:rPr>
                <w:color w:val="000000"/>
                <w:sz w:val="18"/>
                <w:szCs w:val="18"/>
              </w:rPr>
            </w:pPr>
            <w:r w:rsidRPr="005B2078">
              <w:rPr>
                <w:color w:val="000000"/>
                <w:sz w:val="18"/>
              </w:rPr>
              <w:t>0.</w:t>
            </w:r>
            <w:r w:rsidR="00F477F5">
              <w:rPr>
                <w:color w:val="000000"/>
                <w:sz w:val="18"/>
              </w:rPr>
              <w:t>2</w:t>
            </w:r>
            <w:r w:rsidRPr="005B2078">
              <w:rPr>
                <w:color w:val="000000"/>
                <w:sz w:val="18"/>
              </w:rPr>
              <w:t>5</w:t>
            </w:r>
          </w:p>
        </w:tc>
        <w:tc>
          <w:tcPr>
            <w:tcW w:w="1260" w:type="dxa"/>
            <w:vAlign w:val="center"/>
          </w:tcPr>
          <w:p w14:paraId="01D2B2B5" w14:textId="27307633" w:rsidR="009734AA" w:rsidRPr="005B2078" w:rsidRDefault="00F477F5" w:rsidP="006B5173">
            <w:pPr>
              <w:spacing w:after="0" w:line="240" w:lineRule="auto"/>
              <w:jc w:val="center"/>
              <w:rPr>
                <w:color w:val="000000"/>
                <w:sz w:val="18"/>
                <w:szCs w:val="18"/>
              </w:rPr>
            </w:pPr>
            <w:r>
              <w:rPr>
                <w:color w:val="000000"/>
                <w:sz w:val="18"/>
                <w:szCs w:val="18"/>
              </w:rPr>
              <w:t>553</w:t>
            </w:r>
            <w:r w:rsidR="009734AA" w:rsidRPr="005B2078">
              <w:rPr>
                <w:color w:val="000000"/>
                <w:sz w:val="18"/>
                <w:szCs w:val="18"/>
              </w:rPr>
              <w:t>.</w:t>
            </w:r>
            <w:r>
              <w:rPr>
                <w:color w:val="000000"/>
                <w:sz w:val="18"/>
                <w:szCs w:val="18"/>
              </w:rPr>
              <w:t>5</w:t>
            </w:r>
            <w:r w:rsidR="009734AA" w:rsidRPr="005B2078">
              <w:rPr>
                <w:color w:val="000000"/>
                <w:sz w:val="18"/>
                <w:szCs w:val="18"/>
              </w:rPr>
              <w:t>0</w:t>
            </w:r>
          </w:p>
        </w:tc>
        <w:tc>
          <w:tcPr>
            <w:tcW w:w="810" w:type="dxa"/>
            <w:vAlign w:val="center"/>
          </w:tcPr>
          <w:p w14:paraId="0B1E6B40" w14:textId="1EE68834"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29053126" w14:textId="0E39B469" w:rsidR="009734AA" w:rsidRPr="005B2078" w:rsidRDefault="009734AA" w:rsidP="006B5173">
            <w:pPr>
              <w:spacing w:after="0" w:line="240" w:lineRule="auto"/>
              <w:jc w:val="right"/>
              <w:rPr>
                <w:color w:val="000000"/>
                <w:sz w:val="18"/>
                <w:szCs w:val="18"/>
              </w:rPr>
            </w:pPr>
            <w:r w:rsidRPr="005B2078">
              <w:rPr>
                <w:color w:val="000000"/>
                <w:sz w:val="18"/>
                <w:szCs w:val="18"/>
              </w:rPr>
              <w:t>$1</w:t>
            </w:r>
            <w:r w:rsidR="00F477F5">
              <w:rPr>
                <w:color w:val="000000"/>
                <w:sz w:val="18"/>
                <w:szCs w:val="18"/>
              </w:rPr>
              <w:t>1,070</w:t>
            </w:r>
          </w:p>
        </w:tc>
      </w:tr>
      <w:tr w:rsidR="009734AA" w:rsidRPr="005B2078" w14:paraId="528B72FF" w14:textId="77777777" w:rsidTr="006B5173">
        <w:trPr>
          <w:trHeight w:val="301"/>
        </w:trPr>
        <w:tc>
          <w:tcPr>
            <w:tcW w:w="2723" w:type="dxa"/>
            <w:vAlign w:val="center"/>
          </w:tcPr>
          <w:p w14:paraId="4723B169" w14:textId="77777777" w:rsidR="009734AA" w:rsidRPr="005B2078" w:rsidRDefault="009734AA" w:rsidP="006B5173">
            <w:pPr>
              <w:spacing w:after="0" w:line="240" w:lineRule="auto"/>
              <w:rPr>
                <w:sz w:val="18"/>
              </w:rPr>
            </w:pPr>
            <w:r w:rsidRPr="005B2078">
              <w:rPr>
                <w:sz w:val="18"/>
              </w:rPr>
              <w:t>PFS Denial</w:t>
            </w:r>
          </w:p>
        </w:tc>
        <w:tc>
          <w:tcPr>
            <w:tcW w:w="1229" w:type="dxa"/>
            <w:vAlign w:val="center"/>
          </w:tcPr>
          <w:p w14:paraId="3F59EB73"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77AA809A" w14:textId="0C211AC2" w:rsidR="009734AA" w:rsidRPr="005B2078" w:rsidRDefault="00C40411" w:rsidP="006B5173">
            <w:pPr>
              <w:spacing w:after="0" w:line="240" w:lineRule="auto"/>
              <w:jc w:val="center"/>
              <w:rPr>
                <w:color w:val="000000"/>
                <w:sz w:val="18"/>
                <w:szCs w:val="18"/>
              </w:rPr>
            </w:pPr>
            <w:r>
              <w:rPr>
                <w:color w:val="000000"/>
                <w:sz w:val="18"/>
                <w:szCs w:val="18"/>
              </w:rPr>
              <w:t>3.6</w:t>
            </w:r>
            <w:r w:rsidR="00F477F5">
              <w:rPr>
                <w:color w:val="000000"/>
                <w:sz w:val="18"/>
                <w:szCs w:val="18"/>
              </w:rPr>
              <w:t>7</w:t>
            </w:r>
          </w:p>
        </w:tc>
        <w:tc>
          <w:tcPr>
            <w:tcW w:w="1205" w:type="dxa"/>
            <w:vAlign w:val="center"/>
          </w:tcPr>
          <w:p w14:paraId="63148E60" w14:textId="77777777" w:rsidR="009734AA" w:rsidRPr="005B2078" w:rsidRDefault="009734AA" w:rsidP="006B5173">
            <w:pPr>
              <w:spacing w:after="0" w:line="240" w:lineRule="auto"/>
              <w:jc w:val="center"/>
              <w:rPr>
                <w:color w:val="000000"/>
                <w:sz w:val="18"/>
                <w:szCs w:val="18"/>
              </w:rPr>
            </w:pPr>
            <w:r w:rsidRPr="005B2078">
              <w:rPr>
                <w:color w:val="000000"/>
                <w:sz w:val="18"/>
              </w:rPr>
              <w:t>1,</w:t>
            </w:r>
            <w:r>
              <w:rPr>
                <w:color w:val="000000"/>
                <w:sz w:val="18"/>
              </w:rPr>
              <w:t>120</w:t>
            </w:r>
          </w:p>
        </w:tc>
        <w:tc>
          <w:tcPr>
            <w:tcW w:w="775" w:type="dxa"/>
            <w:vAlign w:val="center"/>
          </w:tcPr>
          <w:p w14:paraId="26A6F196"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0.25</w:t>
            </w:r>
          </w:p>
        </w:tc>
        <w:tc>
          <w:tcPr>
            <w:tcW w:w="1260" w:type="dxa"/>
            <w:vAlign w:val="center"/>
          </w:tcPr>
          <w:p w14:paraId="6D8ED2DE" w14:textId="77777777" w:rsidR="009734AA" w:rsidRPr="005B2078" w:rsidRDefault="009734AA" w:rsidP="006B5173">
            <w:pPr>
              <w:spacing w:after="0" w:line="240" w:lineRule="auto"/>
              <w:jc w:val="center"/>
              <w:rPr>
                <w:color w:val="000000"/>
                <w:sz w:val="18"/>
                <w:szCs w:val="18"/>
              </w:rPr>
            </w:pPr>
            <w:r>
              <w:rPr>
                <w:color w:val="000000"/>
                <w:sz w:val="18"/>
                <w:szCs w:val="18"/>
              </w:rPr>
              <w:t>280</w:t>
            </w:r>
            <w:r w:rsidRPr="005B2078">
              <w:rPr>
                <w:color w:val="000000"/>
                <w:sz w:val="18"/>
                <w:szCs w:val="18"/>
              </w:rPr>
              <w:t>.00</w:t>
            </w:r>
          </w:p>
        </w:tc>
        <w:tc>
          <w:tcPr>
            <w:tcW w:w="810" w:type="dxa"/>
            <w:vAlign w:val="center"/>
          </w:tcPr>
          <w:p w14:paraId="1B3C8483" w14:textId="6284A9F6"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7BB464C9" w14:textId="7A9EC5DA" w:rsidR="009734AA" w:rsidRPr="005B2078" w:rsidRDefault="009734AA" w:rsidP="006B5173">
            <w:pPr>
              <w:spacing w:after="0" w:line="240" w:lineRule="auto"/>
              <w:jc w:val="right"/>
              <w:rPr>
                <w:color w:val="000000"/>
                <w:sz w:val="18"/>
                <w:szCs w:val="18"/>
              </w:rPr>
            </w:pPr>
            <w:r w:rsidRPr="005B2078">
              <w:rPr>
                <w:color w:val="000000"/>
                <w:sz w:val="18"/>
                <w:szCs w:val="18"/>
              </w:rPr>
              <w:t>$</w:t>
            </w:r>
            <w:r w:rsidR="00F477F5">
              <w:rPr>
                <w:color w:val="000000"/>
                <w:sz w:val="18"/>
                <w:szCs w:val="18"/>
              </w:rPr>
              <w:t>5</w:t>
            </w:r>
            <w:r w:rsidRPr="005B2078">
              <w:rPr>
                <w:color w:val="000000"/>
                <w:sz w:val="18"/>
                <w:szCs w:val="18"/>
              </w:rPr>
              <w:t>,</w:t>
            </w:r>
            <w:r w:rsidR="00F477F5">
              <w:rPr>
                <w:color w:val="000000"/>
                <w:sz w:val="18"/>
                <w:szCs w:val="18"/>
              </w:rPr>
              <w:t>6</w:t>
            </w:r>
            <w:r>
              <w:rPr>
                <w:color w:val="000000"/>
                <w:sz w:val="18"/>
                <w:szCs w:val="18"/>
              </w:rPr>
              <w:t>00</w:t>
            </w:r>
            <w:r w:rsidRPr="005B2078">
              <w:rPr>
                <w:color w:val="000000"/>
                <w:sz w:val="18"/>
                <w:szCs w:val="18"/>
              </w:rPr>
              <w:t xml:space="preserve"> </w:t>
            </w:r>
          </w:p>
        </w:tc>
      </w:tr>
      <w:tr w:rsidR="009734AA" w:rsidRPr="005B2078" w14:paraId="6C3F0A14" w14:textId="77777777" w:rsidTr="006B5173">
        <w:trPr>
          <w:trHeight w:val="301"/>
        </w:trPr>
        <w:tc>
          <w:tcPr>
            <w:tcW w:w="2723" w:type="dxa"/>
            <w:vAlign w:val="center"/>
          </w:tcPr>
          <w:p w14:paraId="4AC783C4" w14:textId="58207B68" w:rsidR="009734AA" w:rsidRPr="005B2078" w:rsidRDefault="009734AA" w:rsidP="006B5173">
            <w:pPr>
              <w:spacing w:after="0" w:line="240" w:lineRule="auto"/>
              <w:rPr>
                <w:sz w:val="18"/>
              </w:rPr>
            </w:pPr>
            <w:r w:rsidRPr="005B2078">
              <w:rPr>
                <w:sz w:val="18"/>
              </w:rPr>
              <w:t>HUD-9004</w:t>
            </w:r>
            <w:r w:rsidR="00E06492">
              <w:rPr>
                <w:sz w:val="18"/>
              </w:rPr>
              <w:t>5</w:t>
            </w:r>
            <w:r w:rsidR="00C40411">
              <w:t xml:space="preserve"> </w:t>
            </w:r>
            <w:r w:rsidR="00C40411" w:rsidRPr="00C40411">
              <w:rPr>
                <w:sz w:val="18"/>
              </w:rPr>
              <w:t>Approval to Participate</w:t>
            </w:r>
            <w:r w:rsidR="00E06492">
              <w:rPr>
                <w:sz w:val="18"/>
              </w:rPr>
              <w:t xml:space="preserve"> Property Sales Information Property Occupancy and Maintenance PFS Procedure</w:t>
            </w:r>
          </w:p>
        </w:tc>
        <w:tc>
          <w:tcPr>
            <w:tcW w:w="1229" w:type="dxa"/>
            <w:vAlign w:val="center"/>
          </w:tcPr>
          <w:p w14:paraId="6316DBF4"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7F01131A" w14:textId="1268F03D" w:rsidR="009734AA" w:rsidRPr="005B2078" w:rsidRDefault="009734AA" w:rsidP="006B5173">
            <w:pPr>
              <w:spacing w:after="0" w:line="240" w:lineRule="auto"/>
              <w:jc w:val="center"/>
              <w:rPr>
                <w:color w:val="000000"/>
                <w:sz w:val="18"/>
                <w:szCs w:val="18"/>
              </w:rPr>
            </w:pPr>
            <w:r>
              <w:rPr>
                <w:color w:val="000000"/>
                <w:sz w:val="18"/>
                <w:szCs w:val="18"/>
              </w:rPr>
              <w:t>7</w:t>
            </w:r>
            <w:r w:rsidR="00F477F5">
              <w:rPr>
                <w:color w:val="000000"/>
                <w:sz w:val="18"/>
                <w:szCs w:val="18"/>
              </w:rPr>
              <w:t>3.48</w:t>
            </w:r>
          </w:p>
        </w:tc>
        <w:tc>
          <w:tcPr>
            <w:tcW w:w="1205" w:type="dxa"/>
            <w:vAlign w:val="center"/>
          </w:tcPr>
          <w:p w14:paraId="6746C920" w14:textId="36DA8356" w:rsidR="009734AA" w:rsidRPr="005B2078" w:rsidRDefault="00F477F5" w:rsidP="006B5173">
            <w:pPr>
              <w:spacing w:after="0" w:line="240" w:lineRule="auto"/>
              <w:jc w:val="center"/>
              <w:rPr>
                <w:color w:val="000000"/>
                <w:sz w:val="18"/>
                <w:szCs w:val="18"/>
              </w:rPr>
            </w:pPr>
            <w:r>
              <w:rPr>
                <w:color w:val="000000"/>
                <w:sz w:val="18"/>
              </w:rPr>
              <w:t>22,410</w:t>
            </w:r>
          </w:p>
        </w:tc>
        <w:tc>
          <w:tcPr>
            <w:tcW w:w="775" w:type="dxa"/>
            <w:vAlign w:val="center"/>
          </w:tcPr>
          <w:p w14:paraId="219EB40F" w14:textId="16510876" w:rsidR="009734AA" w:rsidRPr="005B2078" w:rsidRDefault="00487D52" w:rsidP="006B5173">
            <w:pPr>
              <w:spacing w:after="0" w:line="240" w:lineRule="auto"/>
              <w:ind w:right="141"/>
              <w:jc w:val="center"/>
              <w:rPr>
                <w:color w:val="000000"/>
                <w:sz w:val="18"/>
                <w:szCs w:val="18"/>
              </w:rPr>
            </w:pPr>
            <w:r>
              <w:rPr>
                <w:color w:val="000000"/>
                <w:sz w:val="18"/>
              </w:rPr>
              <w:t>0</w:t>
            </w:r>
            <w:r w:rsidR="00F477F5">
              <w:rPr>
                <w:color w:val="000000"/>
                <w:sz w:val="18"/>
              </w:rPr>
              <w:t>.</w:t>
            </w:r>
            <w:r w:rsidR="0066675C">
              <w:rPr>
                <w:color w:val="000000"/>
                <w:sz w:val="18"/>
              </w:rPr>
              <w:t>1</w:t>
            </w:r>
            <w:r w:rsidR="00F477F5">
              <w:rPr>
                <w:color w:val="000000"/>
                <w:sz w:val="18"/>
              </w:rPr>
              <w:t>5</w:t>
            </w:r>
          </w:p>
        </w:tc>
        <w:tc>
          <w:tcPr>
            <w:tcW w:w="1260" w:type="dxa"/>
            <w:vAlign w:val="center"/>
          </w:tcPr>
          <w:p w14:paraId="606E5859" w14:textId="03801312" w:rsidR="009734AA" w:rsidRPr="005B2078" w:rsidRDefault="0066675C" w:rsidP="006B5173">
            <w:pPr>
              <w:spacing w:after="0" w:line="240" w:lineRule="auto"/>
              <w:jc w:val="center"/>
              <w:rPr>
                <w:color w:val="000000"/>
                <w:sz w:val="18"/>
                <w:szCs w:val="18"/>
              </w:rPr>
            </w:pPr>
            <w:r>
              <w:rPr>
                <w:color w:val="000000"/>
                <w:sz w:val="18"/>
                <w:szCs w:val="18"/>
              </w:rPr>
              <w:t>3</w:t>
            </w:r>
            <w:r w:rsidR="00793C71">
              <w:rPr>
                <w:color w:val="000000"/>
                <w:sz w:val="18"/>
                <w:szCs w:val="18"/>
              </w:rPr>
              <w:t>,</w:t>
            </w:r>
            <w:r>
              <w:rPr>
                <w:color w:val="000000"/>
                <w:sz w:val="18"/>
                <w:szCs w:val="18"/>
              </w:rPr>
              <w:t>361.50</w:t>
            </w:r>
          </w:p>
        </w:tc>
        <w:tc>
          <w:tcPr>
            <w:tcW w:w="810" w:type="dxa"/>
            <w:vAlign w:val="center"/>
          </w:tcPr>
          <w:p w14:paraId="04403151" w14:textId="31D5F8CE"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2DB0A1E1" w14:textId="63685781" w:rsidR="009734AA" w:rsidRPr="005B2078" w:rsidRDefault="00793C71" w:rsidP="006B5173">
            <w:pPr>
              <w:spacing w:after="0" w:line="240" w:lineRule="auto"/>
              <w:jc w:val="right"/>
              <w:rPr>
                <w:color w:val="000000"/>
                <w:sz w:val="18"/>
                <w:szCs w:val="18"/>
              </w:rPr>
            </w:pPr>
            <w:r>
              <w:rPr>
                <w:color w:val="000000"/>
                <w:sz w:val="18"/>
                <w:szCs w:val="18"/>
              </w:rPr>
              <w:t>$</w:t>
            </w:r>
            <w:r w:rsidR="0066675C">
              <w:rPr>
                <w:color w:val="000000"/>
                <w:sz w:val="18"/>
                <w:szCs w:val="18"/>
              </w:rPr>
              <w:t>67,230</w:t>
            </w:r>
          </w:p>
        </w:tc>
      </w:tr>
      <w:tr w:rsidR="009734AA" w:rsidRPr="005B2078" w14:paraId="19CE2A28" w14:textId="77777777" w:rsidTr="006B5173">
        <w:trPr>
          <w:trHeight w:val="301"/>
        </w:trPr>
        <w:tc>
          <w:tcPr>
            <w:tcW w:w="2723" w:type="dxa"/>
            <w:vAlign w:val="center"/>
          </w:tcPr>
          <w:p w14:paraId="49729D32" w14:textId="1646703C" w:rsidR="009734AA" w:rsidRPr="005B2078" w:rsidRDefault="009734AA" w:rsidP="006B5173">
            <w:pPr>
              <w:spacing w:after="0" w:line="240" w:lineRule="auto"/>
              <w:rPr>
                <w:sz w:val="18"/>
              </w:rPr>
            </w:pPr>
            <w:r w:rsidRPr="005B2078">
              <w:rPr>
                <w:sz w:val="18"/>
              </w:rPr>
              <w:t>HUD-90051 Sale Contract Review</w:t>
            </w:r>
            <w:r w:rsidR="00E06492">
              <w:rPr>
                <w:sz w:val="18"/>
              </w:rPr>
              <w:t xml:space="preserve"> PFS Procedure</w:t>
            </w:r>
          </w:p>
        </w:tc>
        <w:tc>
          <w:tcPr>
            <w:tcW w:w="1229" w:type="dxa"/>
            <w:vAlign w:val="center"/>
          </w:tcPr>
          <w:p w14:paraId="4D0571C9"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64EB1810" w14:textId="782734E0" w:rsidR="009734AA" w:rsidRPr="005B2078" w:rsidRDefault="00C40411" w:rsidP="006B5173">
            <w:pPr>
              <w:spacing w:after="0" w:line="240" w:lineRule="auto"/>
              <w:jc w:val="center"/>
              <w:rPr>
                <w:color w:val="000000"/>
                <w:sz w:val="18"/>
                <w:szCs w:val="18"/>
              </w:rPr>
            </w:pPr>
            <w:r>
              <w:rPr>
                <w:color w:val="000000"/>
                <w:sz w:val="18"/>
                <w:szCs w:val="18"/>
              </w:rPr>
              <w:t>73.48</w:t>
            </w:r>
          </w:p>
        </w:tc>
        <w:tc>
          <w:tcPr>
            <w:tcW w:w="1205" w:type="dxa"/>
            <w:vAlign w:val="center"/>
          </w:tcPr>
          <w:p w14:paraId="2A071B2B"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6DAA1609"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0.25</w:t>
            </w:r>
          </w:p>
        </w:tc>
        <w:tc>
          <w:tcPr>
            <w:tcW w:w="1260" w:type="dxa"/>
            <w:vAlign w:val="center"/>
          </w:tcPr>
          <w:p w14:paraId="311C5A2C" w14:textId="779A5EBC" w:rsidR="009734AA" w:rsidRPr="005B2078" w:rsidRDefault="009734AA" w:rsidP="006B5173">
            <w:pPr>
              <w:spacing w:after="0" w:line="240" w:lineRule="auto"/>
              <w:jc w:val="center"/>
              <w:rPr>
                <w:color w:val="000000"/>
                <w:sz w:val="18"/>
                <w:szCs w:val="18"/>
              </w:rPr>
            </w:pPr>
            <w:r>
              <w:rPr>
                <w:color w:val="000000"/>
                <w:sz w:val="18"/>
                <w:szCs w:val="18"/>
              </w:rPr>
              <w:t>5,60</w:t>
            </w:r>
            <w:r w:rsidR="00F477F5">
              <w:rPr>
                <w:color w:val="000000"/>
                <w:sz w:val="18"/>
                <w:szCs w:val="18"/>
              </w:rPr>
              <w:t>2</w:t>
            </w:r>
            <w:r w:rsidRPr="005B2078">
              <w:rPr>
                <w:color w:val="000000"/>
                <w:sz w:val="18"/>
                <w:szCs w:val="18"/>
              </w:rPr>
              <w:t>.</w:t>
            </w:r>
            <w:r w:rsidR="00F477F5">
              <w:rPr>
                <w:color w:val="000000"/>
                <w:sz w:val="18"/>
                <w:szCs w:val="18"/>
              </w:rPr>
              <w:t>5</w:t>
            </w:r>
            <w:r w:rsidRPr="005B2078">
              <w:rPr>
                <w:color w:val="000000"/>
                <w:sz w:val="18"/>
                <w:szCs w:val="18"/>
              </w:rPr>
              <w:t>0</w:t>
            </w:r>
          </w:p>
        </w:tc>
        <w:tc>
          <w:tcPr>
            <w:tcW w:w="810" w:type="dxa"/>
            <w:vAlign w:val="center"/>
          </w:tcPr>
          <w:p w14:paraId="27BC0A0D" w14:textId="610CD452"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73DA53CF" w14:textId="2566573A" w:rsidR="009734AA" w:rsidRPr="005B2078" w:rsidRDefault="009734AA" w:rsidP="006B5173">
            <w:pPr>
              <w:spacing w:after="0" w:line="240" w:lineRule="auto"/>
              <w:jc w:val="right"/>
              <w:rPr>
                <w:color w:val="000000"/>
                <w:sz w:val="18"/>
                <w:szCs w:val="18"/>
              </w:rPr>
            </w:pPr>
            <w:r w:rsidRPr="005B2078">
              <w:rPr>
                <w:color w:val="000000"/>
                <w:sz w:val="18"/>
                <w:szCs w:val="18"/>
              </w:rPr>
              <w:t>$</w:t>
            </w:r>
            <w:r w:rsidR="00F477F5">
              <w:rPr>
                <w:color w:val="000000"/>
                <w:sz w:val="18"/>
                <w:szCs w:val="18"/>
              </w:rPr>
              <w:t>112,050</w:t>
            </w:r>
            <w:r w:rsidRPr="005B2078">
              <w:rPr>
                <w:color w:val="000000"/>
                <w:sz w:val="18"/>
                <w:szCs w:val="18"/>
              </w:rPr>
              <w:t xml:space="preserve"> </w:t>
            </w:r>
          </w:p>
        </w:tc>
      </w:tr>
      <w:tr w:rsidR="009734AA" w:rsidRPr="005B2078" w14:paraId="3B6F1AA8" w14:textId="77777777" w:rsidTr="006B5173">
        <w:trPr>
          <w:trHeight w:val="301"/>
        </w:trPr>
        <w:tc>
          <w:tcPr>
            <w:tcW w:w="2723" w:type="dxa"/>
            <w:vAlign w:val="center"/>
          </w:tcPr>
          <w:p w14:paraId="1534010C" w14:textId="3A886A56" w:rsidR="009734AA" w:rsidRPr="005B2078" w:rsidRDefault="009734AA" w:rsidP="006B5173">
            <w:pPr>
              <w:spacing w:after="0" w:line="240" w:lineRule="auto"/>
              <w:rPr>
                <w:sz w:val="18"/>
              </w:rPr>
            </w:pPr>
            <w:r w:rsidRPr="005B2078">
              <w:rPr>
                <w:sz w:val="18"/>
              </w:rPr>
              <w:t>HUD-90052 Closing Worksheet</w:t>
            </w:r>
            <w:r w:rsidR="00E06492">
              <w:rPr>
                <w:sz w:val="18"/>
              </w:rPr>
              <w:t xml:space="preserve"> PFS Procedure</w:t>
            </w:r>
          </w:p>
        </w:tc>
        <w:tc>
          <w:tcPr>
            <w:tcW w:w="1229" w:type="dxa"/>
            <w:vAlign w:val="center"/>
          </w:tcPr>
          <w:p w14:paraId="0718EBE6"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621E956B" w14:textId="68512D9B" w:rsidR="009734AA" w:rsidRPr="005B2078" w:rsidRDefault="00C40411" w:rsidP="006B5173">
            <w:pPr>
              <w:spacing w:after="0" w:line="240" w:lineRule="auto"/>
              <w:jc w:val="center"/>
              <w:rPr>
                <w:color w:val="000000"/>
                <w:sz w:val="18"/>
                <w:szCs w:val="18"/>
              </w:rPr>
            </w:pPr>
            <w:r>
              <w:rPr>
                <w:color w:val="000000"/>
                <w:sz w:val="18"/>
                <w:szCs w:val="18"/>
              </w:rPr>
              <w:t>73.48</w:t>
            </w:r>
          </w:p>
        </w:tc>
        <w:tc>
          <w:tcPr>
            <w:tcW w:w="1205" w:type="dxa"/>
            <w:vAlign w:val="center"/>
          </w:tcPr>
          <w:p w14:paraId="4A5712EC"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097DB48A"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0.25</w:t>
            </w:r>
          </w:p>
        </w:tc>
        <w:tc>
          <w:tcPr>
            <w:tcW w:w="1260" w:type="dxa"/>
            <w:vAlign w:val="center"/>
          </w:tcPr>
          <w:p w14:paraId="3683CC94" w14:textId="1C17FE71" w:rsidR="009734AA" w:rsidRPr="005B2078" w:rsidRDefault="009734AA" w:rsidP="006B5173">
            <w:pPr>
              <w:spacing w:after="0" w:line="240" w:lineRule="auto"/>
              <w:jc w:val="center"/>
              <w:rPr>
                <w:color w:val="000000"/>
                <w:sz w:val="18"/>
                <w:szCs w:val="18"/>
              </w:rPr>
            </w:pPr>
            <w:r>
              <w:rPr>
                <w:color w:val="000000"/>
                <w:sz w:val="18"/>
                <w:szCs w:val="18"/>
              </w:rPr>
              <w:t>5,60</w:t>
            </w:r>
            <w:r w:rsidR="00F477F5">
              <w:rPr>
                <w:color w:val="000000"/>
                <w:sz w:val="18"/>
                <w:szCs w:val="18"/>
              </w:rPr>
              <w:t>2</w:t>
            </w:r>
            <w:r w:rsidRPr="005B2078">
              <w:rPr>
                <w:color w:val="000000"/>
                <w:sz w:val="18"/>
                <w:szCs w:val="18"/>
              </w:rPr>
              <w:t>.</w:t>
            </w:r>
            <w:r w:rsidR="00F477F5">
              <w:rPr>
                <w:color w:val="000000"/>
                <w:sz w:val="18"/>
                <w:szCs w:val="18"/>
              </w:rPr>
              <w:t>5</w:t>
            </w:r>
            <w:r w:rsidRPr="005B2078">
              <w:rPr>
                <w:color w:val="000000"/>
                <w:sz w:val="18"/>
                <w:szCs w:val="18"/>
              </w:rPr>
              <w:t>0</w:t>
            </w:r>
          </w:p>
        </w:tc>
        <w:tc>
          <w:tcPr>
            <w:tcW w:w="810" w:type="dxa"/>
            <w:vAlign w:val="center"/>
          </w:tcPr>
          <w:p w14:paraId="794C1750" w14:textId="294F05CD"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77275830" w14:textId="229CB42A" w:rsidR="009734AA" w:rsidRPr="005B2078" w:rsidRDefault="009734AA" w:rsidP="006B5173">
            <w:pPr>
              <w:spacing w:after="0" w:line="240" w:lineRule="auto"/>
              <w:jc w:val="right"/>
              <w:rPr>
                <w:color w:val="000000"/>
                <w:sz w:val="18"/>
                <w:szCs w:val="18"/>
              </w:rPr>
            </w:pPr>
            <w:r w:rsidRPr="005B2078">
              <w:rPr>
                <w:color w:val="000000"/>
                <w:sz w:val="18"/>
                <w:szCs w:val="18"/>
              </w:rPr>
              <w:t>$</w:t>
            </w:r>
            <w:r w:rsidR="00F477F5">
              <w:rPr>
                <w:color w:val="000000"/>
                <w:sz w:val="18"/>
                <w:szCs w:val="18"/>
              </w:rPr>
              <w:t>112,050</w:t>
            </w:r>
            <w:r w:rsidRPr="005B2078">
              <w:rPr>
                <w:color w:val="000000"/>
                <w:sz w:val="18"/>
                <w:szCs w:val="18"/>
              </w:rPr>
              <w:t xml:space="preserve"> </w:t>
            </w:r>
          </w:p>
        </w:tc>
      </w:tr>
      <w:tr w:rsidR="009734AA" w:rsidRPr="005B2078" w14:paraId="2E5D0467" w14:textId="77777777" w:rsidTr="006B5173">
        <w:trPr>
          <w:trHeight w:val="301"/>
        </w:trPr>
        <w:tc>
          <w:tcPr>
            <w:tcW w:w="2723" w:type="dxa"/>
            <w:vAlign w:val="center"/>
          </w:tcPr>
          <w:p w14:paraId="305E6431" w14:textId="77777777" w:rsidR="009734AA" w:rsidRPr="005B2078" w:rsidRDefault="009734AA" w:rsidP="006B5173">
            <w:pPr>
              <w:spacing w:after="0" w:line="240" w:lineRule="auto"/>
              <w:rPr>
                <w:sz w:val="18"/>
              </w:rPr>
            </w:pPr>
            <w:r w:rsidRPr="005B2078">
              <w:rPr>
                <w:sz w:val="18"/>
              </w:rPr>
              <w:t>IRS Form 1099-A “Acquisition or Abandonment of Secured Property”</w:t>
            </w:r>
          </w:p>
        </w:tc>
        <w:tc>
          <w:tcPr>
            <w:tcW w:w="1229" w:type="dxa"/>
            <w:vAlign w:val="center"/>
          </w:tcPr>
          <w:p w14:paraId="30367861"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34B4ED24" w14:textId="6D249DA8" w:rsidR="009734AA" w:rsidRPr="005B2078" w:rsidRDefault="00C40411" w:rsidP="006B5173">
            <w:pPr>
              <w:spacing w:after="0" w:line="240" w:lineRule="auto"/>
              <w:jc w:val="center"/>
              <w:rPr>
                <w:color w:val="000000"/>
                <w:sz w:val="18"/>
                <w:szCs w:val="18"/>
              </w:rPr>
            </w:pPr>
            <w:r>
              <w:rPr>
                <w:color w:val="000000"/>
                <w:sz w:val="18"/>
                <w:szCs w:val="18"/>
              </w:rPr>
              <w:t>73.48</w:t>
            </w:r>
          </w:p>
        </w:tc>
        <w:tc>
          <w:tcPr>
            <w:tcW w:w="1205" w:type="dxa"/>
            <w:vAlign w:val="center"/>
          </w:tcPr>
          <w:p w14:paraId="1BFA57FF"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6E0E83E9"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0.25</w:t>
            </w:r>
          </w:p>
        </w:tc>
        <w:tc>
          <w:tcPr>
            <w:tcW w:w="1260" w:type="dxa"/>
            <w:vAlign w:val="center"/>
          </w:tcPr>
          <w:p w14:paraId="3DE77D47" w14:textId="1DC55C2B" w:rsidR="009734AA" w:rsidRPr="005B2078" w:rsidRDefault="009734AA" w:rsidP="006B5173">
            <w:pPr>
              <w:spacing w:after="0" w:line="240" w:lineRule="auto"/>
              <w:jc w:val="center"/>
              <w:rPr>
                <w:color w:val="000000"/>
                <w:sz w:val="18"/>
                <w:szCs w:val="18"/>
              </w:rPr>
            </w:pPr>
            <w:r>
              <w:rPr>
                <w:color w:val="000000"/>
                <w:sz w:val="18"/>
                <w:szCs w:val="18"/>
              </w:rPr>
              <w:t>5,60</w:t>
            </w:r>
            <w:r w:rsidR="00E06492">
              <w:rPr>
                <w:color w:val="000000"/>
                <w:sz w:val="18"/>
                <w:szCs w:val="18"/>
              </w:rPr>
              <w:t>2</w:t>
            </w:r>
            <w:r w:rsidRPr="005B2078">
              <w:rPr>
                <w:color w:val="000000"/>
                <w:sz w:val="18"/>
                <w:szCs w:val="18"/>
              </w:rPr>
              <w:t>.</w:t>
            </w:r>
            <w:r w:rsidR="00E06492">
              <w:rPr>
                <w:color w:val="000000"/>
                <w:sz w:val="18"/>
                <w:szCs w:val="18"/>
              </w:rPr>
              <w:t>5</w:t>
            </w:r>
            <w:r w:rsidRPr="005B2078">
              <w:rPr>
                <w:color w:val="000000"/>
                <w:sz w:val="18"/>
                <w:szCs w:val="18"/>
              </w:rPr>
              <w:t>0</w:t>
            </w:r>
          </w:p>
        </w:tc>
        <w:tc>
          <w:tcPr>
            <w:tcW w:w="810" w:type="dxa"/>
            <w:vAlign w:val="center"/>
          </w:tcPr>
          <w:p w14:paraId="74BDDB8A" w14:textId="1C3CC7C7" w:rsidR="009734AA" w:rsidRPr="005B2078" w:rsidRDefault="009734AA" w:rsidP="006B5173">
            <w:pPr>
              <w:spacing w:after="0" w:line="240" w:lineRule="auto"/>
              <w:jc w:val="center"/>
              <w:rPr>
                <w:color w:val="000000"/>
                <w:sz w:val="18"/>
                <w:szCs w:val="18"/>
              </w:rPr>
            </w:pPr>
            <w:r w:rsidRPr="005B2078">
              <w:rPr>
                <w:color w:val="000000"/>
                <w:sz w:val="18"/>
              </w:rPr>
              <w:t>$</w:t>
            </w:r>
            <w:r w:rsidR="005447BB">
              <w:rPr>
                <w:color w:val="000000"/>
                <w:sz w:val="18"/>
              </w:rPr>
              <w:t>20</w:t>
            </w:r>
            <w:r w:rsidRPr="005B2078">
              <w:rPr>
                <w:color w:val="000000"/>
                <w:sz w:val="18"/>
              </w:rPr>
              <w:t xml:space="preserve">.00 </w:t>
            </w:r>
          </w:p>
        </w:tc>
        <w:tc>
          <w:tcPr>
            <w:tcW w:w="1373" w:type="dxa"/>
            <w:vAlign w:val="center"/>
          </w:tcPr>
          <w:p w14:paraId="329C39AA" w14:textId="6632D2D2" w:rsidR="009734AA" w:rsidRPr="005B2078" w:rsidRDefault="009734AA" w:rsidP="006B5173">
            <w:pPr>
              <w:spacing w:after="0" w:line="240" w:lineRule="auto"/>
              <w:jc w:val="right"/>
              <w:rPr>
                <w:color w:val="000000"/>
                <w:sz w:val="18"/>
                <w:szCs w:val="18"/>
              </w:rPr>
            </w:pPr>
            <w:r w:rsidRPr="005B2078">
              <w:rPr>
                <w:color w:val="000000"/>
                <w:sz w:val="18"/>
                <w:szCs w:val="18"/>
              </w:rPr>
              <w:t>$</w:t>
            </w:r>
            <w:r w:rsidR="00E06492">
              <w:rPr>
                <w:color w:val="000000"/>
                <w:sz w:val="18"/>
                <w:szCs w:val="18"/>
              </w:rPr>
              <w:t>112,050</w:t>
            </w:r>
          </w:p>
        </w:tc>
      </w:tr>
      <w:tr w:rsidR="009734AA" w:rsidRPr="005B2078" w14:paraId="7C124FE8" w14:textId="77777777" w:rsidTr="006B5173">
        <w:trPr>
          <w:trHeight w:val="301"/>
        </w:trPr>
        <w:tc>
          <w:tcPr>
            <w:tcW w:w="2723" w:type="dxa"/>
            <w:vAlign w:val="center"/>
          </w:tcPr>
          <w:p w14:paraId="417EAE7F" w14:textId="6EDD249F" w:rsidR="009734AA" w:rsidRPr="005B2078" w:rsidRDefault="00E06492" w:rsidP="006B5173">
            <w:pPr>
              <w:spacing w:after="0" w:line="240" w:lineRule="auto"/>
              <w:rPr>
                <w:sz w:val="18"/>
              </w:rPr>
            </w:pPr>
            <w:r>
              <w:rPr>
                <w:sz w:val="18"/>
              </w:rPr>
              <w:t xml:space="preserve">PFS - </w:t>
            </w:r>
            <w:r w:rsidR="009734AA" w:rsidRPr="005B2078">
              <w:rPr>
                <w:sz w:val="18"/>
              </w:rPr>
              <w:t xml:space="preserve">HUD-27011 </w:t>
            </w:r>
            <w:r>
              <w:rPr>
                <w:sz w:val="18"/>
              </w:rPr>
              <w:t>Single Family Application for</w:t>
            </w:r>
            <w:r w:rsidR="009734AA" w:rsidRPr="005B2078">
              <w:rPr>
                <w:sz w:val="18"/>
              </w:rPr>
              <w:t xml:space="preserve"> Insurance Benefits</w:t>
            </w:r>
          </w:p>
        </w:tc>
        <w:tc>
          <w:tcPr>
            <w:tcW w:w="1229" w:type="dxa"/>
            <w:vAlign w:val="center"/>
          </w:tcPr>
          <w:p w14:paraId="33F91820"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vAlign w:val="center"/>
          </w:tcPr>
          <w:p w14:paraId="761F633B" w14:textId="0D94C266" w:rsidR="009734AA" w:rsidRPr="005B2078" w:rsidRDefault="00C40411" w:rsidP="006B5173">
            <w:pPr>
              <w:spacing w:after="0" w:line="240" w:lineRule="auto"/>
              <w:jc w:val="center"/>
              <w:rPr>
                <w:color w:val="000000"/>
                <w:sz w:val="18"/>
                <w:szCs w:val="18"/>
              </w:rPr>
            </w:pPr>
            <w:r>
              <w:rPr>
                <w:color w:val="000000"/>
                <w:sz w:val="18"/>
                <w:szCs w:val="18"/>
              </w:rPr>
              <w:t>73.48</w:t>
            </w:r>
          </w:p>
        </w:tc>
        <w:tc>
          <w:tcPr>
            <w:tcW w:w="1205" w:type="dxa"/>
            <w:vAlign w:val="center"/>
          </w:tcPr>
          <w:p w14:paraId="2D2EC5F2"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vAlign w:val="center"/>
          </w:tcPr>
          <w:p w14:paraId="766CA3F6"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0.50</w:t>
            </w:r>
          </w:p>
        </w:tc>
        <w:tc>
          <w:tcPr>
            <w:tcW w:w="1260" w:type="dxa"/>
            <w:vAlign w:val="center"/>
          </w:tcPr>
          <w:p w14:paraId="40DB0669"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1,205</w:t>
            </w:r>
            <w:r w:rsidRPr="005B2078">
              <w:rPr>
                <w:color w:val="000000"/>
                <w:sz w:val="18"/>
                <w:szCs w:val="18"/>
              </w:rPr>
              <w:t>.00</w:t>
            </w:r>
          </w:p>
        </w:tc>
        <w:tc>
          <w:tcPr>
            <w:tcW w:w="810" w:type="dxa"/>
            <w:vAlign w:val="center"/>
          </w:tcPr>
          <w:p w14:paraId="2D91AF4E" w14:textId="45AC27FA"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vAlign w:val="center"/>
          </w:tcPr>
          <w:p w14:paraId="48FF0FEA" w14:textId="2C71DCDA" w:rsidR="009734AA" w:rsidRPr="005B2078" w:rsidRDefault="009734AA" w:rsidP="006B5173">
            <w:pPr>
              <w:spacing w:after="0" w:line="240" w:lineRule="auto"/>
              <w:jc w:val="right"/>
              <w:rPr>
                <w:color w:val="000000"/>
                <w:sz w:val="18"/>
                <w:szCs w:val="18"/>
              </w:rPr>
            </w:pPr>
            <w:r w:rsidRPr="005B2078">
              <w:rPr>
                <w:color w:val="000000"/>
                <w:sz w:val="18"/>
                <w:szCs w:val="18"/>
              </w:rPr>
              <w:t>$</w:t>
            </w:r>
            <w:r w:rsidR="00E06492">
              <w:rPr>
                <w:color w:val="000000"/>
                <w:sz w:val="18"/>
                <w:szCs w:val="18"/>
              </w:rPr>
              <w:t>224,100</w:t>
            </w:r>
            <w:r w:rsidRPr="005B2078">
              <w:rPr>
                <w:color w:val="000000"/>
                <w:sz w:val="18"/>
                <w:szCs w:val="18"/>
              </w:rPr>
              <w:t xml:space="preserve"> </w:t>
            </w:r>
          </w:p>
        </w:tc>
      </w:tr>
      <w:tr w:rsidR="009734AA" w:rsidRPr="005B2078" w14:paraId="5EDAFF50" w14:textId="77777777" w:rsidTr="006B5173">
        <w:trPr>
          <w:trHeight w:val="256"/>
        </w:trPr>
        <w:tc>
          <w:tcPr>
            <w:tcW w:w="2723" w:type="dxa"/>
            <w:tcBorders>
              <w:bottom w:val="single" w:sz="4" w:space="0" w:color="auto"/>
            </w:tcBorders>
            <w:vAlign w:val="center"/>
          </w:tcPr>
          <w:p w14:paraId="6590778E" w14:textId="77777777" w:rsidR="009734AA" w:rsidRPr="005B2078" w:rsidRDefault="009734AA" w:rsidP="006B5173">
            <w:pPr>
              <w:spacing w:after="0" w:line="240" w:lineRule="auto"/>
            </w:pPr>
            <w:r w:rsidRPr="005B2078">
              <w:rPr>
                <w:sz w:val="18"/>
              </w:rPr>
              <w:t>PFS Record Retention</w:t>
            </w:r>
          </w:p>
        </w:tc>
        <w:tc>
          <w:tcPr>
            <w:tcW w:w="1229" w:type="dxa"/>
            <w:tcBorders>
              <w:bottom w:val="single" w:sz="4" w:space="0" w:color="auto"/>
            </w:tcBorders>
            <w:vAlign w:val="center"/>
          </w:tcPr>
          <w:p w14:paraId="72478196" w14:textId="77777777" w:rsidR="009734AA" w:rsidRPr="005B2078" w:rsidRDefault="009734AA" w:rsidP="006B5173">
            <w:pPr>
              <w:spacing w:after="0" w:line="240" w:lineRule="auto"/>
              <w:jc w:val="center"/>
              <w:rPr>
                <w:sz w:val="18"/>
                <w:szCs w:val="18"/>
              </w:rPr>
            </w:pPr>
            <w:r w:rsidRPr="005B2078">
              <w:rPr>
                <w:sz w:val="18"/>
                <w:szCs w:val="18"/>
              </w:rPr>
              <w:t>30</w:t>
            </w:r>
            <w:r>
              <w:rPr>
                <w:sz w:val="18"/>
                <w:szCs w:val="18"/>
              </w:rPr>
              <w:t>5</w:t>
            </w:r>
          </w:p>
        </w:tc>
        <w:tc>
          <w:tcPr>
            <w:tcW w:w="903" w:type="dxa"/>
            <w:tcBorders>
              <w:bottom w:val="single" w:sz="4" w:space="0" w:color="auto"/>
            </w:tcBorders>
            <w:vAlign w:val="center"/>
          </w:tcPr>
          <w:p w14:paraId="3C435320" w14:textId="183ACDD4" w:rsidR="009734AA" w:rsidRPr="005B2078" w:rsidRDefault="00C40411" w:rsidP="006B5173">
            <w:pPr>
              <w:spacing w:after="0" w:line="240" w:lineRule="auto"/>
              <w:jc w:val="center"/>
              <w:rPr>
                <w:color w:val="000000"/>
                <w:sz w:val="18"/>
                <w:szCs w:val="18"/>
              </w:rPr>
            </w:pPr>
            <w:r>
              <w:rPr>
                <w:color w:val="000000"/>
                <w:sz w:val="18"/>
                <w:szCs w:val="18"/>
              </w:rPr>
              <w:t>73.48</w:t>
            </w:r>
          </w:p>
        </w:tc>
        <w:tc>
          <w:tcPr>
            <w:tcW w:w="1205" w:type="dxa"/>
            <w:tcBorders>
              <w:bottom w:val="single" w:sz="4" w:space="0" w:color="auto"/>
            </w:tcBorders>
            <w:vAlign w:val="center"/>
          </w:tcPr>
          <w:p w14:paraId="7DD8C15F" w14:textId="77777777" w:rsidR="009734AA" w:rsidRPr="005B2078" w:rsidRDefault="009734AA" w:rsidP="006B5173">
            <w:pPr>
              <w:spacing w:after="0" w:line="240" w:lineRule="auto"/>
              <w:jc w:val="center"/>
              <w:rPr>
                <w:color w:val="000000"/>
                <w:sz w:val="18"/>
                <w:szCs w:val="18"/>
              </w:rPr>
            </w:pPr>
            <w:r w:rsidRPr="005B2078">
              <w:rPr>
                <w:color w:val="000000"/>
                <w:sz w:val="18"/>
                <w:szCs w:val="18"/>
              </w:rPr>
              <w:t>2</w:t>
            </w:r>
            <w:r>
              <w:rPr>
                <w:color w:val="000000"/>
                <w:sz w:val="18"/>
                <w:szCs w:val="18"/>
              </w:rPr>
              <w:t>2</w:t>
            </w:r>
            <w:r w:rsidRPr="005B2078">
              <w:rPr>
                <w:color w:val="000000"/>
                <w:sz w:val="18"/>
                <w:szCs w:val="18"/>
              </w:rPr>
              <w:t>,</w:t>
            </w:r>
            <w:r>
              <w:rPr>
                <w:color w:val="000000"/>
                <w:sz w:val="18"/>
                <w:szCs w:val="18"/>
              </w:rPr>
              <w:t>41</w:t>
            </w:r>
            <w:r w:rsidRPr="005B2078">
              <w:rPr>
                <w:color w:val="000000"/>
                <w:sz w:val="18"/>
                <w:szCs w:val="18"/>
              </w:rPr>
              <w:t>0</w:t>
            </w:r>
          </w:p>
        </w:tc>
        <w:tc>
          <w:tcPr>
            <w:tcW w:w="775" w:type="dxa"/>
            <w:tcBorders>
              <w:bottom w:val="single" w:sz="4" w:space="0" w:color="auto"/>
            </w:tcBorders>
            <w:vAlign w:val="center"/>
          </w:tcPr>
          <w:p w14:paraId="7F7F560A"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0.50</w:t>
            </w:r>
          </w:p>
        </w:tc>
        <w:tc>
          <w:tcPr>
            <w:tcW w:w="1260" w:type="dxa"/>
            <w:tcBorders>
              <w:bottom w:val="single" w:sz="4" w:space="0" w:color="auto"/>
            </w:tcBorders>
            <w:vAlign w:val="center"/>
          </w:tcPr>
          <w:p w14:paraId="5314B9A3"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1,205</w:t>
            </w:r>
            <w:r w:rsidRPr="005B2078">
              <w:rPr>
                <w:color w:val="000000"/>
                <w:sz w:val="18"/>
                <w:szCs w:val="18"/>
              </w:rPr>
              <w:t>.00</w:t>
            </w:r>
          </w:p>
        </w:tc>
        <w:tc>
          <w:tcPr>
            <w:tcW w:w="810" w:type="dxa"/>
            <w:tcBorders>
              <w:bottom w:val="single" w:sz="4" w:space="0" w:color="auto"/>
            </w:tcBorders>
            <w:vAlign w:val="center"/>
          </w:tcPr>
          <w:p w14:paraId="5D2293BB" w14:textId="17D6E60D"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tcBorders>
              <w:bottom w:val="single" w:sz="4" w:space="0" w:color="auto"/>
            </w:tcBorders>
            <w:vAlign w:val="center"/>
          </w:tcPr>
          <w:p w14:paraId="128A4DE5" w14:textId="6ED2C55E" w:rsidR="009734AA" w:rsidRPr="005B2078" w:rsidRDefault="009734AA" w:rsidP="006B5173">
            <w:pPr>
              <w:spacing w:after="0" w:line="240" w:lineRule="auto"/>
              <w:jc w:val="right"/>
              <w:rPr>
                <w:color w:val="000000"/>
                <w:sz w:val="18"/>
                <w:szCs w:val="18"/>
              </w:rPr>
            </w:pPr>
            <w:r w:rsidRPr="005B2078">
              <w:rPr>
                <w:color w:val="000000"/>
                <w:sz w:val="18"/>
                <w:szCs w:val="18"/>
              </w:rPr>
              <w:t>$</w:t>
            </w:r>
            <w:r w:rsidR="00E06492">
              <w:rPr>
                <w:color w:val="000000"/>
                <w:sz w:val="18"/>
                <w:szCs w:val="18"/>
              </w:rPr>
              <w:t>224,100</w:t>
            </w:r>
            <w:r w:rsidRPr="005B2078">
              <w:rPr>
                <w:color w:val="000000"/>
                <w:sz w:val="18"/>
                <w:szCs w:val="18"/>
              </w:rPr>
              <w:t xml:space="preserve"> </w:t>
            </w:r>
          </w:p>
        </w:tc>
      </w:tr>
      <w:tr w:rsidR="00B02F6E" w:rsidRPr="005B2078" w14:paraId="542C0B5F" w14:textId="77777777" w:rsidTr="006B5173">
        <w:trPr>
          <w:trHeight w:val="256"/>
        </w:trPr>
        <w:tc>
          <w:tcPr>
            <w:tcW w:w="10278" w:type="dxa"/>
            <w:gridSpan w:val="8"/>
            <w:shd w:val="clear" w:color="auto" w:fill="E0E0E0"/>
            <w:vAlign w:val="center"/>
          </w:tcPr>
          <w:p w14:paraId="593B54AB" w14:textId="56B1A7D4" w:rsidR="00B02F6E" w:rsidRPr="005B2078" w:rsidRDefault="00B02F6E" w:rsidP="006B5173">
            <w:pPr>
              <w:spacing w:after="0" w:line="240" w:lineRule="auto"/>
              <w:rPr>
                <w:sz w:val="18"/>
              </w:rPr>
            </w:pPr>
            <w:r w:rsidRPr="005B2078">
              <w:rPr>
                <w:b/>
                <w:bCs/>
              </w:rPr>
              <w:t>Deed-in-Lieu of Foreclosure (DIL)</w:t>
            </w:r>
          </w:p>
        </w:tc>
      </w:tr>
      <w:tr w:rsidR="009734AA" w:rsidRPr="005B2078" w14:paraId="2059EE53" w14:textId="77777777" w:rsidTr="006B5173">
        <w:trPr>
          <w:trHeight w:val="274"/>
        </w:trPr>
        <w:tc>
          <w:tcPr>
            <w:tcW w:w="2723" w:type="dxa"/>
            <w:vAlign w:val="center"/>
          </w:tcPr>
          <w:p w14:paraId="38BD20E4" w14:textId="77777777" w:rsidR="009734AA" w:rsidRPr="005B2078" w:rsidRDefault="009734AA" w:rsidP="006B5173">
            <w:pPr>
              <w:spacing w:after="0" w:line="240" w:lineRule="auto"/>
              <w:rPr>
                <w:sz w:val="18"/>
              </w:rPr>
            </w:pPr>
            <w:r w:rsidRPr="005B2078">
              <w:rPr>
                <w:sz w:val="18"/>
              </w:rPr>
              <w:t>DIL Evaluation</w:t>
            </w:r>
          </w:p>
        </w:tc>
        <w:tc>
          <w:tcPr>
            <w:tcW w:w="1229" w:type="dxa"/>
            <w:vAlign w:val="center"/>
          </w:tcPr>
          <w:p w14:paraId="4AA39B73" w14:textId="77777777" w:rsidR="009734AA" w:rsidRPr="005B2078" w:rsidRDefault="009734AA" w:rsidP="006B5173">
            <w:pPr>
              <w:spacing w:after="0" w:line="240" w:lineRule="auto"/>
              <w:jc w:val="center"/>
              <w:rPr>
                <w:sz w:val="18"/>
                <w:szCs w:val="18"/>
              </w:rPr>
            </w:pPr>
            <w:r>
              <w:rPr>
                <w:sz w:val="18"/>
                <w:szCs w:val="18"/>
              </w:rPr>
              <w:t>298</w:t>
            </w:r>
          </w:p>
        </w:tc>
        <w:tc>
          <w:tcPr>
            <w:tcW w:w="903" w:type="dxa"/>
            <w:vAlign w:val="center"/>
          </w:tcPr>
          <w:p w14:paraId="018F75B4" w14:textId="2F582A93" w:rsidR="009734AA" w:rsidRPr="000B0E8B" w:rsidRDefault="000B0E8B" w:rsidP="006B5173">
            <w:pPr>
              <w:spacing w:after="0" w:line="240" w:lineRule="auto"/>
              <w:jc w:val="center"/>
              <w:rPr>
                <w:color w:val="000000"/>
                <w:sz w:val="18"/>
                <w:szCs w:val="18"/>
              </w:rPr>
            </w:pPr>
            <w:r>
              <w:rPr>
                <w:color w:val="000000"/>
                <w:sz w:val="18"/>
                <w:szCs w:val="18"/>
              </w:rPr>
              <w:t xml:space="preserve"> 5.24</w:t>
            </w:r>
          </w:p>
        </w:tc>
        <w:tc>
          <w:tcPr>
            <w:tcW w:w="1205" w:type="dxa"/>
            <w:vAlign w:val="center"/>
          </w:tcPr>
          <w:p w14:paraId="77A33595"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563</w:t>
            </w:r>
          </w:p>
        </w:tc>
        <w:tc>
          <w:tcPr>
            <w:tcW w:w="775" w:type="dxa"/>
            <w:vAlign w:val="center"/>
          </w:tcPr>
          <w:p w14:paraId="4B4B8200"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4</w:t>
            </w:r>
          </w:p>
        </w:tc>
        <w:tc>
          <w:tcPr>
            <w:tcW w:w="1260" w:type="dxa"/>
            <w:vAlign w:val="center"/>
          </w:tcPr>
          <w:p w14:paraId="2AC71C88" w14:textId="77777777" w:rsidR="009734AA" w:rsidRPr="005B2078" w:rsidRDefault="009734AA" w:rsidP="006B5173">
            <w:pPr>
              <w:spacing w:after="0" w:line="240" w:lineRule="auto"/>
              <w:jc w:val="center"/>
              <w:rPr>
                <w:color w:val="000000"/>
                <w:sz w:val="18"/>
                <w:szCs w:val="18"/>
              </w:rPr>
            </w:pPr>
            <w:r>
              <w:rPr>
                <w:color w:val="000000"/>
                <w:sz w:val="18"/>
                <w:szCs w:val="18"/>
              </w:rPr>
              <w:t>6,252.00</w:t>
            </w:r>
          </w:p>
        </w:tc>
        <w:tc>
          <w:tcPr>
            <w:tcW w:w="810" w:type="dxa"/>
            <w:vAlign w:val="center"/>
          </w:tcPr>
          <w:p w14:paraId="339E61C7" w14:textId="1CDDB42D"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vAlign w:val="center"/>
          </w:tcPr>
          <w:p w14:paraId="5E19D6FF" w14:textId="0D1DF7AF" w:rsidR="009734AA" w:rsidRPr="005B2078" w:rsidRDefault="009734AA" w:rsidP="006B5173">
            <w:pPr>
              <w:spacing w:after="0" w:line="240" w:lineRule="auto"/>
              <w:jc w:val="right"/>
              <w:rPr>
                <w:color w:val="000000"/>
                <w:sz w:val="18"/>
                <w:szCs w:val="18"/>
              </w:rPr>
            </w:pPr>
            <w:r w:rsidRPr="005B2078">
              <w:rPr>
                <w:color w:val="000000"/>
                <w:sz w:val="18"/>
              </w:rPr>
              <w:t>$</w:t>
            </w:r>
            <w:r w:rsidR="000B0E8B">
              <w:rPr>
                <w:color w:val="000000"/>
                <w:sz w:val="18"/>
              </w:rPr>
              <w:t>125,040</w:t>
            </w:r>
            <w:r w:rsidRPr="005B2078">
              <w:rPr>
                <w:color w:val="000000"/>
                <w:sz w:val="18"/>
              </w:rPr>
              <w:t xml:space="preserve"> </w:t>
            </w:r>
          </w:p>
        </w:tc>
      </w:tr>
      <w:tr w:rsidR="009734AA" w:rsidRPr="005B2078" w14:paraId="3C53EE7A" w14:textId="77777777" w:rsidTr="006B5173">
        <w:trPr>
          <w:trHeight w:val="274"/>
        </w:trPr>
        <w:tc>
          <w:tcPr>
            <w:tcW w:w="2723" w:type="dxa"/>
            <w:vAlign w:val="center"/>
          </w:tcPr>
          <w:p w14:paraId="35189908" w14:textId="14435F3A" w:rsidR="009734AA" w:rsidRPr="005B2078" w:rsidRDefault="00FD64FA" w:rsidP="006B5173">
            <w:pPr>
              <w:spacing w:after="0" w:line="240" w:lineRule="auto"/>
              <w:rPr>
                <w:sz w:val="18"/>
              </w:rPr>
            </w:pPr>
            <w:r>
              <w:rPr>
                <w:sz w:val="18"/>
              </w:rPr>
              <w:t>Mortgagor</w:t>
            </w:r>
            <w:r w:rsidR="009734AA" w:rsidRPr="005B2078">
              <w:rPr>
                <w:sz w:val="18"/>
              </w:rPr>
              <w:t xml:space="preserve"> Activity</w:t>
            </w:r>
          </w:p>
        </w:tc>
        <w:tc>
          <w:tcPr>
            <w:tcW w:w="1229" w:type="dxa"/>
            <w:vAlign w:val="center"/>
          </w:tcPr>
          <w:p w14:paraId="0BB38833" w14:textId="77777777" w:rsidR="009734AA" w:rsidRPr="005B2078" w:rsidRDefault="009734AA" w:rsidP="006B5173">
            <w:pPr>
              <w:spacing w:after="0" w:line="240" w:lineRule="auto"/>
              <w:jc w:val="center"/>
              <w:rPr>
                <w:sz w:val="18"/>
                <w:szCs w:val="18"/>
              </w:rPr>
            </w:pPr>
            <w:r w:rsidRPr="005B2078">
              <w:rPr>
                <w:sz w:val="18"/>
                <w:szCs w:val="18"/>
              </w:rPr>
              <w:t>1,</w:t>
            </w:r>
            <w:r>
              <w:rPr>
                <w:sz w:val="18"/>
                <w:szCs w:val="18"/>
              </w:rPr>
              <w:t>525</w:t>
            </w:r>
          </w:p>
        </w:tc>
        <w:tc>
          <w:tcPr>
            <w:tcW w:w="903" w:type="dxa"/>
            <w:vAlign w:val="center"/>
          </w:tcPr>
          <w:p w14:paraId="017CBA2A" w14:textId="52F51E0E" w:rsidR="009734AA" w:rsidRPr="000B0E8B" w:rsidRDefault="009734AA" w:rsidP="006B5173">
            <w:pPr>
              <w:spacing w:after="0" w:line="240" w:lineRule="auto"/>
              <w:jc w:val="center"/>
              <w:rPr>
                <w:color w:val="000000"/>
                <w:sz w:val="18"/>
                <w:szCs w:val="18"/>
              </w:rPr>
            </w:pPr>
            <w:r w:rsidRPr="000B0E8B">
              <w:rPr>
                <w:color w:val="000000"/>
                <w:sz w:val="18"/>
                <w:szCs w:val="18"/>
              </w:rPr>
              <w:t>1</w:t>
            </w:r>
            <w:r w:rsidR="000B0E8B">
              <w:rPr>
                <w:color w:val="000000"/>
                <w:sz w:val="18"/>
                <w:szCs w:val="18"/>
              </w:rPr>
              <w:t>.02</w:t>
            </w:r>
          </w:p>
        </w:tc>
        <w:tc>
          <w:tcPr>
            <w:tcW w:w="1205" w:type="dxa"/>
            <w:vAlign w:val="center"/>
          </w:tcPr>
          <w:p w14:paraId="28FE8220"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563</w:t>
            </w:r>
          </w:p>
        </w:tc>
        <w:tc>
          <w:tcPr>
            <w:tcW w:w="775" w:type="dxa"/>
            <w:vAlign w:val="center"/>
          </w:tcPr>
          <w:p w14:paraId="46D2C730"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1</w:t>
            </w:r>
          </w:p>
        </w:tc>
        <w:tc>
          <w:tcPr>
            <w:tcW w:w="1260" w:type="dxa"/>
            <w:vAlign w:val="center"/>
          </w:tcPr>
          <w:p w14:paraId="1F305F4F" w14:textId="77777777" w:rsidR="009734AA" w:rsidRPr="005B2078" w:rsidRDefault="009734AA" w:rsidP="006B5173">
            <w:pPr>
              <w:spacing w:after="0" w:line="240" w:lineRule="auto"/>
              <w:jc w:val="center"/>
              <w:rPr>
                <w:color w:val="000000"/>
                <w:sz w:val="18"/>
                <w:szCs w:val="18"/>
              </w:rPr>
            </w:pPr>
            <w:r>
              <w:rPr>
                <w:color w:val="000000"/>
                <w:sz w:val="18"/>
                <w:szCs w:val="18"/>
              </w:rPr>
              <w:t>1,563.00</w:t>
            </w:r>
          </w:p>
        </w:tc>
        <w:tc>
          <w:tcPr>
            <w:tcW w:w="810" w:type="dxa"/>
            <w:vAlign w:val="center"/>
          </w:tcPr>
          <w:p w14:paraId="1DC513D9" w14:textId="02781E99"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vAlign w:val="center"/>
          </w:tcPr>
          <w:p w14:paraId="2C971D83" w14:textId="750D1373" w:rsidR="009734AA" w:rsidRPr="005B2078" w:rsidRDefault="009734AA" w:rsidP="006B5173">
            <w:pPr>
              <w:spacing w:after="0" w:line="240" w:lineRule="auto"/>
              <w:jc w:val="right"/>
              <w:rPr>
                <w:color w:val="000000"/>
                <w:sz w:val="18"/>
                <w:szCs w:val="18"/>
              </w:rPr>
            </w:pPr>
            <w:r w:rsidRPr="005B2078">
              <w:rPr>
                <w:color w:val="000000"/>
                <w:sz w:val="18"/>
                <w:szCs w:val="18"/>
              </w:rPr>
              <w:t>$</w:t>
            </w:r>
            <w:r w:rsidR="000B0E8B">
              <w:rPr>
                <w:color w:val="000000"/>
                <w:sz w:val="18"/>
                <w:szCs w:val="18"/>
              </w:rPr>
              <w:t>31,260</w:t>
            </w:r>
            <w:r w:rsidRPr="005B2078">
              <w:rPr>
                <w:color w:val="000000"/>
                <w:sz w:val="18"/>
                <w:szCs w:val="18"/>
              </w:rPr>
              <w:t xml:space="preserve"> </w:t>
            </w:r>
          </w:p>
        </w:tc>
      </w:tr>
      <w:tr w:rsidR="009734AA" w:rsidRPr="005B2078" w14:paraId="331B73E4" w14:textId="77777777" w:rsidTr="006B5173">
        <w:trPr>
          <w:trHeight w:val="274"/>
        </w:trPr>
        <w:tc>
          <w:tcPr>
            <w:tcW w:w="2723" w:type="dxa"/>
            <w:vAlign w:val="center"/>
          </w:tcPr>
          <w:p w14:paraId="7AF08786" w14:textId="77777777" w:rsidR="009734AA" w:rsidRPr="005B2078" w:rsidRDefault="009734AA" w:rsidP="006B5173">
            <w:pPr>
              <w:spacing w:after="0" w:line="240" w:lineRule="auto"/>
              <w:rPr>
                <w:sz w:val="18"/>
              </w:rPr>
            </w:pPr>
            <w:r w:rsidRPr="005B2078">
              <w:rPr>
                <w:sz w:val="18"/>
              </w:rPr>
              <w:t>CAIVRS Review</w:t>
            </w:r>
          </w:p>
        </w:tc>
        <w:tc>
          <w:tcPr>
            <w:tcW w:w="1229" w:type="dxa"/>
            <w:vAlign w:val="center"/>
          </w:tcPr>
          <w:p w14:paraId="788C0B46" w14:textId="77777777" w:rsidR="009734AA" w:rsidRPr="005B2078" w:rsidRDefault="009734AA" w:rsidP="006B5173">
            <w:pPr>
              <w:spacing w:after="0" w:line="240" w:lineRule="auto"/>
              <w:jc w:val="center"/>
              <w:rPr>
                <w:sz w:val="18"/>
                <w:szCs w:val="18"/>
              </w:rPr>
            </w:pPr>
            <w:r>
              <w:rPr>
                <w:sz w:val="18"/>
                <w:szCs w:val="18"/>
              </w:rPr>
              <w:t>298</w:t>
            </w:r>
          </w:p>
        </w:tc>
        <w:tc>
          <w:tcPr>
            <w:tcW w:w="903" w:type="dxa"/>
            <w:vAlign w:val="center"/>
          </w:tcPr>
          <w:p w14:paraId="2F997657" w14:textId="163082DF" w:rsidR="009734AA" w:rsidRPr="000B0E8B" w:rsidRDefault="009734AA" w:rsidP="006B5173">
            <w:pPr>
              <w:spacing w:after="0" w:line="240" w:lineRule="auto"/>
              <w:jc w:val="center"/>
              <w:rPr>
                <w:color w:val="000000"/>
                <w:sz w:val="18"/>
                <w:szCs w:val="18"/>
              </w:rPr>
            </w:pPr>
            <w:r w:rsidRPr="000B0E8B">
              <w:rPr>
                <w:color w:val="000000"/>
                <w:sz w:val="18"/>
                <w:szCs w:val="18"/>
              </w:rPr>
              <w:t>5.</w:t>
            </w:r>
            <w:r w:rsidR="000B0E8B">
              <w:rPr>
                <w:color w:val="000000"/>
                <w:sz w:val="18"/>
                <w:szCs w:val="18"/>
              </w:rPr>
              <w:t>24</w:t>
            </w:r>
          </w:p>
        </w:tc>
        <w:tc>
          <w:tcPr>
            <w:tcW w:w="1205" w:type="dxa"/>
            <w:vAlign w:val="center"/>
          </w:tcPr>
          <w:p w14:paraId="2D5DAF77"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563</w:t>
            </w:r>
          </w:p>
        </w:tc>
        <w:tc>
          <w:tcPr>
            <w:tcW w:w="775" w:type="dxa"/>
            <w:vAlign w:val="center"/>
          </w:tcPr>
          <w:p w14:paraId="7E21231F"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0.25</w:t>
            </w:r>
          </w:p>
        </w:tc>
        <w:tc>
          <w:tcPr>
            <w:tcW w:w="1260" w:type="dxa"/>
            <w:vAlign w:val="center"/>
          </w:tcPr>
          <w:p w14:paraId="584D539F" w14:textId="77777777" w:rsidR="009734AA" w:rsidRPr="005B2078" w:rsidRDefault="009734AA" w:rsidP="006B5173">
            <w:pPr>
              <w:spacing w:after="0" w:line="240" w:lineRule="auto"/>
              <w:jc w:val="center"/>
              <w:rPr>
                <w:color w:val="000000"/>
                <w:sz w:val="18"/>
                <w:szCs w:val="18"/>
              </w:rPr>
            </w:pPr>
            <w:r>
              <w:rPr>
                <w:color w:val="000000"/>
                <w:sz w:val="18"/>
                <w:szCs w:val="18"/>
              </w:rPr>
              <w:t>390.75</w:t>
            </w:r>
          </w:p>
        </w:tc>
        <w:tc>
          <w:tcPr>
            <w:tcW w:w="810" w:type="dxa"/>
            <w:vAlign w:val="center"/>
          </w:tcPr>
          <w:p w14:paraId="298DE23D" w14:textId="5DD30162"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vAlign w:val="center"/>
          </w:tcPr>
          <w:p w14:paraId="432D1214" w14:textId="7AAC3087" w:rsidR="009734AA" w:rsidRPr="005B2078" w:rsidRDefault="009734AA" w:rsidP="006B5173">
            <w:pPr>
              <w:spacing w:after="0" w:line="240" w:lineRule="auto"/>
              <w:jc w:val="right"/>
              <w:rPr>
                <w:color w:val="000000"/>
                <w:sz w:val="18"/>
                <w:szCs w:val="18"/>
              </w:rPr>
            </w:pPr>
            <w:r w:rsidRPr="005B2078">
              <w:rPr>
                <w:color w:val="000000"/>
                <w:sz w:val="18"/>
                <w:szCs w:val="18"/>
              </w:rPr>
              <w:t>$</w:t>
            </w:r>
            <w:r w:rsidR="000B0E8B">
              <w:rPr>
                <w:color w:val="000000"/>
                <w:sz w:val="18"/>
                <w:szCs w:val="18"/>
              </w:rPr>
              <w:t>7,815</w:t>
            </w:r>
            <w:r w:rsidRPr="005B2078">
              <w:rPr>
                <w:color w:val="000000"/>
                <w:sz w:val="18"/>
                <w:szCs w:val="18"/>
              </w:rPr>
              <w:t xml:space="preserve"> </w:t>
            </w:r>
          </w:p>
        </w:tc>
      </w:tr>
      <w:tr w:rsidR="009734AA" w:rsidRPr="005B2078" w14:paraId="5F11AB5A" w14:textId="77777777" w:rsidTr="006B5173">
        <w:trPr>
          <w:trHeight w:val="274"/>
        </w:trPr>
        <w:tc>
          <w:tcPr>
            <w:tcW w:w="2723" w:type="dxa"/>
            <w:vAlign w:val="center"/>
          </w:tcPr>
          <w:p w14:paraId="3F39B783" w14:textId="77777777" w:rsidR="009734AA" w:rsidRPr="005B2078" w:rsidRDefault="009734AA" w:rsidP="006B5173">
            <w:pPr>
              <w:spacing w:after="0" w:line="240" w:lineRule="auto"/>
              <w:rPr>
                <w:sz w:val="18"/>
              </w:rPr>
            </w:pPr>
            <w:r w:rsidRPr="005B2078">
              <w:rPr>
                <w:sz w:val="18"/>
              </w:rPr>
              <w:t>Non-Corporate Request for DIL</w:t>
            </w:r>
          </w:p>
        </w:tc>
        <w:tc>
          <w:tcPr>
            <w:tcW w:w="1229" w:type="dxa"/>
            <w:vAlign w:val="center"/>
          </w:tcPr>
          <w:p w14:paraId="2441F395" w14:textId="77777777" w:rsidR="009734AA" w:rsidRPr="005B2078" w:rsidRDefault="009734AA" w:rsidP="006B5173">
            <w:pPr>
              <w:spacing w:after="0" w:line="240" w:lineRule="auto"/>
              <w:jc w:val="center"/>
              <w:rPr>
                <w:sz w:val="18"/>
                <w:szCs w:val="18"/>
              </w:rPr>
            </w:pPr>
            <w:r>
              <w:rPr>
                <w:sz w:val="18"/>
                <w:szCs w:val="18"/>
              </w:rPr>
              <w:t>298</w:t>
            </w:r>
          </w:p>
        </w:tc>
        <w:tc>
          <w:tcPr>
            <w:tcW w:w="903" w:type="dxa"/>
            <w:vAlign w:val="center"/>
          </w:tcPr>
          <w:p w14:paraId="112A708D" w14:textId="75705497" w:rsidR="009734AA" w:rsidRPr="000B0E8B" w:rsidRDefault="009734AA" w:rsidP="006B5173">
            <w:pPr>
              <w:spacing w:after="0" w:line="240" w:lineRule="auto"/>
              <w:jc w:val="center"/>
              <w:rPr>
                <w:color w:val="000000"/>
                <w:sz w:val="18"/>
                <w:szCs w:val="18"/>
              </w:rPr>
            </w:pPr>
            <w:r w:rsidRPr="000B0E8B">
              <w:rPr>
                <w:color w:val="000000"/>
                <w:sz w:val="18"/>
                <w:szCs w:val="18"/>
              </w:rPr>
              <w:t>5.2</w:t>
            </w:r>
            <w:r w:rsidR="000B0E8B">
              <w:rPr>
                <w:color w:val="000000"/>
                <w:sz w:val="18"/>
                <w:szCs w:val="18"/>
              </w:rPr>
              <w:t>4</w:t>
            </w:r>
          </w:p>
        </w:tc>
        <w:tc>
          <w:tcPr>
            <w:tcW w:w="1205" w:type="dxa"/>
            <w:vAlign w:val="center"/>
          </w:tcPr>
          <w:p w14:paraId="242C8766"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563</w:t>
            </w:r>
          </w:p>
        </w:tc>
        <w:tc>
          <w:tcPr>
            <w:tcW w:w="775" w:type="dxa"/>
            <w:vAlign w:val="center"/>
          </w:tcPr>
          <w:p w14:paraId="5B53140B"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0.50</w:t>
            </w:r>
          </w:p>
        </w:tc>
        <w:tc>
          <w:tcPr>
            <w:tcW w:w="1260" w:type="dxa"/>
            <w:vAlign w:val="center"/>
          </w:tcPr>
          <w:p w14:paraId="1D34C87C" w14:textId="77777777" w:rsidR="009734AA" w:rsidRPr="005B2078" w:rsidRDefault="009734AA" w:rsidP="006B5173">
            <w:pPr>
              <w:spacing w:after="0" w:line="240" w:lineRule="auto"/>
              <w:jc w:val="center"/>
              <w:rPr>
                <w:color w:val="000000"/>
                <w:sz w:val="18"/>
                <w:szCs w:val="18"/>
              </w:rPr>
            </w:pPr>
            <w:r>
              <w:rPr>
                <w:color w:val="000000"/>
                <w:sz w:val="18"/>
                <w:szCs w:val="18"/>
              </w:rPr>
              <w:t>781.50</w:t>
            </w:r>
          </w:p>
        </w:tc>
        <w:tc>
          <w:tcPr>
            <w:tcW w:w="810" w:type="dxa"/>
            <w:vAlign w:val="center"/>
          </w:tcPr>
          <w:p w14:paraId="0CFBF266" w14:textId="0E8CEA39"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vAlign w:val="center"/>
          </w:tcPr>
          <w:p w14:paraId="388EF31F" w14:textId="4EA40BC5" w:rsidR="009734AA" w:rsidRPr="005B2078" w:rsidRDefault="009734AA" w:rsidP="006B5173">
            <w:pPr>
              <w:spacing w:after="0" w:line="240" w:lineRule="auto"/>
              <w:jc w:val="right"/>
              <w:rPr>
                <w:color w:val="000000"/>
                <w:sz w:val="18"/>
                <w:szCs w:val="18"/>
              </w:rPr>
            </w:pPr>
            <w:r w:rsidRPr="005B2078">
              <w:rPr>
                <w:color w:val="000000"/>
                <w:sz w:val="18"/>
                <w:szCs w:val="18"/>
              </w:rPr>
              <w:t>$1</w:t>
            </w:r>
            <w:r w:rsidR="000B0E8B">
              <w:rPr>
                <w:color w:val="000000"/>
                <w:sz w:val="18"/>
                <w:szCs w:val="18"/>
              </w:rPr>
              <w:t>5,630</w:t>
            </w:r>
            <w:r w:rsidRPr="005B2078">
              <w:rPr>
                <w:color w:val="000000"/>
                <w:sz w:val="18"/>
                <w:szCs w:val="18"/>
              </w:rPr>
              <w:t xml:space="preserve"> </w:t>
            </w:r>
          </w:p>
        </w:tc>
      </w:tr>
      <w:tr w:rsidR="009734AA" w:rsidRPr="005B2078" w14:paraId="13C70864" w14:textId="77777777" w:rsidTr="006B5173">
        <w:trPr>
          <w:trHeight w:val="274"/>
        </w:trPr>
        <w:tc>
          <w:tcPr>
            <w:tcW w:w="2723" w:type="dxa"/>
            <w:vAlign w:val="center"/>
          </w:tcPr>
          <w:p w14:paraId="43E77349" w14:textId="77777777" w:rsidR="009734AA" w:rsidRPr="005B2078" w:rsidRDefault="009734AA" w:rsidP="006B5173">
            <w:pPr>
              <w:spacing w:after="0" w:line="240" w:lineRule="auto"/>
              <w:rPr>
                <w:sz w:val="18"/>
              </w:rPr>
            </w:pPr>
            <w:r w:rsidRPr="005B2078">
              <w:rPr>
                <w:sz w:val="18"/>
              </w:rPr>
              <w:t>Corporate Request for DIL</w:t>
            </w:r>
          </w:p>
        </w:tc>
        <w:tc>
          <w:tcPr>
            <w:tcW w:w="1229" w:type="dxa"/>
            <w:vAlign w:val="center"/>
          </w:tcPr>
          <w:p w14:paraId="213E9E53" w14:textId="77777777" w:rsidR="009734AA" w:rsidRPr="005B2078" w:rsidRDefault="009734AA" w:rsidP="006B5173">
            <w:pPr>
              <w:spacing w:after="0" w:line="240" w:lineRule="auto"/>
              <w:jc w:val="center"/>
              <w:rPr>
                <w:sz w:val="18"/>
                <w:szCs w:val="18"/>
              </w:rPr>
            </w:pPr>
            <w:r>
              <w:rPr>
                <w:sz w:val="18"/>
                <w:szCs w:val="18"/>
              </w:rPr>
              <w:t>298</w:t>
            </w:r>
          </w:p>
        </w:tc>
        <w:tc>
          <w:tcPr>
            <w:tcW w:w="903" w:type="dxa"/>
            <w:vAlign w:val="center"/>
          </w:tcPr>
          <w:p w14:paraId="7A4C91B8" w14:textId="716A1FBC" w:rsidR="009734AA" w:rsidRPr="000B0E8B" w:rsidRDefault="009734AA" w:rsidP="006B5173">
            <w:pPr>
              <w:spacing w:after="0" w:line="240" w:lineRule="auto"/>
              <w:jc w:val="center"/>
              <w:rPr>
                <w:color w:val="000000"/>
                <w:sz w:val="18"/>
                <w:szCs w:val="18"/>
              </w:rPr>
            </w:pPr>
            <w:r w:rsidRPr="000B0E8B">
              <w:rPr>
                <w:color w:val="000000"/>
                <w:sz w:val="18"/>
                <w:szCs w:val="18"/>
              </w:rPr>
              <w:t>0.52</w:t>
            </w:r>
          </w:p>
        </w:tc>
        <w:tc>
          <w:tcPr>
            <w:tcW w:w="1205" w:type="dxa"/>
            <w:vAlign w:val="center"/>
          </w:tcPr>
          <w:p w14:paraId="667F2931" w14:textId="77777777" w:rsidR="009734AA" w:rsidRPr="005B2078" w:rsidRDefault="009734AA" w:rsidP="006B5173">
            <w:pPr>
              <w:spacing w:after="0" w:line="240" w:lineRule="auto"/>
              <w:jc w:val="center"/>
              <w:rPr>
                <w:color w:val="000000"/>
                <w:sz w:val="18"/>
                <w:szCs w:val="18"/>
              </w:rPr>
            </w:pPr>
            <w:r w:rsidRPr="005B2078">
              <w:rPr>
                <w:color w:val="000000"/>
                <w:sz w:val="18"/>
              </w:rPr>
              <w:t>1</w:t>
            </w:r>
            <w:r>
              <w:rPr>
                <w:color w:val="000000"/>
                <w:sz w:val="18"/>
              </w:rPr>
              <w:t>55</w:t>
            </w:r>
          </w:p>
        </w:tc>
        <w:tc>
          <w:tcPr>
            <w:tcW w:w="775" w:type="dxa"/>
            <w:vAlign w:val="center"/>
          </w:tcPr>
          <w:p w14:paraId="375C25A0" w14:textId="77814BAB" w:rsidR="009734AA" w:rsidRPr="005B2078" w:rsidRDefault="009734AA" w:rsidP="006B5173">
            <w:pPr>
              <w:spacing w:after="0" w:line="240" w:lineRule="auto"/>
              <w:ind w:right="141"/>
              <w:jc w:val="center"/>
              <w:rPr>
                <w:color w:val="000000"/>
                <w:sz w:val="18"/>
                <w:szCs w:val="18"/>
              </w:rPr>
            </w:pPr>
            <w:r w:rsidRPr="005B2078">
              <w:rPr>
                <w:color w:val="000000"/>
                <w:sz w:val="18"/>
              </w:rPr>
              <w:t>0.5</w:t>
            </w:r>
            <w:r w:rsidR="000B0E8B">
              <w:rPr>
                <w:color w:val="000000"/>
                <w:sz w:val="18"/>
              </w:rPr>
              <w:t>0</w:t>
            </w:r>
          </w:p>
        </w:tc>
        <w:tc>
          <w:tcPr>
            <w:tcW w:w="1260" w:type="dxa"/>
            <w:vAlign w:val="center"/>
          </w:tcPr>
          <w:p w14:paraId="651C4962" w14:textId="77777777" w:rsidR="009734AA" w:rsidRPr="005B2078" w:rsidRDefault="009734AA" w:rsidP="006B5173">
            <w:pPr>
              <w:spacing w:after="0" w:line="240" w:lineRule="auto"/>
              <w:jc w:val="center"/>
              <w:rPr>
                <w:color w:val="000000"/>
                <w:sz w:val="18"/>
                <w:szCs w:val="18"/>
              </w:rPr>
            </w:pPr>
            <w:r>
              <w:rPr>
                <w:color w:val="000000"/>
                <w:sz w:val="18"/>
                <w:szCs w:val="18"/>
              </w:rPr>
              <w:t>77.50</w:t>
            </w:r>
          </w:p>
        </w:tc>
        <w:tc>
          <w:tcPr>
            <w:tcW w:w="810" w:type="dxa"/>
            <w:vAlign w:val="center"/>
          </w:tcPr>
          <w:p w14:paraId="093821C7" w14:textId="067DE052"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vAlign w:val="center"/>
          </w:tcPr>
          <w:p w14:paraId="4974755B" w14:textId="207EA553" w:rsidR="009734AA" w:rsidRPr="005B2078" w:rsidRDefault="009734AA" w:rsidP="006B5173">
            <w:pPr>
              <w:spacing w:after="0" w:line="240" w:lineRule="auto"/>
              <w:jc w:val="right"/>
              <w:rPr>
                <w:color w:val="000000"/>
                <w:sz w:val="18"/>
                <w:szCs w:val="18"/>
              </w:rPr>
            </w:pPr>
            <w:r w:rsidRPr="005B2078">
              <w:rPr>
                <w:color w:val="000000"/>
                <w:sz w:val="18"/>
                <w:szCs w:val="18"/>
              </w:rPr>
              <w:t>$1,</w:t>
            </w:r>
            <w:r w:rsidR="000B0E8B">
              <w:rPr>
                <w:color w:val="000000"/>
                <w:sz w:val="18"/>
                <w:szCs w:val="18"/>
              </w:rPr>
              <w:t>550</w:t>
            </w:r>
            <w:r w:rsidRPr="005B2078">
              <w:rPr>
                <w:color w:val="000000"/>
                <w:sz w:val="18"/>
                <w:szCs w:val="18"/>
              </w:rPr>
              <w:t xml:space="preserve"> </w:t>
            </w:r>
          </w:p>
        </w:tc>
      </w:tr>
      <w:tr w:rsidR="009734AA" w:rsidRPr="005B2078" w14:paraId="5C69AB93" w14:textId="77777777" w:rsidTr="006B5173">
        <w:trPr>
          <w:trHeight w:val="274"/>
        </w:trPr>
        <w:tc>
          <w:tcPr>
            <w:tcW w:w="2723" w:type="dxa"/>
            <w:vAlign w:val="center"/>
          </w:tcPr>
          <w:p w14:paraId="5599A01F" w14:textId="77777777" w:rsidR="009734AA" w:rsidRPr="005B2078" w:rsidRDefault="009734AA" w:rsidP="006B5173">
            <w:pPr>
              <w:spacing w:after="0" w:line="240" w:lineRule="auto"/>
              <w:rPr>
                <w:sz w:val="18"/>
              </w:rPr>
            </w:pPr>
            <w:r w:rsidRPr="005B2078">
              <w:rPr>
                <w:sz w:val="18"/>
              </w:rPr>
              <w:t>HUD Approval, “Corporate Only”</w:t>
            </w:r>
          </w:p>
        </w:tc>
        <w:tc>
          <w:tcPr>
            <w:tcW w:w="1229" w:type="dxa"/>
            <w:vAlign w:val="center"/>
          </w:tcPr>
          <w:p w14:paraId="01A09D28" w14:textId="77777777" w:rsidR="009734AA" w:rsidRPr="005B2078" w:rsidRDefault="009734AA" w:rsidP="006B5173">
            <w:pPr>
              <w:spacing w:after="0" w:line="240" w:lineRule="auto"/>
              <w:jc w:val="center"/>
              <w:rPr>
                <w:sz w:val="18"/>
                <w:szCs w:val="18"/>
              </w:rPr>
            </w:pPr>
            <w:r>
              <w:rPr>
                <w:sz w:val="18"/>
                <w:szCs w:val="18"/>
              </w:rPr>
              <w:t>298</w:t>
            </w:r>
          </w:p>
        </w:tc>
        <w:tc>
          <w:tcPr>
            <w:tcW w:w="903" w:type="dxa"/>
            <w:vAlign w:val="center"/>
          </w:tcPr>
          <w:p w14:paraId="09B9BD7C" w14:textId="0F506B4E" w:rsidR="009734AA" w:rsidRPr="000B0E8B" w:rsidRDefault="009734AA" w:rsidP="006B5173">
            <w:pPr>
              <w:spacing w:after="0" w:line="240" w:lineRule="auto"/>
              <w:jc w:val="center"/>
              <w:rPr>
                <w:color w:val="000000"/>
                <w:sz w:val="18"/>
                <w:szCs w:val="18"/>
              </w:rPr>
            </w:pPr>
            <w:r w:rsidRPr="000B0E8B">
              <w:rPr>
                <w:color w:val="000000"/>
                <w:sz w:val="18"/>
                <w:szCs w:val="18"/>
              </w:rPr>
              <w:t>0.52</w:t>
            </w:r>
          </w:p>
        </w:tc>
        <w:tc>
          <w:tcPr>
            <w:tcW w:w="1205" w:type="dxa"/>
            <w:vAlign w:val="center"/>
          </w:tcPr>
          <w:p w14:paraId="35A6E922" w14:textId="77777777" w:rsidR="009734AA" w:rsidRPr="005B2078" w:rsidRDefault="009734AA" w:rsidP="006B5173">
            <w:pPr>
              <w:spacing w:after="0" w:line="240" w:lineRule="auto"/>
              <w:jc w:val="center"/>
              <w:rPr>
                <w:color w:val="000000"/>
                <w:sz w:val="18"/>
                <w:szCs w:val="18"/>
              </w:rPr>
            </w:pPr>
            <w:r w:rsidRPr="005B2078">
              <w:rPr>
                <w:color w:val="000000"/>
                <w:sz w:val="18"/>
              </w:rPr>
              <w:t>1</w:t>
            </w:r>
            <w:r>
              <w:rPr>
                <w:color w:val="000000"/>
                <w:sz w:val="18"/>
              </w:rPr>
              <w:t>55</w:t>
            </w:r>
          </w:p>
        </w:tc>
        <w:tc>
          <w:tcPr>
            <w:tcW w:w="775" w:type="dxa"/>
            <w:vAlign w:val="center"/>
          </w:tcPr>
          <w:p w14:paraId="5F4A8D56"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1.00</w:t>
            </w:r>
          </w:p>
        </w:tc>
        <w:tc>
          <w:tcPr>
            <w:tcW w:w="1260" w:type="dxa"/>
            <w:vAlign w:val="center"/>
          </w:tcPr>
          <w:p w14:paraId="4A1D0571"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55.00</w:t>
            </w:r>
          </w:p>
        </w:tc>
        <w:tc>
          <w:tcPr>
            <w:tcW w:w="810" w:type="dxa"/>
            <w:vAlign w:val="center"/>
          </w:tcPr>
          <w:p w14:paraId="56669ACA" w14:textId="7AA7D9A6"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vAlign w:val="center"/>
          </w:tcPr>
          <w:p w14:paraId="394D0FF3" w14:textId="20EBE329" w:rsidR="009734AA" w:rsidRPr="005B2078" w:rsidRDefault="009734AA" w:rsidP="006B5173">
            <w:pPr>
              <w:spacing w:after="0" w:line="240" w:lineRule="auto"/>
              <w:jc w:val="right"/>
              <w:rPr>
                <w:color w:val="000000"/>
                <w:sz w:val="18"/>
                <w:szCs w:val="18"/>
              </w:rPr>
            </w:pPr>
            <w:r w:rsidRPr="005B2078">
              <w:rPr>
                <w:color w:val="000000"/>
                <w:sz w:val="18"/>
                <w:szCs w:val="18"/>
              </w:rPr>
              <w:t>$</w:t>
            </w:r>
            <w:r>
              <w:rPr>
                <w:color w:val="000000"/>
                <w:sz w:val="18"/>
                <w:szCs w:val="18"/>
              </w:rPr>
              <w:t>3</w:t>
            </w:r>
            <w:r w:rsidR="000B0E8B">
              <w:rPr>
                <w:color w:val="000000"/>
                <w:sz w:val="18"/>
                <w:szCs w:val="18"/>
              </w:rPr>
              <w:t>,100</w:t>
            </w:r>
            <w:r w:rsidRPr="005B2078">
              <w:rPr>
                <w:color w:val="000000"/>
                <w:sz w:val="18"/>
                <w:szCs w:val="18"/>
              </w:rPr>
              <w:t xml:space="preserve"> </w:t>
            </w:r>
          </w:p>
        </w:tc>
      </w:tr>
      <w:tr w:rsidR="009734AA" w:rsidRPr="005B2078" w14:paraId="63078D1C" w14:textId="77777777" w:rsidTr="006B5173">
        <w:trPr>
          <w:trHeight w:val="301"/>
        </w:trPr>
        <w:tc>
          <w:tcPr>
            <w:tcW w:w="2723" w:type="dxa"/>
            <w:vAlign w:val="center"/>
          </w:tcPr>
          <w:p w14:paraId="5CE81F7C" w14:textId="25E2F79B" w:rsidR="009734AA" w:rsidRPr="005B2078" w:rsidRDefault="000B0E8B" w:rsidP="006B5173">
            <w:pPr>
              <w:spacing w:after="0" w:line="240" w:lineRule="auto"/>
              <w:rPr>
                <w:sz w:val="18"/>
              </w:rPr>
            </w:pPr>
            <w:r>
              <w:rPr>
                <w:sz w:val="18"/>
              </w:rPr>
              <w:t xml:space="preserve">DIL - </w:t>
            </w:r>
            <w:r w:rsidR="009734AA" w:rsidRPr="005B2078">
              <w:rPr>
                <w:sz w:val="18"/>
              </w:rPr>
              <w:t xml:space="preserve">HUD-27011 </w:t>
            </w:r>
            <w:r>
              <w:rPr>
                <w:sz w:val="18"/>
              </w:rPr>
              <w:t xml:space="preserve">Single Family Application </w:t>
            </w:r>
            <w:r w:rsidR="009734AA" w:rsidRPr="005B2078">
              <w:rPr>
                <w:sz w:val="18"/>
              </w:rPr>
              <w:t>for Insurance Benefits</w:t>
            </w:r>
          </w:p>
        </w:tc>
        <w:tc>
          <w:tcPr>
            <w:tcW w:w="1229" w:type="dxa"/>
            <w:vAlign w:val="center"/>
          </w:tcPr>
          <w:p w14:paraId="500CC644" w14:textId="77777777" w:rsidR="009734AA" w:rsidRPr="005B2078" w:rsidRDefault="009734AA" w:rsidP="006B5173">
            <w:pPr>
              <w:spacing w:after="0" w:line="240" w:lineRule="auto"/>
              <w:jc w:val="center"/>
              <w:rPr>
                <w:sz w:val="18"/>
                <w:szCs w:val="18"/>
              </w:rPr>
            </w:pPr>
            <w:r>
              <w:rPr>
                <w:sz w:val="18"/>
                <w:szCs w:val="18"/>
              </w:rPr>
              <w:t>298</w:t>
            </w:r>
          </w:p>
        </w:tc>
        <w:tc>
          <w:tcPr>
            <w:tcW w:w="903" w:type="dxa"/>
            <w:vAlign w:val="center"/>
          </w:tcPr>
          <w:p w14:paraId="151EFFF7" w14:textId="15F047A4" w:rsidR="009734AA" w:rsidRPr="005B2078" w:rsidRDefault="009734AA" w:rsidP="006B5173">
            <w:pPr>
              <w:spacing w:after="0" w:line="240" w:lineRule="auto"/>
              <w:jc w:val="center"/>
              <w:rPr>
                <w:color w:val="000000"/>
                <w:sz w:val="18"/>
                <w:szCs w:val="18"/>
              </w:rPr>
            </w:pPr>
            <w:r w:rsidRPr="005B2078">
              <w:rPr>
                <w:color w:val="000000"/>
                <w:sz w:val="18"/>
                <w:szCs w:val="18"/>
              </w:rPr>
              <w:t>5.</w:t>
            </w:r>
            <w:r>
              <w:rPr>
                <w:color w:val="000000"/>
                <w:sz w:val="18"/>
                <w:szCs w:val="18"/>
              </w:rPr>
              <w:t>2</w:t>
            </w:r>
            <w:r w:rsidR="000B0E8B">
              <w:rPr>
                <w:color w:val="000000"/>
                <w:sz w:val="18"/>
                <w:szCs w:val="18"/>
              </w:rPr>
              <w:t>4</w:t>
            </w:r>
          </w:p>
        </w:tc>
        <w:tc>
          <w:tcPr>
            <w:tcW w:w="1205" w:type="dxa"/>
            <w:vAlign w:val="center"/>
          </w:tcPr>
          <w:p w14:paraId="614E515D"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563</w:t>
            </w:r>
          </w:p>
        </w:tc>
        <w:tc>
          <w:tcPr>
            <w:tcW w:w="775" w:type="dxa"/>
            <w:vAlign w:val="center"/>
          </w:tcPr>
          <w:p w14:paraId="14944430"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0.50</w:t>
            </w:r>
          </w:p>
        </w:tc>
        <w:tc>
          <w:tcPr>
            <w:tcW w:w="1260" w:type="dxa"/>
            <w:vAlign w:val="center"/>
          </w:tcPr>
          <w:p w14:paraId="1708B264" w14:textId="77777777" w:rsidR="009734AA" w:rsidRPr="005B2078" w:rsidRDefault="009734AA" w:rsidP="006B5173">
            <w:pPr>
              <w:spacing w:after="0" w:line="240" w:lineRule="auto"/>
              <w:jc w:val="center"/>
              <w:rPr>
                <w:color w:val="000000"/>
                <w:sz w:val="18"/>
                <w:szCs w:val="18"/>
              </w:rPr>
            </w:pPr>
            <w:r>
              <w:rPr>
                <w:color w:val="000000"/>
                <w:sz w:val="18"/>
                <w:szCs w:val="18"/>
              </w:rPr>
              <w:t>781.50</w:t>
            </w:r>
          </w:p>
        </w:tc>
        <w:tc>
          <w:tcPr>
            <w:tcW w:w="810" w:type="dxa"/>
            <w:vAlign w:val="center"/>
          </w:tcPr>
          <w:p w14:paraId="43B06EB5" w14:textId="1575AD91"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vAlign w:val="center"/>
          </w:tcPr>
          <w:p w14:paraId="6294016D" w14:textId="041D5E8B" w:rsidR="009734AA" w:rsidRPr="005B2078" w:rsidRDefault="009734AA" w:rsidP="006B5173">
            <w:pPr>
              <w:spacing w:after="0" w:line="240" w:lineRule="auto"/>
              <w:jc w:val="right"/>
              <w:rPr>
                <w:color w:val="000000"/>
                <w:sz w:val="18"/>
                <w:szCs w:val="18"/>
              </w:rPr>
            </w:pPr>
            <w:r w:rsidRPr="005B2078">
              <w:rPr>
                <w:color w:val="000000"/>
                <w:sz w:val="18"/>
                <w:szCs w:val="18"/>
              </w:rPr>
              <w:t>$1</w:t>
            </w:r>
            <w:r w:rsidR="000B0E8B">
              <w:rPr>
                <w:color w:val="000000"/>
                <w:sz w:val="18"/>
                <w:szCs w:val="18"/>
              </w:rPr>
              <w:t>5,630</w:t>
            </w:r>
          </w:p>
        </w:tc>
      </w:tr>
      <w:tr w:rsidR="009734AA" w:rsidRPr="005B2078" w14:paraId="09DB4F1A" w14:textId="77777777" w:rsidTr="006B5173">
        <w:trPr>
          <w:trHeight w:val="256"/>
        </w:trPr>
        <w:tc>
          <w:tcPr>
            <w:tcW w:w="2723" w:type="dxa"/>
            <w:tcBorders>
              <w:bottom w:val="single" w:sz="4" w:space="0" w:color="auto"/>
            </w:tcBorders>
            <w:vAlign w:val="center"/>
          </w:tcPr>
          <w:p w14:paraId="33BD5532" w14:textId="77777777" w:rsidR="009734AA" w:rsidRPr="005B2078" w:rsidRDefault="009734AA" w:rsidP="006B5173">
            <w:pPr>
              <w:spacing w:after="0" w:line="240" w:lineRule="auto"/>
              <w:rPr>
                <w:sz w:val="18"/>
              </w:rPr>
            </w:pPr>
            <w:r w:rsidRPr="005B2078">
              <w:rPr>
                <w:sz w:val="18"/>
              </w:rPr>
              <w:t>DIL Record Retention</w:t>
            </w:r>
          </w:p>
        </w:tc>
        <w:tc>
          <w:tcPr>
            <w:tcW w:w="1229" w:type="dxa"/>
            <w:tcBorders>
              <w:bottom w:val="single" w:sz="4" w:space="0" w:color="auto"/>
            </w:tcBorders>
            <w:vAlign w:val="center"/>
          </w:tcPr>
          <w:p w14:paraId="017A39D5" w14:textId="77777777" w:rsidR="009734AA" w:rsidRPr="005B2078" w:rsidRDefault="009734AA" w:rsidP="006B5173">
            <w:pPr>
              <w:spacing w:after="0" w:line="240" w:lineRule="auto"/>
              <w:jc w:val="center"/>
              <w:rPr>
                <w:sz w:val="18"/>
                <w:szCs w:val="18"/>
              </w:rPr>
            </w:pPr>
            <w:r>
              <w:rPr>
                <w:sz w:val="18"/>
                <w:szCs w:val="18"/>
              </w:rPr>
              <w:t>298</w:t>
            </w:r>
          </w:p>
        </w:tc>
        <w:tc>
          <w:tcPr>
            <w:tcW w:w="903" w:type="dxa"/>
            <w:tcBorders>
              <w:bottom w:val="single" w:sz="4" w:space="0" w:color="auto"/>
            </w:tcBorders>
            <w:vAlign w:val="center"/>
          </w:tcPr>
          <w:p w14:paraId="49094B9D" w14:textId="4EA22600" w:rsidR="009734AA" w:rsidRPr="005B2078" w:rsidRDefault="009734AA" w:rsidP="006B5173">
            <w:pPr>
              <w:spacing w:after="0" w:line="240" w:lineRule="auto"/>
              <w:jc w:val="center"/>
              <w:rPr>
                <w:color w:val="000000"/>
                <w:sz w:val="18"/>
                <w:szCs w:val="18"/>
              </w:rPr>
            </w:pPr>
            <w:r w:rsidRPr="005B2078">
              <w:rPr>
                <w:color w:val="000000"/>
                <w:sz w:val="18"/>
                <w:szCs w:val="18"/>
              </w:rPr>
              <w:t>5.</w:t>
            </w:r>
            <w:r>
              <w:rPr>
                <w:color w:val="000000"/>
                <w:sz w:val="18"/>
                <w:szCs w:val="18"/>
              </w:rPr>
              <w:t>2</w:t>
            </w:r>
            <w:r w:rsidR="000B0E8B">
              <w:rPr>
                <w:color w:val="000000"/>
                <w:sz w:val="18"/>
                <w:szCs w:val="18"/>
              </w:rPr>
              <w:t>4</w:t>
            </w:r>
          </w:p>
        </w:tc>
        <w:tc>
          <w:tcPr>
            <w:tcW w:w="1205" w:type="dxa"/>
            <w:tcBorders>
              <w:bottom w:val="single" w:sz="4" w:space="0" w:color="auto"/>
            </w:tcBorders>
            <w:vAlign w:val="center"/>
          </w:tcPr>
          <w:p w14:paraId="04A69876"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563</w:t>
            </w:r>
          </w:p>
        </w:tc>
        <w:tc>
          <w:tcPr>
            <w:tcW w:w="775" w:type="dxa"/>
            <w:tcBorders>
              <w:bottom w:val="single" w:sz="4" w:space="0" w:color="auto"/>
            </w:tcBorders>
            <w:vAlign w:val="center"/>
          </w:tcPr>
          <w:p w14:paraId="06339E51"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1.00</w:t>
            </w:r>
          </w:p>
        </w:tc>
        <w:tc>
          <w:tcPr>
            <w:tcW w:w="1260" w:type="dxa"/>
            <w:tcBorders>
              <w:bottom w:val="single" w:sz="4" w:space="0" w:color="auto"/>
            </w:tcBorders>
            <w:vAlign w:val="center"/>
          </w:tcPr>
          <w:p w14:paraId="054D4CCA" w14:textId="77777777" w:rsidR="009734AA" w:rsidRPr="005B2078" w:rsidRDefault="009734AA" w:rsidP="006B5173">
            <w:pPr>
              <w:spacing w:after="0" w:line="240" w:lineRule="auto"/>
              <w:jc w:val="center"/>
              <w:rPr>
                <w:color w:val="000000"/>
                <w:sz w:val="18"/>
                <w:szCs w:val="18"/>
              </w:rPr>
            </w:pPr>
            <w:r w:rsidRPr="005B2078">
              <w:rPr>
                <w:color w:val="000000"/>
                <w:sz w:val="18"/>
                <w:szCs w:val="18"/>
              </w:rPr>
              <w:t>1,</w:t>
            </w:r>
            <w:r>
              <w:rPr>
                <w:color w:val="000000"/>
                <w:sz w:val="18"/>
                <w:szCs w:val="18"/>
              </w:rPr>
              <w:t>5</w:t>
            </w:r>
            <w:r w:rsidRPr="005B2078">
              <w:rPr>
                <w:color w:val="000000"/>
                <w:sz w:val="18"/>
                <w:szCs w:val="18"/>
              </w:rPr>
              <w:t>63.00</w:t>
            </w:r>
          </w:p>
        </w:tc>
        <w:tc>
          <w:tcPr>
            <w:tcW w:w="810" w:type="dxa"/>
            <w:tcBorders>
              <w:bottom w:val="single" w:sz="4" w:space="0" w:color="auto"/>
            </w:tcBorders>
            <w:vAlign w:val="center"/>
          </w:tcPr>
          <w:p w14:paraId="0187A02D" w14:textId="602F169B"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tcBorders>
              <w:bottom w:val="single" w:sz="4" w:space="0" w:color="auto"/>
            </w:tcBorders>
            <w:vAlign w:val="center"/>
          </w:tcPr>
          <w:p w14:paraId="4B189A11" w14:textId="51D54057" w:rsidR="009734AA" w:rsidRPr="005B2078" w:rsidRDefault="009734AA" w:rsidP="006B5173">
            <w:pPr>
              <w:spacing w:after="0" w:line="240" w:lineRule="auto"/>
              <w:jc w:val="right"/>
              <w:rPr>
                <w:color w:val="000000"/>
                <w:sz w:val="18"/>
                <w:szCs w:val="18"/>
              </w:rPr>
            </w:pPr>
            <w:r w:rsidRPr="005B2078">
              <w:rPr>
                <w:color w:val="000000"/>
                <w:sz w:val="18"/>
                <w:szCs w:val="18"/>
              </w:rPr>
              <w:t>$</w:t>
            </w:r>
            <w:r w:rsidR="000B0E8B">
              <w:rPr>
                <w:color w:val="000000"/>
                <w:sz w:val="18"/>
                <w:szCs w:val="18"/>
              </w:rPr>
              <w:t>31,260</w:t>
            </w:r>
            <w:r w:rsidRPr="005B2078">
              <w:rPr>
                <w:color w:val="000000"/>
                <w:sz w:val="18"/>
                <w:szCs w:val="18"/>
              </w:rPr>
              <w:t xml:space="preserve"> </w:t>
            </w:r>
          </w:p>
        </w:tc>
      </w:tr>
      <w:tr w:rsidR="009734AA" w:rsidRPr="005B2078" w14:paraId="51625F51" w14:textId="77777777" w:rsidTr="006B5173">
        <w:trPr>
          <w:trHeight w:val="256"/>
        </w:trPr>
        <w:tc>
          <w:tcPr>
            <w:tcW w:w="2723" w:type="dxa"/>
            <w:shd w:val="clear" w:color="auto" w:fill="E0E0E0"/>
            <w:vAlign w:val="center"/>
          </w:tcPr>
          <w:p w14:paraId="3D765DFB" w14:textId="77777777" w:rsidR="009734AA" w:rsidRPr="005B2078" w:rsidRDefault="009734AA" w:rsidP="006B5173">
            <w:pPr>
              <w:spacing w:after="0" w:line="240" w:lineRule="auto"/>
              <w:rPr>
                <w:b/>
                <w:sz w:val="18"/>
              </w:rPr>
            </w:pPr>
            <w:r w:rsidRPr="005B2078">
              <w:rPr>
                <w:b/>
                <w:sz w:val="18"/>
              </w:rPr>
              <w:t>Tier Ranking</w:t>
            </w:r>
          </w:p>
        </w:tc>
        <w:tc>
          <w:tcPr>
            <w:tcW w:w="1229" w:type="dxa"/>
            <w:shd w:val="clear" w:color="auto" w:fill="E0E0E0"/>
            <w:vAlign w:val="center"/>
          </w:tcPr>
          <w:p w14:paraId="01002F3E" w14:textId="77777777" w:rsidR="009734AA" w:rsidRPr="005B2078" w:rsidRDefault="009734AA" w:rsidP="006B5173">
            <w:pPr>
              <w:spacing w:after="0" w:line="240" w:lineRule="auto"/>
              <w:jc w:val="center"/>
              <w:rPr>
                <w:sz w:val="18"/>
                <w:szCs w:val="18"/>
              </w:rPr>
            </w:pPr>
          </w:p>
        </w:tc>
        <w:tc>
          <w:tcPr>
            <w:tcW w:w="903" w:type="dxa"/>
            <w:shd w:val="clear" w:color="auto" w:fill="E0E0E0"/>
            <w:vAlign w:val="center"/>
          </w:tcPr>
          <w:p w14:paraId="7F2114D1" w14:textId="77777777" w:rsidR="009734AA" w:rsidRPr="005B2078" w:rsidRDefault="009734AA" w:rsidP="006B5173">
            <w:pPr>
              <w:spacing w:after="0" w:line="240" w:lineRule="auto"/>
              <w:jc w:val="center"/>
              <w:rPr>
                <w:sz w:val="18"/>
              </w:rPr>
            </w:pPr>
          </w:p>
        </w:tc>
        <w:tc>
          <w:tcPr>
            <w:tcW w:w="1205" w:type="dxa"/>
            <w:shd w:val="clear" w:color="auto" w:fill="E0E0E0"/>
            <w:vAlign w:val="center"/>
          </w:tcPr>
          <w:p w14:paraId="33289814" w14:textId="77777777" w:rsidR="009734AA" w:rsidRPr="005B2078" w:rsidRDefault="009734AA" w:rsidP="006B5173">
            <w:pPr>
              <w:spacing w:after="0" w:line="240" w:lineRule="auto"/>
              <w:jc w:val="center"/>
              <w:rPr>
                <w:sz w:val="18"/>
              </w:rPr>
            </w:pPr>
          </w:p>
        </w:tc>
        <w:tc>
          <w:tcPr>
            <w:tcW w:w="775" w:type="dxa"/>
            <w:shd w:val="clear" w:color="auto" w:fill="E0E0E0"/>
            <w:vAlign w:val="center"/>
          </w:tcPr>
          <w:p w14:paraId="375F09EA" w14:textId="77777777" w:rsidR="009734AA" w:rsidRPr="005B2078" w:rsidRDefault="009734AA" w:rsidP="006B5173">
            <w:pPr>
              <w:spacing w:after="0" w:line="240" w:lineRule="auto"/>
              <w:ind w:right="141"/>
              <w:jc w:val="center"/>
              <w:rPr>
                <w:sz w:val="18"/>
              </w:rPr>
            </w:pPr>
          </w:p>
        </w:tc>
        <w:tc>
          <w:tcPr>
            <w:tcW w:w="1260" w:type="dxa"/>
            <w:shd w:val="clear" w:color="auto" w:fill="E0E0E0"/>
            <w:vAlign w:val="center"/>
          </w:tcPr>
          <w:p w14:paraId="540C16E5" w14:textId="77777777" w:rsidR="009734AA" w:rsidRPr="005B2078" w:rsidRDefault="009734AA" w:rsidP="006B5173">
            <w:pPr>
              <w:spacing w:after="0" w:line="240" w:lineRule="auto"/>
              <w:jc w:val="center"/>
              <w:rPr>
                <w:sz w:val="18"/>
              </w:rPr>
            </w:pPr>
          </w:p>
        </w:tc>
        <w:tc>
          <w:tcPr>
            <w:tcW w:w="810" w:type="dxa"/>
            <w:shd w:val="clear" w:color="auto" w:fill="E0E0E0"/>
            <w:vAlign w:val="center"/>
          </w:tcPr>
          <w:p w14:paraId="6ED73491" w14:textId="77777777" w:rsidR="009734AA" w:rsidRPr="005B2078" w:rsidRDefault="009734AA" w:rsidP="006B5173">
            <w:pPr>
              <w:spacing w:after="0" w:line="240" w:lineRule="auto"/>
              <w:jc w:val="center"/>
              <w:rPr>
                <w:sz w:val="18"/>
              </w:rPr>
            </w:pPr>
          </w:p>
        </w:tc>
        <w:tc>
          <w:tcPr>
            <w:tcW w:w="1373" w:type="dxa"/>
            <w:shd w:val="clear" w:color="auto" w:fill="E0E0E0"/>
            <w:vAlign w:val="center"/>
          </w:tcPr>
          <w:p w14:paraId="510895A9" w14:textId="77777777" w:rsidR="009734AA" w:rsidRPr="005B2078" w:rsidRDefault="009734AA" w:rsidP="006B5173">
            <w:pPr>
              <w:spacing w:after="0" w:line="240" w:lineRule="auto"/>
              <w:jc w:val="right"/>
              <w:rPr>
                <w:sz w:val="18"/>
              </w:rPr>
            </w:pPr>
          </w:p>
        </w:tc>
      </w:tr>
      <w:tr w:rsidR="009734AA" w:rsidRPr="005B2078" w14:paraId="25891BBD" w14:textId="77777777" w:rsidTr="006B5173">
        <w:trPr>
          <w:trHeight w:val="256"/>
        </w:trPr>
        <w:tc>
          <w:tcPr>
            <w:tcW w:w="2723" w:type="dxa"/>
            <w:tcBorders>
              <w:bottom w:val="single" w:sz="4" w:space="0" w:color="auto"/>
            </w:tcBorders>
            <w:vAlign w:val="center"/>
          </w:tcPr>
          <w:p w14:paraId="45EF87FB" w14:textId="77777777" w:rsidR="009734AA" w:rsidRPr="005B2078" w:rsidRDefault="009734AA" w:rsidP="006B5173">
            <w:pPr>
              <w:spacing w:after="0" w:line="240" w:lineRule="auto"/>
              <w:rPr>
                <w:sz w:val="18"/>
              </w:rPr>
            </w:pPr>
            <w:r w:rsidRPr="005B2078">
              <w:rPr>
                <w:sz w:val="18"/>
              </w:rPr>
              <w:t>Mortgagee Communication (verbal/email)</w:t>
            </w:r>
          </w:p>
        </w:tc>
        <w:tc>
          <w:tcPr>
            <w:tcW w:w="1229" w:type="dxa"/>
            <w:tcBorders>
              <w:bottom w:val="single" w:sz="4" w:space="0" w:color="auto"/>
            </w:tcBorders>
            <w:vAlign w:val="center"/>
          </w:tcPr>
          <w:p w14:paraId="1140950F" w14:textId="77777777" w:rsidR="009734AA" w:rsidRPr="005B2078" w:rsidRDefault="009734AA" w:rsidP="006B5173">
            <w:pPr>
              <w:spacing w:after="0" w:line="240" w:lineRule="auto"/>
              <w:jc w:val="center"/>
              <w:rPr>
                <w:sz w:val="18"/>
                <w:szCs w:val="18"/>
              </w:rPr>
            </w:pPr>
            <w:r w:rsidRPr="005B2078">
              <w:rPr>
                <w:sz w:val="18"/>
                <w:szCs w:val="18"/>
              </w:rPr>
              <w:t>2</w:t>
            </w:r>
            <w:r>
              <w:rPr>
                <w:sz w:val="18"/>
                <w:szCs w:val="18"/>
              </w:rPr>
              <w:t>25</w:t>
            </w:r>
          </w:p>
        </w:tc>
        <w:tc>
          <w:tcPr>
            <w:tcW w:w="903" w:type="dxa"/>
            <w:tcBorders>
              <w:bottom w:val="single" w:sz="4" w:space="0" w:color="auto"/>
            </w:tcBorders>
            <w:vAlign w:val="center"/>
          </w:tcPr>
          <w:p w14:paraId="75A31100" w14:textId="05250018" w:rsidR="009734AA" w:rsidRPr="005B2078" w:rsidRDefault="000B0E8B" w:rsidP="006B5173">
            <w:pPr>
              <w:spacing w:after="0" w:line="240" w:lineRule="auto"/>
              <w:jc w:val="center"/>
              <w:rPr>
                <w:color w:val="000000"/>
                <w:sz w:val="18"/>
                <w:szCs w:val="18"/>
              </w:rPr>
            </w:pPr>
            <w:r>
              <w:rPr>
                <w:color w:val="000000"/>
                <w:sz w:val="18"/>
                <w:szCs w:val="18"/>
              </w:rPr>
              <w:t>2.69</w:t>
            </w:r>
          </w:p>
        </w:tc>
        <w:tc>
          <w:tcPr>
            <w:tcW w:w="1205" w:type="dxa"/>
            <w:tcBorders>
              <w:bottom w:val="single" w:sz="4" w:space="0" w:color="auto"/>
            </w:tcBorders>
            <w:vAlign w:val="center"/>
          </w:tcPr>
          <w:p w14:paraId="0BD021D1" w14:textId="77777777" w:rsidR="009734AA" w:rsidRPr="005B2078" w:rsidRDefault="009734AA" w:rsidP="006B5173">
            <w:pPr>
              <w:spacing w:after="0" w:line="240" w:lineRule="auto"/>
              <w:jc w:val="center"/>
              <w:rPr>
                <w:color w:val="000000"/>
                <w:sz w:val="18"/>
                <w:szCs w:val="18"/>
              </w:rPr>
            </w:pPr>
            <w:r w:rsidRPr="005B2078">
              <w:rPr>
                <w:color w:val="000000"/>
                <w:sz w:val="18"/>
              </w:rPr>
              <w:t>606</w:t>
            </w:r>
          </w:p>
        </w:tc>
        <w:tc>
          <w:tcPr>
            <w:tcW w:w="775" w:type="dxa"/>
            <w:tcBorders>
              <w:bottom w:val="single" w:sz="4" w:space="0" w:color="auto"/>
            </w:tcBorders>
            <w:vAlign w:val="center"/>
          </w:tcPr>
          <w:p w14:paraId="4AAE094B"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1.00</w:t>
            </w:r>
          </w:p>
        </w:tc>
        <w:tc>
          <w:tcPr>
            <w:tcW w:w="1260" w:type="dxa"/>
            <w:tcBorders>
              <w:bottom w:val="single" w:sz="4" w:space="0" w:color="auto"/>
            </w:tcBorders>
            <w:vAlign w:val="center"/>
          </w:tcPr>
          <w:p w14:paraId="11A76F32" w14:textId="77777777" w:rsidR="009734AA" w:rsidRPr="005B2078" w:rsidRDefault="009734AA" w:rsidP="006B5173">
            <w:pPr>
              <w:spacing w:after="0" w:line="240" w:lineRule="auto"/>
              <w:jc w:val="center"/>
              <w:rPr>
                <w:color w:val="000000"/>
                <w:sz w:val="18"/>
                <w:szCs w:val="18"/>
              </w:rPr>
            </w:pPr>
            <w:r w:rsidRPr="005B2078">
              <w:rPr>
                <w:color w:val="000000"/>
                <w:sz w:val="18"/>
                <w:szCs w:val="18"/>
              </w:rPr>
              <w:t>606.00</w:t>
            </w:r>
          </w:p>
        </w:tc>
        <w:tc>
          <w:tcPr>
            <w:tcW w:w="810" w:type="dxa"/>
            <w:tcBorders>
              <w:bottom w:val="single" w:sz="4" w:space="0" w:color="auto"/>
            </w:tcBorders>
            <w:vAlign w:val="center"/>
          </w:tcPr>
          <w:p w14:paraId="5F6188AF" w14:textId="457F6FB0" w:rsidR="009734AA" w:rsidRPr="005B2078" w:rsidRDefault="009734AA" w:rsidP="006B5173">
            <w:pPr>
              <w:spacing w:after="0" w:line="240" w:lineRule="auto"/>
              <w:jc w:val="center"/>
              <w:rPr>
                <w:color w:val="000000"/>
                <w:sz w:val="18"/>
                <w:szCs w:val="18"/>
              </w:rPr>
            </w:pPr>
            <w:r w:rsidRPr="005B2078">
              <w:rPr>
                <w:color w:val="000000"/>
                <w:sz w:val="18"/>
              </w:rPr>
              <w:t>$</w:t>
            </w:r>
            <w:r w:rsidR="000B0E8B">
              <w:rPr>
                <w:color w:val="000000"/>
                <w:sz w:val="18"/>
              </w:rPr>
              <w:t>20</w:t>
            </w:r>
            <w:r w:rsidRPr="005B2078">
              <w:rPr>
                <w:color w:val="000000"/>
                <w:sz w:val="18"/>
              </w:rPr>
              <w:t xml:space="preserve">.00 </w:t>
            </w:r>
          </w:p>
        </w:tc>
        <w:tc>
          <w:tcPr>
            <w:tcW w:w="1373" w:type="dxa"/>
            <w:tcBorders>
              <w:bottom w:val="single" w:sz="4" w:space="0" w:color="auto"/>
            </w:tcBorders>
            <w:vAlign w:val="center"/>
          </w:tcPr>
          <w:p w14:paraId="3BC59244" w14:textId="1D2B0235" w:rsidR="009734AA" w:rsidRPr="005B2078" w:rsidRDefault="009734AA" w:rsidP="006B5173">
            <w:pPr>
              <w:spacing w:after="0" w:line="240" w:lineRule="auto"/>
              <w:jc w:val="right"/>
              <w:rPr>
                <w:color w:val="000000"/>
                <w:sz w:val="18"/>
                <w:szCs w:val="18"/>
              </w:rPr>
            </w:pPr>
            <w:r w:rsidRPr="005B2078">
              <w:rPr>
                <w:color w:val="000000"/>
                <w:sz w:val="18"/>
              </w:rPr>
              <w:t>$</w:t>
            </w:r>
            <w:r w:rsidR="000B0E8B">
              <w:rPr>
                <w:color w:val="000000"/>
                <w:sz w:val="18"/>
              </w:rPr>
              <w:t>12,12</w:t>
            </w:r>
            <w:r w:rsidRPr="005B2078">
              <w:rPr>
                <w:color w:val="000000"/>
                <w:sz w:val="18"/>
              </w:rPr>
              <w:t xml:space="preserve">0.00 </w:t>
            </w:r>
          </w:p>
        </w:tc>
      </w:tr>
      <w:tr w:rsidR="009734AA" w:rsidRPr="005B2078" w14:paraId="15E59230" w14:textId="77777777" w:rsidTr="006B5173">
        <w:trPr>
          <w:trHeight w:val="256"/>
        </w:trPr>
        <w:tc>
          <w:tcPr>
            <w:tcW w:w="2723" w:type="dxa"/>
            <w:shd w:val="clear" w:color="auto" w:fill="B3B3B3"/>
            <w:vAlign w:val="center"/>
          </w:tcPr>
          <w:p w14:paraId="17F9DDC1" w14:textId="77777777" w:rsidR="009734AA" w:rsidRPr="005B2078" w:rsidRDefault="009734AA" w:rsidP="006B5173">
            <w:pPr>
              <w:spacing w:after="0" w:line="240" w:lineRule="auto"/>
              <w:rPr>
                <w:sz w:val="18"/>
              </w:rPr>
            </w:pPr>
          </w:p>
        </w:tc>
        <w:tc>
          <w:tcPr>
            <w:tcW w:w="1229" w:type="dxa"/>
            <w:shd w:val="clear" w:color="auto" w:fill="B3B3B3"/>
            <w:vAlign w:val="center"/>
          </w:tcPr>
          <w:p w14:paraId="67BD0283" w14:textId="77777777" w:rsidR="009734AA" w:rsidRPr="005B2078" w:rsidRDefault="009734AA" w:rsidP="006B5173">
            <w:pPr>
              <w:spacing w:after="0" w:line="240" w:lineRule="auto"/>
              <w:jc w:val="center"/>
              <w:rPr>
                <w:sz w:val="18"/>
              </w:rPr>
            </w:pPr>
          </w:p>
        </w:tc>
        <w:tc>
          <w:tcPr>
            <w:tcW w:w="903" w:type="dxa"/>
            <w:shd w:val="clear" w:color="auto" w:fill="B3B3B3"/>
            <w:vAlign w:val="center"/>
          </w:tcPr>
          <w:p w14:paraId="59164DC8" w14:textId="77777777" w:rsidR="009734AA" w:rsidRPr="005B2078" w:rsidRDefault="009734AA" w:rsidP="006B5173">
            <w:pPr>
              <w:spacing w:after="0" w:line="240" w:lineRule="auto"/>
              <w:jc w:val="center"/>
              <w:rPr>
                <w:sz w:val="18"/>
              </w:rPr>
            </w:pPr>
          </w:p>
        </w:tc>
        <w:tc>
          <w:tcPr>
            <w:tcW w:w="1205" w:type="dxa"/>
            <w:shd w:val="clear" w:color="auto" w:fill="B3B3B3"/>
            <w:vAlign w:val="center"/>
          </w:tcPr>
          <w:p w14:paraId="47B2C49A" w14:textId="77777777" w:rsidR="009734AA" w:rsidRPr="005B2078" w:rsidRDefault="009734AA" w:rsidP="006B5173">
            <w:pPr>
              <w:spacing w:after="0" w:line="240" w:lineRule="auto"/>
              <w:jc w:val="center"/>
              <w:rPr>
                <w:sz w:val="18"/>
              </w:rPr>
            </w:pPr>
          </w:p>
        </w:tc>
        <w:tc>
          <w:tcPr>
            <w:tcW w:w="775" w:type="dxa"/>
            <w:shd w:val="clear" w:color="auto" w:fill="B3B3B3"/>
            <w:vAlign w:val="center"/>
          </w:tcPr>
          <w:p w14:paraId="302D24B5" w14:textId="77777777" w:rsidR="009734AA" w:rsidRPr="005B2078" w:rsidRDefault="009734AA" w:rsidP="006B5173">
            <w:pPr>
              <w:spacing w:after="0" w:line="240" w:lineRule="auto"/>
              <w:ind w:right="141"/>
              <w:jc w:val="center"/>
              <w:rPr>
                <w:sz w:val="18"/>
              </w:rPr>
            </w:pPr>
          </w:p>
        </w:tc>
        <w:tc>
          <w:tcPr>
            <w:tcW w:w="1260" w:type="dxa"/>
            <w:shd w:val="clear" w:color="auto" w:fill="B3B3B3"/>
            <w:vAlign w:val="center"/>
          </w:tcPr>
          <w:p w14:paraId="4EE608A6" w14:textId="77777777" w:rsidR="009734AA" w:rsidRPr="005B2078" w:rsidRDefault="009734AA" w:rsidP="006B5173">
            <w:pPr>
              <w:spacing w:after="0" w:line="240" w:lineRule="auto"/>
              <w:jc w:val="center"/>
              <w:rPr>
                <w:sz w:val="18"/>
              </w:rPr>
            </w:pPr>
          </w:p>
        </w:tc>
        <w:tc>
          <w:tcPr>
            <w:tcW w:w="810" w:type="dxa"/>
            <w:shd w:val="clear" w:color="auto" w:fill="B3B3B3"/>
            <w:vAlign w:val="center"/>
          </w:tcPr>
          <w:p w14:paraId="69E69A6D" w14:textId="77777777" w:rsidR="009734AA" w:rsidRPr="005B2078" w:rsidRDefault="009734AA" w:rsidP="006B5173">
            <w:pPr>
              <w:spacing w:after="0" w:line="240" w:lineRule="auto"/>
              <w:jc w:val="center"/>
              <w:rPr>
                <w:sz w:val="18"/>
              </w:rPr>
            </w:pPr>
          </w:p>
        </w:tc>
        <w:tc>
          <w:tcPr>
            <w:tcW w:w="1373" w:type="dxa"/>
            <w:shd w:val="clear" w:color="auto" w:fill="B3B3B3"/>
            <w:vAlign w:val="center"/>
          </w:tcPr>
          <w:p w14:paraId="4EBF246F" w14:textId="77777777" w:rsidR="009734AA" w:rsidRPr="005B2078" w:rsidRDefault="009734AA" w:rsidP="006B5173">
            <w:pPr>
              <w:spacing w:after="0" w:line="240" w:lineRule="auto"/>
              <w:jc w:val="right"/>
              <w:rPr>
                <w:sz w:val="18"/>
              </w:rPr>
            </w:pPr>
          </w:p>
        </w:tc>
      </w:tr>
      <w:tr w:rsidR="009734AA" w:rsidRPr="005B2078" w14:paraId="23BDB252" w14:textId="77777777" w:rsidTr="006B5173">
        <w:trPr>
          <w:trHeight w:val="256"/>
        </w:trPr>
        <w:tc>
          <w:tcPr>
            <w:tcW w:w="2723" w:type="dxa"/>
            <w:vAlign w:val="center"/>
          </w:tcPr>
          <w:p w14:paraId="23260971" w14:textId="77777777" w:rsidR="009734AA" w:rsidRPr="005B2078" w:rsidRDefault="009734AA" w:rsidP="006B5173">
            <w:pPr>
              <w:spacing w:after="0" w:line="240" w:lineRule="auto"/>
              <w:rPr>
                <w:sz w:val="18"/>
              </w:rPr>
            </w:pPr>
            <w:r w:rsidRPr="005B2078">
              <w:rPr>
                <w:sz w:val="18"/>
              </w:rPr>
              <w:t>Totals</w:t>
            </w:r>
          </w:p>
        </w:tc>
        <w:tc>
          <w:tcPr>
            <w:tcW w:w="1229" w:type="dxa"/>
            <w:vAlign w:val="center"/>
          </w:tcPr>
          <w:p w14:paraId="0544EAE7" w14:textId="27A9BB35" w:rsidR="009734AA" w:rsidRPr="005B2078" w:rsidRDefault="00953EA0" w:rsidP="006B5173">
            <w:pPr>
              <w:spacing w:after="0" w:line="240" w:lineRule="auto"/>
              <w:jc w:val="center"/>
              <w:rPr>
                <w:color w:val="000000"/>
                <w:sz w:val="18"/>
                <w:szCs w:val="18"/>
              </w:rPr>
            </w:pPr>
            <w:r>
              <w:rPr>
                <w:color w:val="000000"/>
                <w:sz w:val="18"/>
                <w:szCs w:val="18"/>
              </w:rPr>
              <w:t>414,022</w:t>
            </w:r>
          </w:p>
        </w:tc>
        <w:tc>
          <w:tcPr>
            <w:tcW w:w="903" w:type="dxa"/>
            <w:vAlign w:val="center"/>
          </w:tcPr>
          <w:p w14:paraId="3FF451E5" w14:textId="77777777" w:rsidR="009734AA" w:rsidRPr="005B2078" w:rsidRDefault="009734AA" w:rsidP="006B5173">
            <w:pPr>
              <w:spacing w:after="0" w:line="240" w:lineRule="auto"/>
              <w:jc w:val="center"/>
              <w:rPr>
                <w:color w:val="000000"/>
                <w:sz w:val="18"/>
                <w:szCs w:val="18"/>
              </w:rPr>
            </w:pPr>
            <w:r w:rsidRPr="005B2078">
              <w:rPr>
                <w:color w:val="000000"/>
                <w:sz w:val="18"/>
              </w:rPr>
              <w:t> </w:t>
            </w:r>
          </w:p>
        </w:tc>
        <w:tc>
          <w:tcPr>
            <w:tcW w:w="1205" w:type="dxa"/>
            <w:vAlign w:val="center"/>
          </w:tcPr>
          <w:p w14:paraId="1AF69DF4" w14:textId="2D157222" w:rsidR="009734AA" w:rsidRPr="005B2078" w:rsidRDefault="009734AA" w:rsidP="006B5173">
            <w:pPr>
              <w:spacing w:after="0" w:line="240" w:lineRule="auto"/>
              <w:jc w:val="center"/>
              <w:rPr>
                <w:color w:val="000000"/>
                <w:sz w:val="18"/>
                <w:szCs w:val="18"/>
              </w:rPr>
            </w:pPr>
            <w:r w:rsidRPr="005B2078">
              <w:rPr>
                <w:color w:val="000000"/>
                <w:sz w:val="18"/>
              </w:rPr>
              <w:t>1,2</w:t>
            </w:r>
            <w:r w:rsidR="00953EA0">
              <w:rPr>
                <w:color w:val="000000"/>
                <w:sz w:val="18"/>
              </w:rPr>
              <w:t>05,241</w:t>
            </w:r>
          </w:p>
        </w:tc>
        <w:tc>
          <w:tcPr>
            <w:tcW w:w="775" w:type="dxa"/>
            <w:vAlign w:val="center"/>
          </w:tcPr>
          <w:p w14:paraId="0216525E" w14:textId="77777777" w:rsidR="009734AA" w:rsidRPr="005B2078" w:rsidRDefault="009734AA" w:rsidP="006B5173">
            <w:pPr>
              <w:spacing w:after="0" w:line="240" w:lineRule="auto"/>
              <w:ind w:right="141"/>
              <w:jc w:val="center"/>
              <w:rPr>
                <w:color w:val="000000"/>
                <w:sz w:val="18"/>
                <w:szCs w:val="18"/>
              </w:rPr>
            </w:pPr>
            <w:r w:rsidRPr="005B2078">
              <w:rPr>
                <w:color w:val="000000"/>
                <w:sz w:val="18"/>
              </w:rPr>
              <w:t> </w:t>
            </w:r>
          </w:p>
        </w:tc>
        <w:tc>
          <w:tcPr>
            <w:tcW w:w="1260" w:type="dxa"/>
            <w:vAlign w:val="center"/>
          </w:tcPr>
          <w:p w14:paraId="2D628085" w14:textId="0DD7EF92" w:rsidR="009734AA" w:rsidRPr="005B2078" w:rsidRDefault="009734AA" w:rsidP="006B5173">
            <w:pPr>
              <w:spacing w:after="0" w:line="240" w:lineRule="auto"/>
              <w:jc w:val="center"/>
              <w:rPr>
                <w:color w:val="000000"/>
                <w:sz w:val="18"/>
                <w:szCs w:val="18"/>
              </w:rPr>
            </w:pPr>
            <w:r w:rsidRPr="005B2078">
              <w:rPr>
                <w:color w:val="000000"/>
                <w:sz w:val="18"/>
              </w:rPr>
              <w:t>1,</w:t>
            </w:r>
            <w:r w:rsidR="0066675C">
              <w:rPr>
                <w:color w:val="000000"/>
                <w:sz w:val="18"/>
              </w:rPr>
              <w:t>896,394.75</w:t>
            </w:r>
          </w:p>
        </w:tc>
        <w:tc>
          <w:tcPr>
            <w:tcW w:w="810" w:type="dxa"/>
            <w:vAlign w:val="center"/>
          </w:tcPr>
          <w:p w14:paraId="36E933C7" w14:textId="77777777" w:rsidR="009734AA" w:rsidRPr="005B2078" w:rsidRDefault="009734AA" w:rsidP="006B5173">
            <w:pPr>
              <w:spacing w:after="0" w:line="240" w:lineRule="auto"/>
              <w:jc w:val="center"/>
              <w:rPr>
                <w:color w:val="000000"/>
                <w:sz w:val="18"/>
                <w:szCs w:val="18"/>
              </w:rPr>
            </w:pPr>
            <w:r w:rsidRPr="005B2078">
              <w:rPr>
                <w:color w:val="000000"/>
                <w:sz w:val="18"/>
              </w:rPr>
              <w:t> </w:t>
            </w:r>
          </w:p>
        </w:tc>
        <w:tc>
          <w:tcPr>
            <w:tcW w:w="1373" w:type="dxa"/>
            <w:vAlign w:val="center"/>
          </w:tcPr>
          <w:p w14:paraId="2B743262" w14:textId="3133B001" w:rsidR="009734AA" w:rsidRPr="005B2078" w:rsidRDefault="009734AA" w:rsidP="006B5173">
            <w:pPr>
              <w:spacing w:after="0" w:line="240" w:lineRule="auto"/>
              <w:jc w:val="right"/>
              <w:rPr>
                <w:color w:val="000000"/>
                <w:sz w:val="18"/>
                <w:szCs w:val="18"/>
              </w:rPr>
            </w:pPr>
            <w:r w:rsidRPr="005B2078">
              <w:rPr>
                <w:color w:val="000000"/>
                <w:sz w:val="18"/>
              </w:rPr>
              <w:t>$</w:t>
            </w:r>
            <w:r w:rsidR="00E964AE">
              <w:rPr>
                <w:color w:val="000000"/>
                <w:sz w:val="18"/>
              </w:rPr>
              <w:t>3</w:t>
            </w:r>
            <w:r w:rsidR="0066675C">
              <w:rPr>
                <w:color w:val="000000"/>
                <w:sz w:val="18"/>
              </w:rPr>
              <w:t>7,927,895</w:t>
            </w:r>
            <w:r>
              <w:rPr>
                <w:color w:val="000000"/>
                <w:sz w:val="18"/>
              </w:rPr>
              <w:t>.</w:t>
            </w:r>
            <w:r w:rsidR="00E964AE">
              <w:rPr>
                <w:color w:val="000000"/>
                <w:sz w:val="18"/>
              </w:rPr>
              <w:t>00</w:t>
            </w:r>
            <w:r w:rsidRPr="005B2078">
              <w:rPr>
                <w:color w:val="000000"/>
                <w:sz w:val="18"/>
              </w:rPr>
              <w:t xml:space="preserve"> </w:t>
            </w:r>
          </w:p>
        </w:tc>
      </w:tr>
    </w:tbl>
    <w:p w14:paraId="20767AB0" w14:textId="67F2F541" w:rsidR="00A10B8D" w:rsidRPr="006E12AC" w:rsidRDefault="008C49EB" w:rsidP="00A10B8D">
      <w:pPr>
        <w:rPr>
          <w:rFonts w:ascii="Times New Roman" w:hAnsi="Times New Roman" w:cs="Times New Roman"/>
          <w:sz w:val="20"/>
          <w:szCs w:val="20"/>
        </w:rPr>
      </w:pPr>
      <w:r w:rsidRPr="006E12AC">
        <w:rPr>
          <w:rFonts w:ascii="Times New Roman" w:hAnsi="Times New Roman" w:cs="Times New Roman"/>
          <w:sz w:val="20"/>
          <w:szCs w:val="20"/>
        </w:rPr>
        <w:t>Average h</w:t>
      </w:r>
      <w:r w:rsidR="00743567" w:rsidRPr="006E12AC">
        <w:rPr>
          <w:rFonts w:ascii="Times New Roman" w:hAnsi="Times New Roman" w:cs="Times New Roman"/>
          <w:sz w:val="20"/>
          <w:szCs w:val="20"/>
        </w:rPr>
        <w:t xml:space="preserve">ourly </w:t>
      </w:r>
      <w:r w:rsidRPr="006E12AC">
        <w:rPr>
          <w:rFonts w:ascii="Times New Roman" w:hAnsi="Times New Roman" w:cs="Times New Roman"/>
          <w:sz w:val="20"/>
          <w:szCs w:val="20"/>
        </w:rPr>
        <w:t xml:space="preserve">wage </w:t>
      </w:r>
      <w:r w:rsidR="00743567" w:rsidRPr="006E12AC">
        <w:rPr>
          <w:rFonts w:ascii="Times New Roman" w:hAnsi="Times New Roman" w:cs="Times New Roman"/>
          <w:sz w:val="20"/>
          <w:szCs w:val="20"/>
        </w:rPr>
        <w:t xml:space="preserve">rate based for </w:t>
      </w:r>
      <w:r w:rsidR="005261F8">
        <w:rPr>
          <w:rFonts w:ascii="Times New Roman" w:hAnsi="Times New Roman" w:cs="Times New Roman"/>
          <w:sz w:val="20"/>
          <w:szCs w:val="20"/>
        </w:rPr>
        <w:t>mortgage loan clerk</w:t>
      </w:r>
      <w:r w:rsidRPr="006E12AC">
        <w:rPr>
          <w:rFonts w:ascii="Times New Roman" w:hAnsi="Times New Roman" w:cs="Times New Roman"/>
          <w:sz w:val="20"/>
          <w:szCs w:val="20"/>
        </w:rPr>
        <w:t xml:space="preserve"> </w:t>
      </w:r>
      <w:r w:rsidR="00743567" w:rsidRPr="006E12AC">
        <w:rPr>
          <w:rFonts w:ascii="Times New Roman" w:hAnsi="Times New Roman" w:cs="Times New Roman"/>
          <w:sz w:val="20"/>
          <w:szCs w:val="20"/>
        </w:rPr>
        <w:t xml:space="preserve">of </w:t>
      </w:r>
      <w:r w:rsidRPr="006E12AC">
        <w:rPr>
          <w:rFonts w:ascii="Times New Roman" w:hAnsi="Times New Roman" w:cs="Times New Roman"/>
          <w:sz w:val="20"/>
          <w:szCs w:val="20"/>
        </w:rPr>
        <w:t xml:space="preserve">the U.S. Department of Labor, Bureau of Labor Statistics website </w:t>
      </w:r>
      <w:hyperlink r:id="rId12" w:history="1">
        <w:r w:rsidRPr="006E12AC">
          <w:rPr>
            <w:rStyle w:val="Hyperlink"/>
            <w:rFonts w:ascii="Times New Roman" w:hAnsi="Times New Roman" w:cs="Times New Roman"/>
            <w:color w:val="auto"/>
            <w:sz w:val="20"/>
            <w:szCs w:val="20"/>
          </w:rPr>
          <w:t>https://www.bls.gov/oes/current/oes_nat.htm</w:t>
        </w:r>
      </w:hyperlink>
      <w:r w:rsidRPr="006E12AC">
        <w:rPr>
          <w:rFonts w:ascii="Times New Roman" w:hAnsi="Times New Roman" w:cs="Times New Roman"/>
          <w:sz w:val="20"/>
          <w:szCs w:val="20"/>
        </w:rPr>
        <w:t xml:space="preserve"> </w:t>
      </w:r>
      <w:r w:rsidR="005261F8">
        <w:rPr>
          <w:rFonts w:ascii="Times New Roman" w:hAnsi="Times New Roman" w:cs="Times New Roman"/>
          <w:sz w:val="20"/>
          <w:szCs w:val="20"/>
        </w:rPr>
        <w:t>at</w:t>
      </w:r>
      <w:r w:rsidRPr="006E12AC">
        <w:rPr>
          <w:rFonts w:ascii="Times New Roman" w:hAnsi="Times New Roman" w:cs="Times New Roman"/>
          <w:sz w:val="20"/>
          <w:szCs w:val="20"/>
        </w:rPr>
        <w:t xml:space="preserve"> </w:t>
      </w:r>
      <w:r w:rsidR="00743567" w:rsidRPr="006E12AC">
        <w:rPr>
          <w:rFonts w:ascii="Times New Roman" w:hAnsi="Times New Roman" w:cs="Times New Roman"/>
          <w:sz w:val="20"/>
          <w:szCs w:val="20"/>
        </w:rPr>
        <w:t>approximately $</w:t>
      </w:r>
      <w:r w:rsidR="005261F8">
        <w:rPr>
          <w:rFonts w:ascii="Times New Roman" w:hAnsi="Times New Roman" w:cs="Times New Roman"/>
          <w:sz w:val="20"/>
          <w:szCs w:val="20"/>
        </w:rPr>
        <w:t>40,610</w:t>
      </w:r>
      <w:r w:rsidR="00743567" w:rsidRPr="006E12AC">
        <w:rPr>
          <w:rFonts w:ascii="Times New Roman" w:hAnsi="Times New Roman" w:cs="Times New Roman"/>
          <w:sz w:val="20"/>
          <w:szCs w:val="20"/>
        </w:rPr>
        <w:t xml:space="preserve"> annually.</w:t>
      </w:r>
    </w:p>
    <w:p w14:paraId="0AE9B223" w14:textId="049CF767" w:rsidR="00A10B8D" w:rsidRDefault="00A10B8D" w:rsidP="00A10B8D">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Provide an estimate for the total annual cost burden to respondents or recordkeepers resulting from the collection of information. (Do not include the cost of any hour burden shown in Items 12 and 14). </w:t>
      </w:r>
    </w:p>
    <w:p w14:paraId="14CBCEB0" w14:textId="77777777" w:rsidR="00DE5EB8" w:rsidRPr="006E12AC" w:rsidRDefault="00DE5EB8" w:rsidP="00DE5EB8">
      <w:pPr>
        <w:pStyle w:val="ListParagraph"/>
        <w:ind w:left="360"/>
        <w:rPr>
          <w:rFonts w:ascii="Times New Roman" w:hAnsi="Times New Roman" w:cs="Times New Roman"/>
          <w:sz w:val="24"/>
          <w:szCs w:val="24"/>
        </w:rPr>
      </w:pPr>
    </w:p>
    <w:p w14:paraId="59499CCF" w14:textId="69C4E61D" w:rsidR="00A10B8D" w:rsidRDefault="00A10B8D" w:rsidP="00A10B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41BCDEDF" w14:textId="77777777" w:rsidR="00DE5EB8" w:rsidRPr="006E12AC" w:rsidRDefault="00DE5EB8" w:rsidP="00A10B8D">
      <w:pPr>
        <w:pStyle w:val="ListParagraph"/>
        <w:ind w:left="360"/>
        <w:rPr>
          <w:rFonts w:ascii="Times New Roman" w:hAnsi="Times New Roman" w:cs="Times New Roman"/>
          <w:sz w:val="24"/>
          <w:szCs w:val="24"/>
        </w:rPr>
      </w:pPr>
    </w:p>
    <w:p w14:paraId="05A1F07D" w14:textId="65B7DA96" w:rsidR="00A10B8D" w:rsidRPr="006E12AC" w:rsidRDefault="00A10B8D" w:rsidP="00A10B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506C234" w14:textId="77777777" w:rsidR="00CE54DE" w:rsidRPr="006E12AC" w:rsidRDefault="00A10B8D" w:rsidP="00DE5EB8">
      <w:pPr>
        <w:ind w:left="360"/>
        <w:rPr>
          <w:rFonts w:ascii="Times New Roman" w:hAnsi="Times New Roman" w:cs="Times New Roman"/>
          <w:sz w:val="24"/>
          <w:szCs w:val="24"/>
        </w:rPr>
      </w:pPr>
      <w:r w:rsidRPr="006E12AC">
        <w:rPr>
          <w:rFonts w:ascii="Times New Roman" w:hAnsi="Times New Roman" w:cs="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208C3A24" w14:textId="4B9BBD51" w:rsidR="00CE54DE" w:rsidRPr="006E12AC" w:rsidRDefault="00007588" w:rsidP="00CE54DE">
      <w:pPr>
        <w:rPr>
          <w:rFonts w:ascii="Times New Roman" w:hAnsi="Times New Roman" w:cs="Times New Roman"/>
          <w:sz w:val="24"/>
          <w:szCs w:val="24"/>
        </w:rPr>
      </w:pPr>
      <w:r w:rsidRPr="006E12AC">
        <w:rPr>
          <w:rFonts w:ascii="Times New Roman" w:hAnsi="Times New Roman" w:cs="Times New Roman"/>
          <w:sz w:val="24"/>
          <w:szCs w:val="24"/>
        </w:rPr>
        <w:t>There are no additional costs to the respondents.</w:t>
      </w:r>
    </w:p>
    <w:p w14:paraId="3AF60286" w14:textId="77777777" w:rsidR="000F1F40" w:rsidRDefault="001D77FF" w:rsidP="001D77FF">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41E489CD" w14:textId="77777777" w:rsidR="000F1F40" w:rsidRDefault="000F1F40" w:rsidP="000F1F40">
      <w:pPr>
        <w:pStyle w:val="ListParagraph"/>
        <w:ind w:left="360"/>
        <w:rPr>
          <w:rFonts w:ascii="Times New Roman" w:hAnsi="Times New Roman" w:cs="Times New Roman"/>
          <w:sz w:val="24"/>
          <w:szCs w:val="24"/>
        </w:rPr>
      </w:pPr>
    </w:p>
    <w:p w14:paraId="10F5EE49" w14:textId="0ACBA779" w:rsidR="0073534B" w:rsidRPr="006E12AC" w:rsidRDefault="00C30204" w:rsidP="000F1F40">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E</w:t>
      </w:r>
      <w:r w:rsidR="00075224" w:rsidRPr="006E12AC">
        <w:rPr>
          <w:rFonts w:ascii="Times New Roman" w:hAnsi="Times New Roman" w:cs="Times New Roman"/>
          <w:sz w:val="24"/>
          <w:szCs w:val="24"/>
        </w:rPr>
        <w:t>stimate</w:t>
      </w:r>
      <w:r w:rsidRPr="006E12AC">
        <w:rPr>
          <w:rFonts w:ascii="Times New Roman" w:hAnsi="Times New Roman" w:cs="Times New Roman"/>
          <w:sz w:val="24"/>
          <w:szCs w:val="24"/>
        </w:rPr>
        <w:t>d</w:t>
      </w:r>
      <w:r w:rsidR="00075224" w:rsidRPr="006E12AC">
        <w:rPr>
          <w:rFonts w:ascii="Times New Roman" w:hAnsi="Times New Roman" w:cs="Times New Roman"/>
          <w:sz w:val="24"/>
          <w:szCs w:val="24"/>
        </w:rPr>
        <w:t xml:space="preserve"> </w:t>
      </w:r>
      <w:r w:rsidRPr="006E12AC">
        <w:rPr>
          <w:rFonts w:ascii="Times New Roman" w:hAnsi="Times New Roman" w:cs="Times New Roman"/>
          <w:sz w:val="24"/>
          <w:szCs w:val="24"/>
        </w:rPr>
        <w:t xml:space="preserve">Burden and </w:t>
      </w:r>
      <w:r w:rsidR="00075224" w:rsidRPr="006E12AC">
        <w:rPr>
          <w:rFonts w:ascii="Times New Roman" w:hAnsi="Times New Roman" w:cs="Times New Roman"/>
          <w:sz w:val="24"/>
          <w:szCs w:val="24"/>
        </w:rPr>
        <w:t>annualized costs to the Federal government</w:t>
      </w:r>
      <w:r w:rsidRPr="006E12AC">
        <w:rPr>
          <w:rFonts w:ascii="Times New Roman" w:hAnsi="Times New Roman" w:cs="Times New Roman"/>
          <w:sz w:val="24"/>
          <w:szCs w:val="24"/>
        </w:rPr>
        <w:t xml:space="preserve">: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1061"/>
        <w:gridCol w:w="1679"/>
        <w:gridCol w:w="1800"/>
        <w:gridCol w:w="1350"/>
        <w:gridCol w:w="1530"/>
      </w:tblGrid>
      <w:tr w:rsidR="006E12AC" w:rsidRPr="006E12AC" w14:paraId="62343946" w14:textId="77777777" w:rsidTr="008945A1">
        <w:tc>
          <w:tcPr>
            <w:tcW w:w="1935" w:type="dxa"/>
          </w:tcPr>
          <w:p w14:paraId="45C32CE1" w14:textId="77777777" w:rsidR="008945A1" w:rsidRPr="006E12AC" w:rsidRDefault="008945A1"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Information Collection</w:t>
            </w:r>
          </w:p>
        </w:tc>
        <w:tc>
          <w:tcPr>
            <w:tcW w:w="1061" w:type="dxa"/>
          </w:tcPr>
          <w:p w14:paraId="6B9D7CB7"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Annual Responses</w:t>
            </w:r>
          </w:p>
        </w:tc>
        <w:tc>
          <w:tcPr>
            <w:tcW w:w="1679" w:type="dxa"/>
          </w:tcPr>
          <w:p w14:paraId="13C6758A"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Burden Hours per Response</w:t>
            </w:r>
          </w:p>
        </w:tc>
        <w:tc>
          <w:tcPr>
            <w:tcW w:w="1800" w:type="dxa"/>
          </w:tcPr>
          <w:p w14:paraId="3F97E8C1"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Annual Burden Hours</w:t>
            </w:r>
          </w:p>
        </w:tc>
        <w:tc>
          <w:tcPr>
            <w:tcW w:w="1350" w:type="dxa"/>
          </w:tcPr>
          <w:p w14:paraId="41C901BD"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Hourly Cost</w:t>
            </w:r>
          </w:p>
        </w:tc>
        <w:tc>
          <w:tcPr>
            <w:tcW w:w="1530" w:type="dxa"/>
          </w:tcPr>
          <w:p w14:paraId="57549064"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Annual Cost</w:t>
            </w:r>
          </w:p>
        </w:tc>
      </w:tr>
      <w:tr w:rsidR="00FA48EB" w:rsidRPr="006E12AC" w14:paraId="61D4AE43" w14:textId="77777777" w:rsidTr="00272891">
        <w:tc>
          <w:tcPr>
            <w:tcW w:w="9355" w:type="dxa"/>
            <w:gridSpan w:val="6"/>
          </w:tcPr>
          <w:p w14:paraId="6813FCC3" w14:textId="68D4F503" w:rsidR="00FA48EB" w:rsidRPr="00DE5EB8" w:rsidRDefault="00FA48EB" w:rsidP="00DE5EB8">
            <w:pPr>
              <w:overflowPunct w:val="0"/>
              <w:autoSpaceDE w:val="0"/>
              <w:autoSpaceDN w:val="0"/>
              <w:adjustRightInd w:val="0"/>
              <w:spacing w:before="120" w:after="0" w:line="240" w:lineRule="auto"/>
              <w:textAlignment w:val="baseline"/>
              <w:rPr>
                <w:rFonts w:ascii="Times New Roman" w:eastAsia="Times New Roman" w:hAnsi="Times New Roman" w:cs="Times New Roman"/>
                <w:sz w:val="20"/>
                <w:szCs w:val="20"/>
              </w:rPr>
            </w:pPr>
            <w:r w:rsidRPr="00DE5EB8">
              <w:rPr>
                <w:rFonts w:ascii="Times New Roman" w:eastAsia="Times New Roman" w:hAnsi="Times New Roman" w:cs="Times New Roman"/>
                <w:b/>
                <w:sz w:val="20"/>
                <w:szCs w:val="20"/>
                <w:highlight w:val="lightGray"/>
              </w:rPr>
              <w:t>Deed-In-Lieu of Foreclosure</w:t>
            </w:r>
          </w:p>
        </w:tc>
      </w:tr>
      <w:tr w:rsidR="00DE5EB8" w:rsidRPr="006E12AC" w14:paraId="46725D5A" w14:textId="77777777" w:rsidTr="008945A1">
        <w:tc>
          <w:tcPr>
            <w:tcW w:w="1935" w:type="dxa"/>
          </w:tcPr>
          <w:p w14:paraId="519D0DDC" w14:textId="62FF6C67" w:rsidR="00DE5EB8" w:rsidRPr="006E12AC" w:rsidRDefault="001F6064"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Non-Corporate Request for DIL</w:t>
            </w:r>
          </w:p>
        </w:tc>
        <w:tc>
          <w:tcPr>
            <w:tcW w:w="1061" w:type="dxa"/>
          </w:tcPr>
          <w:p w14:paraId="11299328" w14:textId="4FDBD174" w:rsidR="00DE5EB8" w:rsidRPr="006E12AC" w:rsidRDefault="001F6064"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1,563</w:t>
            </w:r>
          </w:p>
        </w:tc>
        <w:tc>
          <w:tcPr>
            <w:tcW w:w="1679" w:type="dxa"/>
          </w:tcPr>
          <w:p w14:paraId="02FF1E08" w14:textId="710FF0BD" w:rsidR="00DE5EB8" w:rsidRPr="006E12AC" w:rsidRDefault="001F6064"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800" w:type="dxa"/>
          </w:tcPr>
          <w:p w14:paraId="102FCABD" w14:textId="754D749C" w:rsidR="00DE5EB8" w:rsidRPr="006E12AC" w:rsidRDefault="001F6064"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1,563</w:t>
            </w:r>
          </w:p>
        </w:tc>
        <w:tc>
          <w:tcPr>
            <w:tcW w:w="1350" w:type="dxa"/>
          </w:tcPr>
          <w:p w14:paraId="14816020" w14:textId="3B1CC704" w:rsidR="00DE5EB8" w:rsidRPr="006E12AC" w:rsidRDefault="001F6064"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66675C">
              <w:rPr>
                <w:rFonts w:ascii="Times New Roman" w:eastAsia="Times New Roman" w:hAnsi="Times New Roman" w:cs="Times New Roman"/>
                <w:sz w:val="20"/>
                <w:szCs w:val="20"/>
              </w:rPr>
              <w:t>90</w:t>
            </w:r>
          </w:p>
        </w:tc>
        <w:tc>
          <w:tcPr>
            <w:tcW w:w="1530" w:type="dxa"/>
          </w:tcPr>
          <w:p w14:paraId="42515D3A" w14:textId="45EA4D7A" w:rsidR="00DE5EB8" w:rsidRPr="006E12AC" w:rsidRDefault="00BE2FD3"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66675C">
              <w:rPr>
                <w:rFonts w:ascii="Times New Roman" w:eastAsia="Times New Roman" w:hAnsi="Times New Roman" w:cs="Times New Roman"/>
                <w:sz w:val="20"/>
                <w:szCs w:val="20"/>
              </w:rPr>
              <w:t>8,296.70</w:t>
            </w:r>
          </w:p>
        </w:tc>
      </w:tr>
      <w:tr w:rsidR="00DE5EB8" w:rsidRPr="006E12AC" w14:paraId="41BACF75" w14:textId="77777777" w:rsidTr="008945A1">
        <w:tc>
          <w:tcPr>
            <w:tcW w:w="1935" w:type="dxa"/>
          </w:tcPr>
          <w:p w14:paraId="0684557B" w14:textId="6AD33BFF" w:rsidR="00DE5EB8" w:rsidRPr="006E12AC" w:rsidRDefault="001F6064"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Corporate Request for DIL</w:t>
            </w:r>
          </w:p>
        </w:tc>
        <w:tc>
          <w:tcPr>
            <w:tcW w:w="1061" w:type="dxa"/>
          </w:tcPr>
          <w:p w14:paraId="1DD001F7" w14:textId="2773CEBC" w:rsidR="00DE5EB8" w:rsidRPr="006E12AC" w:rsidRDefault="001F6064"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c>
          <w:tcPr>
            <w:tcW w:w="1679" w:type="dxa"/>
          </w:tcPr>
          <w:p w14:paraId="4FE80FA3" w14:textId="4AD296CD" w:rsidR="00DE5EB8" w:rsidRPr="006E12AC" w:rsidRDefault="001F6064"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800" w:type="dxa"/>
          </w:tcPr>
          <w:p w14:paraId="14ACAED1" w14:textId="2CA78565" w:rsidR="00DE5EB8" w:rsidRPr="006E12AC" w:rsidRDefault="001F6064"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c>
          <w:tcPr>
            <w:tcW w:w="1350" w:type="dxa"/>
          </w:tcPr>
          <w:p w14:paraId="3FBB5028" w14:textId="11FCDB32" w:rsidR="00DE5EB8" w:rsidRPr="006E12AC" w:rsidRDefault="001F6064"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66675C">
              <w:rPr>
                <w:rFonts w:ascii="Times New Roman" w:eastAsia="Times New Roman" w:hAnsi="Times New Roman" w:cs="Times New Roman"/>
                <w:sz w:val="20"/>
                <w:szCs w:val="20"/>
              </w:rPr>
              <w:t>90</w:t>
            </w:r>
          </w:p>
        </w:tc>
        <w:tc>
          <w:tcPr>
            <w:tcW w:w="1530" w:type="dxa"/>
          </w:tcPr>
          <w:p w14:paraId="0FFEEC45" w14:textId="6D3BDF8A" w:rsidR="00DE5EB8" w:rsidRPr="006E12AC" w:rsidRDefault="00BE2FD3"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r w:rsidR="0066675C">
              <w:rPr>
                <w:rFonts w:ascii="Times New Roman" w:eastAsia="Times New Roman" w:hAnsi="Times New Roman" w:cs="Times New Roman"/>
                <w:sz w:val="20"/>
                <w:szCs w:val="20"/>
              </w:rPr>
              <w:t>89.50</w:t>
            </w:r>
          </w:p>
        </w:tc>
      </w:tr>
      <w:tr w:rsidR="006E12AC" w:rsidRPr="006E12AC" w14:paraId="3D1BD353" w14:textId="77777777" w:rsidTr="008945A1">
        <w:tc>
          <w:tcPr>
            <w:tcW w:w="1935" w:type="dxa"/>
          </w:tcPr>
          <w:p w14:paraId="08861052" w14:textId="047B28FC" w:rsidR="008945A1" w:rsidRPr="00A676CD" w:rsidRDefault="001F6064"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A676CD">
              <w:rPr>
                <w:rFonts w:ascii="Times New Roman" w:eastAsia="Times New Roman" w:hAnsi="Times New Roman" w:cs="Times New Roman"/>
                <w:b/>
                <w:sz w:val="20"/>
                <w:szCs w:val="20"/>
                <w:highlight w:val="lightGray"/>
              </w:rPr>
              <w:t>Tier Ranking</w:t>
            </w:r>
            <w:r w:rsidR="008945A1" w:rsidRPr="00A676CD">
              <w:rPr>
                <w:rFonts w:ascii="Times New Roman" w:eastAsia="Times New Roman" w:hAnsi="Times New Roman" w:cs="Times New Roman"/>
                <w:b/>
                <w:sz w:val="20"/>
                <w:szCs w:val="20"/>
              </w:rPr>
              <w:t xml:space="preserve"> </w:t>
            </w:r>
          </w:p>
        </w:tc>
        <w:tc>
          <w:tcPr>
            <w:tcW w:w="1061" w:type="dxa"/>
          </w:tcPr>
          <w:p w14:paraId="1A2CBDC2" w14:textId="592DA890"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p>
        </w:tc>
        <w:tc>
          <w:tcPr>
            <w:tcW w:w="1679" w:type="dxa"/>
          </w:tcPr>
          <w:p w14:paraId="41787625" w14:textId="47A87687"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p>
        </w:tc>
        <w:tc>
          <w:tcPr>
            <w:tcW w:w="1800" w:type="dxa"/>
          </w:tcPr>
          <w:p w14:paraId="45594BE6" w14:textId="24D7E732"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p>
        </w:tc>
        <w:tc>
          <w:tcPr>
            <w:tcW w:w="1350" w:type="dxa"/>
          </w:tcPr>
          <w:p w14:paraId="0DC183F6" w14:textId="09CD2DF4"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p>
        </w:tc>
        <w:tc>
          <w:tcPr>
            <w:tcW w:w="1530" w:type="dxa"/>
          </w:tcPr>
          <w:p w14:paraId="53F019D5" w14:textId="1F689361"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p>
        </w:tc>
      </w:tr>
      <w:tr w:rsidR="006E12AC" w:rsidRPr="006E12AC" w14:paraId="1691EE51" w14:textId="77777777" w:rsidTr="008945A1">
        <w:tc>
          <w:tcPr>
            <w:tcW w:w="1935" w:type="dxa"/>
          </w:tcPr>
          <w:p w14:paraId="6F86F3E9" w14:textId="766B222B" w:rsidR="008945A1" w:rsidRPr="006E12AC" w:rsidRDefault="001F6064"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Letters to Mortgagees (email) </w:t>
            </w:r>
          </w:p>
        </w:tc>
        <w:tc>
          <w:tcPr>
            <w:tcW w:w="1061" w:type="dxa"/>
          </w:tcPr>
          <w:p w14:paraId="27482CE7" w14:textId="341822B2" w:rsidR="008945A1" w:rsidRPr="006E12AC" w:rsidRDefault="00893C12"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p>
        </w:tc>
        <w:tc>
          <w:tcPr>
            <w:tcW w:w="1679" w:type="dxa"/>
          </w:tcPr>
          <w:p w14:paraId="16EF6C1E" w14:textId="32C6A461" w:rsidR="008945A1" w:rsidRPr="006E12AC" w:rsidRDefault="001F6064"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1800" w:type="dxa"/>
          </w:tcPr>
          <w:p w14:paraId="7A137856" w14:textId="6FD146CB" w:rsidR="008945A1" w:rsidRPr="006E12AC" w:rsidRDefault="00893C12"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808</w:t>
            </w:r>
          </w:p>
        </w:tc>
        <w:tc>
          <w:tcPr>
            <w:tcW w:w="1350" w:type="dxa"/>
          </w:tcPr>
          <w:p w14:paraId="57FC7958" w14:textId="2C2277FC"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$30.</w:t>
            </w:r>
            <w:r w:rsidR="0066675C">
              <w:rPr>
                <w:rFonts w:ascii="Times New Roman" w:eastAsia="Times New Roman" w:hAnsi="Times New Roman" w:cs="Times New Roman"/>
                <w:sz w:val="20"/>
                <w:szCs w:val="20"/>
              </w:rPr>
              <w:t>90</w:t>
            </w:r>
          </w:p>
        </w:tc>
        <w:tc>
          <w:tcPr>
            <w:tcW w:w="1530" w:type="dxa"/>
          </w:tcPr>
          <w:p w14:paraId="0BC819C9" w14:textId="2816BF3A" w:rsidR="008945A1" w:rsidRPr="006E12AC" w:rsidRDefault="00BE2FD3"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66675C">
              <w:rPr>
                <w:rFonts w:ascii="Times New Roman" w:eastAsia="Times New Roman" w:hAnsi="Times New Roman" w:cs="Times New Roman"/>
                <w:sz w:val="20"/>
                <w:szCs w:val="20"/>
              </w:rPr>
              <w:t>9</w:t>
            </w:r>
            <w:r>
              <w:rPr>
                <w:rFonts w:ascii="Times New Roman" w:eastAsia="Times New Roman" w:hAnsi="Times New Roman" w:cs="Times New Roman"/>
                <w:sz w:val="20"/>
                <w:szCs w:val="20"/>
              </w:rPr>
              <w:t>6</w:t>
            </w:r>
            <w:r w:rsidR="0066675C">
              <w:rPr>
                <w:rFonts w:ascii="Times New Roman" w:eastAsia="Times New Roman" w:hAnsi="Times New Roman" w:cs="Times New Roman"/>
                <w:sz w:val="20"/>
                <w:szCs w:val="20"/>
              </w:rPr>
              <w:t>7.20</w:t>
            </w:r>
          </w:p>
        </w:tc>
      </w:tr>
      <w:tr w:rsidR="006E12AC" w:rsidRPr="006E12AC" w14:paraId="7F6AD3D3" w14:textId="77777777" w:rsidTr="008945A1">
        <w:tc>
          <w:tcPr>
            <w:tcW w:w="1935" w:type="dxa"/>
          </w:tcPr>
          <w:p w14:paraId="77705909" w14:textId="18BCC016" w:rsidR="008945A1" w:rsidRPr="001F6064" w:rsidRDefault="001F6064"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Mortgagee Communication – verbal/email</w:t>
            </w:r>
          </w:p>
        </w:tc>
        <w:tc>
          <w:tcPr>
            <w:tcW w:w="1061" w:type="dxa"/>
          </w:tcPr>
          <w:p w14:paraId="2C14B6A4" w14:textId="0322E9F8" w:rsidR="008945A1" w:rsidRPr="006E12AC" w:rsidRDefault="008945A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4</w:t>
            </w:r>
            <w:r w:rsidR="00893C12">
              <w:rPr>
                <w:rFonts w:ascii="Times New Roman" w:eastAsia="Times New Roman" w:hAnsi="Times New Roman" w:cs="Times New Roman"/>
                <w:sz w:val="20"/>
                <w:szCs w:val="20"/>
              </w:rPr>
              <w:t>04</w:t>
            </w:r>
          </w:p>
        </w:tc>
        <w:tc>
          <w:tcPr>
            <w:tcW w:w="1679" w:type="dxa"/>
          </w:tcPr>
          <w:p w14:paraId="31AF7B89" w14:textId="3C4CAFBF" w:rsidR="008945A1" w:rsidRPr="006E12AC" w:rsidRDefault="008945A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1</w:t>
            </w:r>
            <w:r w:rsidR="001F6064">
              <w:rPr>
                <w:rFonts w:ascii="Times New Roman" w:eastAsia="Times New Roman" w:hAnsi="Times New Roman" w:cs="Times New Roman"/>
                <w:sz w:val="20"/>
                <w:szCs w:val="20"/>
              </w:rPr>
              <w:t>.00</w:t>
            </w:r>
          </w:p>
        </w:tc>
        <w:tc>
          <w:tcPr>
            <w:tcW w:w="1800" w:type="dxa"/>
          </w:tcPr>
          <w:p w14:paraId="3422F4F6" w14:textId="69081122" w:rsidR="008945A1" w:rsidRPr="006E12AC" w:rsidRDefault="00893C12"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404</w:t>
            </w:r>
          </w:p>
        </w:tc>
        <w:tc>
          <w:tcPr>
            <w:tcW w:w="1350" w:type="dxa"/>
          </w:tcPr>
          <w:p w14:paraId="3C1C5211" w14:textId="5EFC132C" w:rsidR="008945A1" w:rsidRPr="006E12AC" w:rsidRDefault="008945A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$30.</w:t>
            </w:r>
            <w:r w:rsidR="0066675C">
              <w:rPr>
                <w:rFonts w:ascii="Times New Roman" w:eastAsia="Times New Roman" w:hAnsi="Times New Roman" w:cs="Times New Roman"/>
                <w:sz w:val="20"/>
                <w:szCs w:val="20"/>
              </w:rPr>
              <w:t>90</w:t>
            </w:r>
          </w:p>
        </w:tc>
        <w:tc>
          <w:tcPr>
            <w:tcW w:w="1530" w:type="dxa"/>
          </w:tcPr>
          <w:p w14:paraId="258521B5" w14:textId="3A5FC4DD" w:rsidR="008945A1" w:rsidRPr="006E12AC" w:rsidRDefault="00BE2FD3"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66675C">
              <w:rPr>
                <w:rFonts w:ascii="Times New Roman" w:eastAsia="Times New Roman" w:hAnsi="Times New Roman" w:cs="Times New Roman"/>
                <w:sz w:val="20"/>
                <w:szCs w:val="20"/>
              </w:rPr>
              <w:t>48</w:t>
            </w:r>
            <w:r>
              <w:rPr>
                <w:rFonts w:ascii="Times New Roman" w:eastAsia="Times New Roman" w:hAnsi="Times New Roman" w:cs="Times New Roman"/>
                <w:sz w:val="20"/>
                <w:szCs w:val="20"/>
              </w:rPr>
              <w:t>3</w:t>
            </w:r>
            <w:r w:rsidR="0066675C">
              <w:rPr>
                <w:rFonts w:ascii="Times New Roman" w:eastAsia="Times New Roman" w:hAnsi="Times New Roman" w:cs="Times New Roman"/>
                <w:sz w:val="20"/>
                <w:szCs w:val="20"/>
              </w:rPr>
              <w:t>.60</w:t>
            </w:r>
          </w:p>
        </w:tc>
      </w:tr>
      <w:tr w:rsidR="00272891" w:rsidRPr="006E12AC" w14:paraId="4FC61EBE" w14:textId="77777777" w:rsidTr="008945A1">
        <w:tc>
          <w:tcPr>
            <w:tcW w:w="1935" w:type="dxa"/>
          </w:tcPr>
          <w:p w14:paraId="25D066F2" w14:textId="15B64813" w:rsidR="00272891" w:rsidRPr="00594FDB" w:rsidRDefault="00272891"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594FDB">
              <w:rPr>
                <w:rFonts w:ascii="Times New Roman" w:eastAsia="Times New Roman" w:hAnsi="Times New Roman" w:cs="Times New Roman"/>
                <w:b/>
                <w:bCs/>
                <w:sz w:val="20"/>
                <w:szCs w:val="20"/>
              </w:rPr>
              <w:t>Totals</w:t>
            </w:r>
          </w:p>
        </w:tc>
        <w:tc>
          <w:tcPr>
            <w:tcW w:w="1061" w:type="dxa"/>
          </w:tcPr>
          <w:p w14:paraId="470A1FB1" w14:textId="3BAB6500" w:rsidR="00272891" w:rsidRPr="00594FDB" w:rsidRDefault="0027289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r w:rsidRPr="00594FDB">
              <w:rPr>
                <w:rFonts w:ascii="Times New Roman" w:eastAsia="Times New Roman" w:hAnsi="Times New Roman" w:cs="Times New Roman"/>
                <w:b/>
                <w:bCs/>
                <w:sz w:val="20"/>
                <w:szCs w:val="20"/>
              </w:rPr>
              <w:t>2,324</w:t>
            </w:r>
            <w:r w:rsidRPr="00594FDB">
              <w:rPr>
                <w:rFonts w:ascii="Times New Roman" w:eastAsia="Times New Roman" w:hAnsi="Times New Roman" w:cs="Times New Roman"/>
                <w:b/>
                <w:bCs/>
                <w:sz w:val="20"/>
                <w:szCs w:val="20"/>
              </w:rPr>
              <w:fldChar w:fldCharType="begin"/>
            </w:r>
            <w:r w:rsidRPr="00594FDB">
              <w:rPr>
                <w:rFonts w:ascii="Times New Roman" w:eastAsia="Times New Roman" w:hAnsi="Times New Roman" w:cs="Times New Roman"/>
                <w:b/>
                <w:bCs/>
                <w:sz w:val="20"/>
                <w:szCs w:val="20"/>
              </w:rPr>
              <w:instrText xml:space="preserve"> =SUM(ABOVE) </w:instrText>
            </w:r>
            <w:r w:rsidRPr="00594FDB">
              <w:rPr>
                <w:rFonts w:ascii="Times New Roman" w:eastAsia="Times New Roman" w:hAnsi="Times New Roman" w:cs="Times New Roman"/>
                <w:b/>
                <w:bCs/>
                <w:sz w:val="20"/>
                <w:szCs w:val="20"/>
              </w:rPr>
              <w:fldChar w:fldCharType="end"/>
            </w:r>
          </w:p>
        </w:tc>
        <w:tc>
          <w:tcPr>
            <w:tcW w:w="1679" w:type="dxa"/>
          </w:tcPr>
          <w:p w14:paraId="6A6E919B" w14:textId="77777777" w:rsidR="00272891" w:rsidRPr="00594FDB" w:rsidRDefault="0027289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p>
        </w:tc>
        <w:tc>
          <w:tcPr>
            <w:tcW w:w="1800" w:type="dxa"/>
          </w:tcPr>
          <w:p w14:paraId="2ED4CC03" w14:textId="5037AFCE" w:rsidR="00272891" w:rsidRPr="00594FDB" w:rsidRDefault="0027289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r w:rsidRPr="00594FDB">
              <w:rPr>
                <w:rFonts w:ascii="Times New Roman" w:eastAsia="Times New Roman" w:hAnsi="Times New Roman" w:cs="Times New Roman"/>
                <w:b/>
                <w:bCs/>
                <w:sz w:val="20"/>
                <w:szCs w:val="20"/>
              </w:rPr>
              <w:t>2,930</w:t>
            </w:r>
          </w:p>
        </w:tc>
        <w:tc>
          <w:tcPr>
            <w:tcW w:w="1350" w:type="dxa"/>
          </w:tcPr>
          <w:p w14:paraId="34A36DBA" w14:textId="77777777" w:rsidR="00272891" w:rsidRPr="00594FDB" w:rsidRDefault="0027289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p>
        </w:tc>
        <w:tc>
          <w:tcPr>
            <w:tcW w:w="1530" w:type="dxa"/>
          </w:tcPr>
          <w:p w14:paraId="7CB53BDA" w14:textId="6C82006A" w:rsidR="00272891" w:rsidRPr="00594FDB" w:rsidRDefault="0027289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r w:rsidRPr="00594FDB">
              <w:rPr>
                <w:rFonts w:ascii="Times New Roman" w:eastAsia="Times New Roman" w:hAnsi="Times New Roman" w:cs="Times New Roman"/>
                <w:b/>
                <w:bCs/>
                <w:sz w:val="20"/>
                <w:szCs w:val="20"/>
              </w:rPr>
              <w:t>90,537.00</w:t>
            </w:r>
          </w:p>
        </w:tc>
      </w:tr>
    </w:tbl>
    <w:p w14:paraId="6D66A65B" w14:textId="4CC8641B" w:rsidR="0066675C" w:rsidRPr="00FA48EB" w:rsidRDefault="0073534B" w:rsidP="0066675C">
      <w:pPr>
        <w:rPr>
          <w:rFonts w:ascii="Times New Roman" w:hAnsi="Times New Roman" w:cs="Times New Roman"/>
        </w:rPr>
      </w:pPr>
      <w:r w:rsidRPr="006E12AC">
        <w:rPr>
          <w:rFonts w:ascii="Times New Roman" w:hAnsi="Times New Roman" w:cs="Times New Roman"/>
        </w:rPr>
        <w:t xml:space="preserve">The hourly cost is based on </w:t>
      </w:r>
      <w:r w:rsidR="001231D2" w:rsidRPr="006E12AC">
        <w:rPr>
          <w:rFonts w:ascii="Times New Roman" w:hAnsi="Times New Roman" w:cs="Times New Roman"/>
        </w:rPr>
        <w:t xml:space="preserve">a </w:t>
      </w:r>
      <w:r w:rsidRPr="006E12AC">
        <w:rPr>
          <w:rFonts w:ascii="Times New Roman" w:hAnsi="Times New Roman" w:cs="Times New Roman"/>
        </w:rPr>
        <w:t>GS12</w:t>
      </w:r>
      <w:r w:rsidR="001231D2" w:rsidRPr="006E12AC">
        <w:rPr>
          <w:rFonts w:ascii="Times New Roman" w:hAnsi="Times New Roman" w:cs="Times New Roman"/>
        </w:rPr>
        <w:t xml:space="preserve"> Step1</w:t>
      </w:r>
      <w:r w:rsidRPr="006E12AC">
        <w:rPr>
          <w:rFonts w:ascii="Times New Roman" w:hAnsi="Times New Roman" w:cs="Times New Roman"/>
        </w:rPr>
        <w:t xml:space="preserve"> CY201</w:t>
      </w:r>
      <w:r w:rsidR="0010115E">
        <w:rPr>
          <w:rFonts w:ascii="Times New Roman" w:hAnsi="Times New Roman" w:cs="Times New Roman"/>
        </w:rPr>
        <w:t>9</w:t>
      </w:r>
      <w:r w:rsidRPr="006E12AC">
        <w:rPr>
          <w:rFonts w:ascii="Times New Roman" w:hAnsi="Times New Roman" w:cs="Times New Roman"/>
        </w:rPr>
        <w:t xml:space="preserve"> </w:t>
      </w:r>
      <w:r w:rsidR="00F724C8" w:rsidRPr="006E12AC">
        <w:rPr>
          <w:rFonts w:ascii="Times New Roman" w:hAnsi="Times New Roman" w:cs="Times New Roman"/>
        </w:rPr>
        <w:t>General Schedule Base Annual Rate</w:t>
      </w:r>
      <w:r w:rsidRPr="006E12AC">
        <w:rPr>
          <w:rFonts w:ascii="Times New Roman" w:hAnsi="Times New Roman" w:cs="Times New Roman"/>
        </w:rPr>
        <w:t xml:space="preserve"> of $</w:t>
      </w:r>
      <w:r w:rsidR="001231D2" w:rsidRPr="006E12AC">
        <w:rPr>
          <w:rFonts w:ascii="Times New Roman" w:hAnsi="Times New Roman" w:cs="Times New Roman"/>
        </w:rPr>
        <w:t>6</w:t>
      </w:r>
      <w:r w:rsidR="0066675C">
        <w:rPr>
          <w:rFonts w:ascii="Times New Roman" w:hAnsi="Times New Roman" w:cs="Times New Roman"/>
        </w:rPr>
        <w:t>4</w:t>
      </w:r>
      <w:r w:rsidR="001231D2" w:rsidRPr="006E12AC">
        <w:rPr>
          <w:rFonts w:ascii="Times New Roman" w:hAnsi="Times New Roman" w:cs="Times New Roman"/>
        </w:rPr>
        <w:t>,</w:t>
      </w:r>
      <w:r w:rsidR="0066675C">
        <w:rPr>
          <w:rFonts w:ascii="Times New Roman" w:hAnsi="Times New Roman" w:cs="Times New Roman"/>
        </w:rPr>
        <w:t>49</w:t>
      </w:r>
      <w:r w:rsidR="001231D2" w:rsidRPr="006E12AC">
        <w:rPr>
          <w:rFonts w:ascii="Times New Roman" w:hAnsi="Times New Roman" w:cs="Times New Roman"/>
        </w:rPr>
        <w:t>0.</w:t>
      </w:r>
    </w:p>
    <w:p w14:paraId="611A07EB" w14:textId="2BB417D4" w:rsidR="00CE54DE" w:rsidRPr="006E12AC" w:rsidRDefault="00CE54DE" w:rsidP="001D77FF">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Explain the reasons for any program changes or adjustments reported in Items 13 or 14 of The OMB Form 83-I.</w:t>
      </w:r>
    </w:p>
    <w:p w14:paraId="262391FD" w14:textId="3319EAB0" w:rsidR="00CE54DE" w:rsidRDefault="001231D2" w:rsidP="008B0CB7">
      <w:pPr>
        <w:pStyle w:val="BodyTextIndent"/>
        <w:keepLines/>
        <w:tabs>
          <w:tab w:val="left" w:pos="720"/>
        </w:tabs>
        <w:overflowPunct w:val="0"/>
        <w:spacing w:line="240" w:lineRule="auto"/>
        <w:ind w:firstLine="0"/>
        <w:textAlignment w:val="baseline"/>
        <w:rPr>
          <w:color w:val="auto"/>
        </w:rPr>
      </w:pPr>
      <w:r w:rsidRPr="000F1F40">
        <w:rPr>
          <w:szCs w:val="24"/>
        </w:rPr>
        <w:t xml:space="preserve">This is an extension of a currently approved collection. </w:t>
      </w:r>
      <w:r w:rsidR="0010115E">
        <w:rPr>
          <w:szCs w:val="24"/>
        </w:rPr>
        <w:t xml:space="preserve">Economic conditions over the past few years have caused re-default rates on FHA-insured mortgage loans to practically remain the same, which also caused decreases in loss mitigation cases. </w:t>
      </w:r>
      <w:r w:rsidR="0010115E">
        <w:rPr>
          <w:color w:val="auto"/>
        </w:rPr>
        <w:t>T</w:t>
      </w:r>
      <w:r w:rsidR="0010115E" w:rsidRPr="005306C7">
        <w:rPr>
          <w:color w:val="auto"/>
        </w:rPr>
        <w:t xml:space="preserve">he FHA-insured mortgage loan portfolio grew from </w:t>
      </w:r>
      <w:r w:rsidR="0010115E">
        <w:rPr>
          <w:color w:val="auto"/>
        </w:rPr>
        <w:t>5.2 million in 2009 to 7.7 million in 2015, a 48 percent increase in comparison to 7</w:t>
      </w:r>
      <w:r w:rsidR="0010115E" w:rsidRPr="005306C7">
        <w:rPr>
          <w:color w:val="auto"/>
        </w:rPr>
        <w:t>.</w:t>
      </w:r>
      <w:r w:rsidR="0010115E">
        <w:rPr>
          <w:color w:val="auto"/>
        </w:rPr>
        <w:t>7</w:t>
      </w:r>
      <w:r w:rsidR="0010115E" w:rsidRPr="005306C7">
        <w:rPr>
          <w:color w:val="auto"/>
        </w:rPr>
        <w:t xml:space="preserve"> million in 20</w:t>
      </w:r>
      <w:r w:rsidR="0010115E">
        <w:rPr>
          <w:color w:val="auto"/>
        </w:rPr>
        <w:t>15</w:t>
      </w:r>
      <w:r w:rsidR="0010115E" w:rsidRPr="005306C7">
        <w:rPr>
          <w:color w:val="auto"/>
        </w:rPr>
        <w:t xml:space="preserve"> to </w:t>
      </w:r>
      <w:r w:rsidR="0010115E">
        <w:rPr>
          <w:color w:val="auto"/>
        </w:rPr>
        <w:t>8</w:t>
      </w:r>
      <w:r w:rsidR="0010115E" w:rsidRPr="005306C7">
        <w:rPr>
          <w:color w:val="auto"/>
        </w:rPr>
        <w:t xml:space="preserve"> million in 201</w:t>
      </w:r>
      <w:r w:rsidR="0010115E">
        <w:rPr>
          <w:color w:val="auto"/>
        </w:rPr>
        <w:t xml:space="preserve">8, 3 percent increase. With this slight increase in market shares, the current environment appears to have stabilized </w:t>
      </w:r>
      <w:r w:rsidR="00A8408F">
        <w:rPr>
          <w:color w:val="auto"/>
        </w:rPr>
        <w:t>and</w:t>
      </w:r>
      <w:r w:rsidR="00F14555">
        <w:rPr>
          <w:color w:val="auto"/>
        </w:rPr>
        <w:t xml:space="preserve"> a decreased participation in FHA’</w:t>
      </w:r>
      <w:r w:rsidR="0010115E">
        <w:rPr>
          <w:color w:val="auto"/>
        </w:rPr>
        <w:t xml:space="preserve">s Loss Mitigation </w:t>
      </w:r>
      <w:r w:rsidR="00F14555">
        <w:rPr>
          <w:color w:val="auto"/>
        </w:rPr>
        <w:t>Program</w:t>
      </w:r>
      <w:r w:rsidR="00A8408F">
        <w:rPr>
          <w:color w:val="auto"/>
        </w:rPr>
        <w:t xml:space="preserve"> </w:t>
      </w:r>
      <w:r w:rsidR="00111E37">
        <w:rPr>
          <w:color w:val="auto"/>
        </w:rPr>
        <w:t>occurred</w:t>
      </w:r>
      <w:r w:rsidR="00F14555">
        <w:rPr>
          <w:color w:val="auto"/>
        </w:rPr>
        <w:t xml:space="preserve">. </w:t>
      </w:r>
    </w:p>
    <w:p w14:paraId="040A238A" w14:textId="77777777" w:rsidR="008B0CB7" w:rsidRPr="008B0CB7" w:rsidRDefault="008B0CB7" w:rsidP="008B0CB7">
      <w:pPr>
        <w:pStyle w:val="BodyTextIndent"/>
        <w:keepLines/>
        <w:tabs>
          <w:tab w:val="left" w:pos="720"/>
        </w:tabs>
        <w:overflowPunct w:val="0"/>
        <w:spacing w:line="240" w:lineRule="auto"/>
        <w:ind w:firstLine="0"/>
        <w:textAlignment w:val="baseline"/>
        <w:rPr>
          <w:color w:val="auto"/>
        </w:rPr>
      </w:pPr>
    </w:p>
    <w:p w14:paraId="3DA46A28" w14:textId="4FFC6B7A" w:rsidR="00CE54DE" w:rsidRPr="006E12AC" w:rsidRDefault="00CE54DE" w:rsidP="001D77FF">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76E4D63A" w14:textId="77777777" w:rsidR="000F1F40" w:rsidRDefault="000F1F40" w:rsidP="001D77FF">
      <w:pPr>
        <w:pStyle w:val="ListParagraph"/>
        <w:ind w:left="360"/>
        <w:rPr>
          <w:rFonts w:ascii="Times New Roman" w:hAnsi="Times New Roman" w:cs="Times New Roman"/>
          <w:sz w:val="24"/>
          <w:szCs w:val="24"/>
        </w:rPr>
      </w:pPr>
    </w:p>
    <w:p w14:paraId="67E54182" w14:textId="63B376E3" w:rsidR="004834CE" w:rsidRPr="006E12AC" w:rsidRDefault="00935537" w:rsidP="001D77FF">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There are no plans to publish this </w:t>
      </w:r>
      <w:r w:rsidR="00075224" w:rsidRPr="006E12AC">
        <w:rPr>
          <w:rFonts w:ascii="Times New Roman" w:hAnsi="Times New Roman" w:cs="Times New Roman"/>
          <w:sz w:val="24"/>
          <w:szCs w:val="24"/>
        </w:rPr>
        <w:t xml:space="preserve">collection of information </w:t>
      </w:r>
      <w:r w:rsidRPr="006E12AC">
        <w:rPr>
          <w:rFonts w:ascii="Times New Roman" w:hAnsi="Times New Roman" w:cs="Times New Roman"/>
          <w:sz w:val="24"/>
          <w:szCs w:val="24"/>
        </w:rPr>
        <w:t xml:space="preserve">for statistical use. </w:t>
      </w:r>
    </w:p>
    <w:p w14:paraId="610EFB48" w14:textId="77777777" w:rsidR="00935537" w:rsidRPr="006E12AC" w:rsidRDefault="00935537" w:rsidP="00935537">
      <w:pPr>
        <w:pStyle w:val="ListParagraph"/>
        <w:rPr>
          <w:rFonts w:ascii="Times New Roman" w:hAnsi="Times New Roman" w:cs="Times New Roman"/>
          <w:sz w:val="24"/>
          <w:szCs w:val="24"/>
        </w:rPr>
      </w:pPr>
    </w:p>
    <w:p w14:paraId="3011688B" w14:textId="26434B6A" w:rsidR="00CE54DE" w:rsidRPr="006E12AC" w:rsidRDefault="00CE54DE" w:rsidP="001D77FF">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If seeking approval to not display the expiration date for OMB approval of the information collection, explain the reasons that display would be inappropriate. </w:t>
      </w:r>
    </w:p>
    <w:p w14:paraId="1DCF1A4A" w14:textId="77777777" w:rsidR="000F1F40" w:rsidRDefault="000F1F40" w:rsidP="001D77FF">
      <w:pPr>
        <w:pStyle w:val="ListParagraph"/>
        <w:ind w:left="360"/>
        <w:rPr>
          <w:rFonts w:ascii="Times New Roman" w:hAnsi="Times New Roman" w:cs="Times New Roman"/>
          <w:sz w:val="24"/>
          <w:szCs w:val="24"/>
        </w:rPr>
      </w:pPr>
    </w:p>
    <w:p w14:paraId="7ECB09C5" w14:textId="5F583235" w:rsidR="00935537" w:rsidRPr="00FA48EB" w:rsidRDefault="00935537" w:rsidP="00FA48EB">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HUD is not </w:t>
      </w:r>
      <w:r w:rsidR="00075224" w:rsidRPr="006E12AC">
        <w:rPr>
          <w:rFonts w:ascii="Times New Roman" w:hAnsi="Times New Roman" w:cs="Times New Roman"/>
          <w:sz w:val="24"/>
          <w:szCs w:val="24"/>
        </w:rPr>
        <w:t xml:space="preserve">seeking approval to </w:t>
      </w:r>
      <w:r w:rsidRPr="006E12AC">
        <w:rPr>
          <w:rFonts w:ascii="Times New Roman" w:hAnsi="Times New Roman" w:cs="Times New Roman"/>
          <w:sz w:val="24"/>
          <w:szCs w:val="24"/>
        </w:rPr>
        <w:t>avoid</w:t>
      </w:r>
      <w:r w:rsidR="00075224" w:rsidRPr="006E12AC">
        <w:rPr>
          <w:rFonts w:ascii="Times New Roman" w:hAnsi="Times New Roman" w:cs="Times New Roman"/>
          <w:sz w:val="24"/>
          <w:szCs w:val="24"/>
        </w:rPr>
        <w:t xml:space="preserve"> display</w:t>
      </w:r>
      <w:r w:rsidRPr="006E12AC">
        <w:rPr>
          <w:rFonts w:ascii="Times New Roman" w:hAnsi="Times New Roman" w:cs="Times New Roman"/>
          <w:sz w:val="24"/>
          <w:szCs w:val="24"/>
        </w:rPr>
        <w:t>ing</w:t>
      </w:r>
      <w:r w:rsidR="00075224" w:rsidRPr="006E12AC">
        <w:rPr>
          <w:rFonts w:ascii="Times New Roman" w:hAnsi="Times New Roman" w:cs="Times New Roman"/>
          <w:sz w:val="24"/>
          <w:szCs w:val="24"/>
        </w:rPr>
        <w:t xml:space="preserve"> the expiration date</w:t>
      </w:r>
      <w:r w:rsidRPr="006E12AC">
        <w:rPr>
          <w:rFonts w:ascii="Times New Roman" w:hAnsi="Times New Roman" w:cs="Times New Roman"/>
          <w:sz w:val="24"/>
          <w:szCs w:val="24"/>
        </w:rPr>
        <w:t>.</w:t>
      </w:r>
    </w:p>
    <w:p w14:paraId="15B2B910" w14:textId="784699F5" w:rsidR="00CE54DE" w:rsidRPr="006E12AC" w:rsidRDefault="00CE54DE" w:rsidP="00CE54DE">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Explain each exception to the certification statement identified in Item 19, "Certification for Paperwork Reduction Act Submissions," of OMB Form 83-I. </w:t>
      </w:r>
    </w:p>
    <w:p w14:paraId="2EF8820D" w14:textId="77777777" w:rsidR="000F1F40" w:rsidRDefault="000F1F40" w:rsidP="00CE54DE">
      <w:pPr>
        <w:pStyle w:val="ListParagraph"/>
        <w:ind w:left="360"/>
        <w:rPr>
          <w:rFonts w:ascii="Times New Roman" w:hAnsi="Times New Roman" w:cs="Times New Roman"/>
          <w:sz w:val="24"/>
          <w:szCs w:val="24"/>
        </w:rPr>
      </w:pPr>
    </w:p>
    <w:p w14:paraId="72D44009" w14:textId="2775B0BD" w:rsidR="00935537" w:rsidRPr="000F1F40" w:rsidRDefault="00935537" w:rsidP="000F1F40">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There are no</w:t>
      </w:r>
      <w:r w:rsidR="00075224" w:rsidRPr="006E12AC">
        <w:rPr>
          <w:rFonts w:ascii="Times New Roman" w:hAnsi="Times New Roman" w:cs="Times New Roman"/>
          <w:sz w:val="24"/>
          <w:szCs w:val="24"/>
        </w:rPr>
        <w:t xml:space="preserve"> exception</w:t>
      </w:r>
      <w:r w:rsidRPr="006E12AC">
        <w:rPr>
          <w:rFonts w:ascii="Times New Roman" w:hAnsi="Times New Roman" w:cs="Times New Roman"/>
          <w:sz w:val="24"/>
          <w:szCs w:val="24"/>
        </w:rPr>
        <w:t>s</w:t>
      </w:r>
      <w:r w:rsidR="00075224" w:rsidRPr="006E12AC">
        <w:rPr>
          <w:rFonts w:ascii="Times New Roman" w:hAnsi="Times New Roman" w:cs="Times New Roman"/>
          <w:sz w:val="24"/>
          <w:szCs w:val="24"/>
        </w:rPr>
        <w:t xml:space="preserve"> to the certification statement identified in Item 19, "Certification for Paperwork Reduction Act Submissions," of OMB Form 83-I. </w:t>
      </w:r>
    </w:p>
    <w:p w14:paraId="53A9901B" w14:textId="77777777" w:rsidR="00075224" w:rsidRPr="006E12AC" w:rsidRDefault="00075224" w:rsidP="00935537">
      <w:pPr>
        <w:rPr>
          <w:rFonts w:ascii="Times New Roman" w:hAnsi="Times New Roman" w:cs="Times New Roman"/>
          <w:sz w:val="24"/>
          <w:szCs w:val="24"/>
        </w:rPr>
      </w:pPr>
      <w:r w:rsidRPr="006E12AC">
        <w:rPr>
          <w:rFonts w:ascii="Times New Roman" w:hAnsi="Times New Roman" w:cs="Times New Roman"/>
          <w:b/>
          <w:bCs/>
          <w:sz w:val="24"/>
          <w:szCs w:val="24"/>
        </w:rPr>
        <w:t xml:space="preserve">B. Collections of Information Employing Statistical Methods </w:t>
      </w:r>
    </w:p>
    <w:p w14:paraId="2B0A38F2" w14:textId="46ADCA15" w:rsidR="00075224" w:rsidRPr="006E12AC" w:rsidRDefault="000F1F40" w:rsidP="000F1F40">
      <w:pPr>
        <w:rPr>
          <w:rFonts w:ascii="Times New Roman" w:hAnsi="Times New Roman" w:cs="Times New Roman"/>
          <w:sz w:val="24"/>
          <w:szCs w:val="24"/>
        </w:rPr>
      </w:pPr>
      <w:r>
        <w:rPr>
          <w:rFonts w:ascii="Times New Roman" w:hAnsi="Times New Roman" w:cs="Times New Roman"/>
          <w:sz w:val="24"/>
          <w:szCs w:val="24"/>
        </w:rPr>
        <w:t xml:space="preserve">     </w:t>
      </w:r>
      <w:r w:rsidR="00075224" w:rsidRPr="006E12AC">
        <w:rPr>
          <w:rFonts w:ascii="Times New Roman" w:hAnsi="Times New Roman" w:cs="Times New Roman"/>
          <w:sz w:val="24"/>
          <w:szCs w:val="24"/>
        </w:rPr>
        <w:t>Th</w:t>
      </w:r>
      <w:r w:rsidR="00935537" w:rsidRPr="006E12AC">
        <w:rPr>
          <w:rFonts w:ascii="Times New Roman" w:hAnsi="Times New Roman" w:cs="Times New Roman"/>
          <w:sz w:val="24"/>
          <w:szCs w:val="24"/>
        </w:rPr>
        <w:t>is collection of information does not employ</w:t>
      </w:r>
      <w:r w:rsidR="00075224" w:rsidRPr="006E12AC">
        <w:rPr>
          <w:rFonts w:ascii="Times New Roman" w:hAnsi="Times New Roman" w:cs="Times New Roman"/>
          <w:sz w:val="24"/>
          <w:szCs w:val="24"/>
        </w:rPr>
        <w:t xml:space="preserve"> statistical methods</w:t>
      </w:r>
      <w:r w:rsidR="00935537" w:rsidRPr="006E12AC">
        <w:rPr>
          <w:rFonts w:ascii="Times New Roman" w:hAnsi="Times New Roman" w:cs="Times New Roman"/>
          <w:sz w:val="24"/>
          <w:szCs w:val="24"/>
        </w:rPr>
        <w:t>.</w:t>
      </w:r>
      <w:r w:rsidR="00075224" w:rsidRPr="006E12AC">
        <w:rPr>
          <w:rFonts w:ascii="Times New Roman" w:hAnsi="Times New Roman" w:cs="Times New Roman"/>
          <w:sz w:val="24"/>
          <w:szCs w:val="24"/>
        </w:rPr>
        <w:t xml:space="preserve"> </w:t>
      </w:r>
    </w:p>
    <w:p w14:paraId="42376D49" w14:textId="77777777" w:rsidR="00990699" w:rsidRPr="006E12AC" w:rsidRDefault="00990699" w:rsidP="00075224">
      <w:pPr>
        <w:rPr>
          <w:rFonts w:ascii="Times New Roman" w:hAnsi="Times New Roman" w:cs="Times New Roman"/>
          <w:sz w:val="24"/>
          <w:szCs w:val="24"/>
        </w:rPr>
      </w:pPr>
    </w:p>
    <w:sectPr w:rsidR="00990699" w:rsidRPr="006E12AC" w:rsidSect="0089152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29502" w14:textId="77777777" w:rsidR="008817FF" w:rsidRDefault="008817FF" w:rsidP="00075224">
      <w:pPr>
        <w:spacing w:after="0" w:line="240" w:lineRule="auto"/>
      </w:pPr>
      <w:r>
        <w:separator/>
      </w:r>
    </w:p>
  </w:endnote>
  <w:endnote w:type="continuationSeparator" w:id="0">
    <w:p w14:paraId="5DD2EF9A" w14:textId="77777777" w:rsidR="008817FF" w:rsidRDefault="008817FF"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2AF1B" w14:textId="77777777" w:rsidR="00272891" w:rsidRDefault="00272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247EDE" w14:textId="77777777" w:rsidR="00272891" w:rsidRDefault="00272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2A23" w14:textId="77777777" w:rsidR="00272891" w:rsidRDefault="00272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A63">
      <w:rPr>
        <w:rStyle w:val="PageNumber"/>
        <w:noProof/>
      </w:rPr>
      <w:t>1</w:t>
    </w:r>
    <w:r>
      <w:rPr>
        <w:rStyle w:val="PageNumber"/>
      </w:rPr>
      <w:fldChar w:fldCharType="end"/>
    </w:r>
  </w:p>
  <w:p w14:paraId="49B547AC" w14:textId="77777777" w:rsidR="00272891" w:rsidRDefault="00272891" w:rsidP="00075224">
    <w:pPr>
      <w:pStyle w:val="Footer"/>
      <w:pBdr>
        <w:top w:val="single" w:sz="6" w:space="1" w:color="auto"/>
      </w:pBdr>
      <w:tabs>
        <w:tab w:val="clear" w:pos="4320"/>
        <w:tab w:val="left" w:pos="8640"/>
        <w:tab w:val="right" w:pos="10920"/>
      </w:tabs>
      <w:ind w:lef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9773C" w14:textId="77777777" w:rsidR="00272891" w:rsidRDefault="00272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AB497" w14:textId="77777777" w:rsidR="008817FF" w:rsidRDefault="008817FF" w:rsidP="00075224">
      <w:pPr>
        <w:spacing w:after="0" w:line="240" w:lineRule="auto"/>
      </w:pPr>
      <w:r>
        <w:separator/>
      </w:r>
    </w:p>
  </w:footnote>
  <w:footnote w:type="continuationSeparator" w:id="0">
    <w:p w14:paraId="71C885D0" w14:textId="77777777" w:rsidR="008817FF" w:rsidRDefault="008817FF" w:rsidP="00075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2DCB" w14:textId="77777777" w:rsidR="00272891" w:rsidRDefault="00272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AB113" w14:textId="387866E9" w:rsidR="00272891" w:rsidRDefault="00272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9A412" w14:textId="77777777" w:rsidR="00272891" w:rsidRDefault="00272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52D"/>
    <w:multiLevelType w:val="hybridMultilevel"/>
    <w:tmpl w:val="EAA2DC7E"/>
    <w:lvl w:ilvl="0" w:tplc="29C26A22">
      <w:start w:val="1"/>
      <w:numFmt w:val="bullet"/>
      <w:lvlText w:val=""/>
      <w:lvlJc w:val="left"/>
      <w:pPr>
        <w:tabs>
          <w:tab w:val="num" w:pos="1260"/>
        </w:tabs>
        <w:ind w:left="1260" w:hanging="360"/>
      </w:pPr>
      <w:rPr>
        <w:rFonts w:ascii="Symbol" w:hAnsi="Symbol" w:hint="default"/>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D08E5EB2">
      <w:start w:val="1"/>
      <w:numFmt w:val="bullet"/>
      <w:lvlText w:val=""/>
      <w:lvlJc w:val="left"/>
      <w:pPr>
        <w:tabs>
          <w:tab w:val="num" w:pos="1260"/>
        </w:tabs>
        <w:ind w:left="1260" w:hanging="360"/>
      </w:pPr>
      <w:rPr>
        <w:rFonts w:ascii="Symbol" w:hAnsi="Symbol" w:hint="default"/>
        <w:sz w:val="24"/>
        <w:szCs w:val="20"/>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0B185175"/>
    <w:multiLevelType w:val="hybridMultilevel"/>
    <w:tmpl w:val="E6F836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750105E"/>
    <w:multiLevelType w:val="hybridMultilevel"/>
    <w:tmpl w:val="2A5693C4"/>
    <w:lvl w:ilvl="0" w:tplc="4080C5CE">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13C49"/>
    <w:multiLevelType w:val="hybridMultilevel"/>
    <w:tmpl w:val="00DE7DBE"/>
    <w:lvl w:ilvl="0" w:tplc="1DF81B82">
      <w:start w:val="1"/>
      <w:numFmt w:val="bullet"/>
      <w:lvlText w:val=""/>
      <w:lvlJc w:val="left"/>
      <w:pPr>
        <w:tabs>
          <w:tab w:val="num" w:pos="1080"/>
        </w:tabs>
        <w:ind w:left="1080" w:hanging="360"/>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BBC2624"/>
    <w:multiLevelType w:val="hybridMultilevel"/>
    <w:tmpl w:val="F2F68DD0"/>
    <w:lvl w:ilvl="0" w:tplc="E670E5A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2B5938"/>
    <w:multiLevelType w:val="hybridMultilevel"/>
    <w:tmpl w:val="E5BCF29C"/>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9F0691"/>
    <w:multiLevelType w:val="hybridMultilevel"/>
    <w:tmpl w:val="48788C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AE30A2"/>
    <w:multiLevelType w:val="hybridMultilevel"/>
    <w:tmpl w:val="1292CED2"/>
    <w:lvl w:ilvl="0" w:tplc="4080C5CE">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A52867"/>
    <w:multiLevelType w:val="hybridMultilevel"/>
    <w:tmpl w:val="85B27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B50C32"/>
    <w:multiLevelType w:val="hybridMultilevel"/>
    <w:tmpl w:val="169A5A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E4756"/>
    <w:multiLevelType w:val="hybridMultilevel"/>
    <w:tmpl w:val="D34A6B92"/>
    <w:lvl w:ilvl="0" w:tplc="04090005">
      <w:start w:val="1"/>
      <w:numFmt w:val="bullet"/>
      <w:lvlText w:val=""/>
      <w:lvlJc w:val="left"/>
      <w:pPr>
        <w:tabs>
          <w:tab w:val="num" w:pos="1500"/>
        </w:tabs>
        <w:ind w:left="1500" w:hanging="360"/>
      </w:pPr>
      <w:rPr>
        <w:rFonts w:ascii="Wingdings" w:hAnsi="Wingdings"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nsid w:val="3D674A0D"/>
    <w:multiLevelType w:val="hybridMultilevel"/>
    <w:tmpl w:val="4CD26B0C"/>
    <w:lvl w:ilvl="0" w:tplc="5C1AE334">
      <w:start w:val="1"/>
      <w:numFmt w:val="bullet"/>
      <w:lvlText w:val=""/>
      <w:lvlJc w:val="left"/>
      <w:pPr>
        <w:tabs>
          <w:tab w:val="num" w:pos="1080"/>
        </w:tabs>
        <w:ind w:left="1080" w:hanging="360"/>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F6719CC"/>
    <w:multiLevelType w:val="hybridMultilevel"/>
    <w:tmpl w:val="BE6E0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8669E"/>
    <w:multiLevelType w:val="hybridMultilevel"/>
    <w:tmpl w:val="019CF5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A12552"/>
    <w:multiLevelType w:val="hybridMultilevel"/>
    <w:tmpl w:val="C4C06F00"/>
    <w:lvl w:ilvl="0" w:tplc="30245BD0">
      <w:start w:val="1"/>
      <w:numFmt w:val="bullet"/>
      <w:lvlText w:val=""/>
      <w:lvlJc w:val="left"/>
      <w:pPr>
        <w:tabs>
          <w:tab w:val="num" w:pos="648"/>
        </w:tabs>
        <w:ind w:left="648" w:hanging="360"/>
      </w:pPr>
      <w:rPr>
        <w:rFonts w:ascii="Symbol" w:hAnsi="Symbol" w:hint="default"/>
        <w:color w:val="auto"/>
        <w:sz w:val="24"/>
      </w:rPr>
    </w:lvl>
    <w:lvl w:ilvl="1" w:tplc="04090005">
      <w:start w:val="1"/>
      <w:numFmt w:val="bullet"/>
      <w:lvlText w:val=""/>
      <w:lvlJc w:val="left"/>
      <w:pPr>
        <w:tabs>
          <w:tab w:val="num" w:pos="1440"/>
        </w:tabs>
        <w:ind w:left="1440" w:hanging="360"/>
      </w:pPr>
      <w:rPr>
        <w:rFonts w:ascii="Wingdings" w:hAnsi="Wingdings" w:hint="default"/>
        <w:color w:val="auto"/>
        <w:sz w:val="24"/>
      </w:rPr>
    </w:lvl>
    <w:lvl w:ilvl="2" w:tplc="464AEB72">
      <w:start w:val="1"/>
      <w:numFmt w:val="bullet"/>
      <w:lvlText w:val=""/>
      <w:lvlJc w:val="left"/>
      <w:pPr>
        <w:tabs>
          <w:tab w:val="num" w:pos="1080"/>
        </w:tabs>
        <w:ind w:left="1080" w:hanging="360"/>
      </w:pPr>
      <w:rPr>
        <w:rFonts w:ascii="Symbol" w:hAnsi="Symbol" w:hint="default"/>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0009A5"/>
    <w:multiLevelType w:val="hybridMultilevel"/>
    <w:tmpl w:val="73F4DE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0442C8"/>
    <w:multiLevelType w:val="hybridMultilevel"/>
    <w:tmpl w:val="796457EE"/>
    <w:lvl w:ilvl="0" w:tplc="30245BD0">
      <w:start w:val="1"/>
      <w:numFmt w:val="bullet"/>
      <w:lvlText w:val=""/>
      <w:lvlJc w:val="left"/>
      <w:pPr>
        <w:tabs>
          <w:tab w:val="num" w:pos="1080"/>
        </w:tabs>
        <w:ind w:left="1080" w:hanging="360"/>
      </w:pPr>
      <w:rPr>
        <w:rFonts w:ascii="Symbol" w:hAnsi="Symbol" w:hint="default"/>
        <w:color w:val="auto"/>
        <w:sz w:val="24"/>
      </w:rPr>
    </w:lvl>
    <w:lvl w:ilvl="1" w:tplc="04090005">
      <w:start w:val="1"/>
      <w:numFmt w:val="bullet"/>
      <w:lvlText w:val=""/>
      <w:lvlJc w:val="left"/>
      <w:pPr>
        <w:tabs>
          <w:tab w:val="num" w:pos="1872"/>
        </w:tabs>
        <w:ind w:left="1872" w:hanging="360"/>
      </w:pPr>
      <w:rPr>
        <w:rFonts w:ascii="Wingdings" w:hAnsi="Wingdings" w:hint="default"/>
        <w:color w:val="auto"/>
        <w:sz w:val="24"/>
      </w:rPr>
    </w:lvl>
    <w:lvl w:ilvl="2" w:tplc="29C26A22">
      <w:start w:val="1"/>
      <w:numFmt w:val="bullet"/>
      <w:lvlText w:val=""/>
      <w:lvlJc w:val="left"/>
      <w:pPr>
        <w:tabs>
          <w:tab w:val="num" w:pos="1512"/>
        </w:tabs>
        <w:ind w:left="1512" w:hanging="360"/>
      </w:pPr>
      <w:rPr>
        <w:rFonts w:ascii="Symbol" w:hAnsi="Symbol" w:hint="default"/>
        <w:color w:val="auto"/>
        <w:sz w:val="20"/>
        <w:szCs w:val="20"/>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nsid w:val="4EAC6C52"/>
    <w:multiLevelType w:val="hybridMultilevel"/>
    <w:tmpl w:val="94286C4C"/>
    <w:lvl w:ilvl="0" w:tplc="29C26A22">
      <w:start w:val="1"/>
      <w:numFmt w:val="bullet"/>
      <w:lvlText w:val=""/>
      <w:lvlJc w:val="left"/>
      <w:pPr>
        <w:tabs>
          <w:tab w:val="num" w:pos="1080"/>
        </w:tabs>
        <w:ind w:left="1080" w:hanging="360"/>
      </w:pPr>
      <w:rPr>
        <w:rFonts w:ascii="Symbol" w:hAnsi="Symbol" w:hint="default"/>
        <w:sz w:val="20"/>
        <w:szCs w:val="20"/>
      </w:rPr>
    </w:lvl>
    <w:lvl w:ilvl="1" w:tplc="04090005">
      <w:start w:val="1"/>
      <w:numFmt w:val="bullet"/>
      <w:lvlText w:val=""/>
      <w:lvlJc w:val="left"/>
      <w:pPr>
        <w:tabs>
          <w:tab w:val="num" w:pos="1440"/>
        </w:tabs>
        <w:ind w:left="1440" w:hanging="360"/>
      </w:pPr>
      <w:rPr>
        <w:rFonts w:ascii="Wingdings" w:hAnsi="Wingdings" w:hint="default"/>
        <w:sz w:val="20"/>
        <w:szCs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5708C8"/>
    <w:multiLevelType w:val="hybridMultilevel"/>
    <w:tmpl w:val="FDDC8AF2"/>
    <w:lvl w:ilvl="0" w:tplc="29C26A22">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B22CC8CC">
      <w:start w:val="1"/>
      <w:numFmt w:val="bullet"/>
      <w:lvlText w:val=""/>
      <w:lvlJc w:val="left"/>
      <w:pPr>
        <w:tabs>
          <w:tab w:val="num" w:pos="1080"/>
        </w:tabs>
        <w:ind w:left="1080" w:hanging="360"/>
      </w:pPr>
      <w:rPr>
        <w:rFonts w:ascii="Symbol" w:hAnsi="Symbol" w:hint="default"/>
        <w:sz w:val="24"/>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42C589F"/>
    <w:multiLevelType w:val="hybridMultilevel"/>
    <w:tmpl w:val="0652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9620DF"/>
    <w:multiLevelType w:val="hybridMultilevel"/>
    <w:tmpl w:val="13AE39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512E4D"/>
    <w:multiLevelType w:val="hybridMultilevel"/>
    <w:tmpl w:val="D422D304"/>
    <w:lvl w:ilvl="0" w:tplc="4080C5C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404919"/>
    <w:multiLevelType w:val="hybridMultilevel"/>
    <w:tmpl w:val="1BD2C0CA"/>
    <w:lvl w:ilvl="0" w:tplc="29C26A22">
      <w:start w:val="1"/>
      <w:numFmt w:val="bullet"/>
      <w:lvlText w:val=""/>
      <w:lvlJc w:val="left"/>
      <w:pPr>
        <w:tabs>
          <w:tab w:val="num" w:pos="1080"/>
        </w:tabs>
        <w:ind w:left="108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E41539"/>
    <w:multiLevelType w:val="hybridMultilevel"/>
    <w:tmpl w:val="D94A7F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4513C4C"/>
    <w:multiLevelType w:val="hybridMultilevel"/>
    <w:tmpl w:val="03808F0A"/>
    <w:lvl w:ilvl="0" w:tplc="29C26A22">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59D01AEE">
      <w:start w:val="1"/>
      <w:numFmt w:val="bullet"/>
      <w:lvlText w:val=""/>
      <w:lvlJc w:val="left"/>
      <w:pPr>
        <w:tabs>
          <w:tab w:val="num" w:pos="1080"/>
        </w:tabs>
        <w:ind w:left="1080" w:hanging="360"/>
      </w:pPr>
      <w:rPr>
        <w:rFonts w:ascii="Symbol" w:hAnsi="Symbol" w:hint="default"/>
        <w:sz w:val="24"/>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595523D"/>
    <w:multiLevelType w:val="hybridMultilevel"/>
    <w:tmpl w:val="60867F3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90E7CCA"/>
    <w:multiLevelType w:val="hybridMultilevel"/>
    <w:tmpl w:val="3E6048CC"/>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6F43211D"/>
    <w:multiLevelType w:val="hybridMultilevel"/>
    <w:tmpl w:val="2C38CA20"/>
    <w:lvl w:ilvl="0" w:tplc="29C26A22">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14381C78">
      <w:start w:val="1"/>
      <w:numFmt w:val="bullet"/>
      <w:lvlText w:val=""/>
      <w:lvlJc w:val="left"/>
      <w:pPr>
        <w:tabs>
          <w:tab w:val="num" w:pos="1080"/>
        </w:tabs>
        <w:ind w:left="1080" w:hanging="360"/>
      </w:pPr>
      <w:rPr>
        <w:rFonts w:ascii="Symbol" w:hAnsi="Symbol" w:hint="default"/>
        <w:color w:val="auto"/>
        <w:sz w:val="24"/>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0D44C8"/>
    <w:multiLevelType w:val="hybridMultilevel"/>
    <w:tmpl w:val="FEC8CB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2">
    <w:nsid w:val="73EC6F4D"/>
    <w:multiLevelType w:val="hybridMultilevel"/>
    <w:tmpl w:val="77E2962C"/>
    <w:lvl w:ilvl="0" w:tplc="29C26A22">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C636B0CE">
      <w:start w:val="1"/>
      <w:numFmt w:val="bullet"/>
      <w:lvlText w:val=""/>
      <w:lvlJc w:val="left"/>
      <w:pPr>
        <w:tabs>
          <w:tab w:val="num" w:pos="1080"/>
        </w:tabs>
        <w:ind w:left="1080" w:hanging="360"/>
      </w:pPr>
      <w:rPr>
        <w:rFonts w:ascii="Symbol" w:hAnsi="Symbol" w:hint="default"/>
        <w:sz w:val="24"/>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4">
    <w:nsid w:val="790D4679"/>
    <w:multiLevelType w:val="hybridMultilevel"/>
    <w:tmpl w:val="9B1C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6">
    <w:nsid w:val="7B4E39D7"/>
    <w:multiLevelType w:val="hybridMultilevel"/>
    <w:tmpl w:val="785620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35"/>
  </w:num>
  <w:num w:numId="3">
    <w:abstractNumId w:val="2"/>
  </w:num>
  <w:num w:numId="4">
    <w:abstractNumId w:val="33"/>
  </w:num>
  <w:num w:numId="5">
    <w:abstractNumId w:val="31"/>
  </w:num>
  <w:num w:numId="6">
    <w:abstractNumId w:val="3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34"/>
  </w:num>
  <w:num w:numId="9">
    <w:abstractNumId w:val="14"/>
  </w:num>
  <w:num w:numId="10">
    <w:abstractNumId w:val="4"/>
  </w:num>
  <w:num w:numId="11">
    <w:abstractNumId w:val="23"/>
  </w:num>
  <w:num w:numId="12">
    <w:abstractNumId w:val="11"/>
  </w:num>
  <w:num w:numId="13">
    <w:abstractNumId w:val="10"/>
  </w:num>
  <w:num w:numId="14">
    <w:abstractNumId w:val="7"/>
  </w:num>
  <w:num w:numId="15">
    <w:abstractNumId w:val="22"/>
  </w:num>
  <w:num w:numId="16">
    <w:abstractNumId w:val="18"/>
  </w:num>
  <w:num w:numId="17">
    <w:abstractNumId w:val="19"/>
  </w:num>
  <w:num w:numId="18">
    <w:abstractNumId w:val="12"/>
  </w:num>
  <w:num w:numId="19">
    <w:abstractNumId w:val="27"/>
  </w:num>
  <w:num w:numId="20">
    <w:abstractNumId w:val="30"/>
  </w:num>
  <w:num w:numId="21">
    <w:abstractNumId w:val="16"/>
  </w:num>
  <w:num w:numId="22">
    <w:abstractNumId w:val="26"/>
  </w:num>
  <w:num w:numId="23">
    <w:abstractNumId w:val="20"/>
  </w:num>
  <w:num w:numId="24">
    <w:abstractNumId w:val="0"/>
  </w:num>
  <w:num w:numId="25">
    <w:abstractNumId w:val="29"/>
  </w:num>
  <w:num w:numId="26">
    <w:abstractNumId w:val="32"/>
  </w:num>
  <w:num w:numId="27">
    <w:abstractNumId w:val="5"/>
  </w:num>
  <w:num w:numId="28">
    <w:abstractNumId w:val="13"/>
  </w:num>
  <w:num w:numId="29">
    <w:abstractNumId w:val="6"/>
  </w:num>
  <w:num w:numId="30">
    <w:abstractNumId w:val="21"/>
  </w:num>
  <w:num w:numId="31">
    <w:abstractNumId w:val="15"/>
  </w:num>
  <w:num w:numId="32">
    <w:abstractNumId w:val="17"/>
  </w:num>
  <w:num w:numId="33">
    <w:abstractNumId w:val="8"/>
  </w:num>
  <w:num w:numId="34">
    <w:abstractNumId w:val="1"/>
  </w:num>
  <w:num w:numId="35">
    <w:abstractNumId w:val="24"/>
  </w:num>
  <w:num w:numId="36">
    <w:abstractNumId w:val="28"/>
  </w:num>
  <w:num w:numId="37">
    <w:abstractNumId w:val="3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00E97"/>
    <w:rsid w:val="00004255"/>
    <w:rsid w:val="00004DAE"/>
    <w:rsid w:val="00007588"/>
    <w:rsid w:val="00016C7B"/>
    <w:rsid w:val="000220A0"/>
    <w:rsid w:val="00023882"/>
    <w:rsid w:val="00024CBA"/>
    <w:rsid w:val="00027188"/>
    <w:rsid w:val="00037362"/>
    <w:rsid w:val="000409DB"/>
    <w:rsid w:val="00055C97"/>
    <w:rsid w:val="00067D1B"/>
    <w:rsid w:val="00067FF4"/>
    <w:rsid w:val="0007482B"/>
    <w:rsid w:val="00075224"/>
    <w:rsid w:val="00075D89"/>
    <w:rsid w:val="00094BA3"/>
    <w:rsid w:val="000A00D2"/>
    <w:rsid w:val="000A2B26"/>
    <w:rsid w:val="000B03FF"/>
    <w:rsid w:val="000B0E8B"/>
    <w:rsid w:val="000B32F4"/>
    <w:rsid w:val="000B4236"/>
    <w:rsid w:val="000B4874"/>
    <w:rsid w:val="000B5025"/>
    <w:rsid w:val="000B6196"/>
    <w:rsid w:val="000C3E71"/>
    <w:rsid w:val="000E0C7A"/>
    <w:rsid w:val="000E1DB1"/>
    <w:rsid w:val="000E4013"/>
    <w:rsid w:val="000F0D9C"/>
    <w:rsid w:val="000F1F40"/>
    <w:rsid w:val="000F59E3"/>
    <w:rsid w:val="0010115E"/>
    <w:rsid w:val="00101587"/>
    <w:rsid w:val="001079B1"/>
    <w:rsid w:val="001107B1"/>
    <w:rsid w:val="001112CC"/>
    <w:rsid w:val="00111E37"/>
    <w:rsid w:val="0011346C"/>
    <w:rsid w:val="00115BEF"/>
    <w:rsid w:val="00116CA0"/>
    <w:rsid w:val="001231D2"/>
    <w:rsid w:val="00123363"/>
    <w:rsid w:val="00123BFF"/>
    <w:rsid w:val="00126A71"/>
    <w:rsid w:val="0015645D"/>
    <w:rsid w:val="00160F5D"/>
    <w:rsid w:val="00164BAE"/>
    <w:rsid w:val="00166666"/>
    <w:rsid w:val="00167FD2"/>
    <w:rsid w:val="00174045"/>
    <w:rsid w:val="001A0159"/>
    <w:rsid w:val="001A68C7"/>
    <w:rsid w:val="001B2378"/>
    <w:rsid w:val="001C6560"/>
    <w:rsid w:val="001D1730"/>
    <w:rsid w:val="001D77FF"/>
    <w:rsid w:val="001D7A63"/>
    <w:rsid w:val="001E249C"/>
    <w:rsid w:val="001F6064"/>
    <w:rsid w:val="00232DDC"/>
    <w:rsid w:val="00244E92"/>
    <w:rsid w:val="002455E7"/>
    <w:rsid w:val="002519DC"/>
    <w:rsid w:val="00257907"/>
    <w:rsid w:val="00272891"/>
    <w:rsid w:val="00282873"/>
    <w:rsid w:val="00285311"/>
    <w:rsid w:val="0029110D"/>
    <w:rsid w:val="0029373B"/>
    <w:rsid w:val="00293B5B"/>
    <w:rsid w:val="002A1E22"/>
    <w:rsid w:val="002A4E67"/>
    <w:rsid w:val="002C097E"/>
    <w:rsid w:val="002C7B53"/>
    <w:rsid w:val="002D13CE"/>
    <w:rsid w:val="002E070E"/>
    <w:rsid w:val="002F240E"/>
    <w:rsid w:val="002F6FB3"/>
    <w:rsid w:val="002F7F92"/>
    <w:rsid w:val="003101FB"/>
    <w:rsid w:val="0032243C"/>
    <w:rsid w:val="0033535B"/>
    <w:rsid w:val="00341950"/>
    <w:rsid w:val="00351ED8"/>
    <w:rsid w:val="00357E89"/>
    <w:rsid w:val="00362D52"/>
    <w:rsid w:val="0036422D"/>
    <w:rsid w:val="00372F1C"/>
    <w:rsid w:val="0039684F"/>
    <w:rsid w:val="003A48F4"/>
    <w:rsid w:val="003B0724"/>
    <w:rsid w:val="003B20AD"/>
    <w:rsid w:val="003B5AED"/>
    <w:rsid w:val="003C1CB2"/>
    <w:rsid w:val="003C29FB"/>
    <w:rsid w:val="003C400F"/>
    <w:rsid w:val="003D087C"/>
    <w:rsid w:val="003D5391"/>
    <w:rsid w:val="003E0474"/>
    <w:rsid w:val="003F3FB0"/>
    <w:rsid w:val="003F4D24"/>
    <w:rsid w:val="004010EC"/>
    <w:rsid w:val="00404227"/>
    <w:rsid w:val="00410FF4"/>
    <w:rsid w:val="004146E4"/>
    <w:rsid w:val="00420184"/>
    <w:rsid w:val="00431096"/>
    <w:rsid w:val="004443E2"/>
    <w:rsid w:val="004446C0"/>
    <w:rsid w:val="0045174B"/>
    <w:rsid w:val="00456DFD"/>
    <w:rsid w:val="0046001A"/>
    <w:rsid w:val="00467F1D"/>
    <w:rsid w:val="004717FF"/>
    <w:rsid w:val="004834CE"/>
    <w:rsid w:val="00487D52"/>
    <w:rsid w:val="00492B90"/>
    <w:rsid w:val="004939BF"/>
    <w:rsid w:val="004B66EC"/>
    <w:rsid w:val="004C09EC"/>
    <w:rsid w:val="004F458A"/>
    <w:rsid w:val="004F5A84"/>
    <w:rsid w:val="004F5B91"/>
    <w:rsid w:val="0050120C"/>
    <w:rsid w:val="00505419"/>
    <w:rsid w:val="00505426"/>
    <w:rsid w:val="0051270F"/>
    <w:rsid w:val="005148E3"/>
    <w:rsid w:val="00517105"/>
    <w:rsid w:val="005256CC"/>
    <w:rsid w:val="005261F8"/>
    <w:rsid w:val="005318A5"/>
    <w:rsid w:val="005447BB"/>
    <w:rsid w:val="00547713"/>
    <w:rsid w:val="00555893"/>
    <w:rsid w:val="00563526"/>
    <w:rsid w:val="00570A9C"/>
    <w:rsid w:val="00574092"/>
    <w:rsid w:val="005911C6"/>
    <w:rsid w:val="00594FDB"/>
    <w:rsid w:val="005A00A8"/>
    <w:rsid w:val="005A4475"/>
    <w:rsid w:val="005A6EB8"/>
    <w:rsid w:val="005B5E0D"/>
    <w:rsid w:val="005B7EE7"/>
    <w:rsid w:val="005C47B3"/>
    <w:rsid w:val="005D21A4"/>
    <w:rsid w:val="005D4F4C"/>
    <w:rsid w:val="005D538C"/>
    <w:rsid w:val="005E26C8"/>
    <w:rsid w:val="005F2452"/>
    <w:rsid w:val="005F473C"/>
    <w:rsid w:val="006054B5"/>
    <w:rsid w:val="00606FE7"/>
    <w:rsid w:val="006145DB"/>
    <w:rsid w:val="00625C9F"/>
    <w:rsid w:val="00635E50"/>
    <w:rsid w:val="006361E1"/>
    <w:rsid w:val="00650C0E"/>
    <w:rsid w:val="0066675C"/>
    <w:rsid w:val="00666CF0"/>
    <w:rsid w:val="006717F4"/>
    <w:rsid w:val="0068220B"/>
    <w:rsid w:val="006904F7"/>
    <w:rsid w:val="006A6980"/>
    <w:rsid w:val="006B5173"/>
    <w:rsid w:val="006B5874"/>
    <w:rsid w:val="006C58B9"/>
    <w:rsid w:val="006D5254"/>
    <w:rsid w:val="006E12AC"/>
    <w:rsid w:val="006F1F52"/>
    <w:rsid w:val="006F5312"/>
    <w:rsid w:val="006F62BE"/>
    <w:rsid w:val="00700D2F"/>
    <w:rsid w:val="00705226"/>
    <w:rsid w:val="00711F61"/>
    <w:rsid w:val="00713D65"/>
    <w:rsid w:val="007156BB"/>
    <w:rsid w:val="00726462"/>
    <w:rsid w:val="0073534B"/>
    <w:rsid w:val="00740554"/>
    <w:rsid w:val="00741B05"/>
    <w:rsid w:val="00743567"/>
    <w:rsid w:val="00752827"/>
    <w:rsid w:val="00757E64"/>
    <w:rsid w:val="00764B47"/>
    <w:rsid w:val="00765619"/>
    <w:rsid w:val="00793C71"/>
    <w:rsid w:val="00797FB9"/>
    <w:rsid w:val="007A38A9"/>
    <w:rsid w:val="007A4E78"/>
    <w:rsid w:val="007B695C"/>
    <w:rsid w:val="007C02FE"/>
    <w:rsid w:val="007D4297"/>
    <w:rsid w:val="007E3558"/>
    <w:rsid w:val="007E448D"/>
    <w:rsid w:val="007E7747"/>
    <w:rsid w:val="00802D85"/>
    <w:rsid w:val="00807ED3"/>
    <w:rsid w:val="00810249"/>
    <w:rsid w:val="008119B8"/>
    <w:rsid w:val="008270A7"/>
    <w:rsid w:val="00832705"/>
    <w:rsid w:val="00834A99"/>
    <w:rsid w:val="008359D8"/>
    <w:rsid w:val="00844341"/>
    <w:rsid w:val="00844E33"/>
    <w:rsid w:val="008550BB"/>
    <w:rsid w:val="008626EF"/>
    <w:rsid w:val="00873BDC"/>
    <w:rsid w:val="008778CD"/>
    <w:rsid w:val="008817FF"/>
    <w:rsid w:val="00891527"/>
    <w:rsid w:val="00893C12"/>
    <w:rsid w:val="008945A1"/>
    <w:rsid w:val="008A73D9"/>
    <w:rsid w:val="008B0CB7"/>
    <w:rsid w:val="008B7A25"/>
    <w:rsid w:val="008C1043"/>
    <w:rsid w:val="008C2068"/>
    <w:rsid w:val="008C36CE"/>
    <w:rsid w:val="008C41D7"/>
    <w:rsid w:val="008C49EB"/>
    <w:rsid w:val="008C6287"/>
    <w:rsid w:val="008D099F"/>
    <w:rsid w:val="008D1586"/>
    <w:rsid w:val="008D3432"/>
    <w:rsid w:val="008D4A4D"/>
    <w:rsid w:val="008D4B30"/>
    <w:rsid w:val="008E1694"/>
    <w:rsid w:val="008F1EA0"/>
    <w:rsid w:val="00907A6D"/>
    <w:rsid w:val="00913B07"/>
    <w:rsid w:val="00915EAD"/>
    <w:rsid w:val="00920B2C"/>
    <w:rsid w:val="00923187"/>
    <w:rsid w:val="0092550B"/>
    <w:rsid w:val="00932F5A"/>
    <w:rsid w:val="00934001"/>
    <w:rsid w:val="00935537"/>
    <w:rsid w:val="009439C7"/>
    <w:rsid w:val="009450CD"/>
    <w:rsid w:val="0094677D"/>
    <w:rsid w:val="00953EA0"/>
    <w:rsid w:val="009667E3"/>
    <w:rsid w:val="00972949"/>
    <w:rsid w:val="009734AA"/>
    <w:rsid w:val="00980529"/>
    <w:rsid w:val="009814CB"/>
    <w:rsid w:val="00982371"/>
    <w:rsid w:val="00986867"/>
    <w:rsid w:val="00990699"/>
    <w:rsid w:val="00993EFE"/>
    <w:rsid w:val="0099662B"/>
    <w:rsid w:val="0099779F"/>
    <w:rsid w:val="009A25E4"/>
    <w:rsid w:val="009A3A5E"/>
    <w:rsid w:val="009B1DBB"/>
    <w:rsid w:val="009B2844"/>
    <w:rsid w:val="009B571E"/>
    <w:rsid w:val="009B6CB2"/>
    <w:rsid w:val="009C3D77"/>
    <w:rsid w:val="009C721E"/>
    <w:rsid w:val="009D67F6"/>
    <w:rsid w:val="009D72F0"/>
    <w:rsid w:val="009E118C"/>
    <w:rsid w:val="009E48DF"/>
    <w:rsid w:val="00A02C4F"/>
    <w:rsid w:val="00A038AA"/>
    <w:rsid w:val="00A072A4"/>
    <w:rsid w:val="00A10B8D"/>
    <w:rsid w:val="00A24F56"/>
    <w:rsid w:val="00A31B70"/>
    <w:rsid w:val="00A45D39"/>
    <w:rsid w:val="00A576C8"/>
    <w:rsid w:val="00A676CD"/>
    <w:rsid w:val="00A71931"/>
    <w:rsid w:val="00A8408F"/>
    <w:rsid w:val="00A85788"/>
    <w:rsid w:val="00A91BE4"/>
    <w:rsid w:val="00AA04EA"/>
    <w:rsid w:val="00AA2541"/>
    <w:rsid w:val="00AC151D"/>
    <w:rsid w:val="00AD11B4"/>
    <w:rsid w:val="00AD3487"/>
    <w:rsid w:val="00AE7898"/>
    <w:rsid w:val="00AF144A"/>
    <w:rsid w:val="00AF23EF"/>
    <w:rsid w:val="00AF2B99"/>
    <w:rsid w:val="00AF48E6"/>
    <w:rsid w:val="00AF4F99"/>
    <w:rsid w:val="00B02F6E"/>
    <w:rsid w:val="00B04E07"/>
    <w:rsid w:val="00B16D32"/>
    <w:rsid w:val="00B23588"/>
    <w:rsid w:val="00B23C24"/>
    <w:rsid w:val="00B328C7"/>
    <w:rsid w:val="00B35B9F"/>
    <w:rsid w:val="00B41339"/>
    <w:rsid w:val="00B46882"/>
    <w:rsid w:val="00B51F44"/>
    <w:rsid w:val="00B5485C"/>
    <w:rsid w:val="00B6368B"/>
    <w:rsid w:val="00B820FF"/>
    <w:rsid w:val="00B91DF5"/>
    <w:rsid w:val="00BD14A8"/>
    <w:rsid w:val="00BE1CC2"/>
    <w:rsid w:val="00BE2FD3"/>
    <w:rsid w:val="00BF0F23"/>
    <w:rsid w:val="00C06DEF"/>
    <w:rsid w:val="00C30204"/>
    <w:rsid w:val="00C320AF"/>
    <w:rsid w:val="00C3443E"/>
    <w:rsid w:val="00C3586C"/>
    <w:rsid w:val="00C40411"/>
    <w:rsid w:val="00C415CD"/>
    <w:rsid w:val="00C47C35"/>
    <w:rsid w:val="00C500DE"/>
    <w:rsid w:val="00C514D6"/>
    <w:rsid w:val="00C61778"/>
    <w:rsid w:val="00C67B35"/>
    <w:rsid w:val="00C74657"/>
    <w:rsid w:val="00C76892"/>
    <w:rsid w:val="00C81590"/>
    <w:rsid w:val="00CA1CB7"/>
    <w:rsid w:val="00CC5AC9"/>
    <w:rsid w:val="00CE54DE"/>
    <w:rsid w:val="00CE5C6D"/>
    <w:rsid w:val="00CF06E2"/>
    <w:rsid w:val="00CF0D0F"/>
    <w:rsid w:val="00D127E8"/>
    <w:rsid w:val="00D15B99"/>
    <w:rsid w:val="00D27EEB"/>
    <w:rsid w:val="00D371B4"/>
    <w:rsid w:val="00D42270"/>
    <w:rsid w:val="00D43F3C"/>
    <w:rsid w:val="00D50652"/>
    <w:rsid w:val="00D51640"/>
    <w:rsid w:val="00D5713D"/>
    <w:rsid w:val="00D720B2"/>
    <w:rsid w:val="00D76374"/>
    <w:rsid w:val="00D83DDC"/>
    <w:rsid w:val="00D93FC0"/>
    <w:rsid w:val="00D9431C"/>
    <w:rsid w:val="00DA1618"/>
    <w:rsid w:val="00DB0F44"/>
    <w:rsid w:val="00DB5690"/>
    <w:rsid w:val="00DB7843"/>
    <w:rsid w:val="00DC1E6C"/>
    <w:rsid w:val="00DC56BD"/>
    <w:rsid w:val="00DC6474"/>
    <w:rsid w:val="00DD2B44"/>
    <w:rsid w:val="00DD42E2"/>
    <w:rsid w:val="00DD6B41"/>
    <w:rsid w:val="00DE50E3"/>
    <w:rsid w:val="00DE5EB8"/>
    <w:rsid w:val="00DF63F3"/>
    <w:rsid w:val="00DF7E90"/>
    <w:rsid w:val="00E06492"/>
    <w:rsid w:val="00E15E06"/>
    <w:rsid w:val="00E2116F"/>
    <w:rsid w:val="00E25639"/>
    <w:rsid w:val="00E31C69"/>
    <w:rsid w:val="00E5326E"/>
    <w:rsid w:val="00E53DE7"/>
    <w:rsid w:val="00E5519D"/>
    <w:rsid w:val="00E56FBD"/>
    <w:rsid w:val="00E663AC"/>
    <w:rsid w:val="00E95202"/>
    <w:rsid w:val="00E964AE"/>
    <w:rsid w:val="00ED1918"/>
    <w:rsid w:val="00ED30AD"/>
    <w:rsid w:val="00EE28DF"/>
    <w:rsid w:val="00EF45F2"/>
    <w:rsid w:val="00EF5CF2"/>
    <w:rsid w:val="00EF6AAB"/>
    <w:rsid w:val="00F0356A"/>
    <w:rsid w:val="00F060AC"/>
    <w:rsid w:val="00F07BF6"/>
    <w:rsid w:val="00F14555"/>
    <w:rsid w:val="00F21C78"/>
    <w:rsid w:val="00F4736A"/>
    <w:rsid w:val="00F477F5"/>
    <w:rsid w:val="00F724C8"/>
    <w:rsid w:val="00F77464"/>
    <w:rsid w:val="00F9500F"/>
    <w:rsid w:val="00F97FE8"/>
    <w:rsid w:val="00FA42AE"/>
    <w:rsid w:val="00FA48EB"/>
    <w:rsid w:val="00FB2967"/>
    <w:rsid w:val="00FC67F4"/>
    <w:rsid w:val="00FD64FA"/>
    <w:rsid w:val="00FD73F4"/>
    <w:rsid w:val="00FE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E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6">
    <w:name w:val="heading 6"/>
    <w:basedOn w:val="Normal"/>
    <w:next w:val="Normal"/>
    <w:link w:val="Heading6Char"/>
    <w:uiPriority w:val="9"/>
    <w:semiHidden/>
    <w:unhideWhenUsed/>
    <w:qFormat/>
    <w:rsid w:val="004B66E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9734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alloonText">
    <w:name w:val="Balloon Text"/>
    <w:basedOn w:val="Normal"/>
    <w:link w:val="BalloonTextChar"/>
    <w:uiPriority w:val="99"/>
    <w:semiHidden/>
    <w:unhideWhenUsed/>
    <w:rsid w:val="00FE4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E20"/>
    <w:rPr>
      <w:rFonts w:ascii="Segoe UI" w:hAnsi="Segoe UI" w:cs="Segoe UI"/>
      <w:sz w:val="18"/>
      <w:szCs w:val="18"/>
    </w:rPr>
  </w:style>
  <w:style w:type="character" w:styleId="Hyperlink">
    <w:name w:val="Hyperlink"/>
    <w:basedOn w:val="DefaultParagraphFont"/>
    <w:uiPriority w:val="99"/>
    <w:unhideWhenUsed/>
    <w:rsid w:val="007156BB"/>
    <w:rPr>
      <w:color w:val="0000FF" w:themeColor="hyperlink"/>
      <w:u w:val="single"/>
    </w:rPr>
  </w:style>
  <w:style w:type="character" w:customStyle="1" w:styleId="UnresolvedMention">
    <w:name w:val="Unresolved Mention"/>
    <w:basedOn w:val="DefaultParagraphFont"/>
    <w:uiPriority w:val="99"/>
    <w:semiHidden/>
    <w:unhideWhenUsed/>
    <w:rsid w:val="007156BB"/>
    <w:rPr>
      <w:color w:val="605E5C"/>
      <w:shd w:val="clear" w:color="auto" w:fill="E1DFDD"/>
    </w:rPr>
  </w:style>
  <w:style w:type="paragraph" w:styleId="ListParagraph">
    <w:name w:val="List Paragraph"/>
    <w:basedOn w:val="Normal"/>
    <w:uiPriority w:val="34"/>
    <w:qFormat/>
    <w:rsid w:val="00ED1918"/>
    <w:pPr>
      <w:ind w:left="720"/>
      <w:contextualSpacing/>
    </w:pPr>
  </w:style>
  <w:style w:type="paragraph" w:styleId="NormalWeb">
    <w:name w:val="Normal (Web)"/>
    <w:basedOn w:val="Normal"/>
    <w:rsid w:val="00EF45F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EF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EF45F2"/>
    <w:rPr>
      <w:rFonts w:ascii="Courier New" w:eastAsia="Courier New" w:hAnsi="Courier New" w:cs="Courier New"/>
      <w:sz w:val="20"/>
      <w:szCs w:val="20"/>
    </w:rPr>
  </w:style>
  <w:style w:type="character" w:customStyle="1" w:styleId="Heading6Char">
    <w:name w:val="Heading 6 Char"/>
    <w:basedOn w:val="DefaultParagraphFont"/>
    <w:link w:val="Heading6"/>
    <w:uiPriority w:val="9"/>
    <w:semiHidden/>
    <w:rsid w:val="004B66EC"/>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rsid w:val="004B66EC"/>
    <w:pPr>
      <w:tabs>
        <w:tab w:val="left" w:pos="360"/>
      </w:tabs>
      <w:autoSpaceDE w:val="0"/>
      <w:autoSpaceDN w:val="0"/>
      <w:adjustRightInd w:val="0"/>
      <w:spacing w:after="0" w:line="240" w:lineRule="atLeast"/>
      <w:ind w:left="360" w:hanging="36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rsid w:val="004B66EC"/>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rsid w:val="004B66EC"/>
    <w:pPr>
      <w:overflowPunct w:val="0"/>
      <w:autoSpaceDE w:val="0"/>
      <w:autoSpaceDN w:val="0"/>
      <w:adjustRightInd w:val="0"/>
      <w:spacing w:after="0" w:line="240" w:lineRule="auto"/>
      <w:ind w:left="630"/>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4B66EC"/>
    <w:rPr>
      <w:rFonts w:ascii="Times New Roman" w:eastAsia="Times New Roman" w:hAnsi="Times New Roman" w:cs="Times New Roman"/>
      <w:szCs w:val="20"/>
    </w:rPr>
  </w:style>
  <w:style w:type="paragraph" w:styleId="BodyText2">
    <w:name w:val="Body Text 2"/>
    <w:basedOn w:val="Normal"/>
    <w:link w:val="BodyText2Char"/>
    <w:rsid w:val="004B66E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B66EC"/>
    <w:rPr>
      <w:rFonts w:ascii="Times New Roman" w:eastAsia="Times New Roman" w:hAnsi="Times New Roman" w:cs="Times New Roman"/>
      <w:sz w:val="24"/>
      <w:szCs w:val="20"/>
    </w:rPr>
  </w:style>
  <w:style w:type="paragraph" w:customStyle="1" w:styleId="OmniPage267">
    <w:name w:val="OmniPage #267"/>
    <w:basedOn w:val="Normal"/>
    <w:rsid w:val="0092550B"/>
    <w:pPr>
      <w:tabs>
        <w:tab w:val="left" w:pos="1420"/>
        <w:tab w:val="right" w:pos="2840"/>
      </w:tabs>
      <w:overflowPunct w:val="0"/>
      <w:autoSpaceDE w:val="0"/>
      <w:autoSpaceDN w:val="0"/>
      <w:adjustRightInd w:val="0"/>
      <w:spacing w:after="0" w:line="240" w:lineRule="auto"/>
      <w:ind w:left="2411" w:right="6180"/>
      <w:textAlignment w:val="baseline"/>
    </w:pPr>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uiPriority w:val="9"/>
    <w:semiHidden/>
    <w:rsid w:val="009734AA"/>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6">
    <w:name w:val="heading 6"/>
    <w:basedOn w:val="Normal"/>
    <w:next w:val="Normal"/>
    <w:link w:val="Heading6Char"/>
    <w:uiPriority w:val="9"/>
    <w:semiHidden/>
    <w:unhideWhenUsed/>
    <w:qFormat/>
    <w:rsid w:val="004B66E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9734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alloonText">
    <w:name w:val="Balloon Text"/>
    <w:basedOn w:val="Normal"/>
    <w:link w:val="BalloonTextChar"/>
    <w:uiPriority w:val="99"/>
    <w:semiHidden/>
    <w:unhideWhenUsed/>
    <w:rsid w:val="00FE4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E20"/>
    <w:rPr>
      <w:rFonts w:ascii="Segoe UI" w:hAnsi="Segoe UI" w:cs="Segoe UI"/>
      <w:sz w:val="18"/>
      <w:szCs w:val="18"/>
    </w:rPr>
  </w:style>
  <w:style w:type="character" w:styleId="Hyperlink">
    <w:name w:val="Hyperlink"/>
    <w:basedOn w:val="DefaultParagraphFont"/>
    <w:uiPriority w:val="99"/>
    <w:unhideWhenUsed/>
    <w:rsid w:val="007156BB"/>
    <w:rPr>
      <w:color w:val="0000FF" w:themeColor="hyperlink"/>
      <w:u w:val="single"/>
    </w:rPr>
  </w:style>
  <w:style w:type="character" w:customStyle="1" w:styleId="UnresolvedMention">
    <w:name w:val="Unresolved Mention"/>
    <w:basedOn w:val="DefaultParagraphFont"/>
    <w:uiPriority w:val="99"/>
    <w:semiHidden/>
    <w:unhideWhenUsed/>
    <w:rsid w:val="007156BB"/>
    <w:rPr>
      <w:color w:val="605E5C"/>
      <w:shd w:val="clear" w:color="auto" w:fill="E1DFDD"/>
    </w:rPr>
  </w:style>
  <w:style w:type="paragraph" w:styleId="ListParagraph">
    <w:name w:val="List Paragraph"/>
    <w:basedOn w:val="Normal"/>
    <w:uiPriority w:val="34"/>
    <w:qFormat/>
    <w:rsid w:val="00ED1918"/>
    <w:pPr>
      <w:ind w:left="720"/>
      <w:contextualSpacing/>
    </w:pPr>
  </w:style>
  <w:style w:type="paragraph" w:styleId="NormalWeb">
    <w:name w:val="Normal (Web)"/>
    <w:basedOn w:val="Normal"/>
    <w:rsid w:val="00EF45F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EF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EF45F2"/>
    <w:rPr>
      <w:rFonts w:ascii="Courier New" w:eastAsia="Courier New" w:hAnsi="Courier New" w:cs="Courier New"/>
      <w:sz w:val="20"/>
      <w:szCs w:val="20"/>
    </w:rPr>
  </w:style>
  <w:style w:type="character" w:customStyle="1" w:styleId="Heading6Char">
    <w:name w:val="Heading 6 Char"/>
    <w:basedOn w:val="DefaultParagraphFont"/>
    <w:link w:val="Heading6"/>
    <w:uiPriority w:val="9"/>
    <w:semiHidden/>
    <w:rsid w:val="004B66EC"/>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rsid w:val="004B66EC"/>
    <w:pPr>
      <w:tabs>
        <w:tab w:val="left" w:pos="360"/>
      </w:tabs>
      <w:autoSpaceDE w:val="0"/>
      <w:autoSpaceDN w:val="0"/>
      <w:adjustRightInd w:val="0"/>
      <w:spacing w:after="0" w:line="240" w:lineRule="atLeast"/>
      <w:ind w:left="360" w:hanging="36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rsid w:val="004B66EC"/>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rsid w:val="004B66EC"/>
    <w:pPr>
      <w:overflowPunct w:val="0"/>
      <w:autoSpaceDE w:val="0"/>
      <w:autoSpaceDN w:val="0"/>
      <w:adjustRightInd w:val="0"/>
      <w:spacing w:after="0" w:line="240" w:lineRule="auto"/>
      <w:ind w:left="630"/>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4B66EC"/>
    <w:rPr>
      <w:rFonts w:ascii="Times New Roman" w:eastAsia="Times New Roman" w:hAnsi="Times New Roman" w:cs="Times New Roman"/>
      <w:szCs w:val="20"/>
    </w:rPr>
  </w:style>
  <w:style w:type="paragraph" w:styleId="BodyText2">
    <w:name w:val="Body Text 2"/>
    <w:basedOn w:val="Normal"/>
    <w:link w:val="BodyText2Char"/>
    <w:rsid w:val="004B66E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B66EC"/>
    <w:rPr>
      <w:rFonts w:ascii="Times New Roman" w:eastAsia="Times New Roman" w:hAnsi="Times New Roman" w:cs="Times New Roman"/>
      <w:sz w:val="24"/>
      <w:szCs w:val="20"/>
    </w:rPr>
  </w:style>
  <w:style w:type="paragraph" w:customStyle="1" w:styleId="OmniPage267">
    <w:name w:val="OmniPage #267"/>
    <w:basedOn w:val="Normal"/>
    <w:rsid w:val="0092550B"/>
    <w:pPr>
      <w:tabs>
        <w:tab w:val="left" w:pos="1420"/>
        <w:tab w:val="right" w:pos="2840"/>
      </w:tabs>
      <w:overflowPunct w:val="0"/>
      <w:autoSpaceDE w:val="0"/>
      <w:autoSpaceDN w:val="0"/>
      <w:adjustRightInd w:val="0"/>
      <w:spacing w:after="0" w:line="240" w:lineRule="auto"/>
      <w:ind w:left="2411" w:right="6180"/>
      <w:textAlignment w:val="baseline"/>
    </w:pPr>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uiPriority w:val="9"/>
    <w:semiHidden/>
    <w:rsid w:val="009734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09303">
      <w:bodyDiv w:val="1"/>
      <w:marLeft w:val="0"/>
      <w:marRight w:val="0"/>
      <w:marTop w:val="0"/>
      <w:marBottom w:val="0"/>
      <w:divBdr>
        <w:top w:val="none" w:sz="0" w:space="0" w:color="auto"/>
        <w:left w:val="none" w:sz="0" w:space="0" w:color="auto"/>
        <w:bottom w:val="none" w:sz="0" w:space="0" w:color="auto"/>
        <w:right w:val="none" w:sz="0" w:space="0" w:color="auto"/>
      </w:divBdr>
    </w:div>
    <w:div w:id="4750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460617fe38b776fb3d45da3905d15363">
  <xsd:schema xmlns:xsd="http://www.w3.org/2001/XMLSchema" xmlns:xs="http://www.w3.org/2001/XMLSchema" xmlns:p="http://schemas.microsoft.com/office/2006/metadata/properties" xmlns:ns3="c6d93d11-28f8-4e6d-ae4f-5893c68de00b" xmlns:ns4="750983b6-60eb-446f-a2fd-b09d080777e3" targetNamespace="http://schemas.microsoft.com/office/2006/metadata/properties" ma:root="true" ma:fieldsID="2a619d1096afa3ebb81cff5421c21372" ns3:_="" ns4:_="">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4118-138C-4FF6-B479-1477784817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2741A7-B3A9-4780-AA15-E843B38569AE}">
  <ds:schemaRefs>
    <ds:schemaRef ds:uri="http://schemas.microsoft.com/sharepoint/v3/contenttype/forms"/>
  </ds:schemaRefs>
</ds:datastoreItem>
</file>

<file path=customXml/itemProps3.xml><?xml version="1.0" encoding="utf-8"?>
<ds:datastoreItem xmlns:ds="http://schemas.openxmlformats.org/officeDocument/2006/customXml" ds:itemID="{6FDE1C7E-8CBA-4306-A384-7D2C1FD63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5137C-09BA-4F61-A6C4-88A0C6D3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6683</Words>
  <Characters>38097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Venida Brown</dc:creator>
  <cp:keywords/>
  <dc:description/>
  <cp:lastModifiedBy>SYSTEM</cp:lastModifiedBy>
  <cp:revision>2</cp:revision>
  <cp:lastPrinted>2019-04-22T17:33:00Z</cp:lastPrinted>
  <dcterms:created xsi:type="dcterms:W3CDTF">2019-09-30T18:51:00Z</dcterms:created>
  <dcterms:modified xsi:type="dcterms:W3CDTF">2019-09-30T18:51:00Z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